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5A780" w14:textId="77777777" w:rsidR="0076492C" w:rsidRDefault="0076492C" w:rsidP="0076492C">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9264" behindDoc="0" locked="0" layoutInCell="1" hidden="0" allowOverlap="1" wp14:anchorId="0DF0FE75" wp14:editId="715E7D08">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4"/>
                    <a:srcRect/>
                    <a:stretch>
                      <a:fillRect/>
                    </a:stretch>
                  </pic:blipFill>
                  <pic:spPr>
                    <a:xfrm>
                      <a:off x="0" y="0"/>
                      <a:ext cx="1809750" cy="723900"/>
                    </a:xfrm>
                    <a:prstGeom prst="rect">
                      <a:avLst/>
                    </a:prstGeom>
                    <a:ln/>
                  </pic:spPr>
                </pic:pic>
              </a:graphicData>
            </a:graphic>
          </wp:anchor>
        </w:drawing>
      </w:r>
    </w:p>
    <w:p w14:paraId="6F0795AA" w14:textId="77777777" w:rsidR="0076492C" w:rsidRDefault="0076492C" w:rsidP="0076492C">
      <w:pPr>
        <w:rPr>
          <w:rFonts w:ascii="Arial" w:eastAsia="Arial" w:hAnsi="Arial" w:cs="Arial"/>
        </w:rPr>
      </w:pPr>
    </w:p>
    <w:tbl>
      <w:tblPr>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76492C" w14:paraId="1E44CAA2" w14:textId="77777777" w:rsidTr="00F14942">
        <w:tc>
          <w:tcPr>
            <w:tcW w:w="9922" w:type="dxa"/>
            <w:shd w:val="clear" w:color="auto" w:fill="C0C0C0"/>
          </w:tcPr>
          <w:p w14:paraId="1105957E" w14:textId="77777777" w:rsidR="0076492C" w:rsidRDefault="0076492C" w:rsidP="00F14942">
            <w:pPr>
              <w:pStyle w:val="Heading4"/>
              <w:rPr>
                <w:rFonts w:ascii="Arial" w:eastAsia="Arial" w:hAnsi="Arial" w:cs="Arial"/>
                <w:b/>
              </w:rPr>
            </w:pPr>
            <w:r>
              <w:rPr>
                <w:rFonts w:ascii="Arial" w:eastAsia="Arial" w:hAnsi="Arial" w:cs="Arial"/>
                <w:b/>
              </w:rPr>
              <w:t xml:space="preserve">LEVEL 4 ASSESSMENT SPECIFICATION </w:t>
            </w:r>
          </w:p>
        </w:tc>
      </w:tr>
    </w:tbl>
    <w:p w14:paraId="501E63BF" w14:textId="77777777" w:rsidR="0076492C" w:rsidRDefault="0076492C" w:rsidP="0076492C">
      <w:pPr>
        <w:jc w:val="center"/>
        <w:rPr>
          <w:rFonts w:ascii="Arial" w:eastAsia="Arial" w:hAnsi="Arial" w:cs="Arial"/>
          <w:b/>
          <w:i/>
          <w:sz w:val="32"/>
          <w:szCs w:val="32"/>
        </w:rPr>
      </w:pPr>
    </w:p>
    <w:tbl>
      <w:tblPr>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76492C" w14:paraId="69E8FEA8" w14:textId="77777777" w:rsidTr="00F14942">
        <w:tc>
          <w:tcPr>
            <w:tcW w:w="2093" w:type="dxa"/>
            <w:shd w:val="clear" w:color="auto" w:fill="D9D9D9"/>
          </w:tcPr>
          <w:p w14:paraId="38E56763"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14:paraId="53BC0200" w14:textId="23391430"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     </w:t>
            </w:r>
            <w:r w:rsidR="004C4745">
              <w:rPr>
                <w:rFonts w:ascii="Arial" w:eastAsia="Arial" w:hAnsi="Arial" w:cs="Arial"/>
                <w:b/>
                <w:sz w:val="22"/>
                <w:szCs w:val="22"/>
              </w:rPr>
              <w:t>Ionut-Marius Pantiru</w:t>
            </w:r>
          </w:p>
        </w:tc>
        <w:tc>
          <w:tcPr>
            <w:tcW w:w="2268" w:type="dxa"/>
            <w:shd w:val="clear" w:color="auto" w:fill="D9D9D9"/>
          </w:tcPr>
          <w:p w14:paraId="6EA5AD50"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14:paraId="64F6C4CE" w14:textId="56F0FE07" w:rsidR="0076492C" w:rsidRPr="004C4745" w:rsidRDefault="004C4745" w:rsidP="00F14942">
            <w:pPr>
              <w:spacing w:before="120" w:after="120"/>
              <w:jc w:val="both"/>
              <w:rPr>
                <w:rFonts w:ascii="Arial" w:eastAsia="Arial" w:hAnsi="Arial" w:cs="Arial"/>
                <w:b/>
                <w:sz w:val="24"/>
                <w:szCs w:val="24"/>
              </w:rPr>
            </w:pPr>
            <w:r w:rsidRPr="004C4745">
              <w:rPr>
                <w:rFonts w:ascii="Arial" w:hAnsi="Arial" w:cs="Arial"/>
                <w:color w:val="333333"/>
                <w:sz w:val="24"/>
                <w:szCs w:val="24"/>
                <w:shd w:val="clear" w:color="auto" w:fill="F0F3F4"/>
              </w:rPr>
              <w:t>2213443</w:t>
            </w:r>
          </w:p>
        </w:tc>
      </w:tr>
      <w:tr w:rsidR="0076492C" w14:paraId="26C333A5" w14:textId="77777777" w:rsidTr="00F14942">
        <w:tc>
          <w:tcPr>
            <w:tcW w:w="2093" w:type="dxa"/>
            <w:shd w:val="clear" w:color="auto" w:fill="D9D9D9"/>
          </w:tcPr>
          <w:p w14:paraId="2A7E5B7C"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14:paraId="4C885F77"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Law portfolio</w:t>
            </w:r>
          </w:p>
        </w:tc>
      </w:tr>
      <w:tr w:rsidR="0076492C" w14:paraId="7933DA35" w14:textId="77777777" w:rsidTr="00F14942">
        <w:tc>
          <w:tcPr>
            <w:tcW w:w="2093" w:type="dxa"/>
            <w:shd w:val="clear" w:color="auto" w:fill="D9D9D9"/>
          </w:tcPr>
          <w:p w14:paraId="29A10B7F"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14:paraId="2242D6B6"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Criminal law – Assignment 1</w:t>
            </w:r>
          </w:p>
        </w:tc>
      </w:tr>
      <w:tr w:rsidR="0076492C" w14:paraId="16ED4B81" w14:textId="77777777" w:rsidTr="00F14942">
        <w:tc>
          <w:tcPr>
            <w:tcW w:w="2093" w:type="dxa"/>
            <w:shd w:val="clear" w:color="auto" w:fill="D9D9D9"/>
          </w:tcPr>
          <w:p w14:paraId="55471824"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14:paraId="237604B5"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BMLW4005/BMPL4009</w:t>
            </w:r>
          </w:p>
        </w:tc>
        <w:tc>
          <w:tcPr>
            <w:tcW w:w="2268" w:type="dxa"/>
            <w:shd w:val="clear" w:color="auto" w:fill="D9D9D9"/>
          </w:tcPr>
          <w:p w14:paraId="019F4F40" w14:textId="77777777" w:rsidR="0076492C" w:rsidRDefault="0076492C" w:rsidP="00F14942">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14:paraId="57B00644"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50%</w:t>
            </w:r>
          </w:p>
        </w:tc>
      </w:tr>
      <w:tr w:rsidR="0076492C" w14:paraId="092A387A" w14:textId="77777777" w:rsidTr="00F14942">
        <w:tc>
          <w:tcPr>
            <w:tcW w:w="2093" w:type="dxa"/>
            <w:shd w:val="clear" w:color="auto" w:fill="D9D9D9"/>
          </w:tcPr>
          <w:p w14:paraId="287648EA"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14:paraId="5CD8038F"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Laura Knight</w:t>
            </w:r>
          </w:p>
        </w:tc>
        <w:tc>
          <w:tcPr>
            <w:tcW w:w="2268" w:type="dxa"/>
            <w:shd w:val="clear" w:color="auto" w:fill="D9D9D9"/>
          </w:tcPr>
          <w:p w14:paraId="660D7AE2"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14:paraId="2E302C8F"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Sian Turvey</w:t>
            </w:r>
          </w:p>
        </w:tc>
      </w:tr>
      <w:tr w:rsidR="0076492C" w14:paraId="0C3F9825" w14:textId="77777777" w:rsidTr="00F14942">
        <w:tc>
          <w:tcPr>
            <w:tcW w:w="2093" w:type="dxa"/>
            <w:shd w:val="clear" w:color="auto" w:fill="D9D9D9"/>
          </w:tcPr>
          <w:p w14:paraId="33C56195"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14:paraId="363D72FC"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Liability by Omission</w:t>
            </w:r>
          </w:p>
        </w:tc>
        <w:tc>
          <w:tcPr>
            <w:tcW w:w="2268" w:type="dxa"/>
            <w:shd w:val="clear" w:color="auto" w:fill="D9D9D9"/>
          </w:tcPr>
          <w:p w14:paraId="6E710FED"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14:paraId="027CE3E6"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1500</w:t>
            </w:r>
          </w:p>
        </w:tc>
      </w:tr>
      <w:tr w:rsidR="0076492C" w14:paraId="508F7454" w14:textId="77777777" w:rsidTr="00F14942">
        <w:tc>
          <w:tcPr>
            <w:tcW w:w="2093" w:type="dxa"/>
            <w:shd w:val="clear" w:color="auto" w:fill="D9D9D9"/>
          </w:tcPr>
          <w:p w14:paraId="7EBC6FA6"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1E142A95"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Friday 11th November 2022</w:t>
            </w:r>
          </w:p>
          <w:p w14:paraId="06B2676E" w14:textId="77777777" w:rsidR="0076492C" w:rsidRDefault="0076492C" w:rsidP="00F14942">
            <w:pPr>
              <w:spacing w:before="120" w:after="120"/>
              <w:jc w:val="both"/>
            </w:pPr>
            <w:r>
              <w:rPr>
                <w:rFonts w:ascii="Arial" w:eastAsia="Arial" w:hAnsi="Arial" w:cs="Arial"/>
                <w:b/>
                <w:sz w:val="22"/>
                <w:szCs w:val="22"/>
              </w:rPr>
              <w:t>23:59</w:t>
            </w:r>
          </w:p>
        </w:tc>
        <w:tc>
          <w:tcPr>
            <w:tcW w:w="2268" w:type="dxa"/>
            <w:shd w:val="clear" w:color="auto" w:fill="D9D9D9"/>
          </w:tcPr>
          <w:p w14:paraId="05369D83"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14:paraId="1B45670F" w14:textId="77777777" w:rsidR="0076492C" w:rsidRDefault="0076492C" w:rsidP="00F14942">
            <w:pPr>
              <w:spacing w:before="120" w:after="120"/>
              <w:jc w:val="both"/>
            </w:pPr>
            <w:r>
              <w:rPr>
                <w:rFonts w:ascii="Arial" w:eastAsia="Arial" w:hAnsi="Arial" w:cs="Arial"/>
                <w:b/>
                <w:sz w:val="22"/>
                <w:szCs w:val="22"/>
              </w:rPr>
              <w:t>Monday 12</w:t>
            </w:r>
            <w:r w:rsidRPr="00886CAC">
              <w:rPr>
                <w:rFonts w:ascii="Arial" w:eastAsia="Arial" w:hAnsi="Arial" w:cs="Arial"/>
                <w:b/>
                <w:sz w:val="22"/>
                <w:szCs w:val="22"/>
                <w:vertAlign w:val="superscript"/>
              </w:rPr>
              <w:t>th</w:t>
            </w:r>
            <w:r>
              <w:rPr>
                <w:rFonts w:ascii="Arial" w:eastAsia="Arial" w:hAnsi="Arial" w:cs="Arial"/>
                <w:b/>
                <w:sz w:val="22"/>
                <w:szCs w:val="22"/>
              </w:rPr>
              <w:t xml:space="preserve"> December</w:t>
            </w:r>
          </w:p>
        </w:tc>
      </w:tr>
      <w:tr w:rsidR="0076492C" w14:paraId="4E98FA50" w14:textId="77777777" w:rsidTr="00F14942">
        <w:tc>
          <w:tcPr>
            <w:tcW w:w="2093" w:type="dxa"/>
            <w:shd w:val="clear" w:color="auto" w:fill="D9D9D9"/>
          </w:tcPr>
          <w:p w14:paraId="2A6E981A"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14:paraId="6FCDF243" w14:textId="77777777" w:rsidR="0076492C" w:rsidRDefault="0076492C" w:rsidP="00F14942">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D3E5DB"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3E25E397" w14:textId="77777777" w:rsidR="0076492C" w:rsidRDefault="0076492C" w:rsidP="00F14942">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76492C" w14:paraId="64FB0B65" w14:textId="77777777" w:rsidTr="00F14942">
        <w:tc>
          <w:tcPr>
            <w:tcW w:w="2093" w:type="dxa"/>
            <w:shd w:val="clear" w:color="auto" w:fill="D9D9D9"/>
          </w:tcPr>
          <w:p w14:paraId="5DC79C76" w14:textId="77777777" w:rsidR="0076492C" w:rsidRDefault="0076492C" w:rsidP="00F14942">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14:paraId="4DCA4D0F" w14:textId="77777777" w:rsidR="0076492C" w:rsidRDefault="0076492C" w:rsidP="00F14942">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w:t>
            </w:r>
            <w:proofErr w:type="gramStart"/>
            <w:r>
              <w:rPr>
                <w:rFonts w:ascii="Arial" w:eastAsia="Arial" w:hAnsi="Arial" w:cs="Arial"/>
                <w:sz w:val="22"/>
                <w:szCs w:val="22"/>
              </w:rPr>
              <w:t>submission</w:t>
            </w:r>
            <w:proofErr w:type="gramEnd"/>
            <w:r>
              <w:rPr>
                <w:rFonts w:ascii="Arial" w:eastAsia="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Pr>
                <w:rFonts w:ascii="Arial" w:eastAsia="Arial" w:hAnsi="Arial" w:cs="Arial"/>
                <w:sz w:val="22"/>
                <w:szCs w:val="22"/>
              </w:rPr>
              <w:t>cited</w:t>
            </w:r>
            <w:proofErr w:type="gramEnd"/>
            <w:r>
              <w:rPr>
                <w:rFonts w:ascii="Arial" w:eastAsia="Arial" w:hAnsi="Arial" w:cs="Arial"/>
                <w:sz w:val="22"/>
                <w:szCs w:val="22"/>
              </w:rPr>
              <w:t xml:space="preserve"> or quoted in order to complete this assessment.  </w:t>
            </w:r>
          </w:p>
        </w:tc>
      </w:tr>
    </w:tbl>
    <w:p w14:paraId="47798758" w14:textId="77777777" w:rsidR="0076492C" w:rsidRDefault="0076492C" w:rsidP="0076492C">
      <w:pPr>
        <w:spacing w:before="20" w:after="20" w:line="360" w:lineRule="auto"/>
        <w:rPr>
          <w:rFonts w:ascii="Arial" w:hAnsi="Arial" w:cs="Arial"/>
          <w:b/>
          <w:bCs/>
          <w:sz w:val="24"/>
          <w:szCs w:val="24"/>
          <w:u w:val="single"/>
        </w:rPr>
      </w:pPr>
    </w:p>
    <w:p w14:paraId="5F696DC0" w14:textId="77777777" w:rsidR="0076492C" w:rsidRDefault="0076492C">
      <w:pPr>
        <w:spacing w:after="160" w:line="259" w:lineRule="auto"/>
        <w:rPr>
          <w:rFonts w:ascii="Arial" w:hAnsi="Arial" w:cs="Arial"/>
          <w:b/>
          <w:bCs/>
          <w:sz w:val="24"/>
          <w:szCs w:val="24"/>
          <w:u w:val="single"/>
        </w:rPr>
      </w:pPr>
      <w:r>
        <w:rPr>
          <w:rFonts w:ascii="Arial" w:hAnsi="Arial" w:cs="Arial"/>
          <w:b/>
          <w:bCs/>
          <w:sz w:val="24"/>
          <w:szCs w:val="24"/>
          <w:u w:val="single"/>
        </w:rPr>
        <w:br w:type="page"/>
      </w:r>
    </w:p>
    <w:p w14:paraId="74FDEF47" w14:textId="1C4A09DF" w:rsidR="00C822C6" w:rsidRPr="001458B6" w:rsidRDefault="00C822C6" w:rsidP="001458B6">
      <w:pPr>
        <w:spacing w:before="20" w:after="20" w:line="360" w:lineRule="auto"/>
        <w:jc w:val="center"/>
        <w:rPr>
          <w:rFonts w:ascii="Arial" w:hAnsi="Arial" w:cs="Arial"/>
          <w:b/>
          <w:bCs/>
          <w:sz w:val="24"/>
          <w:szCs w:val="24"/>
          <w:u w:val="single"/>
        </w:rPr>
      </w:pPr>
      <w:r w:rsidRPr="001458B6">
        <w:rPr>
          <w:rFonts w:ascii="Arial" w:hAnsi="Arial" w:cs="Arial"/>
          <w:b/>
          <w:bCs/>
          <w:sz w:val="24"/>
          <w:szCs w:val="24"/>
          <w:u w:val="single"/>
        </w:rPr>
        <w:lastRenderedPageBreak/>
        <w:t>Discuss when criminal liability will be upheld for failing to act.</w:t>
      </w:r>
    </w:p>
    <w:p w14:paraId="327C0BE8" w14:textId="357AC07B" w:rsidR="00C822C6" w:rsidRPr="001458B6" w:rsidRDefault="00DA7BA1" w:rsidP="001458B6">
      <w:pPr>
        <w:spacing w:before="20" w:after="20" w:line="360" w:lineRule="auto"/>
        <w:rPr>
          <w:rFonts w:ascii="Arial" w:hAnsi="Arial" w:cs="Arial"/>
          <w:sz w:val="24"/>
          <w:szCs w:val="24"/>
        </w:rPr>
      </w:pPr>
      <w:r w:rsidRPr="001458B6">
        <w:rPr>
          <w:rFonts w:ascii="Arial" w:hAnsi="Arial" w:cs="Arial"/>
          <w:sz w:val="24"/>
          <w:szCs w:val="24"/>
        </w:rPr>
        <w:t xml:space="preserve">Under English law, a general crime is committed when the two elements of the crime have been satisfied: the </w:t>
      </w:r>
      <w:r w:rsidRPr="001458B6">
        <w:rPr>
          <w:rFonts w:ascii="Arial" w:hAnsi="Arial" w:cs="Arial"/>
          <w:i/>
          <w:iCs/>
          <w:sz w:val="24"/>
          <w:szCs w:val="24"/>
        </w:rPr>
        <w:t>actus reus</w:t>
      </w:r>
      <w:r w:rsidRPr="001458B6">
        <w:rPr>
          <w:rFonts w:ascii="Arial" w:hAnsi="Arial" w:cs="Arial"/>
          <w:sz w:val="24"/>
          <w:szCs w:val="24"/>
        </w:rPr>
        <w:t xml:space="preserve"> and the </w:t>
      </w:r>
      <w:r w:rsidRPr="001458B6">
        <w:rPr>
          <w:rFonts w:ascii="Arial" w:hAnsi="Arial" w:cs="Arial"/>
          <w:i/>
          <w:iCs/>
          <w:sz w:val="24"/>
          <w:szCs w:val="24"/>
        </w:rPr>
        <w:t>mens rea</w:t>
      </w:r>
      <w:r w:rsidRPr="001458B6">
        <w:rPr>
          <w:rFonts w:ascii="Arial" w:hAnsi="Arial" w:cs="Arial"/>
          <w:sz w:val="24"/>
          <w:szCs w:val="24"/>
        </w:rPr>
        <w:t>. These elements have many branches through which they can be committed, however, the focus of this essay will be the satisfaction of the actus reus through conduct by omission. Currently, there is no duty to act and as such there an individual will not face any liability for a failure or omission to act unless the law specifically imposes such a duty (</w:t>
      </w:r>
      <w:r w:rsidR="001458B6">
        <w:rPr>
          <w:rFonts w:ascii="Arial" w:hAnsi="Arial" w:cs="Arial"/>
          <w:sz w:val="24"/>
          <w:szCs w:val="24"/>
        </w:rPr>
        <w:t>Welch, 1996</w:t>
      </w:r>
      <w:r w:rsidRPr="001458B6">
        <w:rPr>
          <w:rFonts w:ascii="Arial" w:hAnsi="Arial" w:cs="Arial"/>
          <w:sz w:val="24"/>
          <w:szCs w:val="24"/>
        </w:rPr>
        <w:t>). The duty to act can arise through a statutory duty, a contractual duty, or imposed by the common law. Nevertheless, this exception to the no liability by omission rule has been under scrutiny among academics and practitioners. Whilst some believe a ‘good Samaritan’ law in England could be used against immoral behaviour, others argue this could bring serious repercussions for the innocent bystander.</w:t>
      </w:r>
    </w:p>
    <w:p w14:paraId="0C7826F0" w14:textId="5C33A227" w:rsidR="00DA7BA1" w:rsidRPr="001458B6" w:rsidRDefault="00EF732A" w:rsidP="001458B6">
      <w:pPr>
        <w:spacing w:before="20" w:after="20" w:line="360" w:lineRule="auto"/>
        <w:rPr>
          <w:rFonts w:ascii="Arial" w:hAnsi="Arial" w:cs="Arial"/>
          <w:b/>
          <w:bCs/>
          <w:sz w:val="24"/>
          <w:szCs w:val="24"/>
        </w:rPr>
      </w:pPr>
      <w:r w:rsidRPr="001458B6">
        <w:rPr>
          <w:rFonts w:ascii="Arial" w:hAnsi="Arial" w:cs="Arial"/>
          <w:b/>
          <w:bCs/>
          <w:sz w:val="24"/>
          <w:szCs w:val="24"/>
        </w:rPr>
        <w:t>General rules</w:t>
      </w:r>
    </w:p>
    <w:p w14:paraId="43E08C75" w14:textId="0F3C6FC7" w:rsidR="00EF732A" w:rsidRPr="001458B6" w:rsidRDefault="00EF732A" w:rsidP="001458B6">
      <w:pPr>
        <w:spacing w:before="20" w:after="20" w:line="360" w:lineRule="auto"/>
        <w:rPr>
          <w:rFonts w:ascii="Arial" w:hAnsi="Arial" w:cs="Arial"/>
          <w:sz w:val="24"/>
          <w:szCs w:val="24"/>
        </w:rPr>
      </w:pPr>
      <w:r w:rsidRPr="001458B6">
        <w:rPr>
          <w:rFonts w:ascii="Arial" w:hAnsi="Arial" w:cs="Arial"/>
          <w:sz w:val="24"/>
          <w:szCs w:val="24"/>
        </w:rPr>
        <w:t xml:space="preserve">The general rules of criminal law dictate that conduct by omission is part of the </w:t>
      </w:r>
      <w:r w:rsidRPr="001458B6">
        <w:rPr>
          <w:rFonts w:ascii="Arial" w:hAnsi="Arial" w:cs="Arial"/>
          <w:i/>
          <w:iCs/>
          <w:sz w:val="24"/>
          <w:szCs w:val="24"/>
        </w:rPr>
        <w:t>actus reus</w:t>
      </w:r>
      <w:r w:rsidRPr="001458B6">
        <w:rPr>
          <w:rFonts w:ascii="Arial" w:hAnsi="Arial" w:cs="Arial"/>
          <w:sz w:val="24"/>
          <w:szCs w:val="24"/>
        </w:rPr>
        <w:t xml:space="preserve"> element of the crime. It is thoroughly established that there is no general duty for an innocent party to act, and liability to act is classified as an exception to the rule rather than the rule itself. English law states that this specific duty to act arises in a specific situation, however, even in </w:t>
      </w:r>
      <w:r w:rsidR="005F4C7C" w:rsidRPr="001458B6">
        <w:rPr>
          <w:rFonts w:ascii="Arial" w:hAnsi="Arial" w:cs="Arial"/>
          <w:sz w:val="24"/>
          <w:szCs w:val="24"/>
        </w:rPr>
        <w:t>those situations</w:t>
      </w:r>
      <w:r w:rsidRPr="001458B6">
        <w:rPr>
          <w:rFonts w:ascii="Arial" w:hAnsi="Arial" w:cs="Arial"/>
          <w:sz w:val="24"/>
          <w:szCs w:val="24"/>
        </w:rPr>
        <w:t xml:space="preserve"> there are several </w:t>
      </w:r>
      <w:r w:rsidR="005F4C7C" w:rsidRPr="001458B6">
        <w:rPr>
          <w:rFonts w:ascii="Arial" w:hAnsi="Arial" w:cs="Arial"/>
          <w:sz w:val="24"/>
          <w:szCs w:val="24"/>
        </w:rPr>
        <w:t>offenses</w:t>
      </w:r>
      <w:r w:rsidRPr="001458B6">
        <w:rPr>
          <w:rFonts w:ascii="Arial" w:hAnsi="Arial" w:cs="Arial"/>
          <w:sz w:val="24"/>
          <w:szCs w:val="24"/>
        </w:rPr>
        <w:t xml:space="preserve"> </w:t>
      </w:r>
      <w:r w:rsidR="005F4C7C" w:rsidRPr="001458B6">
        <w:rPr>
          <w:rFonts w:ascii="Arial" w:hAnsi="Arial" w:cs="Arial"/>
          <w:sz w:val="24"/>
          <w:szCs w:val="24"/>
        </w:rPr>
        <w:t>that</w:t>
      </w:r>
      <w:r w:rsidRPr="001458B6">
        <w:rPr>
          <w:rFonts w:ascii="Arial" w:hAnsi="Arial" w:cs="Arial"/>
          <w:sz w:val="24"/>
          <w:szCs w:val="24"/>
        </w:rPr>
        <w:t xml:space="preserve"> can be committed through positive acts (</w:t>
      </w:r>
      <w:r w:rsidR="001458B6">
        <w:rPr>
          <w:rFonts w:ascii="Arial" w:hAnsi="Arial" w:cs="Arial"/>
          <w:sz w:val="24"/>
          <w:szCs w:val="24"/>
        </w:rPr>
        <w:t>Welch, 1996</w:t>
      </w:r>
      <w:r w:rsidRPr="001458B6">
        <w:rPr>
          <w:rFonts w:ascii="Arial" w:hAnsi="Arial" w:cs="Arial"/>
          <w:sz w:val="24"/>
          <w:szCs w:val="24"/>
        </w:rPr>
        <w:t>).</w:t>
      </w:r>
      <w:r w:rsidR="005F4C7C" w:rsidRPr="001458B6">
        <w:rPr>
          <w:rFonts w:ascii="Arial" w:hAnsi="Arial" w:cs="Arial"/>
          <w:sz w:val="24"/>
          <w:szCs w:val="24"/>
        </w:rPr>
        <w:t xml:space="preserve"> Liability arises where (i) the offence is capable of commission by omission, (ii) the defendant is under a legal duty to act, and (iii) the defendant unreasonably failed to act on that duty (lecture slides). JC Smith (reference article) has described that “even though such liability is imposed because something was not done, liability nevertheless is for doing certain things without certain other things”. This passage describes the complexity of the liability by omission exception, however, throughout the decades such liability has developed certain rules and conduct examples through common law and statutes which </w:t>
      </w:r>
      <w:r w:rsidR="00EF37AE" w:rsidRPr="001458B6">
        <w:rPr>
          <w:rFonts w:ascii="Arial" w:hAnsi="Arial" w:cs="Arial"/>
          <w:sz w:val="24"/>
          <w:szCs w:val="24"/>
        </w:rPr>
        <w:t xml:space="preserve">have defined the liability </w:t>
      </w:r>
      <w:r w:rsidR="00BD7159" w:rsidRPr="001458B6">
        <w:rPr>
          <w:rFonts w:ascii="Arial" w:hAnsi="Arial" w:cs="Arial"/>
          <w:sz w:val="24"/>
          <w:szCs w:val="24"/>
        </w:rPr>
        <w:t>more clearly</w:t>
      </w:r>
      <w:r w:rsidR="00EF37AE" w:rsidRPr="001458B6">
        <w:rPr>
          <w:rFonts w:ascii="Arial" w:hAnsi="Arial" w:cs="Arial"/>
          <w:sz w:val="24"/>
          <w:szCs w:val="24"/>
        </w:rPr>
        <w:t>.</w:t>
      </w:r>
    </w:p>
    <w:p w14:paraId="7E4A79DE" w14:textId="5CF783A7" w:rsidR="00EF37AE" w:rsidRPr="001458B6" w:rsidRDefault="00EF37AE" w:rsidP="001458B6">
      <w:pPr>
        <w:spacing w:before="20" w:after="20" w:line="360" w:lineRule="auto"/>
        <w:rPr>
          <w:rFonts w:ascii="Arial" w:hAnsi="Arial" w:cs="Arial"/>
          <w:b/>
          <w:bCs/>
          <w:sz w:val="24"/>
          <w:szCs w:val="24"/>
        </w:rPr>
      </w:pPr>
      <w:r w:rsidRPr="001458B6">
        <w:rPr>
          <w:rFonts w:ascii="Arial" w:hAnsi="Arial" w:cs="Arial"/>
          <w:b/>
          <w:bCs/>
          <w:sz w:val="24"/>
          <w:szCs w:val="24"/>
        </w:rPr>
        <w:t>Where duty arises</w:t>
      </w:r>
    </w:p>
    <w:p w14:paraId="1E829688" w14:textId="13C0D07C" w:rsidR="00EF37AE" w:rsidRPr="001458B6" w:rsidRDefault="00A62049" w:rsidP="001458B6">
      <w:pPr>
        <w:spacing w:before="20" w:after="20" w:line="360" w:lineRule="auto"/>
        <w:rPr>
          <w:rFonts w:ascii="Arial" w:hAnsi="Arial" w:cs="Arial"/>
          <w:sz w:val="24"/>
          <w:szCs w:val="24"/>
        </w:rPr>
      </w:pPr>
      <w:r w:rsidRPr="001458B6">
        <w:rPr>
          <w:rFonts w:ascii="Arial" w:hAnsi="Arial" w:cs="Arial"/>
          <w:sz w:val="24"/>
          <w:szCs w:val="24"/>
        </w:rPr>
        <w:t xml:space="preserve">There are three main instances where the duty to act arises: statutory duty, contractual duty, or duties imposed at common law. Statutory duty is a quite straightforward duty to recognise. Such duties are defined through statutory provisions (most regulatory) which specifically impose duties on persons to act in particular ways and which imposed criminal sanctions for failure or omission to act </w:t>
      </w:r>
      <w:r w:rsidRPr="001458B6">
        <w:rPr>
          <w:rFonts w:ascii="Arial" w:hAnsi="Arial" w:cs="Arial"/>
          <w:sz w:val="24"/>
          <w:szCs w:val="24"/>
        </w:rPr>
        <w:lastRenderedPageBreak/>
        <w:t>(</w:t>
      </w:r>
      <w:r w:rsidR="001458B6">
        <w:rPr>
          <w:rFonts w:ascii="Arial" w:hAnsi="Arial" w:cs="Arial"/>
          <w:sz w:val="24"/>
          <w:szCs w:val="24"/>
        </w:rPr>
        <w:t>Welch, 1996</w:t>
      </w:r>
      <w:r w:rsidRPr="001458B6">
        <w:rPr>
          <w:rFonts w:ascii="Arial" w:hAnsi="Arial" w:cs="Arial"/>
          <w:sz w:val="24"/>
          <w:szCs w:val="24"/>
        </w:rPr>
        <w:t>). Some examples of such statutory duties are road traffic laws, and duties imposed on companies through the Companies Act 2006. It has been argued that through these impositions the law does not necessarily form a duty to act, but formulates prohibitions on the acts of the individuals, and as such the individuals have a duty not to act in that certain manner (</w:t>
      </w:r>
      <w:r w:rsidR="001458B6">
        <w:rPr>
          <w:rFonts w:ascii="Arial" w:hAnsi="Arial" w:cs="Arial"/>
          <w:sz w:val="24"/>
          <w:szCs w:val="24"/>
        </w:rPr>
        <w:t xml:space="preserve">Smith, 1984, </w:t>
      </w:r>
      <w:r w:rsidR="00665C29">
        <w:rPr>
          <w:rFonts w:ascii="Arial" w:hAnsi="Arial" w:cs="Arial"/>
          <w:sz w:val="24"/>
          <w:szCs w:val="24"/>
        </w:rPr>
        <w:t>p. 89</w:t>
      </w:r>
      <w:r w:rsidRPr="001458B6">
        <w:rPr>
          <w:rFonts w:ascii="Arial" w:hAnsi="Arial" w:cs="Arial"/>
          <w:sz w:val="24"/>
          <w:szCs w:val="24"/>
        </w:rPr>
        <w:t xml:space="preserve">). </w:t>
      </w:r>
      <w:r w:rsidR="0070253C" w:rsidRPr="001458B6">
        <w:rPr>
          <w:rFonts w:ascii="Arial" w:hAnsi="Arial" w:cs="Arial"/>
          <w:sz w:val="24"/>
          <w:szCs w:val="24"/>
        </w:rPr>
        <w:t xml:space="preserve">Nevertheless, some offences are capable of omission only by positive acts. For instance, that was the case of </w:t>
      </w:r>
      <w:r w:rsidR="009B4766" w:rsidRPr="009B4766">
        <w:rPr>
          <w:rFonts w:ascii="Arial" w:hAnsi="Arial" w:cs="Arial"/>
          <w:sz w:val="24"/>
          <w:szCs w:val="24"/>
        </w:rPr>
        <w:t>‘</w:t>
      </w:r>
      <w:r w:rsidR="0070253C" w:rsidRPr="009B4766">
        <w:rPr>
          <w:rFonts w:ascii="Arial" w:hAnsi="Arial" w:cs="Arial"/>
          <w:sz w:val="24"/>
          <w:szCs w:val="24"/>
        </w:rPr>
        <w:t>Fagan</w:t>
      </w:r>
      <w:r w:rsidR="009B4766" w:rsidRPr="009B4766">
        <w:rPr>
          <w:rFonts w:ascii="Arial" w:hAnsi="Arial" w:cs="Arial"/>
          <w:sz w:val="24"/>
          <w:szCs w:val="24"/>
        </w:rPr>
        <w:t xml:space="preserve"> v Metropolitan Police Commissioner’</w:t>
      </w:r>
      <w:r w:rsidR="0070253C" w:rsidRPr="001458B6">
        <w:rPr>
          <w:rFonts w:ascii="Arial" w:hAnsi="Arial" w:cs="Arial"/>
          <w:sz w:val="24"/>
          <w:szCs w:val="24"/>
        </w:rPr>
        <w:t xml:space="preserve"> (1969) in which a non-fatal offence has been committed by omission for continuing to not act. J</w:t>
      </w:r>
      <w:r w:rsidR="009B4766">
        <w:rPr>
          <w:rFonts w:ascii="Arial" w:hAnsi="Arial" w:cs="Arial"/>
          <w:sz w:val="24"/>
          <w:szCs w:val="24"/>
        </w:rPr>
        <w:t>.</w:t>
      </w:r>
      <w:r w:rsidR="0070253C" w:rsidRPr="001458B6">
        <w:rPr>
          <w:rFonts w:ascii="Arial" w:hAnsi="Arial" w:cs="Arial"/>
          <w:sz w:val="24"/>
          <w:szCs w:val="24"/>
        </w:rPr>
        <w:t>C</w:t>
      </w:r>
      <w:r w:rsidR="009B4766">
        <w:rPr>
          <w:rFonts w:ascii="Arial" w:hAnsi="Arial" w:cs="Arial"/>
          <w:sz w:val="24"/>
          <w:szCs w:val="24"/>
        </w:rPr>
        <w:t>.</w:t>
      </w:r>
      <w:r w:rsidR="0070253C" w:rsidRPr="001458B6">
        <w:rPr>
          <w:rFonts w:ascii="Arial" w:hAnsi="Arial" w:cs="Arial"/>
          <w:sz w:val="24"/>
          <w:szCs w:val="24"/>
        </w:rPr>
        <w:t xml:space="preserve"> Smith</w:t>
      </w:r>
      <w:r w:rsidR="009B4766">
        <w:rPr>
          <w:rFonts w:ascii="Arial" w:hAnsi="Arial" w:cs="Arial"/>
          <w:sz w:val="24"/>
          <w:szCs w:val="24"/>
        </w:rPr>
        <w:t xml:space="preserve"> (1984, p.95)</w:t>
      </w:r>
      <w:r w:rsidR="0070253C" w:rsidRPr="001458B6">
        <w:rPr>
          <w:rFonts w:ascii="Arial" w:hAnsi="Arial" w:cs="Arial"/>
          <w:sz w:val="24"/>
          <w:szCs w:val="24"/>
        </w:rPr>
        <w:t xml:space="preserve"> states that such differences depend on the words used in the definition of the offence at issue.</w:t>
      </w:r>
    </w:p>
    <w:p w14:paraId="6AE0B44E" w14:textId="4BCC5361" w:rsidR="0070253C" w:rsidRPr="001458B6" w:rsidRDefault="0070253C" w:rsidP="001458B6">
      <w:pPr>
        <w:spacing w:before="20" w:after="20" w:line="360" w:lineRule="auto"/>
        <w:rPr>
          <w:rFonts w:ascii="Arial" w:hAnsi="Arial" w:cs="Arial"/>
          <w:sz w:val="24"/>
          <w:szCs w:val="24"/>
        </w:rPr>
      </w:pPr>
      <w:r w:rsidRPr="001458B6">
        <w:rPr>
          <w:rFonts w:ascii="Arial" w:hAnsi="Arial" w:cs="Arial"/>
          <w:sz w:val="24"/>
          <w:szCs w:val="24"/>
        </w:rPr>
        <w:t xml:space="preserve">The second type of duty arising is that of a contractual duty. A contractual duty arises through official, </w:t>
      </w:r>
      <w:r w:rsidR="009B4766" w:rsidRPr="001458B6">
        <w:rPr>
          <w:rFonts w:ascii="Arial" w:hAnsi="Arial" w:cs="Arial"/>
          <w:sz w:val="24"/>
          <w:szCs w:val="24"/>
        </w:rPr>
        <w:t>contractual,</w:t>
      </w:r>
      <w:r w:rsidRPr="001458B6">
        <w:rPr>
          <w:rFonts w:ascii="Arial" w:hAnsi="Arial" w:cs="Arial"/>
          <w:sz w:val="24"/>
          <w:szCs w:val="24"/>
        </w:rPr>
        <w:t xml:space="preserve"> or public duties. In such instances</w:t>
      </w:r>
      <w:r w:rsidR="00BD7159" w:rsidRPr="001458B6">
        <w:rPr>
          <w:rFonts w:ascii="Arial" w:hAnsi="Arial" w:cs="Arial"/>
          <w:sz w:val="24"/>
          <w:szCs w:val="24"/>
        </w:rPr>
        <w:t>,</w:t>
      </w:r>
      <w:r w:rsidRPr="001458B6">
        <w:rPr>
          <w:rFonts w:ascii="Arial" w:hAnsi="Arial" w:cs="Arial"/>
          <w:sz w:val="24"/>
          <w:szCs w:val="24"/>
        </w:rPr>
        <w:t xml:space="preserve"> the defendants incur criminal liability through a failure to discharge official duties or contractual obligations. </w:t>
      </w:r>
      <w:r w:rsidR="009B4766">
        <w:rPr>
          <w:rFonts w:ascii="Arial" w:hAnsi="Arial" w:cs="Arial"/>
          <w:sz w:val="24"/>
          <w:szCs w:val="24"/>
        </w:rPr>
        <w:t xml:space="preserve">‘R v </w:t>
      </w:r>
      <w:r w:rsidRPr="009B4766">
        <w:rPr>
          <w:rFonts w:ascii="Arial" w:hAnsi="Arial" w:cs="Arial"/>
          <w:sz w:val="24"/>
          <w:szCs w:val="24"/>
        </w:rPr>
        <w:t>Pittwood</w:t>
      </w:r>
      <w:r w:rsidR="009B4766">
        <w:rPr>
          <w:rFonts w:ascii="Arial" w:hAnsi="Arial" w:cs="Arial"/>
          <w:sz w:val="24"/>
          <w:szCs w:val="24"/>
        </w:rPr>
        <w:t>’</w:t>
      </w:r>
      <w:r w:rsidRPr="001458B6">
        <w:rPr>
          <w:rFonts w:ascii="Arial" w:hAnsi="Arial" w:cs="Arial"/>
          <w:sz w:val="24"/>
          <w:szCs w:val="24"/>
        </w:rPr>
        <w:t xml:space="preserve"> (1902) is a prime example of </w:t>
      </w:r>
      <w:r w:rsidR="00BD7159" w:rsidRPr="001458B6">
        <w:rPr>
          <w:rFonts w:ascii="Arial" w:hAnsi="Arial" w:cs="Arial"/>
          <w:sz w:val="24"/>
          <w:szCs w:val="24"/>
        </w:rPr>
        <w:t xml:space="preserve">the </w:t>
      </w:r>
      <w:r w:rsidRPr="001458B6">
        <w:rPr>
          <w:rFonts w:ascii="Arial" w:hAnsi="Arial" w:cs="Arial"/>
          <w:sz w:val="24"/>
          <w:szCs w:val="24"/>
        </w:rPr>
        <w:t>failure of contractual duties</w:t>
      </w:r>
      <w:r w:rsidR="00BD7159" w:rsidRPr="001458B6">
        <w:rPr>
          <w:rFonts w:ascii="Arial" w:hAnsi="Arial" w:cs="Arial"/>
          <w:sz w:val="24"/>
          <w:szCs w:val="24"/>
        </w:rPr>
        <w:t xml:space="preserve"> as the defendant failed to man the railway crossing as expected and it led to the loss of life. The defendant was contracted for the sole purpose of controlling the railway crossing to ensure individuals crossed in a safe manner, and the death of the victim was a direct result of his omission of closing the barrier; thus, leading to a failed contractual duty. Furthermore, section 26 of the Criminal Justice Act 2015 imposed public duties on police officers by controlling the offence of corrupt or improper exercise of police powers.</w:t>
      </w:r>
    </w:p>
    <w:p w14:paraId="1EF72372" w14:textId="29005E22" w:rsidR="00BD7159" w:rsidRPr="001458B6" w:rsidRDefault="00BD7159" w:rsidP="001458B6">
      <w:pPr>
        <w:spacing w:before="20" w:after="20" w:line="360" w:lineRule="auto"/>
        <w:rPr>
          <w:rFonts w:ascii="Arial" w:hAnsi="Arial" w:cs="Arial"/>
          <w:sz w:val="24"/>
          <w:szCs w:val="24"/>
        </w:rPr>
      </w:pPr>
      <w:r w:rsidRPr="001458B6">
        <w:rPr>
          <w:rFonts w:ascii="Arial" w:hAnsi="Arial" w:cs="Arial"/>
          <w:sz w:val="24"/>
          <w:szCs w:val="24"/>
        </w:rPr>
        <w:t xml:space="preserve">Lastly, the common law duties to act </w:t>
      </w:r>
      <w:r w:rsidR="00F058AD" w:rsidRPr="001458B6">
        <w:rPr>
          <w:rFonts w:ascii="Arial" w:hAnsi="Arial" w:cs="Arial"/>
          <w:sz w:val="24"/>
          <w:szCs w:val="24"/>
        </w:rPr>
        <w:t>have been the most reviewed throughout time.  Common law was slow to impose liability for omissions, however, when it did academics and courts had arguments for and against it (Smith</w:t>
      </w:r>
      <w:r w:rsidR="009B4766">
        <w:rPr>
          <w:rFonts w:ascii="Arial" w:hAnsi="Arial" w:cs="Arial"/>
          <w:sz w:val="24"/>
          <w:szCs w:val="24"/>
        </w:rPr>
        <w:t>, 1984</w:t>
      </w:r>
      <w:r w:rsidR="00F058AD" w:rsidRPr="001458B6">
        <w:rPr>
          <w:rFonts w:ascii="Arial" w:hAnsi="Arial" w:cs="Arial"/>
          <w:sz w:val="24"/>
          <w:szCs w:val="24"/>
        </w:rPr>
        <w:t xml:space="preserve">). </w:t>
      </w:r>
      <w:r w:rsidR="00F87DE4" w:rsidRPr="001458B6">
        <w:rPr>
          <w:rFonts w:ascii="Arial" w:hAnsi="Arial" w:cs="Arial"/>
          <w:sz w:val="24"/>
          <w:szCs w:val="24"/>
        </w:rPr>
        <w:t>J</w:t>
      </w:r>
      <w:r w:rsidR="009B4766">
        <w:rPr>
          <w:rFonts w:ascii="Arial" w:hAnsi="Arial" w:cs="Arial"/>
          <w:sz w:val="24"/>
          <w:szCs w:val="24"/>
        </w:rPr>
        <w:t>.</w:t>
      </w:r>
      <w:r w:rsidR="00F87DE4" w:rsidRPr="001458B6">
        <w:rPr>
          <w:rFonts w:ascii="Arial" w:hAnsi="Arial" w:cs="Arial"/>
          <w:sz w:val="24"/>
          <w:szCs w:val="24"/>
        </w:rPr>
        <w:t>C</w:t>
      </w:r>
      <w:r w:rsidR="009B4766">
        <w:rPr>
          <w:rFonts w:ascii="Arial" w:hAnsi="Arial" w:cs="Arial"/>
          <w:sz w:val="24"/>
          <w:szCs w:val="24"/>
        </w:rPr>
        <w:t>.</w:t>
      </w:r>
      <w:r w:rsidR="00F87DE4" w:rsidRPr="001458B6">
        <w:rPr>
          <w:rFonts w:ascii="Arial" w:hAnsi="Arial" w:cs="Arial"/>
          <w:sz w:val="24"/>
          <w:szCs w:val="24"/>
        </w:rPr>
        <w:t xml:space="preserve"> Smith</w:t>
      </w:r>
      <w:r w:rsidR="009B4766">
        <w:rPr>
          <w:rFonts w:ascii="Arial" w:hAnsi="Arial" w:cs="Arial"/>
          <w:sz w:val="24"/>
          <w:szCs w:val="24"/>
        </w:rPr>
        <w:t xml:space="preserve"> (1984, p.101)</w:t>
      </w:r>
      <w:r w:rsidR="00F87DE4" w:rsidRPr="001458B6">
        <w:rPr>
          <w:rFonts w:ascii="Arial" w:hAnsi="Arial" w:cs="Arial"/>
          <w:sz w:val="24"/>
          <w:szCs w:val="24"/>
        </w:rPr>
        <w:t xml:space="preserve"> mentions that the English Criminal Law Revision Committee “were equality unwilling to descend to detail, recommending that the matter be left to the common law, in this case the common law of crime, including such relevance of the civil law as the common law may allow”. </w:t>
      </w:r>
      <w:r w:rsidR="00F058AD" w:rsidRPr="001458B6">
        <w:rPr>
          <w:rFonts w:ascii="Arial" w:hAnsi="Arial" w:cs="Arial"/>
          <w:sz w:val="24"/>
          <w:szCs w:val="24"/>
        </w:rPr>
        <w:t xml:space="preserve">The hesitation to impose a common law duty can be seen in the contract between </w:t>
      </w:r>
      <w:r w:rsidR="009B4766">
        <w:rPr>
          <w:rFonts w:ascii="Arial" w:hAnsi="Arial" w:cs="Arial"/>
          <w:sz w:val="24"/>
          <w:szCs w:val="24"/>
        </w:rPr>
        <w:t xml:space="preserve">‘R v </w:t>
      </w:r>
      <w:r w:rsidR="00F058AD" w:rsidRPr="009B4766">
        <w:rPr>
          <w:rFonts w:ascii="Arial" w:hAnsi="Arial" w:cs="Arial"/>
          <w:sz w:val="24"/>
          <w:szCs w:val="24"/>
        </w:rPr>
        <w:t>Pittwood</w:t>
      </w:r>
      <w:r w:rsidR="009B4766" w:rsidRPr="009B4766">
        <w:rPr>
          <w:rFonts w:ascii="Arial" w:hAnsi="Arial" w:cs="Arial"/>
          <w:sz w:val="24"/>
          <w:szCs w:val="24"/>
        </w:rPr>
        <w:t>’</w:t>
      </w:r>
      <w:r w:rsidR="00F058AD" w:rsidRPr="001458B6">
        <w:rPr>
          <w:rFonts w:ascii="Arial" w:hAnsi="Arial" w:cs="Arial"/>
          <w:sz w:val="24"/>
          <w:szCs w:val="24"/>
        </w:rPr>
        <w:t xml:space="preserve"> (1902) and </w:t>
      </w:r>
      <w:r w:rsidR="009B4766">
        <w:rPr>
          <w:rFonts w:ascii="Arial" w:hAnsi="Arial" w:cs="Arial"/>
          <w:sz w:val="24"/>
          <w:szCs w:val="24"/>
        </w:rPr>
        <w:t xml:space="preserve">‘R v </w:t>
      </w:r>
      <w:r w:rsidR="00F058AD" w:rsidRPr="009B4766">
        <w:rPr>
          <w:rFonts w:ascii="Arial" w:hAnsi="Arial" w:cs="Arial"/>
          <w:sz w:val="24"/>
          <w:szCs w:val="24"/>
        </w:rPr>
        <w:t>Smith</w:t>
      </w:r>
      <w:r w:rsidR="009B4766">
        <w:rPr>
          <w:rFonts w:ascii="Arial" w:hAnsi="Arial" w:cs="Arial"/>
          <w:sz w:val="24"/>
          <w:szCs w:val="24"/>
        </w:rPr>
        <w:t>’</w:t>
      </w:r>
      <w:r w:rsidR="00F058AD" w:rsidRPr="001458B6">
        <w:rPr>
          <w:rFonts w:ascii="Arial" w:hAnsi="Arial" w:cs="Arial"/>
          <w:sz w:val="24"/>
          <w:szCs w:val="24"/>
        </w:rPr>
        <w:t xml:space="preserve"> (1869). Whilst in</w:t>
      </w:r>
      <w:r w:rsidR="009B4766">
        <w:rPr>
          <w:rFonts w:ascii="Arial" w:hAnsi="Arial" w:cs="Arial"/>
          <w:i/>
          <w:iCs/>
          <w:sz w:val="24"/>
          <w:szCs w:val="24"/>
        </w:rPr>
        <w:t xml:space="preserve"> </w:t>
      </w:r>
      <w:r w:rsidR="009B4766">
        <w:rPr>
          <w:rFonts w:ascii="Arial" w:hAnsi="Arial" w:cs="Arial"/>
          <w:sz w:val="24"/>
          <w:szCs w:val="24"/>
        </w:rPr>
        <w:t>‘R v Smith’</w:t>
      </w:r>
      <w:r w:rsidR="00F058AD" w:rsidRPr="001458B6">
        <w:rPr>
          <w:rFonts w:ascii="Arial" w:hAnsi="Arial" w:cs="Arial"/>
          <w:sz w:val="24"/>
          <w:szCs w:val="24"/>
        </w:rPr>
        <w:t xml:space="preserve">, the watchman was not found guilty of failing his duty to guard the railways crossing, around 30 years later, the courts took the opposite approach in </w:t>
      </w:r>
      <w:r w:rsidR="009B4766">
        <w:rPr>
          <w:rFonts w:ascii="Arial" w:hAnsi="Arial" w:cs="Arial"/>
          <w:sz w:val="24"/>
          <w:szCs w:val="24"/>
        </w:rPr>
        <w:t xml:space="preserve">‘R v Pittwood’ </w:t>
      </w:r>
      <w:r w:rsidR="00F058AD" w:rsidRPr="001458B6">
        <w:rPr>
          <w:rFonts w:ascii="Arial" w:hAnsi="Arial" w:cs="Arial"/>
          <w:sz w:val="24"/>
          <w:szCs w:val="24"/>
        </w:rPr>
        <w:t>by finding the watchman guilty.</w:t>
      </w:r>
      <w:r w:rsidR="00A9152C" w:rsidRPr="001458B6">
        <w:rPr>
          <w:rFonts w:ascii="Arial" w:hAnsi="Arial" w:cs="Arial"/>
          <w:sz w:val="24"/>
          <w:szCs w:val="24"/>
        </w:rPr>
        <w:t xml:space="preserve"> </w:t>
      </w:r>
    </w:p>
    <w:p w14:paraId="254BC849" w14:textId="1924D461" w:rsidR="00F87DE4" w:rsidRPr="001458B6" w:rsidRDefault="00F87DE4" w:rsidP="001458B6">
      <w:pPr>
        <w:spacing w:before="20" w:after="20" w:line="360" w:lineRule="auto"/>
        <w:rPr>
          <w:rFonts w:ascii="Arial" w:hAnsi="Arial" w:cs="Arial"/>
          <w:sz w:val="24"/>
          <w:szCs w:val="24"/>
        </w:rPr>
      </w:pPr>
      <w:r w:rsidRPr="001458B6">
        <w:rPr>
          <w:rFonts w:ascii="Arial" w:hAnsi="Arial" w:cs="Arial"/>
          <w:sz w:val="24"/>
          <w:szCs w:val="24"/>
        </w:rPr>
        <w:lastRenderedPageBreak/>
        <w:t xml:space="preserve">Nevertheless, the common law has developed in such ways that duties to act have become more recognised. For instance, the duty of care or control of children outlined in section 1 of the Children and Young Persons Act 1933. Moreover, a prominent duty of care </w:t>
      </w:r>
      <w:proofErr w:type="spellStart"/>
      <w:r w:rsidRPr="001458B6">
        <w:rPr>
          <w:rFonts w:ascii="Arial" w:hAnsi="Arial" w:cs="Arial"/>
          <w:sz w:val="24"/>
          <w:szCs w:val="24"/>
        </w:rPr>
        <w:t>recongised</w:t>
      </w:r>
      <w:proofErr w:type="spellEnd"/>
      <w:r w:rsidRPr="001458B6">
        <w:rPr>
          <w:rFonts w:ascii="Arial" w:hAnsi="Arial" w:cs="Arial"/>
          <w:sz w:val="24"/>
          <w:szCs w:val="24"/>
        </w:rPr>
        <w:t xml:space="preserve"> through the common law is the duty of care where there is an assumption of care for another. </w:t>
      </w:r>
      <w:r w:rsidR="00630574" w:rsidRPr="001458B6">
        <w:rPr>
          <w:rFonts w:ascii="Arial" w:hAnsi="Arial" w:cs="Arial"/>
          <w:sz w:val="24"/>
          <w:szCs w:val="24"/>
        </w:rPr>
        <w:t xml:space="preserve">The principle of failure of duty for omitting to care for those one has willingly accepted to care has been established in </w:t>
      </w:r>
      <w:r w:rsidR="009B4766">
        <w:rPr>
          <w:rFonts w:ascii="Arial" w:hAnsi="Arial" w:cs="Arial"/>
          <w:sz w:val="24"/>
          <w:szCs w:val="24"/>
        </w:rPr>
        <w:t xml:space="preserve">‘R v </w:t>
      </w:r>
      <w:proofErr w:type="spellStart"/>
      <w:r w:rsidR="00630574" w:rsidRPr="009B4766">
        <w:rPr>
          <w:rFonts w:ascii="Arial" w:hAnsi="Arial" w:cs="Arial"/>
          <w:sz w:val="24"/>
          <w:szCs w:val="24"/>
        </w:rPr>
        <w:t>Instan</w:t>
      </w:r>
      <w:proofErr w:type="spellEnd"/>
      <w:r w:rsidR="009B4766">
        <w:rPr>
          <w:rFonts w:ascii="Arial" w:hAnsi="Arial" w:cs="Arial"/>
          <w:sz w:val="24"/>
          <w:szCs w:val="24"/>
        </w:rPr>
        <w:t>’</w:t>
      </w:r>
      <w:r w:rsidR="00630574" w:rsidRPr="001458B6">
        <w:rPr>
          <w:rFonts w:ascii="Arial" w:hAnsi="Arial" w:cs="Arial"/>
          <w:sz w:val="24"/>
          <w:szCs w:val="24"/>
        </w:rPr>
        <w:t xml:space="preserve"> (1893), and it was later confirmed in </w:t>
      </w:r>
      <w:r w:rsidR="009B4766">
        <w:rPr>
          <w:rFonts w:ascii="Arial" w:hAnsi="Arial" w:cs="Arial"/>
          <w:sz w:val="24"/>
          <w:szCs w:val="24"/>
        </w:rPr>
        <w:t xml:space="preserve">‘R v </w:t>
      </w:r>
      <w:r w:rsidR="00630574" w:rsidRPr="009B4766">
        <w:rPr>
          <w:rFonts w:ascii="Arial" w:hAnsi="Arial" w:cs="Arial"/>
          <w:sz w:val="24"/>
          <w:szCs w:val="24"/>
        </w:rPr>
        <w:t>Stone</w:t>
      </w:r>
      <w:r w:rsidR="009B4766">
        <w:rPr>
          <w:rFonts w:ascii="Arial" w:hAnsi="Arial" w:cs="Arial"/>
          <w:sz w:val="24"/>
          <w:szCs w:val="24"/>
        </w:rPr>
        <w:t>’</w:t>
      </w:r>
      <w:r w:rsidR="00630574" w:rsidRPr="001458B6">
        <w:rPr>
          <w:rFonts w:ascii="Arial" w:hAnsi="Arial" w:cs="Arial"/>
          <w:sz w:val="24"/>
          <w:szCs w:val="24"/>
        </w:rPr>
        <w:t xml:space="preserve"> (1977).</w:t>
      </w:r>
    </w:p>
    <w:p w14:paraId="2F407FEE" w14:textId="4835B5D4" w:rsidR="00630574" w:rsidRPr="001458B6" w:rsidRDefault="009B4766" w:rsidP="001458B6">
      <w:pPr>
        <w:spacing w:before="20" w:after="20" w:line="360" w:lineRule="auto"/>
        <w:rPr>
          <w:rFonts w:ascii="Arial" w:hAnsi="Arial" w:cs="Arial"/>
          <w:sz w:val="24"/>
          <w:szCs w:val="24"/>
        </w:rPr>
      </w:pPr>
      <w:r>
        <w:rPr>
          <w:rFonts w:ascii="Arial" w:hAnsi="Arial" w:cs="Arial"/>
          <w:sz w:val="24"/>
          <w:szCs w:val="24"/>
        </w:rPr>
        <w:t xml:space="preserve">In ‘R v </w:t>
      </w:r>
      <w:r w:rsidR="00FA54F3" w:rsidRPr="009B4766">
        <w:rPr>
          <w:rFonts w:ascii="Arial" w:hAnsi="Arial" w:cs="Arial"/>
          <w:sz w:val="24"/>
          <w:szCs w:val="24"/>
        </w:rPr>
        <w:t>Miller</w:t>
      </w:r>
      <w:r w:rsidRPr="009B4766">
        <w:rPr>
          <w:rFonts w:ascii="Arial" w:hAnsi="Arial" w:cs="Arial"/>
          <w:sz w:val="24"/>
          <w:szCs w:val="24"/>
        </w:rPr>
        <w:t>’</w:t>
      </w:r>
      <w:r w:rsidR="00FA54F3" w:rsidRPr="001458B6">
        <w:rPr>
          <w:rFonts w:ascii="Arial" w:hAnsi="Arial" w:cs="Arial"/>
          <w:sz w:val="24"/>
          <w:szCs w:val="24"/>
        </w:rPr>
        <w:t xml:space="preserve"> (1983) case has created great debate in the legal field. The case established that if the defendant’s “error or misconduct creates or contributed to the creation of a dangerous situation, this may give rise to a duty to take reasonable steps to avert that danger, and D may therefore incur criminal liability for the consequences of a failure to do so” (</w:t>
      </w:r>
      <w:r>
        <w:rPr>
          <w:rFonts w:ascii="Arial" w:hAnsi="Arial" w:cs="Arial"/>
          <w:sz w:val="24"/>
          <w:szCs w:val="24"/>
        </w:rPr>
        <w:t>Welch, 1996</w:t>
      </w:r>
      <w:r w:rsidR="00FA54F3" w:rsidRPr="001458B6">
        <w:rPr>
          <w:rFonts w:ascii="Arial" w:hAnsi="Arial" w:cs="Arial"/>
          <w:sz w:val="24"/>
          <w:szCs w:val="24"/>
        </w:rPr>
        <w:t>).</w:t>
      </w:r>
      <w:r w:rsidR="0038475E">
        <w:rPr>
          <w:rFonts w:ascii="Arial" w:hAnsi="Arial" w:cs="Arial"/>
          <w:sz w:val="24"/>
          <w:szCs w:val="24"/>
        </w:rPr>
        <w:t xml:space="preserve"> This has created a duty to prevent further damage when the defendant has created the situation.</w:t>
      </w:r>
      <w:r w:rsidR="00FA54F3" w:rsidRPr="001458B6">
        <w:rPr>
          <w:rFonts w:ascii="Arial" w:hAnsi="Arial" w:cs="Arial"/>
          <w:sz w:val="24"/>
          <w:szCs w:val="24"/>
        </w:rPr>
        <w:t xml:space="preserve"> J</w:t>
      </w:r>
      <w:r>
        <w:rPr>
          <w:rFonts w:ascii="Arial" w:hAnsi="Arial" w:cs="Arial"/>
          <w:sz w:val="24"/>
          <w:szCs w:val="24"/>
        </w:rPr>
        <w:t>.</w:t>
      </w:r>
      <w:r w:rsidR="00FA54F3" w:rsidRPr="001458B6">
        <w:rPr>
          <w:rFonts w:ascii="Arial" w:hAnsi="Arial" w:cs="Arial"/>
          <w:sz w:val="24"/>
          <w:szCs w:val="24"/>
        </w:rPr>
        <w:t>C</w:t>
      </w:r>
      <w:r>
        <w:rPr>
          <w:rFonts w:ascii="Arial" w:hAnsi="Arial" w:cs="Arial"/>
          <w:sz w:val="24"/>
          <w:szCs w:val="24"/>
        </w:rPr>
        <w:t>.</w:t>
      </w:r>
      <w:r w:rsidR="00FA54F3" w:rsidRPr="001458B6">
        <w:rPr>
          <w:rFonts w:ascii="Arial" w:hAnsi="Arial" w:cs="Arial"/>
          <w:sz w:val="24"/>
          <w:szCs w:val="24"/>
        </w:rPr>
        <w:t xml:space="preserve"> Smith (</w:t>
      </w:r>
      <w:r>
        <w:rPr>
          <w:rFonts w:ascii="Arial" w:hAnsi="Arial" w:cs="Arial"/>
          <w:sz w:val="24"/>
          <w:szCs w:val="24"/>
        </w:rPr>
        <w:t>1984, p. 92</w:t>
      </w:r>
      <w:r w:rsidR="00FA54F3" w:rsidRPr="001458B6">
        <w:rPr>
          <w:rFonts w:ascii="Arial" w:hAnsi="Arial" w:cs="Arial"/>
          <w:sz w:val="24"/>
          <w:szCs w:val="24"/>
        </w:rPr>
        <w:t xml:space="preserve">) argues that the decision in </w:t>
      </w:r>
      <w:r>
        <w:rPr>
          <w:rFonts w:ascii="Arial" w:hAnsi="Arial" w:cs="Arial"/>
          <w:sz w:val="24"/>
          <w:szCs w:val="24"/>
        </w:rPr>
        <w:t xml:space="preserve">‘R v </w:t>
      </w:r>
      <w:r w:rsidR="00FA54F3" w:rsidRPr="009B4766">
        <w:rPr>
          <w:rFonts w:ascii="Arial" w:hAnsi="Arial" w:cs="Arial"/>
          <w:sz w:val="24"/>
          <w:szCs w:val="24"/>
        </w:rPr>
        <w:t>Miller</w:t>
      </w:r>
      <w:r w:rsidRPr="009B4766">
        <w:rPr>
          <w:rFonts w:ascii="Arial" w:hAnsi="Arial" w:cs="Arial"/>
          <w:sz w:val="24"/>
          <w:szCs w:val="24"/>
        </w:rPr>
        <w:t>’</w:t>
      </w:r>
      <w:r>
        <w:rPr>
          <w:rFonts w:ascii="Arial" w:hAnsi="Arial" w:cs="Arial"/>
          <w:sz w:val="24"/>
          <w:szCs w:val="24"/>
        </w:rPr>
        <w:t xml:space="preserve"> (1983)</w:t>
      </w:r>
      <w:r w:rsidR="00FA54F3" w:rsidRPr="001458B6">
        <w:rPr>
          <w:rFonts w:ascii="Arial" w:hAnsi="Arial" w:cs="Arial"/>
          <w:sz w:val="24"/>
          <w:szCs w:val="24"/>
        </w:rPr>
        <w:t xml:space="preserve"> was a correct one, however, he argues that it left room for fiction and there is no room for fiction in the modern system of criminal law.</w:t>
      </w:r>
    </w:p>
    <w:p w14:paraId="7F0850E5" w14:textId="2BE0C4F8" w:rsidR="00FA54F3" w:rsidRPr="001458B6" w:rsidRDefault="00FA54F3" w:rsidP="001458B6">
      <w:pPr>
        <w:spacing w:before="20" w:after="20" w:line="360" w:lineRule="auto"/>
        <w:rPr>
          <w:rFonts w:ascii="Arial" w:hAnsi="Arial" w:cs="Arial"/>
          <w:sz w:val="24"/>
          <w:szCs w:val="24"/>
        </w:rPr>
      </w:pPr>
      <w:r w:rsidRPr="001458B6">
        <w:rPr>
          <w:rFonts w:ascii="Arial" w:hAnsi="Arial" w:cs="Arial"/>
          <w:sz w:val="24"/>
          <w:szCs w:val="24"/>
        </w:rPr>
        <w:t xml:space="preserve">Whilst there are various instances where a duty of act arises, there are also instances where such a duty ends. These instances mostly involve medical treatment. For instance, duty terminates where there is a refusal of consent to treatment, where withholding treatment is in the best interest of the patient as seen in </w:t>
      </w:r>
      <w:r w:rsidR="009B4766">
        <w:rPr>
          <w:rFonts w:ascii="Arial" w:hAnsi="Arial" w:cs="Arial"/>
          <w:sz w:val="24"/>
          <w:szCs w:val="24"/>
        </w:rPr>
        <w:t>‘</w:t>
      </w:r>
      <w:r w:rsidRPr="001458B6">
        <w:rPr>
          <w:rFonts w:ascii="Arial" w:hAnsi="Arial" w:cs="Arial"/>
          <w:sz w:val="24"/>
          <w:szCs w:val="24"/>
        </w:rPr>
        <w:t>Airedale NHS Trust v Bland</w:t>
      </w:r>
      <w:r w:rsidR="009B4766">
        <w:rPr>
          <w:rFonts w:ascii="Arial" w:hAnsi="Arial" w:cs="Arial"/>
          <w:sz w:val="24"/>
          <w:szCs w:val="24"/>
        </w:rPr>
        <w:t>’ (1993)</w:t>
      </w:r>
      <w:r w:rsidRPr="001458B6">
        <w:rPr>
          <w:rFonts w:ascii="Arial" w:hAnsi="Arial" w:cs="Arial"/>
          <w:sz w:val="24"/>
          <w:szCs w:val="24"/>
        </w:rPr>
        <w:t>, or where there are practical and financial considerations.</w:t>
      </w:r>
    </w:p>
    <w:p w14:paraId="41009724" w14:textId="091CFEF7" w:rsidR="00FA54F3" w:rsidRPr="001458B6" w:rsidRDefault="00FA54F3" w:rsidP="001458B6">
      <w:pPr>
        <w:spacing w:before="20" w:after="20" w:line="360" w:lineRule="auto"/>
        <w:rPr>
          <w:rFonts w:ascii="Arial" w:hAnsi="Arial" w:cs="Arial"/>
          <w:b/>
          <w:bCs/>
          <w:sz w:val="24"/>
          <w:szCs w:val="24"/>
        </w:rPr>
      </w:pPr>
      <w:r w:rsidRPr="001458B6">
        <w:rPr>
          <w:rFonts w:ascii="Arial" w:hAnsi="Arial" w:cs="Arial"/>
          <w:b/>
          <w:bCs/>
          <w:sz w:val="24"/>
          <w:szCs w:val="24"/>
        </w:rPr>
        <w:t>The Good Samaritan</w:t>
      </w:r>
    </w:p>
    <w:p w14:paraId="4224C6A4" w14:textId="0BF4DEF7" w:rsidR="00CC0BBC" w:rsidRPr="001458B6" w:rsidRDefault="00CC0BBC" w:rsidP="001458B6">
      <w:pPr>
        <w:spacing w:before="20" w:after="20" w:line="360" w:lineRule="auto"/>
        <w:rPr>
          <w:rFonts w:ascii="Arial" w:hAnsi="Arial" w:cs="Arial"/>
          <w:sz w:val="24"/>
          <w:szCs w:val="24"/>
        </w:rPr>
      </w:pPr>
      <w:r w:rsidRPr="001458B6">
        <w:rPr>
          <w:rFonts w:ascii="Arial" w:hAnsi="Arial" w:cs="Arial"/>
          <w:sz w:val="24"/>
          <w:szCs w:val="24"/>
        </w:rPr>
        <w:t>One argument for the good Samaritan law is that the more serious the harm threatened, the more justified it could be to insist on acting, especially where there is no threat to harm (Crosby</w:t>
      </w:r>
      <w:r w:rsidR="00245109">
        <w:rPr>
          <w:rFonts w:ascii="Arial" w:hAnsi="Arial" w:cs="Arial"/>
          <w:sz w:val="24"/>
          <w:szCs w:val="24"/>
        </w:rPr>
        <w:t>, 2018, p. 135</w:t>
      </w:r>
      <w:r w:rsidRPr="001458B6">
        <w:rPr>
          <w:rFonts w:ascii="Arial" w:hAnsi="Arial" w:cs="Arial"/>
          <w:sz w:val="24"/>
          <w:szCs w:val="24"/>
        </w:rPr>
        <w:t>).</w:t>
      </w:r>
    </w:p>
    <w:p w14:paraId="386DEE5F" w14:textId="4162F1AB" w:rsidR="00FA54F3" w:rsidRPr="001458B6" w:rsidRDefault="00CC0BBC" w:rsidP="001458B6">
      <w:pPr>
        <w:spacing w:before="20" w:after="20" w:line="360" w:lineRule="auto"/>
        <w:rPr>
          <w:rFonts w:ascii="Arial" w:hAnsi="Arial" w:cs="Arial"/>
          <w:sz w:val="24"/>
          <w:szCs w:val="24"/>
        </w:rPr>
      </w:pPr>
      <w:r w:rsidRPr="001458B6">
        <w:rPr>
          <w:rFonts w:ascii="Arial" w:hAnsi="Arial" w:cs="Arial"/>
          <w:sz w:val="24"/>
          <w:szCs w:val="24"/>
        </w:rPr>
        <w:t xml:space="preserve">Nevertheless, the English Law is based on </w:t>
      </w:r>
      <w:r w:rsidR="00AC3EDD" w:rsidRPr="001458B6">
        <w:rPr>
          <w:rFonts w:ascii="Arial" w:hAnsi="Arial" w:cs="Arial"/>
          <w:sz w:val="24"/>
          <w:szCs w:val="24"/>
        </w:rPr>
        <w:t>the “Anglo-American</w:t>
      </w:r>
      <w:r w:rsidRPr="001458B6">
        <w:rPr>
          <w:rFonts w:ascii="Arial" w:hAnsi="Arial" w:cs="Arial"/>
          <w:sz w:val="24"/>
          <w:szCs w:val="24"/>
        </w:rPr>
        <w:t xml:space="preserve"> </w:t>
      </w:r>
      <w:r w:rsidR="00AC3EDD" w:rsidRPr="001458B6">
        <w:rPr>
          <w:rFonts w:ascii="Arial" w:hAnsi="Arial" w:cs="Arial"/>
          <w:sz w:val="24"/>
          <w:szCs w:val="24"/>
        </w:rPr>
        <w:t>t</w:t>
      </w:r>
      <w:r w:rsidRPr="001458B6">
        <w:rPr>
          <w:rFonts w:ascii="Arial" w:hAnsi="Arial" w:cs="Arial"/>
          <w:sz w:val="24"/>
          <w:szCs w:val="24"/>
        </w:rPr>
        <w:t>radition that “devotes excessive attention to citizens’ right and […] to their negative right not to be harmed” (</w:t>
      </w:r>
      <w:r w:rsidR="00245109">
        <w:rPr>
          <w:rFonts w:ascii="Arial" w:hAnsi="Arial" w:cs="Arial"/>
          <w:sz w:val="24"/>
          <w:szCs w:val="24"/>
        </w:rPr>
        <w:t>McIntyre, 1994, p. 158</w:t>
      </w:r>
      <w:r w:rsidRPr="001458B6">
        <w:rPr>
          <w:rFonts w:ascii="Arial" w:hAnsi="Arial" w:cs="Arial"/>
          <w:sz w:val="24"/>
          <w:szCs w:val="24"/>
        </w:rPr>
        <w:t>). Joel Feinberg (Cros</w:t>
      </w:r>
      <w:r w:rsidR="00245109">
        <w:rPr>
          <w:rFonts w:ascii="Arial" w:hAnsi="Arial" w:cs="Arial"/>
          <w:sz w:val="24"/>
          <w:szCs w:val="24"/>
        </w:rPr>
        <w:t>by, 2018, p. 134</w:t>
      </w:r>
      <w:r w:rsidRPr="001458B6">
        <w:rPr>
          <w:rFonts w:ascii="Arial" w:hAnsi="Arial" w:cs="Arial"/>
          <w:sz w:val="24"/>
          <w:szCs w:val="24"/>
        </w:rPr>
        <w:t>) argues against a good Samaritan rule by stating that the right to decide how to live one’s life is the most basic autonomy right. Moreover, such rules would lead to a floodgate of underserved prosecutions which would have serious consequences on the citizens’ freedoms and rights, as well as on the justice system.</w:t>
      </w:r>
    </w:p>
    <w:p w14:paraId="1AF28870" w14:textId="70C17045" w:rsidR="00CC0BBC" w:rsidRPr="001458B6" w:rsidRDefault="00CC0BBC" w:rsidP="001458B6">
      <w:pPr>
        <w:spacing w:before="20" w:after="20" w:line="360" w:lineRule="auto"/>
        <w:rPr>
          <w:rFonts w:ascii="Arial" w:hAnsi="Arial" w:cs="Arial"/>
          <w:b/>
          <w:bCs/>
          <w:sz w:val="24"/>
          <w:szCs w:val="24"/>
        </w:rPr>
      </w:pPr>
      <w:r w:rsidRPr="001458B6">
        <w:rPr>
          <w:rFonts w:ascii="Arial" w:hAnsi="Arial" w:cs="Arial"/>
          <w:b/>
          <w:bCs/>
          <w:sz w:val="24"/>
          <w:szCs w:val="24"/>
        </w:rPr>
        <w:lastRenderedPageBreak/>
        <w:t xml:space="preserve">Conclusion </w:t>
      </w:r>
    </w:p>
    <w:p w14:paraId="47FCECF8" w14:textId="7C26C46E" w:rsidR="00965F47" w:rsidRDefault="00CC0BBC" w:rsidP="001458B6">
      <w:pPr>
        <w:spacing w:before="20" w:after="20" w:line="360" w:lineRule="auto"/>
        <w:rPr>
          <w:rFonts w:ascii="Arial" w:hAnsi="Arial" w:cs="Arial"/>
          <w:sz w:val="24"/>
          <w:szCs w:val="24"/>
        </w:rPr>
      </w:pPr>
      <w:r w:rsidRPr="001458B6">
        <w:rPr>
          <w:rFonts w:ascii="Arial" w:hAnsi="Arial" w:cs="Arial"/>
          <w:sz w:val="24"/>
          <w:szCs w:val="24"/>
        </w:rPr>
        <w:t>To conclude,</w:t>
      </w:r>
      <w:r w:rsidR="00AC3EDD" w:rsidRPr="001458B6">
        <w:rPr>
          <w:rFonts w:ascii="Arial" w:hAnsi="Arial" w:cs="Arial"/>
          <w:sz w:val="24"/>
          <w:szCs w:val="24"/>
        </w:rPr>
        <w:t xml:space="preserve"> the law on liability for omission has developed over time.</w:t>
      </w:r>
      <w:r w:rsidR="00BC3575">
        <w:rPr>
          <w:rFonts w:ascii="Arial" w:hAnsi="Arial" w:cs="Arial"/>
          <w:sz w:val="24"/>
          <w:szCs w:val="24"/>
        </w:rPr>
        <w:t xml:space="preserve"> The liability for omission has been established as the exception, not the rule.</w:t>
      </w:r>
      <w:r w:rsidR="00AC3EDD" w:rsidRPr="001458B6">
        <w:rPr>
          <w:rFonts w:ascii="Arial" w:hAnsi="Arial" w:cs="Arial"/>
          <w:sz w:val="24"/>
          <w:szCs w:val="24"/>
        </w:rPr>
        <w:t xml:space="preserve"> From hesitation at the common law to well-established principles, statutory </w:t>
      </w:r>
      <w:r w:rsidR="00245109" w:rsidRPr="001458B6">
        <w:rPr>
          <w:rFonts w:ascii="Arial" w:hAnsi="Arial" w:cs="Arial"/>
          <w:sz w:val="24"/>
          <w:szCs w:val="24"/>
        </w:rPr>
        <w:t>duties,</w:t>
      </w:r>
      <w:r w:rsidR="00AC3EDD" w:rsidRPr="001458B6">
        <w:rPr>
          <w:rFonts w:ascii="Arial" w:hAnsi="Arial" w:cs="Arial"/>
          <w:sz w:val="24"/>
          <w:szCs w:val="24"/>
        </w:rPr>
        <w:t xml:space="preserve"> and contractual duties, it seems English Law has developed several concepts to impose liability when there is a need to. </w:t>
      </w:r>
      <w:r w:rsidR="00BC3575">
        <w:rPr>
          <w:rFonts w:ascii="Arial" w:hAnsi="Arial" w:cs="Arial"/>
          <w:sz w:val="24"/>
          <w:szCs w:val="24"/>
        </w:rPr>
        <w:t xml:space="preserve">‘R v Miller’ (1983) is a prominent case in the law on liability for omissions, and it has sparked great controversy regarding its ruling, however, it does remain the duty of the bystander to act where he has created a dangerous situation. </w:t>
      </w:r>
      <w:r w:rsidR="00AC3EDD" w:rsidRPr="001458B6">
        <w:rPr>
          <w:rFonts w:ascii="Arial" w:hAnsi="Arial" w:cs="Arial"/>
          <w:sz w:val="24"/>
          <w:szCs w:val="24"/>
        </w:rPr>
        <w:t xml:space="preserve">Whilst this gives rise to concerns </w:t>
      </w:r>
      <w:r w:rsidR="00BC3575">
        <w:rPr>
          <w:rFonts w:ascii="Arial" w:hAnsi="Arial" w:cs="Arial"/>
          <w:sz w:val="24"/>
          <w:szCs w:val="24"/>
        </w:rPr>
        <w:t>about</w:t>
      </w:r>
      <w:r w:rsidR="00AC3EDD" w:rsidRPr="001458B6">
        <w:rPr>
          <w:rFonts w:ascii="Arial" w:hAnsi="Arial" w:cs="Arial"/>
          <w:sz w:val="24"/>
          <w:szCs w:val="24"/>
        </w:rPr>
        <w:t xml:space="preserve"> the law encouraging a good Samaritan law, there is great opposition among legal scholars and practitioners which would prevent the courts from going in such a direction.</w:t>
      </w:r>
      <w:r w:rsidR="00BC3575">
        <w:rPr>
          <w:rFonts w:ascii="Arial" w:hAnsi="Arial" w:cs="Arial"/>
          <w:sz w:val="24"/>
          <w:szCs w:val="24"/>
        </w:rPr>
        <w:t xml:space="preserve"> The main concern regarding the good Samaritan law is the breach of basic rights to make their own decisions and act as free people, however, it does seem the courts are not willing to impose such duties on citizens.</w:t>
      </w:r>
    </w:p>
    <w:p w14:paraId="764AA3CC" w14:textId="77777777" w:rsidR="00965F47" w:rsidRDefault="00965F47">
      <w:pPr>
        <w:spacing w:after="160" w:line="259" w:lineRule="auto"/>
        <w:rPr>
          <w:rFonts w:ascii="Arial" w:hAnsi="Arial" w:cs="Arial"/>
          <w:sz w:val="24"/>
          <w:szCs w:val="24"/>
        </w:rPr>
      </w:pPr>
      <w:r>
        <w:rPr>
          <w:rFonts w:ascii="Arial" w:hAnsi="Arial" w:cs="Arial"/>
          <w:sz w:val="24"/>
          <w:szCs w:val="24"/>
        </w:rPr>
        <w:br w:type="page"/>
      </w:r>
    </w:p>
    <w:p w14:paraId="13BE0732" w14:textId="3D7EBAC1" w:rsidR="00CC0BBC" w:rsidRDefault="00965F47" w:rsidP="001458B6">
      <w:pPr>
        <w:spacing w:before="20" w:after="20" w:line="360" w:lineRule="auto"/>
        <w:rPr>
          <w:rFonts w:ascii="Arial" w:hAnsi="Arial" w:cs="Arial"/>
          <w:b/>
          <w:bCs/>
          <w:sz w:val="24"/>
          <w:szCs w:val="24"/>
        </w:rPr>
      </w:pPr>
      <w:r w:rsidRPr="00965F47">
        <w:rPr>
          <w:rFonts w:ascii="Arial" w:hAnsi="Arial" w:cs="Arial"/>
          <w:b/>
          <w:bCs/>
          <w:sz w:val="24"/>
          <w:szCs w:val="24"/>
        </w:rPr>
        <w:lastRenderedPageBreak/>
        <w:t>Bibliography</w:t>
      </w:r>
    </w:p>
    <w:p w14:paraId="0033AB0E" w14:textId="77777777" w:rsidR="002C275F" w:rsidRPr="00383F52" w:rsidRDefault="002C275F" w:rsidP="00383F52">
      <w:pPr>
        <w:pStyle w:val="NormalWeb"/>
        <w:ind w:left="567" w:hanging="567"/>
        <w:rPr>
          <w:rFonts w:ascii="Arial" w:hAnsi="Arial" w:cs="Arial"/>
        </w:rPr>
      </w:pPr>
      <w:r w:rsidRPr="00383F52">
        <w:rPr>
          <w:rFonts w:ascii="Arial" w:hAnsi="Arial" w:cs="Arial"/>
        </w:rPr>
        <w:t>Airedale NHS Trust v Bland (1993)</w:t>
      </w:r>
    </w:p>
    <w:p w14:paraId="5935E724" w14:textId="77777777" w:rsidR="002C275F" w:rsidRPr="00383F52" w:rsidRDefault="002C275F" w:rsidP="00965F47">
      <w:pPr>
        <w:pStyle w:val="NormalWeb"/>
        <w:ind w:left="567" w:hanging="567"/>
        <w:rPr>
          <w:rFonts w:ascii="Arial" w:hAnsi="Arial" w:cs="Arial"/>
        </w:rPr>
      </w:pPr>
      <w:r w:rsidRPr="001458B6">
        <w:rPr>
          <w:rFonts w:ascii="Arial" w:hAnsi="Arial" w:cs="Arial"/>
        </w:rPr>
        <w:t>Children and Young Persons Act 1933</w:t>
      </w:r>
    </w:p>
    <w:p w14:paraId="03F12C9F" w14:textId="77777777" w:rsidR="002C275F" w:rsidRDefault="002C275F" w:rsidP="00965F47">
      <w:pPr>
        <w:pStyle w:val="NormalWeb"/>
        <w:ind w:left="567" w:hanging="567"/>
        <w:rPr>
          <w:rFonts w:ascii="Arial" w:hAnsi="Arial" w:cs="Arial"/>
        </w:rPr>
      </w:pPr>
      <w:r w:rsidRPr="001458B6">
        <w:rPr>
          <w:rFonts w:ascii="Arial" w:hAnsi="Arial" w:cs="Arial"/>
        </w:rPr>
        <w:t>Companies Act 2006</w:t>
      </w:r>
    </w:p>
    <w:p w14:paraId="564977C6" w14:textId="77777777" w:rsidR="002C275F" w:rsidRDefault="002C275F" w:rsidP="00965F47">
      <w:pPr>
        <w:pStyle w:val="NormalWeb"/>
        <w:ind w:left="567" w:hanging="567"/>
        <w:rPr>
          <w:rFonts w:ascii="Arial" w:hAnsi="Arial" w:cs="Arial"/>
        </w:rPr>
      </w:pPr>
      <w:r w:rsidRPr="001458B6">
        <w:rPr>
          <w:rFonts w:ascii="Arial" w:hAnsi="Arial" w:cs="Arial"/>
        </w:rPr>
        <w:t>Criminal Justice Act 2015</w:t>
      </w:r>
    </w:p>
    <w:p w14:paraId="5B84C09E" w14:textId="77777777" w:rsidR="002C275F" w:rsidRDefault="002C275F" w:rsidP="00965F47">
      <w:pPr>
        <w:pStyle w:val="NormalWeb"/>
        <w:ind w:left="567" w:hanging="567"/>
        <w:rPr>
          <w:rFonts w:ascii="Arial" w:hAnsi="Arial" w:cs="Arial"/>
        </w:rPr>
      </w:pPr>
      <w:r w:rsidRPr="00383F52">
        <w:rPr>
          <w:rFonts w:ascii="Arial" w:hAnsi="Arial" w:cs="Arial"/>
        </w:rPr>
        <w:t xml:space="preserve">Crosby, C. (2018) “Gross negligence manslaughter by omission,” </w:t>
      </w:r>
      <w:r w:rsidRPr="00383F52">
        <w:rPr>
          <w:rFonts w:ascii="Arial" w:hAnsi="Arial" w:cs="Arial"/>
          <w:i/>
          <w:iCs/>
        </w:rPr>
        <w:t>The Journal of Criminal Law</w:t>
      </w:r>
      <w:r w:rsidRPr="00383F52">
        <w:rPr>
          <w:rFonts w:ascii="Arial" w:hAnsi="Arial" w:cs="Arial"/>
        </w:rPr>
        <w:t>, 82(2), pp. 127–137. Available at: https://doi.org/10.1177/0022018318761692</w:t>
      </w:r>
      <w:proofErr w:type="gramStart"/>
      <w:r w:rsidRPr="00383F52">
        <w:rPr>
          <w:rFonts w:ascii="Arial" w:hAnsi="Arial" w:cs="Arial"/>
        </w:rPr>
        <w:t xml:space="preserve">. </w:t>
      </w:r>
      <w:r>
        <w:rPr>
          <w:rFonts w:ascii="Arial" w:hAnsi="Arial" w:cs="Arial"/>
        </w:rPr>
        <w:t>.</w:t>
      </w:r>
      <w:proofErr w:type="gramEnd"/>
    </w:p>
    <w:p w14:paraId="0EDE5780" w14:textId="77777777" w:rsidR="002C275F" w:rsidRPr="00383F52" w:rsidRDefault="002C275F" w:rsidP="00383F52">
      <w:pPr>
        <w:pStyle w:val="NormalWeb"/>
        <w:ind w:left="567" w:hanging="567"/>
        <w:rPr>
          <w:rFonts w:ascii="Arial" w:hAnsi="Arial" w:cs="Arial"/>
        </w:rPr>
      </w:pPr>
      <w:r w:rsidRPr="00383F52">
        <w:rPr>
          <w:rFonts w:ascii="Arial" w:hAnsi="Arial" w:cs="Arial"/>
        </w:rPr>
        <w:t>Fagan v Metropolitan Police Commissioner (1969)</w:t>
      </w:r>
    </w:p>
    <w:p w14:paraId="02CF84C6" w14:textId="77777777" w:rsidR="002C275F" w:rsidRPr="00383F52" w:rsidRDefault="002C275F" w:rsidP="00383F52">
      <w:pPr>
        <w:pStyle w:val="NormalWeb"/>
        <w:ind w:left="567" w:hanging="567"/>
        <w:rPr>
          <w:rFonts w:ascii="Arial" w:hAnsi="Arial" w:cs="Arial"/>
        </w:rPr>
      </w:pPr>
      <w:proofErr w:type="spellStart"/>
      <w:r w:rsidRPr="00383F52">
        <w:rPr>
          <w:rFonts w:ascii="Arial" w:hAnsi="Arial" w:cs="Arial"/>
        </w:rPr>
        <w:t>McINTYRE</w:t>
      </w:r>
      <w:proofErr w:type="spellEnd"/>
      <w:r w:rsidRPr="00383F52">
        <w:rPr>
          <w:rFonts w:ascii="Arial" w:hAnsi="Arial" w:cs="Arial"/>
        </w:rPr>
        <w:t xml:space="preserve">, </w:t>
      </w:r>
      <w:r>
        <w:rPr>
          <w:rFonts w:ascii="Arial" w:hAnsi="Arial" w:cs="Arial"/>
        </w:rPr>
        <w:t>Allison</w:t>
      </w:r>
      <w:r w:rsidRPr="00383F52">
        <w:rPr>
          <w:rFonts w:ascii="Arial" w:hAnsi="Arial" w:cs="Arial"/>
        </w:rPr>
        <w:t xml:space="preserve">. (1994) “Guilty bystanders? on the legitimacy of duty to rescue statutes,” </w:t>
      </w:r>
      <w:r w:rsidRPr="00383F52">
        <w:rPr>
          <w:rFonts w:ascii="Arial" w:hAnsi="Arial" w:cs="Arial"/>
          <w:i/>
          <w:iCs/>
        </w:rPr>
        <w:t>Philosophy Public Affairs</w:t>
      </w:r>
      <w:r w:rsidRPr="00383F52">
        <w:rPr>
          <w:rFonts w:ascii="Arial" w:hAnsi="Arial" w:cs="Arial"/>
        </w:rPr>
        <w:t xml:space="preserve">, 23(2), pp. 157–191. Available at: https://doi.org/10.1111/j.1088-4963.1994.tb00009.x. </w:t>
      </w:r>
    </w:p>
    <w:p w14:paraId="6E25470A" w14:textId="77777777" w:rsidR="002C275F" w:rsidRPr="00383F52" w:rsidRDefault="002C275F" w:rsidP="00383F52">
      <w:pPr>
        <w:pStyle w:val="NormalWeb"/>
        <w:ind w:left="567" w:hanging="567"/>
        <w:rPr>
          <w:rFonts w:ascii="Arial" w:hAnsi="Arial" w:cs="Arial"/>
        </w:rPr>
      </w:pPr>
      <w:proofErr w:type="spellStart"/>
      <w:r w:rsidRPr="00383F52">
        <w:rPr>
          <w:rFonts w:ascii="Arial" w:hAnsi="Arial" w:cs="Arial"/>
        </w:rPr>
        <w:t>Molan</w:t>
      </w:r>
      <w:proofErr w:type="spellEnd"/>
      <w:r w:rsidRPr="00383F52">
        <w:rPr>
          <w:rFonts w:ascii="Arial" w:hAnsi="Arial" w:cs="Arial"/>
        </w:rPr>
        <w:t xml:space="preserve">, M.T., Hungerford-Welch, P. and Taylor, A. (2001) </w:t>
      </w:r>
      <w:r w:rsidRPr="00383F52">
        <w:rPr>
          <w:rFonts w:ascii="Arial" w:hAnsi="Arial" w:cs="Arial"/>
          <w:i/>
          <w:iCs/>
        </w:rPr>
        <w:t>Sourcebook on criminal law</w:t>
      </w:r>
      <w:r w:rsidRPr="00383F52">
        <w:rPr>
          <w:rFonts w:ascii="Arial" w:hAnsi="Arial" w:cs="Arial"/>
        </w:rPr>
        <w:t xml:space="preserve">. London: Cavendish. </w:t>
      </w:r>
    </w:p>
    <w:p w14:paraId="272343CC" w14:textId="77777777" w:rsidR="002C275F" w:rsidRPr="00383F52" w:rsidRDefault="002C275F" w:rsidP="00383F52">
      <w:pPr>
        <w:pStyle w:val="NormalWeb"/>
        <w:ind w:left="567" w:hanging="567"/>
        <w:rPr>
          <w:rFonts w:ascii="Arial" w:hAnsi="Arial" w:cs="Arial"/>
        </w:rPr>
      </w:pPr>
      <w:r w:rsidRPr="00383F52">
        <w:rPr>
          <w:rFonts w:ascii="Arial" w:hAnsi="Arial" w:cs="Arial"/>
        </w:rPr>
        <w:t xml:space="preserve">R v </w:t>
      </w:r>
      <w:proofErr w:type="spellStart"/>
      <w:r w:rsidRPr="00383F52">
        <w:rPr>
          <w:rFonts w:ascii="Arial" w:hAnsi="Arial" w:cs="Arial"/>
        </w:rPr>
        <w:t>Instan</w:t>
      </w:r>
      <w:proofErr w:type="spellEnd"/>
      <w:r w:rsidRPr="00383F52">
        <w:rPr>
          <w:rFonts w:ascii="Arial" w:hAnsi="Arial" w:cs="Arial"/>
        </w:rPr>
        <w:t xml:space="preserve"> (1893)</w:t>
      </w:r>
    </w:p>
    <w:p w14:paraId="0EECA894" w14:textId="77777777" w:rsidR="002C275F" w:rsidRPr="00383F52" w:rsidRDefault="002C275F" w:rsidP="00383F52">
      <w:pPr>
        <w:pStyle w:val="NormalWeb"/>
        <w:ind w:left="567" w:hanging="567"/>
        <w:rPr>
          <w:rFonts w:ascii="Arial" w:hAnsi="Arial" w:cs="Arial"/>
        </w:rPr>
      </w:pPr>
      <w:r w:rsidRPr="00383F52">
        <w:rPr>
          <w:rFonts w:ascii="Arial" w:hAnsi="Arial" w:cs="Arial"/>
        </w:rPr>
        <w:t>R v Miller (1983)</w:t>
      </w:r>
    </w:p>
    <w:p w14:paraId="280BE379" w14:textId="77777777" w:rsidR="002C275F" w:rsidRPr="00383F52" w:rsidRDefault="002C275F" w:rsidP="00383F52">
      <w:pPr>
        <w:pStyle w:val="NormalWeb"/>
        <w:ind w:left="567" w:hanging="567"/>
        <w:rPr>
          <w:rFonts w:ascii="Arial" w:hAnsi="Arial" w:cs="Arial"/>
        </w:rPr>
      </w:pPr>
      <w:r w:rsidRPr="00383F52">
        <w:rPr>
          <w:rFonts w:ascii="Arial" w:hAnsi="Arial" w:cs="Arial"/>
        </w:rPr>
        <w:t>R v Pittwood</w:t>
      </w:r>
      <w:r w:rsidRPr="00383F52">
        <w:rPr>
          <w:rFonts w:ascii="Arial" w:hAnsi="Arial" w:cs="Arial"/>
        </w:rPr>
        <w:t xml:space="preserve"> </w:t>
      </w:r>
      <w:r w:rsidRPr="00383F52">
        <w:rPr>
          <w:rFonts w:ascii="Arial" w:hAnsi="Arial" w:cs="Arial"/>
        </w:rPr>
        <w:t>(1902)</w:t>
      </w:r>
    </w:p>
    <w:p w14:paraId="6B226B27" w14:textId="77777777" w:rsidR="002C275F" w:rsidRPr="00383F52" w:rsidRDefault="002C275F" w:rsidP="00383F52">
      <w:pPr>
        <w:pStyle w:val="NormalWeb"/>
        <w:ind w:left="567" w:hanging="567"/>
        <w:rPr>
          <w:rFonts w:ascii="Arial" w:hAnsi="Arial" w:cs="Arial"/>
        </w:rPr>
      </w:pPr>
      <w:r w:rsidRPr="00383F52">
        <w:rPr>
          <w:rFonts w:ascii="Arial" w:hAnsi="Arial" w:cs="Arial"/>
        </w:rPr>
        <w:t>R v Smith (1869)</w:t>
      </w:r>
    </w:p>
    <w:p w14:paraId="22759AF9" w14:textId="77777777" w:rsidR="002C275F" w:rsidRPr="00383F52" w:rsidRDefault="002C275F" w:rsidP="00383F52">
      <w:pPr>
        <w:pStyle w:val="NormalWeb"/>
        <w:ind w:left="567" w:hanging="567"/>
        <w:rPr>
          <w:rFonts w:ascii="Arial" w:hAnsi="Arial" w:cs="Arial"/>
        </w:rPr>
      </w:pPr>
      <w:r w:rsidRPr="00383F52">
        <w:rPr>
          <w:rFonts w:ascii="Arial" w:hAnsi="Arial" w:cs="Arial"/>
        </w:rPr>
        <w:t>R v Stone (1977)</w:t>
      </w:r>
    </w:p>
    <w:p w14:paraId="14C71A33" w14:textId="77777777" w:rsidR="002C275F" w:rsidRPr="00383F52" w:rsidRDefault="002C275F" w:rsidP="00383F52">
      <w:pPr>
        <w:pStyle w:val="NormalWeb"/>
        <w:ind w:left="567" w:hanging="567"/>
        <w:rPr>
          <w:rFonts w:ascii="Arial" w:hAnsi="Arial" w:cs="Arial"/>
        </w:rPr>
      </w:pPr>
      <w:r w:rsidRPr="00383F52">
        <w:rPr>
          <w:rFonts w:ascii="Arial" w:hAnsi="Arial" w:cs="Arial"/>
        </w:rPr>
        <w:t xml:space="preserve">Smith, J.C. (1984) “Liability for omissions in the Criminal Law,” </w:t>
      </w:r>
      <w:r w:rsidRPr="00383F52">
        <w:rPr>
          <w:rFonts w:ascii="Arial" w:hAnsi="Arial" w:cs="Arial"/>
          <w:i/>
          <w:iCs/>
        </w:rPr>
        <w:t>Legal Studies</w:t>
      </w:r>
      <w:r w:rsidRPr="00383F52">
        <w:rPr>
          <w:rFonts w:ascii="Arial" w:hAnsi="Arial" w:cs="Arial"/>
        </w:rPr>
        <w:t>, 4(1)</w:t>
      </w:r>
      <w:r>
        <w:rPr>
          <w:rFonts w:ascii="Arial" w:hAnsi="Arial" w:cs="Arial"/>
        </w:rPr>
        <w:t xml:space="preserve">. </w:t>
      </w:r>
      <w:r w:rsidRPr="00383F52">
        <w:rPr>
          <w:rFonts w:ascii="Arial" w:hAnsi="Arial" w:cs="Arial"/>
        </w:rPr>
        <w:t xml:space="preserve">pp. 88–101. Available at: https://doi.org/10.1111/j.1748-121x.1984.tb00434.x. </w:t>
      </w:r>
    </w:p>
    <w:p w14:paraId="7DAE37D2" w14:textId="77777777" w:rsidR="00383F52" w:rsidRDefault="00383F52" w:rsidP="00383F52">
      <w:pPr>
        <w:pStyle w:val="NormalWeb"/>
        <w:ind w:left="567" w:hanging="567"/>
        <w:rPr>
          <w:rFonts w:ascii="Arial" w:hAnsi="Arial" w:cs="Arial"/>
        </w:rPr>
      </w:pPr>
    </w:p>
    <w:p w14:paraId="07FC4B3E" w14:textId="77777777" w:rsidR="00383F52" w:rsidRDefault="00383F52" w:rsidP="00383F52">
      <w:pPr>
        <w:pStyle w:val="NormalWeb"/>
        <w:ind w:left="567" w:hanging="567"/>
        <w:rPr>
          <w:rFonts w:ascii="Arial" w:hAnsi="Arial" w:cs="Arial"/>
        </w:rPr>
      </w:pPr>
    </w:p>
    <w:p w14:paraId="4B7C6771" w14:textId="77777777" w:rsidR="00383F52" w:rsidRDefault="00383F52" w:rsidP="00383F52">
      <w:pPr>
        <w:pStyle w:val="NormalWeb"/>
        <w:ind w:left="567" w:hanging="567"/>
        <w:rPr>
          <w:rFonts w:ascii="Arial" w:hAnsi="Arial" w:cs="Arial"/>
        </w:rPr>
      </w:pPr>
    </w:p>
    <w:p w14:paraId="54E6369C" w14:textId="77777777" w:rsidR="00383F52" w:rsidRDefault="00383F52" w:rsidP="00383F52">
      <w:pPr>
        <w:pStyle w:val="NormalWeb"/>
        <w:ind w:left="567" w:hanging="567"/>
        <w:rPr>
          <w:rFonts w:ascii="Arial" w:hAnsi="Arial" w:cs="Arial"/>
        </w:rPr>
      </w:pPr>
    </w:p>
    <w:p w14:paraId="2F3CF5DA" w14:textId="77777777" w:rsidR="00383F52" w:rsidRDefault="00383F52" w:rsidP="00383F52">
      <w:pPr>
        <w:pStyle w:val="NormalWeb"/>
        <w:ind w:left="567" w:hanging="567"/>
        <w:rPr>
          <w:rFonts w:ascii="Arial" w:hAnsi="Arial" w:cs="Arial"/>
        </w:rPr>
      </w:pPr>
    </w:p>
    <w:p w14:paraId="4679537D" w14:textId="77777777" w:rsidR="00383F52" w:rsidRDefault="00383F52" w:rsidP="00383F52">
      <w:pPr>
        <w:pStyle w:val="NormalWeb"/>
        <w:ind w:left="567" w:hanging="567"/>
      </w:pPr>
    </w:p>
    <w:p w14:paraId="41CF5B66" w14:textId="3FE4B1A9" w:rsidR="00965F47" w:rsidRPr="00965F47" w:rsidRDefault="00965F47" w:rsidP="001458B6">
      <w:pPr>
        <w:spacing w:before="20" w:after="20" w:line="360" w:lineRule="auto"/>
        <w:rPr>
          <w:rFonts w:ascii="Arial" w:hAnsi="Arial" w:cs="Arial"/>
          <w:sz w:val="24"/>
          <w:szCs w:val="24"/>
        </w:rPr>
      </w:pPr>
    </w:p>
    <w:sectPr w:rsidR="00965F47" w:rsidRPr="00965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756"/>
    <w:rsid w:val="001458B6"/>
    <w:rsid w:val="00245109"/>
    <w:rsid w:val="002C275F"/>
    <w:rsid w:val="00383F52"/>
    <w:rsid w:val="0038475E"/>
    <w:rsid w:val="003A4A73"/>
    <w:rsid w:val="004C4745"/>
    <w:rsid w:val="0058300D"/>
    <w:rsid w:val="005F4C7C"/>
    <w:rsid w:val="00630574"/>
    <w:rsid w:val="00665C29"/>
    <w:rsid w:val="0070253C"/>
    <w:rsid w:val="0076492C"/>
    <w:rsid w:val="00965F47"/>
    <w:rsid w:val="009B4766"/>
    <w:rsid w:val="009E2756"/>
    <w:rsid w:val="00A62049"/>
    <w:rsid w:val="00A9152C"/>
    <w:rsid w:val="00AC3EDD"/>
    <w:rsid w:val="00BC3575"/>
    <w:rsid w:val="00BD7159"/>
    <w:rsid w:val="00C822C6"/>
    <w:rsid w:val="00CC0BBC"/>
    <w:rsid w:val="00DA7BA1"/>
    <w:rsid w:val="00EF37AE"/>
    <w:rsid w:val="00EF732A"/>
    <w:rsid w:val="00F058AD"/>
    <w:rsid w:val="00F87DE4"/>
    <w:rsid w:val="00FA54F3"/>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837D"/>
  <w15:chartTrackingRefBased/>
  <w15:docId w15:val="{BC0CB35A-2411-4115-8F53-6534F5DD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2C6"/>
    <w:pPr>
      <w:spacing w:after="0" w:line="240" w:lineRule="auto"/>
    </w:pPr>
    <w:rPr>
      <w:rFonts w:ascii="Times New Roman" w:eastAsia="Times New Roman" w:hAnsi="Times New Roman" w:cs="Times New Roman"/>
      <w:sz w:val="20"/>
      <w:szCs w:val="20"/>
      <w:lang w:eastAsia="zh-CN"/>
    </w:rPr>
  </w:style>
  <w:style w:type="paragraph" w:styleId="Heading2">
    <w:name w:val="heading 2"/>
    <w:basedOn w:val="Normal"/>
    <w:next w:val="Normal"/>
    <w:link w:val="Heading2Char"/>
    <w:uiPriority w:val="9"/>
    <w:unhideWhenUsed/>
    <w:qFormat/>
    <w:rsid w:val="0076492C"/>
    <w:pPr>
      <w:keepNext/>
      <w:jc w:val="both"/>
      <w:outlineLvl w:val="1"/>
    </w:pPr>
    <w:rPr>
      <w:b/>
      <w:sz w:val="24"/>
      <w:szCs w:val="24"/>
    </w:rPr>
  </w:style>
  <w:style w:type="paragraph" w:styleId="Heading4">
    <w:name w:val="heading 4"/>
    <w:basedOn w:val="Normal"/>
    <w:next w:val="Normal"/>
    <w:link w:val="Heading4Char"/>
    <w:uiPriority w:val="9"/>
    <w:unhideWhenUsed/>
    <w:qFormat/>
    <w:rsid w:val="0076492C"/>
    <w:pPr>
      <w:keepNext/>
      <w:spacing w:before="120" w:after="120"/>
      <w:jc w:val="center"/>
      <w:outlineLvl w:val="3"/>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F47"/>
    <w:pPr>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sid w:val="0076492C"/>
    <w:rPr>
      <w:rFonts w:ascii="Times New Roman" w:eastAsia="Times New Roman" w:hAnsi="Times New Roman" w:cs="Times New Roman"/>
      <w:b/>
      <w:sz w:val="24"/>
      <w:szCs w:val="24"/>
      <w:lang w:eastAsia="zh-CN"/>
    </w:rPr>
  </w:style>
  <w:style w:type="character" w:customStyle="1" w:styleId="Heading4Char">
    <w:name w:val="Heading 4 Char"/>
    <w:basedOn w:val="DefaultParagraphFont"/>
    <w:link w:val="Heading4"/>
    <w:uiPriority w:val="9"/>
    <w:rsid w:val="0076492C"/>
    <w:rPr>
      <w:rFonts w:ascii="Times New Roman" w:eastAsia="Times New Roman" w:hAnsi="Times New Roman" w:cs="Times New Roman"/>
      <w:sz w:val="40"/>
      <w:szCs w:val="4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004923">
      <w:bodyDiv w:val="1"/>
      <w:marLeft w:val="0"/>
      <w:marRight w:val="0"/>
      <w:marTop w:val="0"/>
      <w:marBottom w:val="0"/>
      <w:divBdr>
        <w:top w:val="none" w:sz="0" w:space="0" w:color="auto"/>
        <w:left w:val="none" w:sz="0" w:space="0" w:color="auto"/>
        <w:bottom w:val="none" w:sz="0" w:space="0" w:color="auto"/>
        <w:right w:val="none" w:sz="0" w:space="0" w:color="auto"/>
      </w:divBdr>
    </w:div>
    <w:div w:id="1293832199">
      <w:bodyDiv w:val="1"/>
      <w:marLeft w:val="0"/>
      <w:marRight w:val="0"/>
      <w:marTop w:val="0"/>
      <w:marBottom w:val="0"/>
      <w:divBdr>
        <w:top w:val="none" w:sz="0" w:space="0" w:color="auto"/>
        <w:left w:val="none" w:sz="0" w:space="0" w:color="auto"/>
        <w:bottom w:val="none" w:sz="0" w:space="0" w:color="auto"/>
        <w:right w:val="none" w:sz="0" w:space="0" w:color="auto"/>
      </w:divBdr>
    </w:div>
    <w:div w:id="1329287080">
      <w:bodyDiv w:val="1"/>
      <w:marLeft w:val="0"/>
      <w:marRight w:val="0"/>
      <w:marTop w:val="0"/>
      <w:marBottom w:val="0"/>
      <w:divBdr>
        <w:top w:val="none" w:sz="0" w:space="0" w:color="auto"/>
        <w:left w:val="none" w:sz="0" w:space="0" w:color="auto"/>
        <w:bottom w:val="none" w:sz="0" w:space="0" w:color="auto"/>
        <w:right w:val="none" w:sz="0" w:space="0" w:color="auto"/>
      </w:divBdr>
    </w:div>
    <w:div w:id="172459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9D1C3-6E7C-4522-9C7B-99C871C301F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1519</TotalTime>
  <Pages>6</Pages>
  <Words>1598</Words>
  <Characters>9338</Characters>
  <Application>Microsoft Office Word</Application>
  <DocSecurity>0</DocSecurity>
  <Lines>583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Pantiru (2213443)</dc:creator>
  <cp:keywords/>
  <dc:description/>
  <cp:lastModifiedBy>Ionut Pantiru (2213443)</cp:lastModifiedBy>
  <cp:revision>9</cp:revision>
  <dcterms:created xsi:type="dcterms:W3CDTF">2022-11-05T13:24:00Z</dcterms:created>
  <dcterms:modified xsi:type="dcterms:W3CDTF">2022-11-11T00:36:00Z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ab3a3ccdbd140ad435e75cc9819f7be7eb852526ec6ad58ff9cd3a05dacd71d5</vt:lpwstr>
  </property>
</Properties>
</file>