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87A5CBB" w14:textId="77777777" w:rsidR="0063652C" w:rsidRPr="004C6D84" w:rsidRDefault="0063652C" w:rsidP="0064364D">
      <w:pPr>
        <w:spacing w:before="240" w:after="240"/>
        <w:rPr>
          <w:rFonts w:cs="Times New Roman"/>
          <w:lang w:val="en-GB"/>
        </w:rPr>
      </w:pPr>
    </w:p>
    <w:p w14:paraId="50EBCF9D" w14:textId="2E49272B" w:rsidR="0063652C" w:rsidRPr="004C6D84" w:rsidRDefault="0063652C" w:rsidP="006351FD">
      <w:pPr>
        <w:spacing w:before="240" w:after="240"/>
        <w:jc w:val="center"/>
        <w:rPr>
          <w:rFonts w:cs="Times New Roman"/>
          <w:lang w:val="en-GB"/>
        </w:rPr>
      </w:pPr>
      <w:r w:rsidRPr="004C6D84">
        <w:rPr>
          <w:rFonts w:cs="Times New Roman"/>
          <w:noProof/>
          <w:lang w:val="en-GB"/>
        </w:rPr>
        <w:drawing>
          <wp:inline distT="0" distB="0" distL="0" distR="0" wp14:anchorId="2ED429C3" wp14:editId="112AB407">
            <wp:extent cx="2963008" cy="1646334"/>
            <wp:effectExtent l="0" t="0" r="0" b="0"/>
            <wp:docPr id="97360966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976247" cy="1653690"/>
                    </a:xfrm>
                    <a:prstGeom prst="rect">
                      <a:avLst/>
                    </a:prstGeom>
                    <a:noFill/>
                    <a:ln>
                      <a:noFill/>
                    </a:ln>
                  </pic:spPr>
                </pic:pic>
              </a:graphicData>
            </a:graphic>
          </wp:inline>
        </w:drawing>
      </w:r>
    </w:p>
    <w:p w14:paraId="55BBFF08" w14:textId="44717D96" w:rsidR="0063652C" w:rsidRPr="004C6D84" w:rsidRDefault="0063652C" w:rsidP="0064364D">
      <w:pPr>
        <w:spacing w:before="240" w:after="240"/>
        <w:jc w:val="center"/>
        <w:rPr>
          <w:rFonts w:cs="Times New Roman"/>
          <w:b/>
          <w:bCs/>
          <w:sz w:val="48"/>
          <w:szCs w:val="44"/>
          <w:lang w:val="en-GB"/>
        </w:rPr>
      </w:pPr>
      <w:r w:rsidRPr="004C6D84">
        <w:rPr>
          <w:rFonts w:cs="Times New Roman"/>
          <w:b/>
          <w:bCs/>
          <w:sz w:val="48"/>
          <w:szCs w:val="44"/>
          <w:lang w:val="en-GB"/>
        </w:rPr>
        <w:t>Global Business Challenges</w:t>
      </w:r>
    </w:p>
    <w:p w14:paraId="6011E350" w14:textId="3B80876E" w:rsidR="0063652C" w:rsidRDefault="0063652C" w:rsidP="0064364D">
      <w:pPr>
        <w:spacing w:before="240" w:after="240"/>
        <w:jc w:val="center"/>
        <w:rPr>
          <w:rFonts w:cs="Times New Roman"/>
          <w:b/>
          <w:bCs/>
          <w:sz w:val="40"/>
          <w:szCs w:val="36"/>
          <w:lang w:val="en-GB"/>
        </w:rPr>
      </w:pPr>
      <w:r w:rsidRPr="004C6D84">
        <w:rPr>
          <w:rFonts w:cs="Times New Roman"/>
          <w:b/>
          <w:bCs/>
          <w:sz w:val="40"/>
          <w:szCs w:val="36"/>
          <w:lang w:val="en-GB"/>
        </w:rPr>
        <w:t>BMMB7006</w:t>
      </w:r>
    </w:p>
    <w:p w14:paraId="3E40CA70" w14:textId="4FEC9775" w:rsidR="00BE3902" w:rsidRPr="004C6D84" w:rsidRDefault="00BE3902" w:rsidP="0064364D">
      <w:pPr>
        <w:spacing w:before="240" w:after="240"/>
        <w:jc w:val="center"/>
        <w:rPr>
          <w:rFonts w:cs="Times New Roman"/>
          <w:b/>
          <w:bCs/>
          <w:sz w:val="40"/>
          <w:szCs w:val="36"/>
          <w:lang w:val="en-GB"/>
        </w:rPr>
      </w:pPr>
      <w:r>
        <w:rPr>
          <w:rFonts w:cs="Times New Roman"/>
          <w:b/>
          <w:bCs/>
          <w:sz w:val="40"/>
          <w:szCs w:val="36"/>
          <w:lang w:val="en-GB"/>
        </w:rPr>
        <w:t>Student Name: Vedant Vyas (2516706)</w:t>
      </w:r>
    </w:p>
    <w:p w14:paraId="1C157D6E" w14:textId="71707A65" w:rsidR="0063652C" w:rsidRPr="004C6D84" w:rsidRDefault="0063652C" w:rsidP="0064364D">
      <w:pPr>
        <w:spacing w:before="240" w:after="240"/>
        <w:jc w:val="center"/>
        <w:rPr>
          <w:rFonts w:cs="Times New Roman"/>
          <w:b/>
          <w:bCs/>
          <w:sz w:val="40"/>
          <w:szCs w:val="36"/>
          <w:lang w:val="en-GB"/>
        </w:rPr>
      </w:pPr>
      <w:r w:rsidRPr="004C6D84">
        <w:rPr>
          <w:rFonts w:cs="Times New Roman"/>
          <w:b/>
          <w:bCs/>
          <w:sz w:val="40"/>
          <w:szCs w:val="36"/>
          <w:lang w:val="en-GB"/>
        </w:rPr>
        <w:t>Assignment Title: Global Challenges</w:t>
      </w:r>
    </w:p>
    <w:p w14:paraId="191DFCEA" w14:textId="77777777" w:rsidR="0063652C" w:rsidRPr="004C6D84" w:rsidRDefault="0063652C" w:rsidP="0064364D">
      <w:pPr>
        <w:spacing w:before="240" w:after="240"/>
        <w:rPr>
          <w:rFonts w:cs="Times New Roman"/>
          <w:lang w:val="en-GB"/>
        </w:rPr>
      </w:pPr>
    </w:p>
    <w:p w14:paraId="5F5D9DFA" w14:textId="77777777" w:rsidR="002A0F68" w:rsidRPr="00DF7872" w:rsidRDefault="0063652C" w:rsidP="0064364D">
      <w:pPr>
        <w:spacing w:before="240" w:after="240"/>
        <w:jc w:val="center"/>
        <w:rPr>
          <w:rFonts w:cs="Times New Roman"/>
          <w:b/>
          <w:bCs/>
          <w:sz w:val="32"/>
          <w:szCs w:val="28"/>
          <w:lang w:val="en-GB"/>
        </w:rPr>
      </w:pPr>
      <w:r w:rsidRPr="00DF7872">
        <w:rPr>
          <w:rFonts w:cs="Times New Roman"/>
          <w:b/>
          <w:bCs/>
          <w:sz w:val="32"/>
          <w:szCs w:val="28"/>
          <w:lang w:val="en-GB"/>
        </w:rPr>
        <w:t>Title: AI Risk Governance in Multinational Banking: Regulatory Divergence, Ethical Challenges and Strategic Responses in HSBC</w:t>
      </w:r>
    </w:p>
    <w:p w14:paraId="162F0921" w14:textId="77777777" w:rsidR="002A0F68" w:rsidRPr="004C6D84" w:rsidRDefault="002A0F68" w:rsidP="0064364D">
      <w:pPr>
        <w:spacing w:before="240" w:after="240"/>
        <w:jc w:val="center"/>
        <w:rPr>
          <w:rFonts w:cs="Times New Roman"/>
          <w:b/>
          <w:bCs/>
          <w:i/>
          <w:iCs/>
          <w:sz w:val="32"/>
          <w:szCs w:val="28"/>
          <w:lang w:val="en-GB"/>
        </w:rPr>
      </w:pPr>
    </w:p>
    <w:p w14:paraId="3D21E535" w14:textId="77777777" w:rsidR="006351FD" w:rsidRPr="004C6D84" w:rsidRDefault="002A0F68" w:rsidP="0064364D">
      <w:pPr>
        <w:spacing w:before="240" w:after="240"/>
        <w:jc w:val="center"/>
        <w:rPr>
          <w:rFonts w:cs="Times New Roman"/>
          <w:b/>
          <w:bCs/>
          <w:i/>
          <w:iCs/>
          <w:lang w:val="en-GB"/>
        </w:rPr>
      </w:pPr>
      <w:r w:rsidRPr="004C6D84">
        <w:rPr>
          <w:rFonts w:cs="Times New Roman"/>
          <w:noProof/>
          <w:lang w:val="en-GB"/>
        </w:rPr>
        <w:drawing>
          <wp:inline distT="0" distB="0" distL="0" distR="0" wp14:anchorId="7AC966C0" wp14:editId="39FFAEBF">
            <wp:extent cx="3501341" cy="938254"/>
            <wp:effectExtent l="0" t="0" r="4445" b="0"/>
            <wp:docPr id="560558904" name="Picture 2" descr="HSBC Group corporate website | HSBC Holdings plc"/>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HSBC Group corporate website | HSBC Holdings plc"/>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3513235" cy="941441"/>
                    </a:xfrm>
                    <a:prstGeom prst="rect">
                      <a:avLst/>
                    </a:prstGeom>
                    <a:noFill/>
                    <a:ln>
                      <a:noFill/>
                    </a:ln>
                  </pic:spPr>
                </pic:pic>
              </a:graphicData>
            </a:graphic>
          </wp:inline>
        </w:drawing>
      </w:r>
    </w:p>
    <w:p w14:paraId="690C0F47" w14:textId="77777777" w:rsidR="006351FD" w:rsidRPr="004C6D84" w:rsidRDefault="006351FD" w:rsidP="0064364D">
      <w:pPr>
        <w:spacing w:before="240" w:after="240"/>
        <w:jc w:val="center"/>
        <w:rPr>
          <w:rFonts w:cs="Times New Roman"/>
          <w:b/>
          <w:bCs/>
          <w:i/>
          <w:iCs/>
          <w:lang w:val="en-GB"/>
        </w:rPr>
      </w:pPr>
    </w:p>
    <w:p w14:paraId="7959B3AB" w14:textId="147C4D4E" w:rsidR="00546ABE" w:rsidRPr="004C6D84" w:rsidRDefault="006351FD" w:rsidP="0064364D">
      <w:pPr>
        <w:spacing w:before="240" w:after="240"/>
        <w:jc w:val="center"/>
        <w:rPr>
          <w:rFonts w:cs="Times New Roman"/>
          <w:b/>
          <w:bCs/>
          <w:lang w:val="en-GB"/>
        </w:rPr>
      </w:pPr>
      <w:r w:rsidRPr="004C6D84">
        <w:rPr>
          <w:rFonts w:cs="Times New Roman"/>
          <w:b/>
          <w:bCs/>
          <w:lang w:val="en-GB"/>
        </w:rPr>
        <w:t>Word Count: 5352</w:t>
      </w:r>
      <w:r w:rsidR="00546ABE" w:rsidRPr="004C6D84">
        <w:rPr>
          <w:rFonts w:cs="Times New Roman"/>
          <w:b/>
          <w:bCs/>
          <w:lang w:val="en-GB"/>
        </w:rPr>
        <w:br w:type="page"/>
      </w:r>
    </w:p>
    <w:p w14:paraId="54428C13" w14:textId="6ACDEF14" w:rsidR="00786F69" w:rsidRPr="004C6D84" w:rsidRDefault="00424F41" w:rsidP="0064364D">
      <w:pPr>
        <w:spacing w:before="240" w:after="240"/>
        <w:rPr>
          <w:rFonts w:cs="Times New Roman"/>
          <w:b/>
          <w:bCs/>
          <w:lang w:val="en-GB"/>
        </w:rPr>
      </w:pPr>
      <w:r w:rsidRPr="004C6D84">
        <w:rPr>
          <w:rFonts w:cs="Times New Roman"/>
          <w:b/>
          <w:bCs/>
          <w:sz w:val="28"/>
          <w:szCs w:val="28"/>
          <w:lang w:val="en-GB"/>
        </w:rPr>
        <w:lastRenderedPageBreak/>
        <w:t>Executive Summary</w:t>
      </w:r>
    </w:p>
    <w:p w14:paraId="1804A932" w14:textId="77777777" w:rsidR="003D2736" w:rsidRPr="004C6D84" w:rsidRDefault="00424F41" w:rsidP="0064364D">
      <w:pPr>
        <w:spacing w:before="240" w:after="240"/>
        <w:rPr>
          <w:rFonts w:cs="Times New Roman"/>
          <w:lang w:val="en-GB"/>
        </w:rPr>
      </w:pPr>
      <w:r w:rsidRPr="004C6D84">
        <w:rPr>
          <w:rFonts w:cs="Times New Roman"/>
          <w:lang w:val="en-GB"/>
        </w:rPr>
        <w:t>This report discusses the implications of artificial intelligence (AI) for risk management at HSBC, including data governance, ethical AI, regulatory compliance, and customer trust in the United Kingdom and the European Union. The results suggest that, on the one hand, AI implementation increases operational efficiency and decision-making processes; on the other hand, it exposes HSBC to data abuse, algorithmic bias, regulatory drift, and reputational risk.</w:t>
      </w:r>
    </w:p>
    <w:p w14:paraId="05DB930C" w14:textId="77777777" w:rsidR="003D2736" w:rsidRPr="004C6D84" w:rsidRDefault="00424F41" w:rsidP="0064364D">
      <w:pPr>
        <w:spacing w:before="240" w:after="240"/>
        <w:rPr>
          <w:rFonts w:cs="Times New Roman"/>
          <w:lang w:val="en-GB"/>
        </w:rPr>
      </w:pPr>
      <w:r w:rsidRPr="004C6D84">
        <w:rPr>
          <w:rFonts w:cs="Times New Roman"/>
          <w:lang w:val="en-GB"/>
        </w:rPr>
        <w:t>The analysis finds a major issue due to the differences between the flexible and principles-based regulatory approach in the UK and the strict framework in the EU, as defined by the EU AI Act and the General Data Protection Regulation. This inconsistency adds to the complexity of compliance and requires a coherent but flexible approach to governance.</w:t>
      </w:r>
    </w:p>
    <w:p w14:paraId="53A4E975" w14:textId="77777777" w:rsidR="003D2736" w:rsidRPr="004C6D84" w:rsidRDefault="00424F41" w:rsidP="0064364D">
      <w:pPr>
        <w:spacing w:before="240" w:after="240"/>
        <w:rPr>
          <w:rFonts w:cs="Times New Roman"/>
          <w:lang w:val="en-GB"/>
        </w:rPr>
      </w:pPr>
      <w:r w:rsidRPr="004C6D84">
        <w:rPr>
          <w:rFonts w:cs="Times New Roman"/>
          <w:lang w:val="en-GB"/>
        </w:rPr>
        <w:t>It is proposed that HSBC integrate AI risk management, based on EU regulatory standards, and employ UK flexibility to control innovation. The main priorities are to enhance data governance infrastructure, integrate ethical AI use with human oversight and explainability, and increase transparency to ensure customer confidence. An implementation plan is suggested to be implemented in phases to ensure effective execution.</w:t>
      </w:r>
    </w:p>
    <w:p w14:paraId="789D0CE2" w14:textId="77777777" w:rsidR="00786F69" w:rsidRPr="004C6D84" w:rsidRDefault="00424F41" w:rsidP="0064364D">
      <w:pPr>
        <w:spacing w:before="240" w:after="240"/>
        <w:rPr>
          <w:rFonts w:cs="Times New Roman"/>
          <w:lang w:val="en-GB"/>
        </w:rPr>
      </w:pPr>
      <w:r w:rsidRPr="004C6D84">
        <w:rPr>
          <w:rFonts w:cs="Times New Roman"/>
          <w:lang w:val="en-GB"/>
        </w:rPr>
        <w:t>Through synchronisation of governance, compliance and innovation, HSBC will be able to reduce AI-related risks and achieve sustainable competitive advantage in a changing global regulatory environment.</w:t>
      </w:r>
    </w:p>
    <w:p w14:paraId="3C044312" w14:textId="77777777" w:rsidR="00786F69" w:rsidRPr="004C6D84" w:rsidRDefault="00424F41" w:rsidP="0064364D">
      <w:pPr>
        <w:spacing w:before="240" w:after="240"/>
        <w:rPr>
          <w:rFonts w:cs="Times New Roman"/>
          <w:sz w:val="22"/>
          <w:lang w:val="en-GB"/>
        </w:rPr>
      </w:pPr>
      <w:r w:rsidRPr="004C6D84">
        <w:rPr>
          <w:rFonts w:cs="Times New Roman"/>
          <w:lang w:val="en-GB"/>
        </w:rPr>
        <w:br w:type="page"/>
      </w:r>
    </w:p>
    <w:sdt>
      <w:sdtPr>
        <w:rPr>
          <w:rFonts w:ascii="Times New Roman" w:eastAsiaTheme="minorHAnsi" w:hAnsi="Times New Roman" w:cs="Times New Roman"/>
          <w:color w:val="auto"/>
          <w:kern w:val="2"/>
          <w:sz w:val="24"/>
          <w:szCs w:val="22"/>
          <w:lang w:val="en-GB"/>
          <w14:ligatures w14:val="standardContextual"/>
        </w:rPr>
        <w:id w:val="-315025682"/>
        <w:docPartObj>
          <w:docPartGallery w:val="Table of Contents"/>
          <w:docPartUnique/>
        </w:docPartObj>
      </w:sdtPr>
      <w:sdtEndPr>
        <w:rPr>
          <w:b/>
          <w:bCs/>
          <w:noProof/>
        </w:rPr>
      </w:sdtEndPr>
      <w:sdtContent>
        <w:p w14:paraId="0A8DE4E1" w14:textId="77777777" w:rsidR="006D4E38" w:rsidRPr="004C6D84" w:rsidRDefault="00424F41" w:rsidP="0064364D">
          <w:pPr>
            <w:pStyle w:val="TOCHeading"/>
            <w:spacing w:after="240" w:line="360" w:lineRule="auto"/>
            <w:jc w:val="center"/>
            <w:rPr>
              <w:rFonts w:ascii="Times New Roman" w:hAnsi="Times New Roman" w:cs="Times New Roman"/>
              <w:b/>
              <w:bCs/>
              <w:color w:val="auto"/>
              <w:sz w:val="28"/>
              <w:szCs w:val="28"/>
              <w:lang w:val="en-GB"/>
            </w:rPr>
          </w:pPr>
          <w:r w:rsidRPr="004C6D84">
            <w:rPr>
              <w:rFonts w:ascii="Times New Roman" w:hAnsi="Times New Roman" w:cs="Times New Roman"/>
              <w:b/>
              <w:bCs/>
              <w:color w:val="auto"/>
              <w:sz w:val="28"/>
              <w:szCs w:val="28"/>
              <w:lang w:val="en-GB"/>
            </w:rPr>
            <w:t>Table of Contents</w:t>
          </w:r>
        </w:p>
        <w:p w14:paraId="22233C06" w14:textId="5F1EA300" w:rsidR="00BE3902" w:rsidRDefault="00424F41">
          <w:pPr>
            <w:pStyle w:val="TOC1"/>
            <w:tabs>
              <w:tab w:val="right" w:leader="dot" w:pos="9016"/>
            </w:tabs>
            <w:rPr>
              <w:rFonts w:asciiTheme="minorHAnsi" w:eastAsiaTheme="minorEastAsia" w:hAnsiTheme="minorHAnsi"/>
              <w:noProof/>
              <w:szCs w:val="24"/>
              <w:lang w:val="en-GB" w:eastAsia="en-GB" w:bidi="gu-IN"/>
            </w:rPr>
          </w:pPr>
          <w:r w:rsidRPr="004C6D84">
            <w:rPr>
              <w:rFonts w:cs="Times New Roman"/>
              <w:lang w:val="en-GB"/>
            </w:rPr>
            <w:fldChar w:fldCharType="begin"/>
          </w:r>
          <w:r w:rsidRPr="004C6D84">
            <w:rPr>
              <w:rFonts w:cs="Times New Roman"/>
              <w:lang w:val="en-GB"/>
            </w:rPr>
            <w:instrText xml:space="preserve"> TOC \o "1-3" \h \z \u </w:instrText>
          </w:r>
          <w:r w:rsidRPr="004C6D84">
            <w:rPr>
              <w:rFonts w:cs="Times New Roman"/>
              <w:lang w:val="en-GB"/>
            </w:rPr>
            <w:fldChar w:fldCharType="separate"/>
          </w:r>
          <w:hyperlink w:anchor="_Toc228125361" w:history="1">
            <w:r w:rsidR="00BE3902" w:rsidRPr="009F499C">
              <w:rPr>
                <w:rStyle w:val="Hyperlink"/>
                <w:rFonts w:cs="Times New Roman"/>
                <w:noProof/>
                <w:lang w:val="en-GB"/>
              </w:rPr>
              <w:t>1. Introduction</w:t>
            </w:r>
            <w:r w:rsidR="00BE3902">
              <w:rPr>
                <w:noProof/>
                <w:webHidden/>
              </w:rPr>
              <w:tab/>
            </w:r>
            <w:r w:rsidR="00BE3902">
              <w:rPr>
                <w:noProof/>
                <w:webHidden/>
              </w:rPr>
              <w:fldChar w:fldCharType="begin"/>
            </w:r>
            <w:r w:rsidR="00BE3902">
              <w:rPr>
                <w:noProof/>
                <w:webHidden/>
              </w:rPr>
              <w:instrText xml:space="preserve"> PAGEREF _Toc228125361 \h </w:instrText>
            </w:r>
            <w:r w:rsidR="00BE3902">
              <w:rPr>
                <w:noProof/>
                <w:webHidden/>
              </w:rPr>
            </w:r>
            <w:r w:rsidR="00BE3902">
              <w:rPr>
                <w:noProof/>
                <w:webHidden/>
              </w:rPr>
              <w:fldChar w:fldCharType="separate"/>
            </w:r>
            <w:r w:rsidR="00BE3902">
              <w:rPr>
                <w:noProof/>
                <w:webHidden/>
              </w:rPr>
              <w:t>6</w:t>
            </w:r>
            <w:r w:rsidR="00BE3902">
              <w:rPr>
                <w:noProof/>
                <w:webHidden/>
              </w:rPr>
              <w:fldChar w:fldCharType="end"/>
            </w:r>
          </w:hyperlink>
        </w:p>
        <w:p w14:paraId="3CC27E75" w14:textId="43B77FA7" w:rsidR="00BE3902" w:rsidRDefault="00BE3902">
          <w:pPr>
            <w:pStyle w:val="TOC1"/>
            <w:tabs>
              <w:tab w:val="right" w:leader="dot" w:pos="9016"/>
            </w:tabs>
            <w:rPr>
              <w:rFonts w:asciiTheme="minorHAnsi" w:eastAsiaTheme="minorEastAsia" w:hAnsiTheme="minorHAnsi"/>
              <w:noProof/>
              <w:szCs w:val="24"/>
              <w:lang w:val="en-GB" w:eastAsia="en-GB" w:bidi="gu-IN"/>
            </w:rPr>
          </w:pPr>
          <w:hyperlink w:anchor="_Toc228125362" w:history="1">
            <w:r w:rsidRPr="009F499C">
              <w:rPr>
                <w:rStyle w:val="Hyperlink"/>
                <w:rFonts w:cs="Times New Roman"/>
                <w:noProof/>
                <w:lang w:val="en-GB"/>
              </w:rPr>
              <w:t>2. Macroeconomic &amp; Business Environment</w:t>
            </w:r>
            <w:r>
              <w:rPr>
                <w:noProof/>
                <w:webHidden/>
              </w:rPr>
              <w:tab/>
            </w:r>
            <w:r>
              <w:rPr>
                <w:noProof/>
                <w:webHidden/>
              </w:rPr>
              <w:fldChar w:fldCharType="begin"/>
            </w:r>
            <w:r>
              <w:rPr>
                <w:noProof/>
                <w:webHidden/>
              </w:rPr>
              <w:instrText xml:space="preserve"> PAGEREF _Toc228125362 \h </w:instrText>
            </w:r>
            <w:r>
              <w:rPr>
                <w:noProof/>
                <w:webHidden/>
              </w:rPr>
            </w:r>
            <w:r>
              <w:rPr>
                <w:noProof/>
                <w:webHidden/>
              </w:rPr>
              <w:fldChar w:fldCharType="separate"/>
            </w:r>
            <w:r>
              <w:rPr>
                <w:noProof/>
                <w:webHidden/>
              </w:rPr>
              <w:t>7</w:t>
            </w:r>
            <w:r>
              <w:rPr>
                <w:noProof/>
                <w:webHidden/>
              </w:rPr>
              <w:fldChar w:fldCharType="end"/>
            </w:r>
          </w:hyperlink>
        </w:p>
        <w:p w14:paraId="0C7A24E6" w14:textId="7DA1D0C1" w:rsidR="00BE3902" w:rsidRDefault="00BE3902">
          <w:pPr>
            <w:pStyle w:val="TOC1"/>
            <w:tabs>
              <w:tab w:val="right" w:leader="dot" w:pos="9016"/>
            </w:tabs>
            <w:rPr>
              <w:rFonts w:asciiTheme="minorHAnsi" w:eastAsiaTheme="minorEastAsia" w:hAnsiTheme="minorHAnsi"/>
              <w:noProof/>
              <w:szCs w:val="24"/>
              <w:lang w:val="en-GB" w:eastAsia="en-GB" w:bidi="gu-IN"/>
            </w:rPr>
          </w:pPr>
          <w:hyperlink w:anchor="_Toc228125363" w:history="1">
            <w:r w:rsidRPr="009F499C">
              <w:rPr>
                <w:rStyle w:val="Hyperlink"/>
                <w:rFonts w:cs="Times New Roman"/>
                <w:noProof/>
                <w:lang w:val="en-GB"/>
              </w:rPr>
              <w:t>3. AI Risk Landscape in HSBC</w:t>
            </w:r>
            <w:r>
              <w:rPr>
                <w:noProof/>
                <w:webHidden/>
              </w:rPr>
              <w:tab/>
            </w:r>
            <w:r>
              <w:rPr>
                <w:noProof/>
                <w:webHidden/>
              </w:rPr>
              <w:fldChar w:fldCharType="begin"/>
            </w:r>
            <w:r>
              <w:rPr>
                <w:noProof/>
                <w:webHidden/>
              </w:rPr>
              <w:instrText xml:space="preserve"> PAGEREF _Toc228125363 \h </w:instrText>
            </w:r>
            <w:r>
              <w:rPr>
                <w:noProof/>
                <w:webHidden/>
              </w:rPr>
            </w:r>
            <w:r>
              <w:rPr>
                <w:noProof/>
                <w:webHidden/>
              </w:rPr>
              <w:fldChar w:fldCharType="separate"/>
            </w:r>
            <w:r>
              <w:rPr>
                <w:noProof/>
                <w:webHidden/>
              </w:rPr>
              <w:t>10</w:t>
            </w:r>
            <w:r>
              <w:rPr>
                <w:noProof/>
                <w:webHidden/>
              </w:rPr>
              <w:fldChar w:fldCharType="end"/>
            </w:r>
          </w:hyperlink>
        </w:p>
        <w:p w14:paraId="44E64F97" w14:textId="7D81FAF6" w:rsidR="00BE3902" w:rsidRDefault="00BE3902">
          <w:pPr>
            <w:pStyle w:val="TOC2"/>
            <w:tabs>
              <w:tab w:val="right" w:leader="dot" w:pos="9016"/>
            </w:tabs>
            <w:rPr>
              <w:rFonts w:asciiTheme="minorHAnsi" w:eastAsiaTheme="minorEastAsia" w:hAnsiTheme="minorHAnsi"/>
              <w:noProof/>
              <w:szCs w:val="24"/>
              <w:lang w:val="en-GB" w:eastAsia="en-GB" w:bidi="gu-IN"/>
            </w:rPr>
          </w:pPr>
          <w:hyperlink w:anchor="_Toc228125364" w:history="1">
            <w:r w:rsidRPr="009F499C">
              <w:rPr>
                <w:rStyle w:val="Hyperlink"/>
                <w:rFonts w:cs="Times New Roman"/>
                <w:noProof/>
                <w:lang w:val="en-GB"/>
              </w:rPr>
              <w:t>3.1 Data Governance Risks</w:t>
            </w:r>
            <w:r>
              <w:rPr>
                <w:noProof/>
                <w:webHidden/>
              </w:rPr>
              <w:tab/>
            </w:r>
            <w:r>
              <w:rPr>
                <w:noProof/>
                <w:webHidden/>
              </w:rPr>
              <w:fldChar w:fldCharType="begin"/>
            </w:r>
            <w:r>
              <w:rPr>
                <w:noProof/>
                <w:webHidden/>
              </w:rPr>
              <w:instrText xml:space="preserve"> PAGEREF _Toc228125364 \h </w:instrText>
            </w:r>
            <w:r>
              <w:rPr>
                <w:noProof/>
                <w:webHidden/>
              </w:rPr>
            </w:r>
            <w:r>
              <w:rPr>
                <w:noProof/>
                <w:webHidden/>
              </w:rPr>
              <w:fldChar w:fldCharType="separate"/>
            </w:r>
            <w:r>
              <w:rPr>
                <w:noProof/>
                <w:webHidden/>
              </w:rPr>
              <w:t>11</w:t>
            </w:r>
            <w:r>
              <w:rPr>
                <w:noProof/>
                <w:webHidden/>
              </w:rPr>
              <w:fldChar w:fldCharType="end"/>
            </w:r>
          </w:hyperlink>
        </w:p>
        <w:p w14:paraId="52882AFF" w14:textId="69C164F4" w:rsidR="00BE3902" w:rsidRDefault="00BE3902">
          <w:pPr>
            <w:pStyle w:val="TOC2"/>
            <w:tabs>
              <w:tab w:val="right" w:leader="dot" w:pos="9016"/>
            </w:tabs>
            <w:rPr>
              <w:rFonts w:asciiTheme="minorHAnsi" w:eastAsiaTheme="minorEastAsia" w:hAnsiTheme="minorHAnsi"/>
              <w:noProof/>
              <w:szCs w:val="24"/>
              <w:lang w:val="en-GB" w:eastAsia="en-GB" w:bidi="gu-IN"/>
            </w:rPr>
          </w:pPr>
          <w:hyperlink w:anchor="_Toc228125365" w:history="1">
            <w:r w:rsidRPr="009F499C">
              <w:rPr>
                <w:rStyle w:val="Hyperlink"/>
                <w:rFonts w:cs="Times New Roman"/>
                <w:noProof/>
                <w:lang w:val="en-GB"/>
              </w:rPr>
              <w:t>3.2 Ethical AI Risks</w:t>
            </w:r>
            <w:r>
              <w:rPr>
                <w:noProof/>
                <w:webHidden/>
              </w:rPr>
              <w:tab/>
            </w:r>
            <w:r>
              <w:rPr>
                <w:noProof/>
                <w:webHidden/>
              </w:rPr>
              <w:fldChar w:fldCharType="begin"/>
            </w:r>
            <w:r>
              <w:rPr>
                <w:noProof/>
                <w:webHidden/>
              </w:rPr>
              <w:instrText xml:space="preserve"> PAGEREF _Toc228125365 \h </w:instrText>
            </w:r>
            <w:r>
              <w:rPr>
                <w:noProof/>
                <w:webHidden/>
              </w:rPr>
            </w:r>
            <w:r>
              <w:rPr>
                <w:noProof/>
                <w:webHidden/>
              </w:rPr>
              <w:fldChar w:fldCharType="separate"/>
            </w:r>
            <w:r>
              <w:rPr>
                <w:noProof/>
                <w:webHidden/>
              </w:rPr>
              <w:t>12</w:t>
            </w:r>
            <w:r>
              <w:rPr>
                <w:noProof/>
                <w:webHidden/>
              </w:rPr>
              <w:fldChar w:fldCharType="end"/>
            </w:r>
          </w:hyperlink>
        </w:p>
        <w:p w14:paraId="4CE65BFE" w14:textId="40EF9E86" w:rsidR="00BE3902" w:rsidRDefault="00BE3902">
          <w:pPr>
            <w:pStyle w:val="TOC2"/>
            <w:tabs>
              <w:tab w:val="right" w:leader="dot" w:pos="9016"/>
            </w:tabs>
            <w:rPr>
              <w:rFonts w:asciiTheme="minorHAnsi" w:eastAsiaTheme="minorEastAsia" w:hAnsiTheme="minorHAnsi"/>
              <w:noProof/>
              <w:szCs w:val="24"/>
              <w:lang w:val="en-GB" w:eastAsia="en-GB" w:bidi="gu-IN"/>
            </w:rPr>
          </w:pPr>
          <w:hyperlink w:anchor="_Toc228125366" w:history="1">
            <w:r w:rsidRPr="009F499C">
              <w:rPr>
                <w:rStyle w:val="Hyperlink"/>
                <w:rFonts w:cs="Times New Roman"/>
                <w:noProof/>
                <w:lang w:val="en-GB"/>
              </w:rPr>
              <w:t>3.3 Regulatory and Compliance Risks</w:t>
            </w:r>
            <w:r>
              <w:rPr>
                <w:noProof/>
                <w:webHidden/>
              </w:rPr>
              <w:tab/>
            </w:r>
            <w:r>
              <w:rPr>
                <w:noProof/>
                <w:webHidden/>
              </w:rPr>
              <w:fldChar w:fldCharType="begin"/>
            </w:r>
            <w:r>
              <w:rPr>
                <w:noProof/>
                <w:webHidden/>
              </w:rPr>
              <w:instrText xml:space="preserve"> PAGEREF _Toc228125366 \h </w:instrText>
            </w:r>
            <w:r>
              <w:rPr>
                <w:noProof/>
                <w:webHidden/>
              </w:rPr>
            </w:r>
            <w:r>
              <w:rPr>
                <w:noProof/>
                <w:webHidden/>
              </w:rPr>
              <w:fldChar w:fldCharType="separate"/>
            </w:r>
            <w:r>
              <w:rPr>
                <w:noProof/>
                <w:webHidden/>
              </w:rPr>
              <w:t>12</w:t>
            </w:r>
            <w:r>
              <w:rPr>
                <w:noProof/>
                <w:webHidden/>
              </w:rPr>
              <w:fldChar w:fldCharType="end"/>
            </w:r>
          </w:hyperlink>
        </w:p>
        <w:p w14:paraId="3C63F391" w14:textId="1EA48A75" w:rsidR="00BE3902" w:rsidRDefault="00BE3902">
          <w:pPr>
            <w:pStyle w:val="TOC2"/>
            <w:tabs>
              <w:tab w:val="right" w:leader="dot" w:pos="9016"/>
            </w:tabs>
            <w:rPr>
              <w:rFonts w:asciiTheme="minorHAnsi" w:eastAsiaTheme="minorEastAsia" w:hAnsiTheme="minorHAnsi"/>
              <w:noProof/>
              <w:szCs w:val="24"/>
              <w:lang w:val="en-GB" w:eastAsia="en-GB" w:bidi="gu-IN"/>
            </w:rPr>
          </w:pPr>
          <w:hyperlink w:anchor="_Toc228125367" w:history="1">
            <w:r w:rsidRPr="009F499C">
              <w:rPr>
                <w:rStyle w:val="Hyperlink"/>
                <w:rFonts w:cs="Times New Roman"/>
                <w:noProof/>
                <w:lang w:val="en-GB"/>
              </w:rPr>
              <w:t>3.4 Operational and Cyber Risks</w:t>
            </w:r>
            <w:r>
              <w:rPr>
                <w:noProof/>
                <w:webHidden/>
              </w:rPr>
              <w:tab/>
            </w:r>
            <w:r>
              <w:rPr>
                <w:noProof/>
                <w:webHidden/>
              </w:rPr>
              <w:fldChar w:fldCharType="begin"/>
            </w:r>
            <w:r>
              <w:rPr>
                <w:noProof/>
                <w:webHidden/>
              </w:rPr>
              <w:instrText xml:space="preserve"> PAGEREF _Toc228125367 \h </w:instrText>
            </w:r>
            <w:r>
              <w:rPr>
                <w:noProof/>
                <w:webHidden/>
              </w:rPr>
            </w:r>
            <w:r>
              <w:rPr>
                <w:noProof/>
                <w:webHidden/>
              </w:rPr>
              <w:fldChar w:fldCharType="separate"/>
            </w:r>
            <w:r>
              <w:rPr>
                <w:noProof/>
                <w:webHidden/>
              </w:rPr>
              <w:t>13</w:t>
            </w:r>
            <w:r>
              <w:rPr>
                <w:noProof/>
                <w:webHidden/>
              </w:rPr>
              <w:fldChar w:fldCharType="end"/>
            </w:r>
          </w:hyperlink>
        </w:p>
        <w:p w14:paraId="6183E8C6" w14:textId="7313200F" w:rsidR="00BE3902" w:rsidRDefault="00BE3902">
          <w:pPr>
            <w:pStyle w:val="TOC2"/>
            <w:tabs>
              <w:tab w:val="right" w:leader="dot" w:pos="9016"/>
            </w:tabs>
            <w:rPr>
              <w:rFonts w:asciiTheme="minorHAnsi" w:eastAsiaTheme="minorEastAsia" w:hAnsiTheme="minorHAnsi"/>
              <w:noProof/>
              <w:szCs w:val="24"/>
              <w:lang w:val="en-GB" w:eastAsia="en-GB" w:bidi="gu-IN"/>
            </w:rPr>
          </w:pPr>
          <w:hyperlink w:anchor="_Toc228125368" w:history="1">
            <w:r w:rsidRPr="009F499C">
              <w:rPr>
                <w:rStyle w:val="Hyperlink"/>
                <w:rFonts w:cs="Times New Roman"/>
                <w:noProof/>
                <w:lang w:val="en-GB"/>
              </w:rPr>
              <w:t>3.5 Reputational and Customer Trust Risks</w:t>
            </w:r>
            <w:r>
              <w:rPr>
                <w:noProof/>
                <w:webHidden/>
              </w:rPr>
              <w:tab/>
            </w:r>
            <w:r>
              <w:rPr>
                <w:noProof/>
                <w:webHidden/>
              </w:rPr>
              <w:fldChar w:fldCharType="begin"/>
            </w:r>
            <w:r>
              <w:rPr>
                <w:noProof/>
                <w:webHidden/>
              </w:rPr>
              <w:instrText xml:space="preserve"> PAGEREF _Toc228125368 \h </w:instrText>
            </w:r>
            <w:r>
              <w:rPr>
                <w:noProof/>
                <w:webHidden/>
              </w:rPr>
            </w:r>
            <w:r>
              <w:rPr>
                <w:noProof/>
                <w:webHidden/>
              </w:rPr>
              <w:fldChar w:fldCharType="separate"/>
            </w:r>
            <w:r>
              <w:rPr>
                <w:noProof/>
                <w:webHidden/>
              </w:rPr>
              <w:t>13</w:t>
            </w:r>
            <w:r>
              <w:rPr>
                <w:noProof/>
                <w:webHidden/>
              </w:rPr>
              <w:fldChar w:fldCharType="end"/>
            </w:r>
          </w:hyperlink>
        </w:p>
        <w:p w14:paraId="1C85F1BD" w14:textId="0735CEE4" w:rsidR="00BE3902" w:rsidRDefault="00BE3902">
          <w:pPr>
            <w:pStyle w:val="TOC1"/>
            <w:tabs>
              <w:tab w:val="right" w:leader="dot" w:pos="9016"/>
            </w:tabs>
            <w:rPr>
              <w:rFonts w:asciiTheme="minorHAnsi" w:eastAsiaTheme="minorEastAsia" w:hAnsiTheme="minorHAnsi"/>
              <w:noProof/>
              <w:szCs w:val="24"/>
              <w:lang w:val="en-GB" w:eastAsia="en-GB" w:bidi="gu-IN"/>
            </w:rPr>
          </w:pPr>
          <w:hyperlink w:anchor="_Toc228125369" w:history="1">
            <w:r w:rsidRPr="009F499C">
              <w:rPr>
                <w:rStyle w:val="Hyperlink"/>
                <w:rFonts w:cs="Times New Roman"/>
                <w:noProof/>
                <w:lang w:val="en-GB"/>
              </w:rPr>
              <w:t>4. Comparative Regulatory Analysis: UK vs EU</w:t>
            </w:r>
            <w:r>
              <w:rPr>
                <w:noProof/>
                <w:webHidden/>
              </w:rPr>
              <w:tab/>
            </w:r>
            <w:r>
              <w:rPr>
                <w:noProof/>
                <w:webHidden/>
              </w:rPr>
              <w:fldChar w:fldCharType="begin"/>
            </w:r>
            <w:r>
              <w:rPr>
                <w:noProof/>
                <w:webHidden/>
              </w:rPr>
              <w:instrText xml:space="preserve"> PAGEREF _Toc228125369 \h </w:instrText>
            </w:r>
            <w:r>
              <w:rPr>
                <w:noProof/>
                <w:webHidden/>
              </w:rPr>
            </w:r>
            <w:r>
              <w:rPr>
                <w:noProof/>
                <w:webHidden/>
              </w:rPr>
              <w:fldChar w:fldCharType="separate"/>
            </w:r>
            <w:r>
              <w:rPr>
                <w:noProof/>
                <w:webHidden/>
              </w:rPr>
              <w:t>14</w:t>
            </w:r>
            <w:r>
              <w:rPr>
                <w:noProof/>
                <w:webHidden/>
              </w:rPr>
              <w:fldChar w:fldCharType="end"/>
            </w:r>
          </w:hyperlink>
        </w:p>
        <w:p w14:paraId="59979229" w14:textId="03F7CB0E" w:rsidR="00BE3902" w:rsidRDefault="00BE3902">
          <w:pPr>
            <w:pStyle w:val="TOC2"/>
            <w:tabs>
              <w:tab w:val="right" w:leader="dot" w:pos="9016"/>
            </w:tabs>
            <w:rPr>
              <w:rFonts w:asciiTheme="minorHAnsi" w:eastAsiaTheme="minorEastAsia" w:hAnsiTheme="minorHAnsi"/>
              <w:noProof/>
              <w:szCs w:val="24"/>
              <w:lang w:val="en-GB" w:eastAsia="en-GB" w:bidi="gu-IN"/>
            </w:rPr>
          </w:pPr>
          <w:hyperlink w:anchor="_Toc228125370" w:history="1">
            <w:r w:rsidRPr="009F499C">
              <w:rPr>
                <w:rStyle w:val="Hyperlink"/>
                <w:rFonts w:cs="Times New Roman"/>
                <w:noProof/>
                <w:lang w:val="en-GB"/>
              </w:rPr>
              <w:t>4.1 UK Regulatory Approach to AI in Financial Services</w:t>
            </w:r>
            <w:r>
              <w:rPr>
                <w:noProof/>
                <w:webHidden/>
              </w:rPr>
              <w:tab/>
            </w:r>
            <w:r>
              <w:rPr>
                <w:noProof/>
                <w:webHidden/>
              </w:rPr>
              <w:fldChar w:fldCharType="begin"/>
            </w:r>
            <w:r>
              <w:rPr>
                <w:noProof/>
                <w:webHidden/>
              </w:rPr>
              <w:instrText xml:space="preserve"> PAGEREF _Toc228125370 \h </w:instrText>
            </w:r>
            <w:r>
              <w:rPr>
                <w:noProof/>
                <w:webHidden/>
              </w:rPr>
            </w:r>
            <w:r>
              <w:rPr>
                <w:noProof/>
                <w:webHidden/>
              </w:rPr>
              <w:fldChar w:fldCharType="separate"/>
            </w:r>
            <w:r>
              <w:rPr>
                <w:noProof/>
                <w:webHidden/>
              </w:rPr>
              <w:t>14</w:t>
            </w:r>
            <w:r>
              <w:rPr>
                <w:noProof/>
                <w:webHidden/>
              </w:rPr>
              <w:fldChar w:fldCharType="end"/>
            </w:r>
          </w:hyperlink>
        </w:p>
        <w:p w14:paraId="26CF1912" w14:textId="263D7938" w:rsidR="00BE3902" w:rsidRDefault="00BE3902">
          <w:pPr>
            <w:pStyle w:val="TOC2"/>
            <w:tabs>
              <w:tab w:val="right" w:leader="dot" w:pos="9016"/>
            </w:tabs>
            <w:rPr>
              <w:rFonts w:asciiTheme="minorHAnsi" w:eastAsiaTheme="minorEastAsia" w:hAnsiTheme="minorHAnsi"/>
              <w:noProof/>
              <w:szCs w:val="24"/>
              <w:lang w:val="en-GB" w:eastAsia="en-GB" w:bidi="gu-IN"/>
            </w:rPr>
          </w:pPr>
          <w:hyperlink w:anchor="_Toc228125371" w:history="1">
            <w:r w:rsidRPr="009F499C">
              <w:rPr>
                <w:rStyle w:val="Hyperlink"/>
                <w:rFonts w:cs="Times New Roman"/>
                <w:noProof/>
                <w:lang w:val="en-GB"/>
              </w:rPr>
              <w:t>4.2 EU Regulatory Framework for AI and Data Governance</w:t>
            </w:r>
            <w:r>
              <w:rPr>
                <w:noProof/>
                <w:webHidden/>
              </w:rPr>
              <w:tab/>
            </w:r>
            <w:r>
              <w:rPr>
                <w:noProof/>
                <w:webHidden/>
              </w:rPr>
              <w:fldChar w:fldCharType="begin"/>
            </w:r>
            <w:r>
              <w:rPr>
                <w:noProof/>
                <w:webHidden/>
              </w:rPr>
              <w:instrText xml:space="preserve"> PAGEREF _Toc228125371 \h </w:instrText>
            </w:r>
            <w:r>
              <w:rPr>
                <w:noProof/>
                <w:webHidden/>
              </w:rPr>
            </w:r>
            <w:r>
              <w:rPr>
                <w:noProof/>
                <w:webHidden/>
              </w:rPr>
              <w:fldChar w:fldCharType="separate"/>
            </w:r>
            <w:r>
              <w:rPr>
                <w:noProof/>
                <w:webHidden/>
              </w:rPr>
              <w:t>15</w:t>
            </w:r>
            <w:r>
              <w:rPr>
                <w:noProof/>
                <w:webHidden/>
              </w:rPr>
              <w:fldChar w:fldCharType="end"/>
            </w:r>
          </w:hyperlink>
        </w:p>
        <w:p w14:paraId="720189C6" w14:textId="4411F7DD" w:rsidR="00BE3902" w:rsidRDefault="00BE3902">
          <w:pPr>
            <w:pStyle w:val="TOC2"/>
            <w:tabs>
              <w:tab w:val="right" w:leader="dot" w:pos="9016"/>
            </w:tabs>
            <w:rPr>
              <w:rFonts w:asciiTheme="minorHAnsi" w:eastAsiaTheme="minorEastAsia" w:hAnsiTheme="minorHAnsi"/>
              <w:noProof/>
              <w:szCs w:val="24"/>
              <w:lang w:val="en-GB" w:eastAsia="en-GB" w:bidi="gu-IN"/>
            </w:rPr>
          </w:pPr>
          <w:hyperlink w:anchor="_Toc228125372" w:history="1">
            <w:r w:rsidRPr="009F499C">
              <w:rPr>
                <w:rStyle w:val="Hyperlink"/>
                <w:rFonts w:cs="Times New Roman"/>
                <w:noProof/>
                <w:lang w:val="en-GB"/>
              </w:rPr>
              <w:t>4.3 Critical Comparison and Implications for HSBC</w:t>
            </w:r>
            <w:r>
              <w:rPr>
                <w:noProof/>
                <w:webHidden/>
              </w:rPr>
              <w:tab/>
            </w:r>
            <w:r>
              <w:rPr>
                <w:noProof/>
                <w:webHidden/>
              </w:rPr>
              <w:fldChar w:fldCharType="begin"/>
            </w:r>
            <w:r>
              <w:rPr>
                <w:noProof/>
                <w:webHidden/>
              </w:rPr>
              <w:instrText xml:space="preserve"> PAGEREF _Toc228125372 \h </w:instrText>
            </w:r>
            <w:r>
              <w:rPr>
                <w:noProof/>
                <w:webHidden/>
              </w:rPr>
            </w:r>
            <w:r>
              <w:rPr>
                <w:noProof/>
                <w:webHidden/>
              </w:rPr>
              <w:fldChar w:fldCharType="separate"/>
            </w:r>
            <w:r>
              <w:rPr>
                <w:noProof/>
                <w:webHidden/>
              </w:rPr>
              <w:t>16</w:t>
            </w:r>
            <w:r>
              <w:rPr>
                <w:noProof/>
                <w:webHidden/>
              </w:rPr>
              <w:fldChar w:fldCharType="end"/>
            </w:r>
          </w:hyperlink>
        </w:p>
        <w:p w14:paraId="400F60A6" w14:textId="4DA5B1CD" w:rsidR="00BE3902" w:rsidRDefault="00BE3902">
          <w:pPr>
            <w:pStyle w:val="TOC1"/>
            <w:tabs>
              <w:tab w:val="right" w:leader="dot" w:pos="9016"/>
            </w:tabs>
            <w:rPr>
              <w:rFonts w:asciiTheme="minorHAnsi" w:eastAsiaTheme="minorEastAsia" w:hAnsiTheme="minorHAnsi"/>
              <w:noProof/>
              <w:szCs w:val="24"/>
              <w:lang w:val="en-GB" w:eastAsia="en-GB" w:bidi="gu-IN"/>
            </w:rPr>
          </w:pPr>
          <w:hyperlink w:anchor="_Toc228125373" w:history="1">
            <w:r w:rsidRPr="009F499C">
              <w:rPr>
                <w:rStyle w:val="Hyperlink"/>
                <w:rFonts w:cs="Times New Roman"/>
                <w:noProof/>
                <w:lang w:val="en-GB"/>
              </w:rPr>
              <w:t>5. Strategic Risk Management Framework</w:t>
            </w:r>
            <w:r>
              <w:rPr>
                <w:noProof/>
                <w:webHidden/>
              </w:rPr>
              <w:tab/>
            </w:r>
            <w:r>
              <w:rPr>
                <w:noProof/>
                <w:webHidden/>
              </w:rPr>
              <w:fldChar w:fldCharType="begin"/>
            </w:r>
            <w:r>
              <w:rPr>
                <w:noProof/>
                <w:webHidden/>
              </w:rPr>
              <w:instrText xml:space="preserve"> PAGEREF _Toc228125373 \h </w:instrText>
            </w:r>
            <w:r>
              <w:rPr>
                <w:noProof/>
                <w:webHidden/>
              </w:rPr>
            </w:r>
            <w:r>
              <w:rPr>
                <w:noProof/>
                <w:webHidden/>
              </w:rPr>
              <w:fldChar w:fldCharType="separate"/>
            </w:r>
            <w:r>
              <w:rPr>
                <w:noProof/>
                <w:webHidden/>
              </w:rPr>
              <w:t>17</w:t>
            </w:r>
            <w:r>
              <w:rPr>
                <w:noProof/>
                <w:webHidden/>
              </w:rPr>
              <w:fldChar w:fldCharType="end"/>
            </w:r>
          </w:hyperlink>
        </w:p>
        <w:p w14:paraId="28FB938D" w14:textId="4EF8969B" w:rsidR="00BE3902" w:rsidRDefault="00BE3902">
          <w:pPr>
            <w:pStyle w:val="TOC2"/>
            <w:tabs>
              <w:tab w:val="right" w:leader="dot" w:pos="9016"/>
            </w:tabs>
            <w:rPr>
              <w:rFonts w:asciiTheme="minorHAnsi" w:eastAsiaTheme="minorEastAsia" w:hAnsiTheme="minorHAnsi"/>
              <w:noProof/>
              <w:szCs w:val="24"/>
              <w:lang w:val="en-GB" w:eastAsia="en-GB" w:bidi="gu-IN"/>
            </w:rPr>
          </w:pPr>
          <w:hyperlink w:anchor="_Toc228125374" w:history="1">
            <w:r w:rsidRPr="009F499C">
              <w:rPr>
                <w:rStyle w:val="Hyperlink"/>
                <w:rFonts w:cs="Times New Roman"/>
                <w:noProof/>
                <w:lang w:val="en-GB"/>
              </w:rPr>
              <w:t>5.1 Integrated AI Governance Framework</w:t>
            </w:r>
            <w:r>
              <w:rPr>
                <w:noProof/>
                <w:webHidden/>
              </w:rPr>
              <w:tab/>
            </w:r>
            <w:r>
              <w:rPr>
                <w:noProof/>
                <w:webHidden/>
              </w:rPr>
              <w:fldChar w:fldCharType="begin"/>
            </w:r>
            <w:r>
              <w:rPr>
                <w:noProof/>
                <w:webHidden/>
              </w:rPr>
              <w:instrText xml:space="preserve"> PAGEREF _Toc228125374 \h </w:instrText>
            </w:r>
            <w:r>
              <w:rPr>
                <w:noProof/>
                <w:webHidden/>
              </w:rPr>
            </w:r>
            <w:r>
              <w:rPr>
                <w:noProof/>
                <w:webHidden/>
              </w:rPr>
              <w:fldChar w:fldCharType="separate"/>
            </w:r>
            <w:r>
              <w:rPr>
                <w:noProof/>
                <w:webHidden/>
              </w:rPr>
              <w:t>17</w:t>
            </w:r>
            <w:r>
              <w:rPr>
                <w:noProof/>
                <w:webHidden/>
              </w:rPr>
              <w:fldChar w:fldCharType="end"/>
            </w:r>
          </w:hyperlink>
        </w:p>
        <w:p w14:paraId="56585A7E" w14:textId="46421442" w:rsidR="00BE3902" w:rsidRDefault="00BE3902">
          <w:pPr>
            <w:pStyle w:val="TOC2"/>
            <w:tabs>
              <w:tab w:val="right" w:leader="dot" w:pos="9016"/>
            </w:tabs>
            <w:rPr>
              <w:rFonts w:asciiTheme="minorHAnsi" w:eastAsiaTheme="minorEastAsia" w:hAnsiTheme="minorHAnsi"/>
              <w:noProof/>
              <w:szCs w:val="24"/>
              <w:lang w:val="en-GB" w:eastAsia="en-GB" w:bidi="gu-IN"/>
            </w:rPr>
          </w:pPr>
          <w:hyperlink w:anchor="_Toc228125375" w:history="1">
            <w:r w:rsidRPr="009F499C">
              <w:rPr>
                <w:rStyle w:val="Hyperlink"/>
                <w:rFonts w:cs="Times New Roman"/>
                <w:noProof/>
                <w:lang w:val="en-GB"/>
              </w:rPr>
              <w:t>5.2 Data Governance Strategy</w:t>
            </w:r>
            <w:r>
              <w:rPr>
                <w:noProof/>
                <w:webHidden/>
              </w:rPr>
              <w:tab/>
            </w:r>
            <w:r>
              <w:rPr>
                <w:noProof/>
                <w:webHidden/>
              </w:rPr>
              <w:fldChar w:fldCharType="begin"/>
            </w:r>
            <w:r>
              <w:rPr>
                <w:noProof/>
                <w:webHidden/>
              </w:rPr>
              <w:instrText xml:space="preserve"> PAGEREF _Toc228125375 \h </w:instrText>
            </w:r>
            <w:r>
              <w:rPr>
                <w:noProof/>
                <w:webHidden/>
              </w:rPr>
            </w:r>
            <w:r>
              <w:rPr>
                <w:noProof/>
                <w:webHidden/>
              </w:rPr>
              <w:fldChar w:fldCharType="separate"/>
            </w:r>
            <w:r>
              <w:rPr>
                <w:noProof/>
                <w:webHidden/>
              </w:rPr>
              <w:t>18</w:t>
            </w:r>
            <w:r>
              <w:rPr>
                <w:noProof/>
                <w:webHidden/>
              </w:rPr>
              <w:fldChar w:fldCharType="end"/>
            </w:r>
          </w:hyperlink>
        </w:p>
        <w:p w14:paraId="16947E8D" w14:textId="315EDDE2" w:rsidR="00BE3902" w:rsidRDefault="00BE3902">
          <w:pPr>
            <w:pStyle w:val="TOC2"/>
            <w:tabs>
              <w:tab w:val="right" w:leader="dot" w:pos="9016"/>
            </w:tabs>
            <w:rPr>
              <w:rFonts w:asciiTheme="minorHAnsi" w:eastAsiaTheme="minorEastAsia" w:hAnsiTheme="minorHAnsi"/>
              <w:noProof/>
              <w:szCs w:val="24"/>
              <w:lang w:val="en-GB" w:eastAsia="en-GB" w:bidi="gu-IN"/>
            </w:rPr>
          </w:pPr>
          <w:hyperlink w:anchor="_Toc228125376" w:history="1">
            <w:r w:rsidRPr="009F499C">
              <w:rPr>
                <w:rStyle w:val="Hyperlink"/>
                <w:rFonts w:cs="Times New Roman"/>
                <w:noProof/>
                <w:lang w:val="en-GB"/>
              </w:rPr>
              <w:t>5.3 Ethical AI Implementation</w:t>
            </w:r>
            <w:r>
              <w:rPr>
                <w:noProof/>
                <w:webHidden/>
              </w:rPr>
              <w:tab/>
            </w:r>
            <w:r>
              <w:rPr>
                <w:noProof/>
                <w:webHidden/>
              </w:rPr>
              <w:fldChar w:fldCharType="begin"/>
            </w:r>
            <w:r>
              <w:rPr>
                <w:noProof/>
                <w:webHidden/>
              </w:rPr>
              <w:instrText xml:space="preserve"> PAGEREF _Toc228125376 \h </w:instrText>
            </w:r>
            <w:r>
              <w:rPr>
                <w:noProof/>
                <w:webHidden/>
              </w:rPr>
            </w:r>
            <w:r>
              <w:rPr>
                <w:noProof/>
                <w:webHidden/>
              </w:rPr>
              <w:fldChar w:fldCharType="separate"/>
            </w:r>
            <w:r>
              <w:rPr>
                <w:noProof/>
                <w:webHidden/>
              </w:rPr>
              <w:t>18</w:t>
            </w:r>
            <w:r>
              <w:rPr>
                <w:noProof/>
                <w:webHidden/>
              </w:rPr>
              <w:fldChar w:fldCharType="end"/>
            </w:r>
          </w:hyperlink>
        </w:p>
        <w:p w14:paraId="59C7947A" w14:textId="187100D0" w:rsidR="00BE3902" w:rsidRDefault="00BE3902">
          <w:pPr>
            <w:pStyle w:val="TOC2"/>
            <w:tabs>
              <w:tab w:val="right" w:leader="dot" w:pos="9016"/>
            </w:tabs>
            <w:rPr>
              <w:rFonts w:asciiTheme="minorHAnsi" w:eastAsiaTheme="minorEastAsia" w:hAnsiTheme="minorHAnsi"/>
              <w:noProof/>
              <w:szCs w:val="24"/>
              <w:lang w:val="en-GB" w:eastAsia="en-GB" w:bidi="gu-IN"/>
            </w:rPr>
          </w:pPr>
          <w:hyperlink w:anchor="_Toc228125377" w:history="1">
            <w:r w:rsidRPr="009F499C">
              <w:rPr>
                <w:rStyle w:val="Hyperlink"/>
                <w:rFonts w:cs="Times New Roman"/>
                <w:noProof/>
                <w:lang w:val="en-GB"/>
              </w:rPr>
              <w:t>5.4 Regulatory Compliance Strategy</w:t>
            </w:r>
            <w:r>
              <w:rPr>
                <w:noProof/>
                <w:webHidden/>
              </w:rPr>
              <w:tab/>
            </w:r>
            <w:r>
              <w:rPr>
                <w:noProof/>
                <w:webHidden/>
              </w:rPr>
              <w:fldChar w:fldCharType="begin"/>
            </w:r>
            <w:r>
              <w:rPr>
                <w:noProof/>
                <w:webHidden/>
              </w:rPr>
              <w:instrText xml:space="preserve"> PAGEREF _Toc228125377 \h </w:instrText>
            </w:r>
            <w:r>
              <w:rPr>
                <w:noProof/>
                <w:webHidden/>
              </w:rPr>
            </w:r>
            <w:r>
              <w:rPr>
                <w:noProof/>
                <w:webHidden/>
              </w:rPr>
              <w:fldChar w:fldCharType="separate"/>
            </w:r>
            <w:r>
              <w:rPr>
                <w:noProof/>
                <w:webHidden/>
              </w:rPr>
              <w:t>19</w:t>
            </w:r>
            <w:r>
              <w:rPr>
                <w:noProof/>
                <w:webHidden/>
              </w:rPr>
              <w:fldChar w:fldCharType="end"/>
            </w:r>
          </w:hyperlink>
        </w:p>
        <w:p w14:paraId="5898016F" w14:textId="1E40ECBC" w:rsidR="00BE3902" w:rsidRDefault="00BE3902">
          <w:pPr>
            <w:pStyle w:val="TOC2"/>
            <w:tabs>
              <w:tab w:val="right" w:leader="dot" w:pos="9016"/>
            </w:tabs>
            <w:rPr>
              <w:rFonts w:asciiTheme="minorHAnsi" w:eastAsiaTheme="minorEastAsia" w:hAnsiTheme="minorHAnsi"/>
              <w:noProof/>
              <w:szCs w:val="24"/>
              <w:lang w:val="en-GB" w:eastAsia="en-GB" w:bidi="gu-IN"/>
            </w:rPr>
          </w:pPr>
          <w:hyperlink w:anchor="_Toc228125378" w:history="1">
            <w:r w:rsidRPr="009F499C">
              <w:rPr>
                <w:rStyle w:val="Hyperlink"/>
                <w:rFonts w:cs="Times New Roman"/>
                <w:noProof/>
                <w:lang w:val="en-GB"/>
              </w:rPr>
              <w:t>5.5 Customer Trust and Transparency Strategy</w:t>
            </w:r>
            <w:r>
              <w:rPr>
                <w:noProof/>
                <w:webHidden/>
              </w:rPr>
              <w:tab/>
            </w:r>
            <w:r>
              <w:rPr>
                <w:noProof/>
                <w:webHidden/>
              </w:rPr>
              <w:fldChar w:fldCharType="begin"/>
            </w:r>
            <w:r>
              <w:rPr>
                <w:noProof/>
                <w:webHidden/>
              </w:rPr>
              <w:instrText xml:space="preserve"> PAGEREF _Toc228125378 \h </w:instrText>
            </w:r>
            <w:r>
              <w:rPr>
                <w:noProof/>
                <w:webHidden/>
              </w:rPr>
            </w:r>
            <w:r>
              <w:rPr>
                <w:noProof/>
                <w:webHidden/>
              </w:rPr>
              <w:fldChar w:fldCharType="separate"/>
            </w:r>
            <w:r>
              <w:rPr>
                <w:noProof/>
                <w:webHidden/>
              </w:rPr>
              <w:t>19</w:t>
            </w:r>
            <w:r>
              <w:rPr>
                <w:noProof/>
                <w:webHidden/>
              </w:rPr>
              <w:fldChar w:fldCharType="end"/>
            </w:r>
          </w:hyperlink>
        </w:p>
        <w:p w14:paraId="5A7BD57E" w14:textId="4DFF44D7" w:rsidR="00BE3902" w:rsidRDefault="00BE3902">
          <w:pPr>
            <w:pStyle w:val="TOC2"/>
            <w:tabs>
              <w:tab w:val="right" w:leader="dot" w:pos="9016"/>
            </w:tabs>
            <w:rPr>
              <w:rFonts w:asciiTheme="minorHAnsi" w:eastAsiaTheme="minorEastAsia" w:hAnsiTheme="minorHAnsi"/>
              <w:noProof/>
              <w:szCs w:val="24"/>
              <w:lang w:val="en-GB" w:eastAsia="en-GB" w:bidi="gu-IN"/>
            </w:rPr>
          </w:pPr>
          <w:hyperlink w:anchor="_Toc228125379" w:history="1">
            <w:r w:rsidRPr="009F499C">
              <w:rPr>
                <w:rStyle w:val="Hyperlink"/>
                <w:rFonts w:cs="Times New Roman"/>
                <w:noProof/>
                <w:lang w:val="en-GB"/>
              </w:rPr>
              <w:t>5.6 Strategic Integration and Critical Evaluation</w:t>
            </w:r>
            <w:r>
              <w:rPr>
                <w:noProof/>
                <w:webHidden/>
              </w:rPr>
              <w:tab/>
            </w:r>
            <w:r>
              <w:rPr>
                <w:noProof/>
                <w:webHidden/>
              </w:rPr>
              <w:fldChar w:fldCharType="begin"/>
            </w:r>
            <w:r>
              <w:rPr>
                <w:noProof/>
                <w:webHidden/>
              </w:rPr>
              <w:instrText xml:space="preserve"> PAGEREF _Toc228125379 \h </w:instrText>
            </w:r>
            <w:r>
              <w:rPr>
                <w:noProof/>
                <w:webHidden/>
              </w:rPr>
            </w:r>
            <w:r>
              <w:rPr>
                <w:noProof/>
                <w:webHidden/>
              </w:rPr>
              <w:fldChar w:fldCharType="separate"/>
            </w:r>
            <w:r>
              <w:rPr>
                <w:noProof/>
                <w:webHidden/>
              </w:rPr>
              <w:t>20</w:t>
            </w:r>
            <w:r>
              <w:rPr>
                <w:noProof/>
                <w:webHidden/>
              </w:rPr>
              <w:fldChar w:fldCharType="end"/>
            </w:r>
          </w:hyperlink>
        </w:p>
        <w:p w14:paraId="5BBA1844" w14:textId="1CD5C2A3" w:rsidR="00BE3902" w:rsidRDefault="00BE3902">
          <w:pPr>
            <w:pStyle w:val="TOC1"/>
            <w:tabs>
              <w:tab w:val="right" w:leader="dot" w:pos="9016"/>
            </w:tabs>
            <w:rPr>
              <w:rFonts w:asciiTheme="minorHAnsi" w:eastAsiaTheme="minorEastAsia" w:hAnsiTheme="minorHAnsi"/>
              <w:noProof/>
              <w:szCs w:val="24"/>
              <w:lang w:val="en-GB" w:eastAsia="en-GB" w:bidi="gu-IN"/>
            </w:rPr>
          </w:pPr>
          <w:hyperlink w:anchor="_Toc228125380" w:history="1">
            <w:r w:rsidRPr="009F499C">
              <w:rPr>
                <w:rStyle w:val="Hyperlink"/>
                <w:rFonts w:cs="Times New Roman"/>
                <w:noProof/>
                <w:lang w:val="en-GB"/>
              </w:rPr>
              <w:t>6. Implementation Plan</w:t>
            </w:r>
            <w:r>
              <w:rPr>
                <w:noProof/>
                <w:webHidden/>
              </w:rPr>
              <w:tab/>
            </w:r>
            <w:r>
              <w:rPr>
                <w:noProof/>
                <w:webHidden/>
              </w:rPr>
              <w:fldChar w:fldCharType="begin"/>
            </w:r>
            <w:r>
              <w:rPr>
                <w:noProof/>
                <w:webHidden/>
              </w:rPr>
              <w:instrText xml:space="preserve"> PAGEREF _Toc228125380 \h </w:instrText>
            </w:r>
            <w:r>
              <w:rPr>
                <w:noProof/>
                <w:webHidden/>
              </w:rPr>
            </w:r>
            <w:r>
              <w:rPr>
                <w:noProof/>
                <w:webHidden/>
              </w:rPr>
              <w:fldChar w:fldCharType="separate"/>
            </w:r>
            <w:r>
              <w:rPr>
                <w:noProof/>
                <w:webHidden/>
              </w:rPr>
              <w:t>20</w:t>
            </w:r>
            <w:r>
              <w:rPr>
                <w:noProof/>
                <w:webHidden/>
              </w:rPr>
              <w:fldChar w:fldCharType="end"/>
            </w:r>
          </w:hyperlink>
        </w:p>
        <w:p w14:paraId="0D41CC36" w14:textId="2D2B41B2" w:rsidR="00BE3902" w:rsidRDefault="00BE3902">
          <w:pPr>
            <w:pStyle w:val="TOC2"/>
            <w:tabs>
              <w:tab w:val="right" w:leader="dot" w:pos="9016"/>
            </w:tabs>
            <w:rPr>
              <w:rFonts w:asciiTheme="minorHAnsi" w:eastAsiaTheme="minorEastAsia" w:hAnsiTheme="minorHAnsi"/>
              <w:noProof/>
              <w:szCs w:val="24"/>
              <w:lang w:val="en-GB" w:eastAsia="en-GB" w:bidi="gu-IN"/>
            </w:rPr>
          </w:pPr>
          <w:hyperlink w:anchor="_Toc228125381" w:history="1">
            <w:r w:rsidRPr="009F499C">
              <w:rPr>
                <w:rStyle w:val="Hyperlink"/>
                <w:rFonts w:cs="Times New Roman"/>
                <w:noProof/>
                <w:lang w:val="en-GB"/>
              </w:rPr>
              <w:t>6.1 Implementation Roadmap (Time-Based)</w:t>
            </w:r>
            <w:r>
              <w:rPr>
                <w:noProof/>
                <w:webHidden/>
              </w:rPr>
              <w:tab/>
            </w:r>
            <w:r>
              <w:rPr>
                <w:noProof/>
                <w:webHidden/>
              </w:rPr>
              <w:fldChar w:fldCharType="begin"/>
            </w:r>
            <w:r>
              <w:rPr>
                <w:noProof/>
                <w:webHidden/>
              </w:rPr>
              <w:instrText xml:space="preserve"> PAGEREF _Toc228125381 \h </w:instrText>
            </w:r>
            <w:r>
              <w:rPr>
                <w:noProof/>
                <w:webHidden/>
              </w:rPr>
            </w:r>
            <w:r>
              <w:rPr>
                <w:noProof/>
                <w:webHidden/>
              </w:rPr>
              <w:fldChar w:fldCharType="separate"/>
            </w:r>
            <w:r>
              <w:rPr>
                <w:noProof/>
                <w:webHidden/>
              </w:rPr>
              <w:t>21</w:t>
            </w:r>
            <w:r>
              <w:rPr>
                <w:noProof/>
                <w:webHidden/>
              </w:rPr>
              <w:fldChar w:fldCharType="end"/>
            </w:r>
          </w:hyperlink>
        </w:p>
        <w:p w14:paraId="3043EF7C" w14:textId="3BF99609" w:rsidR="00BE3902" w:rsidRDefault="00BE3902">
          <w:pPr>
            <w:pStyle w:val="TOC2"/>
            <w:tabs>
              <w:tab w:val="right" w:leader="dot" w:pos="9016"/>
            </w:tabs>
            <w:rPr>
              <w:rFonts w:asciiTheme="minorHAnsi" w:eastAsiaTheme="minorEastAsia" w:hAnsiTheme="minorHAnsi"/>
              <w:noProof/>
              <w:szCs w:val="24"/>
              <w:lang w:val="en-GB" w:eastAsia="en-GB" w:bidi="gu-IN"/>
            </w:rPr>
          </w:pPr>
          <w:hyperlink w:anchor="_Toc228125382" w:history="1">
            <w:r w:rsidRPr="009F499C">
              <w:rPr>
                <w:rStyle w:val="Hyperlink"/>
                <w:rFonts w:cs="Times New Roman"/>
                <w:noProof/>
                <w:lang w:val="en-GB"/>
              </w:rPr>
              <w:t>6.2 Roles and Responsibilities</w:t>
            </w:r>
            <w:r>
              <w:rPr>
                <w:noProof/>
                <w:webHidden/>
              </w:rPr>
              <w:tab/>
            </w:r>
            <w:r>
              <w:rPr>
                <w:noProof/>
                <w:webHidden/>
              </w:rPr>
              <w:fldChar w:fldCharType="begin"/>
            </w:r>
            <w:r>
              <w:rPr>
                <w:noProof/>
                <w:webHidden/>
              </w:rPr>
              <w:instrText xml:space="preserve"> PAGEREF _Toc228125382 \h </w:instrText>
            </w:r>
            <w:r>
              <w:rPr>
                <w:noProof/>
                <w:webHidden/>
              </w:rPr>
            </w:r>
            <w:r>
              <w:rPr>
                <w:noProof/>
                <w:webHidden/>
              </w:rPr>
              <w:fldChar w:fldCharType="separate"/>
            </w:r>
            <w:r>
              <w:rPr>
                <w:noProof/>
                <w:webHidden/>
              </w:rPr>
              <w:t>21</w:t>
            </w:r>
            <w:r>
              <w:rPr>
                <w:noProof/>
                <w:webHidden/>
              </w:rPr>
              <w:fldChar w:fldCharType="end"/>
            </w:r>
          </w:hyperlink>
        </w:p>
        <w:p w14:paraId="394746E8" w14:textId="4E1BE0E1" w:rsidR="00BE3902" w:rsidRDefault="00BE3902">
          <w:pPr>
            <w:pStyle w:val="TOC2"/>
            <w:tabs>
              <w:tab w:val="right" w:leader="dot" w:pos="9016"/>
            </w:tabs>
            <w:rPr>
              <w:rFonts w:asciiTheme="minorHAnsi" w:eastAsiaTheme="minorEastAsia" w:hAnsiTheme="minorHAnsi"/>
              <w:noProof/>
              <w:szCs w:val="24"/>
              <w:lang w:val="en-GB" w:eastAsia="en-GB" w:bidi="gu-IN"/>
            </w:rPr>
          </w:pPr>
          <w:hyperlink w:anchor="_Toc228125383" w:history="1">
            <w:r w:rsidRPr="009F499C">
              <w:rPr>
                <w:rStyle w:val="Hyperlink"/>
                <w:rFonts w:cs="Times New Roman"/>
                <w:noProof/>
                <w:lang w:val="en-GB"/>
              </w:rPr>
              <w:t>6.3 Resource and Capability Requirements</w:t>
            </w:r>
            <w:r>
              <w:rPr>
                <w:noProof/>
                <w:webHidden/>
              </w:rPr>
              <w:tab/>
            </w:r>
            <w:r>
              <w:rPr>
                <w:noProof/>
                <w:webHidden/>
              </w:rPr>
              <w:fldChar w:fldCharType="begin"/>
            </w:r>
            <w:r>
              <w:rPr>
                <w:noProof/>
                <w:webHidden/>
              </w:rPr>
              <w:instrText xml:space="preserve"> PAGEREF _Toc228125383 \h </w:instrText>
            </w:r>
            <w:r>
              <w:rPr>
                <w:noProof/>
                <w:webHidden/>
              </w:rPr>
            </w:r>
            <w:r>
              <w:rPr>
                <w:noProof/>
                <w:webHidden/>
              </w:rPr>
              <w:fldChar w:fldCharType="separate"/>
            </w:r>
            <w:r>
              <w:rPr>
                <w:noProof/>
                <w:webHidden/>
              </w:rPr>
              <w:t>22</w:t>
            </w:r>
            <w:r>
              <w:rPr>
                <w:noProof/>
                <w:webHidden/>
              </w:rPr>
              <w:fldChar w:fldCharType="end"/>
            </w:r>
          </w:hyperlink>
        </w:p>
        <w:p w14:paraId="7E780A78" w14:textId="6EA277BE" w:rsidR="00BE3902" w:rsidRDefault="00BE3902">
          <w:pPr>
            <w:pStyle w:val="TOC2"/>
            <w:tabs>
              <w:tab w:val="right" w:leader="dot" w:pos="9016"/>
            </w:tabs>
            <w:rPr>
              <w:rFonts w:asciiTheme="minorHAnsi" w:eastAsiaTheme="minorEastAsia" w:hAnsiTheme="minorHAnsi"/>
              <w:noProof/>
              <w:szCs w:val="24"/>
              <w:lang w:val="en-GB" w:eastAsia="en-GB" w:bidi="gu-IN"/>
            </w:rPr>
          </w:pPr>
          <w:hyperlink w:anchor="_Toc228125384" w:history="1">
            <w:r w:rsidRPr="009F499C">
              <w:rPr>
                <w:rStyle w:val="Hyperlink"/>
                <w:rFonts w:cs="Times New Roman"/>
                <w:noProof/>
                <w:lang w:val="en-GB"/>
              </w:rPr>
              <w:t>6.4 Risk Monitoring and KPIs</w:t>
            </w:r>
            <w:r>
              <w:rPr>
                <w:noProof/>
                <w:webHidden/>
              </w:rPr>
              <w:tab/>
            </w:r>
            <w:r>
              <w:rPr>
                <w:noProof/>
                <w:webHidden/>
              </w:rPr>
              <w:fldChar w:fldCharType="begin"/>
            </w:r>
            <w:r>
              <w:rPr>
                <w:noProof/>
                <w:webHidden/>
              </w:rPr>
              <w:instrText xml:space="preserve"> PAGEREF _Toc228125384 \h </w:instrText>
            </w:r>
            <w:r>
              <w:rPr>
                <w:noProof/>
                <w:webHidden/>
              </w:rPr>
            </w:r>
            <w:r>
              <w:rPr>
                <w:noProof/>
                <w:webHidden/>
              </w:rPr>
              <w:fldChar w:fldCharType="separate"/>
            </w:r>
            <w:r>
              <w:rPr>
                <w:noProof/>
                <w:webHidden/>
              </w:rPr>
              <w:t>23</w:t>
            </w:r>
            <w:r>
              <w:rPr>
                <w:noProof/>
                <w:webHidden/>
              </w:rPr>
              <w:fldChar w:fldCharType="end"/>
            </w:r>
          </w:hyperlink>
        </w:p>
        <w:p w14:paraId="5E3695C7" w14:textId="3861B402" w:rsidR="00BE3902" w:rsidRDefault="00BE3902">
          <w:pPr>
            <w:pStyle w:val="TOC2"/>
            <w:tabs>
              <w:tab w:val="right" w:leader="dot" w:pos="9016"/>
            </w:tabs>
            <w:rPr>
              <w:rFonts w:asciiTheme="minorHAnsi" w:eastAsiaTheme="minorEastAsia" w:hAnsiTheme="minorHAnsi"/>
              <w:noProof/>
              <w:szCs w:val="24"/>
              <w:lang w:val="en-GB" w:eastAsia="en-GB" w:bidi="gu-IN"/>
            </w:rPr>
          </w:pPr>
          <w:hyperlink w:anchor="_Toc228125385" w:history="1">
            <w:r w:rsidRPr="009F499C">
              <w:rPr>
                <w:rStyle w:val="Hyperlink"/>
                <w:rFonts w:cs="Times New Roman"/>
                <w:noProof/>
                <w:lang w:val="en-GB"/>
              </w:rPr>
              <w:t>6.5 Feasibility and Challenges</w:t>
            </w:r>
            <w:r>
              <w:rPr>
                <w:noProof/>
                <w:webHidden/>
              </w:rPr>
              <w:tab/>
            </w:r>
            <w:r>
              <w:rPr>
                <w:noProof/>
                <w:webHidden/>
              </w:rPr>
              <w:fldChar w:fldCharType="begin"/>
            </w:r>
            <w:r>
              <w:rPr>
                <w:noProof/>
                <w:webHidden/>
              </w:rPr>
              <w:instrText xml:space="preserve"> PAGEREF _Toc228125385 \h </w:instrText>
            </w:r>
            <w:r>
              <w:rPr>
                <w:noProof/>
                <w:webHidden/>
              </w:rPr>
            </w:r>
            <w:r>
              <w:rPr>
                <w:noProof/>
                <w:webHidden/>
              </w:rPr>
              <w:fldChar w:fldCharType="separate"/>
            </w:r>
            <w:r>
              <w:rPr>
                <w:noProof/>
                <w:webHidden/>
              </w:rPr>
              <w:t>25</w:t>
            </w:r>
            <w:r>
              <w:rPr>
                <w:noProof/>
                <w:webHidden/>
              </w:rPr>
              <w:fldChar w:fldCharType="end"/>
            </w:r>
          </w:hyperlink>
        </w:p>
        <w:p w14:paraId="6F1CDA9E" w14:textId="15E285F2" w:rsidR="00BE3902" w:rsidRDefault="00BE3902">
          <w:pPr>
            <w:pStyle w:val="TOC1"/>
            <w:tabs>
              <w:tab w:val="right" w:leader="dot" w:pos="9016"/>
            </w:tabs>
            <w:rPr>
              <w:rFonts w:asciiTheme="minorHAnsi" w:eastAsiaTheme="minorEastAsia" w:hAnsiTheme="minorHAnsi"/>
              <w:noProof/>
              <w:szCs w:val="24"/>
              <w:lang w:val="en-GB" w:eastAsia="en-GB" w:bidi="gu-IN"/>
            </w:rPr>
          </w:pPr>
          <w:hyperlink w:anchor="_Toc228125386" w:history="1">
            <w:r w:rsidRPr="009F499C">
              <w:rPr>
                <w:rStyle w:val="Hyperlink"/>
                <w:rFonts w:cs="Times New Roman"/>
                <w:noProof/>
                <w:lang w:val="en-GB"/>
              </w:rPr>
              <w:t>7. Conclusion</w:t>
            </w:r>
            <w:r>
              <w:rPr>
                <w:noProof/>
                <w:webHidden/>
              </w:rPr>
              <w:tab/>
            </w:r>
            <w:r>
              <w:rPr>
                <w:noProof/>
                <w:webHidden/>
              </w:rPr>
              <w:fldChar w:fldCharType="begin"/>
            </w:r>
            <w:r>
              <w:rPr>
                <w:noProof/>
                <w:webHidden/>
              </w:rPr>
              <w:instrText xml:space="preserve"> PAGEREF _Toc228125386 \h </w:instrText>
            </w:r>
            <w:r>
              <w:rPr>
                <w:noProof/>
                <w:webHidden/>
              </w:rPr>
            </w:r>
            <w:r>
              <w:rPr>
                <w:noProof/>
                <w:webHidden/>
              </w:rPr>
              <w:fldChar w:fldCharType="separate"/>
            </w:r>
            <w:r>
              <w:rPr>
                <w:noProof/>
                <w:webHidden/>
              </w:rPr>
              <w:t>25</w:t>
            </w:r>
            <w:r>
              <w:rPr>
                <w:noProof/>
                <w:webHidden/>
              </w:rPr>
              <w:fldChar w:fldCharType="end"/>
            </w:r>
          </w:hyperlink>
        </w:p>
        <w:p w14:paraId="40FBCBBF" w14:textId="66A3959C" w:rsidR="00BE3902" w:rsidRDefault="00BE3902">
          <w:pPr>
            <w:pStyle w:val="TOC1"/>
            <w:tabs>
              <w:tab w:val="right" w:leader="dot" w:pos="9016"/>
            </w:tabs>
            <w:rPr>
              <w:rFonts w:asciiTheme="minorHAnsi" w:eastAsiaTheme="minorEastAsia" w:hAnsiTheme="minorHAnsi"/>
              <w:noProof/>
              <w:szCs w:val="24"/>
              <w:lang w:val="en-GB" w:eastAsia="en-GB" w:bidi="gu-IN"/>
            </w:rPr>
          </w:pPr>
          <w:hyperlink w:anchor="_Toc228125387" w:history="1">
            <w:r w:rsidRPr="009F499C">
              <w:rPr>
                <w:rStyle w:val="Hyperlink"/>
                <w:rFonts w:cs="Times New Roman"/>
                <w:noProof/>
                <w:lang w:val="en-GB"/>
              </w:rPr>
              <w:t>8. Bibliography</w:t>
            </w:r>
            <w:r>
              <w:rPr>
                <w:noProof/>
                <w:webHidden/>
              </w:rPr>
              <w:tab/>
            </w:r>
            <w:r>
              <w:rPr>
                <w:noProof/>
                <w:webHidden/>
              </w:rPr>
              <w:fldChar w:fldCharType="begin"/>
            </w:r>
            <w:r>
              <w:rPr>
                <w:noProof/>
                <w:webHidden/>
              </w:rPr>
              <w:instrText xml:space="preserve"> PAGEREF _Toc228125387 \h </w:instrText>
            </w:r>
            <w:r>
              <w:rPr>
                <w:noProof/>
                <w:webHidden/>
              </w:rPr>
            </w:r>
            <w:r>
              <w:rPr>
                <w:noProof/>
                <w:webHidden/>
              </w:rPr>
              <w:fldChar w:fldCharType="separate"/>
            </w:r>
            <w:r>
              <w:rPr>
                <w:noProof/>
                <w:webHidden/>
              </w:rPr>
              <w:t>27</w:t>
            </w:r>
            <w:r>
              <w:rPr>
                <w:noProof/>
                <w:webHidden/>
              </w:rPr>
              <w:fldChar w:fldCharType="end"/>
            </w:r>
          </w:hyperlink>
        </w:p>
        <w:p w14:paraId="7C2B1A5E" w14:textId="16C42B0B" w:rsidR="006D4E38" w:rsidRPr="004C6D84" w:rsidRDefault="00424F41" w:rsidP="0064364D">
          <w:pPr>
            <w:spacing w:before="240" w:after="240"/>
            <w:rPr>
              <w:rFonts w:cs="Times New Roman"/>
              <w:b/>
              <w:bCs/>
              <w:noProof/>
              <w:lang w:val="en-GB"/>
            </w:rPr>
          </w:pPr>
          <w:r w:rsidRPr="004C6D84">
            <w:rPr>
              <w:rFonts w:cs="Times New Roman"/>
              <w:b/>
              <w:bCs/>
              <w:noProof/>
              <w:lang w:val="en-GB"/>
            </w:rPr>
            <w:fldChar w:fldCharType="end"/>
          </w:r>
        </w:p>
      </w:sdtContent>
    </w:sdt>
    <w:p w14:paraId="21E64048" w14:textId="193CD0D1" w:rsidR="00546ABE" w:rsidRPr="004C6D84" w:rsidRDefault="00546ABE" w:rsidP="0064364D">
      <w:pPr>
        <w:spacing w:before="240" w:after="240"/>
        <w:jc w:val="left"/>
        <w:rPr>
          <w:rFonts w:cs="Times New Roman"/>
          <w:b/>
          <w:bCs/>
          <w:sz w:val="32"/>
          <w:szCs w:val="28"/>
          <w:lang w:val="en-GB"/>
        </w:rPr>
      </w:pPr>
      <w:r w:rsidRPr="004C6D84">
        <w:rPr>
          <w:rFonts w:cs="Times New Roman"/>
          <w:b/>
          <w:bCs/>
          <w:sz w:val="32"/>
          <w:szCs w:val="28"/>
          <w:lang w:val="en-GB"/>
        </w:rPr>
        <w:br w:type="page"/>
      </w:r>
    </w:p>
    <w:p w14:paraId="61E90D75" w14:textId="77777777" w:rsidR="00546ABE" w:rsidRPr="004C6D84" w:rsidRDefault="00546ABE" w:rsidP="0064364D">
      <w:pPr>
        <w:spacing w:before="240" w:after="240"/>
        <w:jc w:val="center"/>
        <w:rPr>
          <w:rFonts w:cs="Times New Roman"/>
          <w:b/>
          <w:bCs/>
          <w:sz w:val="32"/>
          <w:szCs w:val="28"/>
          <w:lang w:val="en-GB"/>
        </w:rPr>
      </w:pPr>
      <w:r w:rsidRPr="004C6D84">
        <w:rPr>
          <w:rFonts w:cs="Times New Roman"/>
          <w:b/>
          <w:bCs/>
          <w:sz w:val="32"/>
          <w:szCs w:val="28"/>
          <w:lang w:val="en-GB"/>
        </w:rPr>
        <w:lastRenderedPageBreak/>
        <w:t>List of Tables</w:t>
      </w:r>
    </w:p>
    <w:p w14:paraId="437FFF24" w14:textId="2D7322C9" w:rsidR="00546ABE" w:rsidRPr="004C6D84" w:rsidRDefault="00546ABE" w:rsidP="0064364D">
      <w:pPr>
        <w:pStyle w:val="TableofFigures"/>
        <w:tabs>
          <w:tab w:val="right" w:leader="dot" w:pos="9016"/>
        </w:tabs>
        <w:spacing w:before="240" w:after="240"/>
        <w:rPr>
          <w:rFonts w:eastAsiaTheme="minorEastAsia" w:cs="Times New Roman"/>
          <w:noProof/>
          <w:szCs w:val="24"/>
          <w:lang w:val="en-GB" w:eastAsia="en-IN"/>
        </w:rPr>
      </w:pPr>
      <w:r w:rsidRPr="004C6D84">
        <w:rPr>
          <w:rFonts w:cs="Times New Roman"/>
          <w:lang w:val="en-GB"/>
        </w:rPr>
        <w:fldChar w:fldCharType="begin"/>
      </w:r>
      <w:r w:rsidRPr="004C6D84">
        <w:rPr>
          <w:rFonts w:cs="Times New Roman"/>
          <w:lang w:val="en-GB"/>
        </w:rPr>
        <w:instrText xml:space="preserve"> TOC \h \z \c "Table" </w:instrText>
      </w:r>
      <w:r w:rsidRPr="004C6D84">
        <w:rPr>
          <w:rFonts w:cs="Times New Roman"/>
          <w:lang w:val="en-GB"/>
        </w:rPr>
        <w:fldChar w:fldCharType="separate"/>
      </w:r>
      <w:hyperlink w:anchor="_Toc227769777" w:history="1">
        <w:r w:rsidRPr="004C6D84">
          <w:rPr>
            <w:rStyle w:val="Hyperlink"/>
            <w:rFonts w:cs="Times New Roman"/>
            <w:noProof/>
            <w:lang w:val="en-GB"/>
          </w:rPr>
          <w:t>Table 1: PESTLE Factors Influencing AI Adoption in HSBC (UK vs EU)</w:t>
        </w:r>
        <w:r w:rsidRPr="004C6D84">
          <w:rPr>
            <w:rFonts w:cs="Times New Roman"/>
            <w:noProof/>
            <w:webHidden/>
            <w:lang w:val="en-GB"/>
          </w:rPr>
          <w:tab/>
        </w:r>
        <w:r w:rsidRPr="004C6D84">
          <w:rPr>
            <w:rFonts w:cs="Times New Roman"/>
            <w:noProof/>
            <w:webHidden/>
            <w:lang w:val="en-GB"/>
          </w:rPr>
          <w:fldChar w:fldCharType="begin"/>
        </w:r>
        <w:r w:rsidRPr="004C6D84">
          <w:rPr>
            <w:rFonts w:cs="Times New Roman"/>
            <w:noProof/>
            <w:webHidden/>
            <w:lang w:val="en-GB"/>
          </w:rPr>
          <w:instrText xml:space="preserve"> PAGEREF _Toc227769777 \h </w:instrText>
        </w:r>
        <w:r w:rsidRPr="004C6D84">
          <w:rPr>
            <w:rFonts w:cs="Times New Roman"/>
            <w:noProof/>
            <w:webHidden/>
            <w:lang w:val="en-GB"/>
          </w:rPr>
        </w:r>
        <w:r w:rsidRPr="004C6D84">
          <w:rPr>
            <w:rFonts w:cs="Times New Roman"/>
            <w:noProof/>
            <w:webHidden/>
            <w:lang w:val="en-GB"/>
          </w:rPr>
          <w:fldChar w:fldCharType="separate"/>
        </w:r>
        <w:r w:rsidRPr="004C6D84">
          <w:rPr>
            <w:rFonts w:cs="Times New Roman"/>
            <w:noProof/>
            <w:webHidden/>
            <w:lang w:val="en-GB"/>
          </w:rPr>
          <w:t>6</w:t>
        </w:r>
        <w:r w:rsidRPr="004C6D84">
          <w:rPr>
            <w:rFonts w:cs="Times New Roman"/>
            <w:noProof/>
            <w:webHidden/>
            <w:lang w:val="en-GB"/>
          </w:rPr>
          <w:fldChar w:fldCharType="end"/>
        </w:r>
      </w:hyperlink>
    </w:p>
    <w:p w14:paraId="206BF0E8" w14:textId="67AF3860" w:rsidR="00546ABE" w:rsidRPr="004C6D84" w:rsidRDefault="00546ABE" w:rsidP="0064364D">
      <w:pPr>
        <w:pStyle w:val="TableofFigures"/>
        <w:tabs>
          <w:tab w:val="right" w:leader="dot" w:pos="9016"/>
        </w:tabs>
        <w:spacing w:before="240" w:after="240"/>
        <w:rPr>
          <w:rFonts w:eastAsiaTheme="minorEastAsia" w:cs="Times New Roman"/>
          <w:noProof/>
          <w:szCs w:val="24"/>
          <w:lang w:val="en-GB" w:eastAsia="en-IN"/>
        </w:rPr>
      </w:pPr>
      <w:hyperlink w:anchor="_Toc227769778" w:history="1">
        <w:r w:rsidRPr="004C6D84">
          <w:rPr>
            <w:rStyle w:val="Hyperlink"/>
            <w:rFonts w:cs="Times New Roman"/>
            <w:noProof/>
            <w:lang w:val="en-GB"/>
          </w:rPr>
          <w:t>Table 2: AI Risk Matrix for HSBC</w:t>
        </w:r>
        <w:r w:rsidRPr="004C6D84">
          <w:rPr>
            <w:rFonts w:cs="Times New Roman"/>
            <w:noProof/>
            <w:webHidden/>
            <w:lang w:val="en-GB"/>
          </w:rPr>
          <w:tab/>
        </w:r>
        <w:r w:rsidRPr="004C6D84">
          <w:rPr>
            <w:rFonts w:cs="Times New Roman"/>
            <w:noProof/>
            <w:webHidden/>
            <w:lang w:val="en-GB"/>
          </w:rPr>
          <w:fldChar w:fldCharType="begin"/>
        </w:r>
        <w:r w:rsidRPr="004C6D84">
          <w:rPr>
            <w:rFonts w:cs="Times New Roman"/>
            <w:noProof/>
            <w:webHidden/>
            <w:lang w:val="en-GB"/>
          </w:rPr>
          <w:instrText xml:space="preserve"> PAGEREF _Toc227769778 \h </w:instrText>
        </w:r>
        <w:r w:rsidRPr="004C6D84">
          <w:rPr>
            <w:rFonts w:cs="Times New Roman"/>
            <w:noProof/>
            <w:webHidden/>
            <w:lang w:val="en-GB"/>
          </w:rPr>
        </w:r>
        <w:r w:rsidRPr="004C6D84">
          <w:rPr>
            <w:rFonts w:cs="Times New Roman"/>
            <w:noProof/>
            <w:webHidden/>
            <w:lang w:val="en-GB"/>
          </w:rPr>
          <w:fldChar w:fldCharType="separate"/>
        </w:r>
        <w:r w:rsidRPr="004C6D84">
          <w:rPr>
            <w:rFonts w:cs="Times New Roman"/>
            <w:noProof/>
            <w:webHidden/>
            <w:lang w:val="en-GB"/>
          </w:rPr>
          <w:t>10</w:t>
        </w:r>
        <w:r w:rsidRPr="004C6D84">
          <w:rPr>
            <w:rFonts w:cs="Times New Roman"/>
            <w:noProof/>
            <w:webHidden/>
            <w:lang w:val="en-GB"/>
          </w:rPr>
          <w:fldChar w:fldCharType="end"/>
        </w:r>
      </w:hyperlink>
    </w:p>
    <w:p w14:paraId="6805AC2D" w14:textId="11692266" w:rsidR="00546ABE" w:rsidRPr="004C6D84" w:rsidRDefault="00546ABE" w:rsidP="0064364D">
      <w:pPr>
        <w:pStyle w:val="TableofFigures"/>
        <w:tabs>
          <w:tab w:val="right" w:leader="dot" w:pos="9016"/>
        </w:tabs>
        <w:spacing w:before="240" w:after="240"/>
        <w:rPr>
          <w:rFonts w:eastAsiaTheme="minorEastAsia" w:cs="Times New Roman"/>
          <w:noProof/>
          <w:szCs w:val="24"/>
          <w:lang w:val="en-GB" w:eastAsia="en-IN"/>
        </w:rPr>
      </w:pPr>
      <w:hyperlink w:anchor="_Toc227769779" w:history="1">
        <w:r w:rsidRPr="004C6D84">
          <w:rPr>
            <w:rStyle w:val="Hyperlink"/>
            <w:rFonts w:cs="Times New Roman"/>
            <w:noProof/>
            <w:lang w:val="en-GB"/>
          </w:rPr>
          <w:t>Table 3: Comparative Overview of UK and EU AI Regulatory Approaches</w:t>
        </w:r>
        <w:r w:rsidRPr="004C6D84">
          <w:rPr>
            <w:rFonts w:cs="Times New Roman"/>
            <w:noProof/>
            <w:webHidden/>
            <w:lang w:val="en-GB"/>
          </w:rPr>
          <w:tab/>
        </w:r>
        <w:r w:rsidRPr="004C6D84">
          <w:rPr>
            <w:rFonts w:cs="Times New Roman"/>
            <w:noProof/>
            <w:webHidden/>
            <w:lang w:val="en-GB"/>
          </w:rPr>
          <w:fldChar w:fldCharType="begin"/>
        </w:r>
        <w:r w:rsidRPr="004C6D84">
          <w:rPr>
            <w:rFonts w:cs="Times New Roman"/>
            <w:noProof/>
            <w:webHidden/>
            <w:lang w:val="en-GB"/>
          </w:rPr>
          <w:instrText xml:space="preserve"> PAGEREF _Toc227769779 \h </w:instrText>
        </w:r>
        <w:r w:rsidRPr="004C6D84">
          <w:rPr>
            <w:rFonts w:cs="Times New Roman"/>
            <w:noProof/>
            <w:webHidden/>
            <w:lang w:val="en-GB"/>
          </w:rPr>
        </w:r>
        <w:r w:rsidRPr="004C6D84">
          <w:rPr>
            <w:rFonts w:cs="Times New Roman"/>
            <w:noProof/>
            <w:webHidden/>
            <w:lang w:val="en-GB"/>
          </w:rPr>
          <w:fldChar w:fldCharType="separate"/>
        </w:r>
        <w:r w:rsidRPr="004C6D84">
          <w:rPr>
            <w:rFonts w:cs="Times New Roman"/>
            <w:noProof/>
            <w:webHidden/>
            <w:lang w:val="en-GB"/>
          </w:rPr>
          <w:t>13</w:t>
        </w:r>
        <w:r w:rsidRPr="004C6D84">
          <w:rPr>
            <w:rFonts w:cs="Times New Roman"/>
            <w:noProof/>
            <w:webHidden/>
            <w:lang w:val="en-GB"/>
          </w:rPr>
          <w:fldChar w:fldCharType="end"/>
        </w:r>
      </w:hyperlink>
    </w:p>
    <w:p w14:paraId="3CAB2785" w14:textId="43848F23" w:rsidR="00546ABE" w:rsidRPr="004C6D84" w:rsidRDefault="00546ABE" w:rsidP="0064364D">
      <w:pPr>
        <w:pStyle w:val="TableofFigures"/>
        <w:tabs>
          <w:tab w:val="right" w:leader="dot" w:pos="9016"/>
        </w:tabs>
        <w:spacing w:before="240" w:after="240"/>
        <w:rPr>
          <w:rFonts w:eastAsiaTheme="minorEastAsia" w:cs="Times New Roman"/>
          <w:noProof/>
          <w:szCs w:val="24"/>
          <w:lang w:val="en-GB" w:eastAsia="en-IN"/>
        </w:rPr>
      </w:pPr>
      <w:hyperlink w:anchor="_Toc227769780" w:history="1">
        <w:r w:rsidRPr="004C6D84">
          <w:rPr>
            <w:rStyle w:val="Hyperlink"/>
            <w:rFonts w:cs="Times New Roman"/>
            <w:noProof/>
            <w:lang w:val="en-GB"/>
          </w:rPr>
          <w:t>Table 4: Three-layer AI governance model</w:t>
        </w:r>
        <w:r w:rsidRPr="004C6D84">
          <w:rPr>
            <w:rFonts w:cs="Times New Roman"/>
            <w:noProof/>
            <w:webHidden/>
            <w:lang w:val="en-GB"/>
          </w:rPr>
          <w:tab/>
        </w:r>
        <w:r w:rsidRPr="004C6D84">
          <w:rPr>
            <w:rFonts w:cs="Times New Roman"/>
            <w:noProof/>
            <w:webHidden/>
            <w:lang w:val="en-GB"/>
          </w:rPr>
          <w:fldChar w:fldCharType="begin"/>
        </w:r>
        <w:r w:rsidRPr="004C6D84">
          <w:rPr>
            <w:rFonts w:cs="Times New Roman"/>
            <w:noProof/>
            <w:webHidden/>
            <w:lang w:val="en-GB"/>
          </w:rPr>
          <w:instrText xml:space="preserve"> PAGEREF _Toc227769780 \h </w:instrText>
        </w:r>
        <w:r w:rsidRPr="004C6D84">
          <w:rPr>
            <w:rFonts w:cs="Times New Roman"/>
            <w:noProof/>
            <w:webHidden/>
            <w:lang w:val="en-GB"/>
          </w:rPr>
        </w:r>
        <w:r w:rsidRPr="004C6D84">
          <w:rPr>
            <w:rFonts w:cs="Times New Roman"/>
            <w:noProof/>
            <w:webHidden/>
            <w:lang w:val="en-GB"/>
          </w:rPr>
          <w:fldChar w:fldCharType="separate"/>
        </w:r>
        <w:r w:rsidRPr="004C6D84">
          <w:rPr>
            <w:rFonts w:cs="Times New Roman"/>
            <w:noProof/>
            <w:webHidden/>
            <w:lang w:val="en-GB"/>
          </w:rPr>
          <w:t>16</w:t>
        </w:r>
        <w:r w:rsidRPr="004C6D84">
          <w:rPr>
            <w:rFonts w:cs="Times New Roman"/>
            <w:noProof/>
            <w:webHidden/>
            <w:lang w:val="en-GB"/>
          </w:rPr>
          <w:fldChar w:fldCharType="end"/>
        </w:r>
      </w:hyperlink>
    </w:p>
    <w:p w14:paraId="0D17E5BF" w14:textId="3416DF4D" w:rsidR="00546ABE" w:rsidRPr="004C6D84" w:rsidRDefault="00546ABE" w:rsidP="0064364D">
      <w:pPr>
        <w:pStyle w:val="TableofFigures"/>
        <w:tabs>
          <w:tab w:val="right" w:leader="dot" w:pos="9016"/>
        </w:tabs>
        <w:spacing w:before="240" w:after="240"/>
        <w:rPr>
          <w:rFonts w:eastAsiaTheme="minorEastAsia" w:cs="Times New Roman"/>
          <w:noProof/>
          <w:szCs w:val="24"/>
          <w:lang w:val="en-GB" w:eastAsia="en-IN"/>
        </w:rPr>
      </w:pPr>
      <w:hyperlink w:anchor="_Toc227769781" w:history="1">
        <w:r w:rsidRPr="004C6D84">
          <w:rPr>
            <w:rStyle w:val="Hyperlink"/>
            <w:rFonts w:cs="Times New Roman"/>
            <w:noProof/>
            <w:lang w:val="en-GB"/>
          </w:rPr>
          <w:t>Table 5: Time-based implementation roadmap</w:t>
        </w:r>
        <w:r w:rsidRPr="004C6D84">
          <w:rPr>
            <w:rFonts w:cs="Times New Roman"/>
            <w:noProof/>
            <w:webHidden/>
            <w:lang w:val="en-GB"/>
          </w:rPr>
          <w:tab/>
        </w:r>
        <w:r w:rsidRPr="004C6D84">
          <w:rPr>
            <w:rFonts w:cs="Times New Roman"/>
            <w:noProof/>
            <w:webHidden/>
            <w:lang w:val="en-GB"/>
          </w:rPr>
          <w:fldChar w:fldCharType="begin"/>
        </w:r>
        <w:r w:rsidRPr="004C6D84">
          <w:rPr>
            <w:rFonts w:cs="Times New Roman"/>
            <w:noProof/>
            <w:webHidden/>
            <w:lang w:val="en-GB"/>
          </w:rPr>
          <w:instrText xml:space="preserve"> PAGEREF _Toc227769781 \h </w:instrText>
        </w:r>
        <w:r w:rsidRPr="004C6D84">
          <w:rPr>
            <w:rFonts w:cs="Times New Roman"/>
            <w:noProof/>
            <w:webHidden/>
            <w:lang w:val="en-GB"/>
          </w:rPr>
        </w:r>
        <w:r w:rsidRPr="004C6D84">
          <w:rPr>
            <w:rFonts w:cs="Times New Roman"/>
            <w:noProof/>
            <w:webHidden/>
            <w:lang w:val="en-GB"/>
          </w:rPr>
          <w:fldChar w:fldCharType="separate"/>
        </w:r>
        <w:r w:rsidRPr="004C6D84">
          <w:rPr>
            <w:rFonts w:cs="Times New Roman"/>
            <w:noProof/>
            <w:webHidden/>
            <w:lang w:val="en-GB"/>
          </w:rPr>
          <w:t>20</w:t>
        </w:r>
        <w:r w:rsidRPr="004C6D84">
          <w:rPr>
            <w:rFonts w:cs="Times New Roman"/>
            <w:noProof/>
            <w:webHidden/>
            <w:lang w:val="en-GB"/>
          </w:rPr>
          <w:fldChar w:fldCharType="end"/>
        </w:r>
      </w:hyperlink>
    </w:p>
    <w:p w14:paraId="68D58E5A" w14:textId="370ADC82" w:rsidR="00546ABE" w:rsidRPr="004C6D84" w:rsidRDefault="00546ABE" w:rsidP="0064364D">
      <w:pPr>
        <w:pStyle w:val="TableofFigures"/>
        <w:tabs>
          <w:tab w:val="right" w:leader="dot" w:pos="9016"/>
        </w:tabs>
        <w:spacing w:before="240" w:after="240"/>
        <w:rPr>
          <w:rFonts w:eastAsiaTheme="minorEastAsia" w:cs="Times New Roman"/>
          <w:noProof/>
          <w:szCs w:val="24"/>
          <w:lang w:val="en-GB" w:eastAsia="en-IN"/>
        </w:rPr>
      </w:pPr>
      <w:hyperlink w:anchor="_Toc227769782" w:history="1">
        <w:r w:rsidRPr="004C6D84">
          <w:rPr>
            <w:rStyle w:val="Hyperlink"/>
            <w:rFonts w:cs="Times New Roman"/>
            <w:noProof/>
            <w:lang w:val="en-GB"/>
          </w:rPr>
          <w:t>Table 6: AI Risk Monitoring Framework and KPIs for HSBC</w:t>
        </w:r>
        <w:r w:rsidRPr="004C6D84">
          <w:rPr>
            <w:rFonts w:cs="Times New Roman"/>
            <w:noProof/>
            <w:webHidden/>
            <w:lang w:val="en-GB"/>
          </w:rPr>
          <w:tab/>
        </w:r>
        <w:r w:rsidRPr="004C6D84">
          <w:rPr>
            <w:rFonts w:cs="Times New Roman"/>
            <w:noProof/>
            <w:webHidden/>
            <w:lang w:val="en-GB"/>
          </w:rPr>
          <w:fldChar w:fldCharType="begin"/>
        </w:r>
        <w:r w:rsidRPr="004C6D84">
          <w:rPr>
            <w:rFonts w:cs="Times New Roman"/>
            <w:noProof/>
            <w:webHidden/>
            <w:lang w:val="en-GB"/>
          </w:rPr>
          <w:instrText xml:space="preserve"> PAGEREF _Toc227769782 \h </w:instrText>
        </w:r>
        <w:r w:rsidRPr="004C6D84">
          <w:rPr>
            <w:rFonts w:cs="Times New Roman"/>
            <w:noProof/>
            <w:webHidden/>
            <w:lang w:val="en-GB"/>
          </w:rPr>
        </w:r>
        <w:r w:rsidRPr="004C6D84">
          <w:rPr>
            <w:rFonts w:cs="Times New Roman"/>
            <w:noProof/>
            <w:webHidden/>
            <w:lang w:val="en-GB"/>
          </w:rPr>
          <w:fldChar w:fldCharType="separate"/>
        </w:r>
        <w:r w:rsidRPr="004C6D84">
          <w:rPr>
            <w:rFonts w:cs="Times New Roman"/>
            <w:noProof/>
            <w:webHidden/>
            <w:lang w:val="en-GB"/>
          </w:rPr>
          <w:t>23</w:t>
        </w:r>
        <w:r w:rsidRPr="004C6D84">
          <w:rPr>
            <w:rFonts w:cs="Times New Roman"/>
            <w:noProof/>
            <w:webHidden/>
            <w:lang w:val="en-GB"/>
          </w:rPr>
          <w:fldChar w:fldCharType="end"/>
        </w:r>
      </w:hyperlink>
    </w:p>
    <w:p w14:paraId="1A8B81E6" w14:textId="63C2F4D9" w:rsidR="00546ABE" w:rsidRPr="004C6D84" w:rsidRDefault="00546ABE" w:rsidP="0064364D">
      <w:pPr>
        <w:spacing w:before="240" w:after="240"/>
        <w:rPr>
          <w:rFonts w:cs="Times New Roman"/>
          <w:lang w:val="en-GB"/>
        </w:rPr>
      </w:pPr>
      <w:r w:rsidRPr="004C6D84">
        <w:rPr>
          <w:rFonts w:cs="Times New Roman"/>
          <w:lang w:val="en-GB"/>
        </w:rPr>
        <w:fldChar w:fldCharType="end"/>
      </w:r>
    </w:p>
    <w:p w14:paraId="149C3B70" w14:textId="77777777" w:rsidR="00546ABE" w:rsidRPr="004C6D84" w:rsidRDefault="00546ABE" w:rsidP="0064364D">
      <w:pPr>
        <w:spacing w:before="240" w:after="240"/>
        <w:rPr>
          <w:rFonts w:cs="Times New Roman"/>
          <w:lang w:val="en-GB"/>
        </w:rPr>
      </w:pPr>
    </w:p>
    <w:p w14:paraId="6FA613D9" w14:textId="77777777" w:rsidR="00546ABE" w:rsidRPr="004C6D84" w:rsidRDefault="00546ABE" w:rsidP="0064364D">
      <w:pPr>
        <w:spacing w:before="240" w:after="240"/>
        <w:jc w:val="center"/>
        <w:rPr>
          <w:rFonts w:cs="Times New Roman"/>
          <w:b/>
          <w:bCs/>
          <w:sz w:val="32"/>
          <w:szCs w:val="28"/>
          <w:lang w:val="en-GB"/>
        </w:rPr>
      </w:pPr>
      <w:r w:rsidRPr="004C6D84">
        <w:rPr>
          <w:rFonts w:cs="Times New Roman"/>
          <w:b/>
          <w:bCs/>
          <w:sz w:val="32"/>
          <w:szCs w:val="28"/>
          <w:lang w:val="en-GB"/>
        </w:rPr>
        <w:t>List of Figures</w:t>
      </w:r>
    </w:p>
    <w:p w14:paraId="18440E1A" w14:textId="27E9EA49" w:rsidR="00546ABE" w:rsidRPr="004C6D84" w:rsidRDefault="00546ABE" w:rsidP="0064364D">
      <w:pPr>
        <w:pStyle w:val="TableofFigures"/>
        <w:tabs>
          <w:tab w:val="right" w:leader="dot" w:pos="9016"/>
        </w:tabs>
        <w:spacing w:before="240" w:after="240"/>
        <w:rPr>
          <w:rFonts w:cs="Times New Roman"/>
          <w:noProof/>
          <w:lang w:val="en-GB"/>
        </w:rPr>
      </w:pPr>
      <w:r w:rsidRPr="004C6D84">
        <w:rPr>
          <w:rFonts w:cs="Times New Roman"/>
          <w:b/>
          <w:bCs/>
          <w:lang w:val="en-GB"/>
        </w:rPr>
        <w:fldChar w:fldCharType="begin"/>
      </w:r>
      <w:r w:rsidRPr="004C6D84">
        <w:rPr>
          <w:rFonts w:cs="Times New Roman"/>
          <w:b/>
          <w:bCs/>
          <w:lang w:val="en-GB"/>
        </w:rPr>
        <w:instrText xml:space="preserve"> TOC \h \z \c "Figure" </w:instrText>
      </w:r>
      <w:r w:rsidRPr="004C6D84">
        <w:rPr>
          <w:rFonts w:cs="Times New Roman"/>
          <w:b/>
          <w:bCs/>
          <w:lang w:val="en-GB"/>
        </w:rPr>
        <w:fldChar w:fldCharType="separate"/>
      </w:r>
      <w:hyperlink w:anchor="_Toc227769769" w:history="1">
        <w:r w:rsidRPr="004C6D84">
          <w:rPr>
            <w:rStyle w:val="Hyperlink"/>
            <w:rFonts w:cs="Times New Roman"/>
            <w:noProof/>
            <w:lang w:val="en-GB"/>
          </w:rPr>
          <w:t>Figure 1: Roles across organisational levels</w:t>
        </w:r>
        <w:r w:rsidRPr="004C6D84">
          <w:rPr>
            <w:rFonts w:cs="Times New Roman"/>
            <w:noProof/>
            <w:webHidden/>
            <w:lang w:val="en-GB"/>
          </w:rPr>
          <w:tab/>
        </w:r>
        <w:r w:rsidRPr="004C6D84">
          <w:rPr>
            <w:rFonts w:cs="Times New Roman"/>
            <w:noProof/>
            <w:webHidden/>
            <w:lang w:val="en-GB"/>
          </w:rPr>
          <w:fldChar w:fldCharType="begin"/>
        </w:r>
        <w:r w:rsidRPr="004C6D84">
          <w:rPr>
            <w:rFonts w:cs="Times New Roman"/>
            <w:noProof/>
            <w:webHidden/>
            <w:lang w:val="en-GB"/>
          </w:rPr>
          <w:instrText xml:space="preserve"> PAGEREF _Toc227769769 \h </w:instrText>
        </w:r>
        <w:r w:rsidRPr="004C6D84">
          <w:rPr>
            <w:rFonts w:cs="Times New Roman"/>
            <w:noProof/>
            <w:webHidden/>
            <w:lang w:val="en-GB"/>
          </w:rPr>
        </w:r>
        <w:r w:rsidRPr="004C6D84">
          <w:rPr>
            <w:rFonts w:cs="Times New Roman"/>
            <w:noProof/>
            <w:webHidden/>
            <w:lang w:val="en-GB"/>
          </w:rPr>
          <w:fldChar w:fldCharType="separate"/>
        </w:r>
        <w:r w:rsidRPr="004C6D84">
          <w:rPr>
            <w:rFonts w:cs="Times New Roman"/>
            <w:noProof/>
            <w:webHidden/>
            <w:lang w:val="en-GB"/>
          </w:rPr>
          <w:t>21</w:t>
        </w:r>
        <w:r w:rsidRPr="004C6D84">
          <w:rPr>
            <w:rFonts w:cs="Times New Roman"/>
            <w:noProof/>
            <w:webHidden/>
            <w:lang w:val="en-GB"/>
          </w:rPr>
          <w:fldChar w:fldCharType="end"/>
        </w:r>
      </w:hyperlink>
    </w:p>
    <w:p w14:paraId="05DDB8E4" w14:textId="1908F864" w:rsidR="00546ABE" w:rsidRPr="004C6D84" w:rsidRDefault="00546ABE" w:rsidP="0064364D">
      <w:pPr>
        <w:pStyle w:val="TableofFigures"/>
        <w:tabs>
          <w:tab w:val="right" w:leader="dot" w:pos="9016"/>
        </w:tabs>
        <w:spacing w:before="240" w:after="240"/>
        <w:rPr>
          <w:rFonts w:cs="Times New Roman"/>
          <w:noProof/>
          <w:lang w:val="en-GB"/>
        </w:rPr>
      </w:pPr>
      <w:hyperlink w:anchor="_Toc227769770" w:history="1">
        <w:r w:rsidRPr="004C6D84">
          <w:rPr>
            <w:rStyle w:val="Hyperlink"/>
            <w:rFonts w:cs="Times New Roman"/>
            <w:noProof/>
            <w:lang w:val="en-GB"/>
          </w:rPr>
          <w:t>Figure 2: Resource and capabilities requirements for HSBC’s AI risk management</w:t>
        </w:r>
        <w:r w:rsidRPr="004C6D84">
          <w:rPr>
            <w:rFonts w:cs="Times New Roman"/>
            <w:noProof/>
            <w:webHidden/>
            <w:lang w:val="en-GB"/>
          </w:rPr>
          <w:tab/>
        </w:r>
        <w:r w:rsidRPr="004C6D84">
          <w:rPr>
            <w:rFonts w:cs="Times New Roman"/>
            <w:noProof/>
            <w:webHidden/>
            <w:lang w:val="en-GB"/>
          </w:rPr>
          <w:fldChar w:fldCharType="begin"/>
        </w:r>
        <w:r w:rsidRPr="004C6D84">
          <w:rPr>
            <w:rFonts w:cs="Times New Roman"/>
            <w:noProof/>
            <w:webHidden/>
            <w:lang w:val="en-GB"/>
          </w:rPr>
          <w:instrText xml:space="preserve"> PAGEREF _Toc227769770 \h </w:instrText>
        </w:r>
        <w:r w:rsidRPr="004C6D84">
          <w:rPr>
            <w:rFonts w:cs="Times New Roman"/>
            <w:noProof/>
            <w:webHidden/>
            <w:lang w:val="en-GB"/>
          </w:rPr>
        </w:r>
        <w:r w:rsidRPr="004C6D84">
          <w:rPr>
            <w:rFonts w:cs="Times New Roman"/>
            <w:noProof/>
            <w:webHidden/>
            <w:lang w:val="en-GB"/>
          </w:rPr>
          <w:fldChar w:fldCharType="separate"/>
        </w:r>
        <w:r w:rsidRPr="004C6D84">
          <w:rPr>
            <w:rFonts w:cs="Times New Roman"/>
            <w:noProof/>
            <w:webHidden/>
            <w:lang w:val="en-GB"/>
          </w:rPr>
          <w:t>22</w:t>
        </w:r>
        <w:r w:rsidRPr="004C6D84">
          <w:rPr>
            <w:rFonts w:cs="Times New Roman"/>
            <w:noProof/>
            <w:webHidden/>
            <w:lang w:val="en-GB"/>
          </w:rPr>
          <w:fldChar w:fldCharType="end"/>
        </w:r>
      </w:hyperlink>
    </w:p>
    <w:p w14:paraId="1C9F7DF0" w14:textId="260AB435" w:rsidR="00786F69" w:rsidRPr="004C6D84" w:rsidRDefault="00546ABE" w:rsidP="0064364D">
      <w:pPr>
        <w:spacing w:before="240" w:after="240"/>
        <w:rPr>
          <w:rFonts w:cs="Times New Roman"/>
          <w:b/>
          <w:bCs/>
          <w:lang w:val="en-GB"/>
        </w:rPr>
      </w:pPr>
      <w:r w:rsidRPr="004C6D84">
        <w:rPr>
          <w:rFonts w:cs="Times New Roman"/>
          <w:b/>
          <w:bCs/>
          <w:lang w:val="en-GB"/>
        </w:rPr>
        <w:fldChar w:fldCharType="end"/>
      </w:r>
      <w:r w:rsidRPr="004C6D84">
        <w:rPr>
          <w:rFonts w:cs="Times New Roman"/>
          <w:b/>
          <w:bCs/>
          <w:lang w:val="en-GB"/>
        </w:rPr>
        <w:br w:type="page"/>
      </w:r>
    </w:p>
    <w:p w14:paraId="2DAF2858" w14:textId="77777777" w:rsidR="001C0510" w:rsidRPr="004C6D84" w:rsidRDefault="00424F41" w:rsidP="0064364D">
      <w:pPr>
        <w:pStyle w:val="Heading1"/>
        <w:spacing w:before="240" w:after="240"/>
        <w:rPr>
          <w:rFonts w:cs="Times New Roman"/>
          <w:lang w:val="en-GB"/>
        </w:rPr>
      </w:pPr>
      <w:bookmarkStart w:id="0" w:name="_Toc228125361"/>
      <w:r w:rsidRPr="004C6D84">
        <w:rPr>
          <w:rFonts w:cs="Times New Roman"/>
          <w:lang w:val="en-GB"/>
        </w:rPr>
        <w:lastRenderedPageBreak/>
        <w:t>1. Introduction</w:t>
      </w:r>
      <w:bookmarkEnd w:id="0"/>
    </w:p>
    <w:p w14:paraId="33AB8EBD" w14:textId="697D5DBD" w:rsidR="00FD04ED" w:rsidRPr="004C6D84" w:rsidRDefault="00424F41" w:rsidP="0064364D">
      <w:pPr>
        <w:spacing w:before="240" w:after="240"/>
        <w:rPr>
          <w:rFonts w:cs="Times New Roman"/>
          <w:lang w:val="en-GB"/>
        </w:rPr>
      </w:pPr>
      <w:r w:rsidRPr="004C6D84">
        <w:rPr>
          <w:rFonts w:cs="Times New Roman"/>
          <w:lang w:val="en-GB"/>
        </w:rPr>
        <w:t>The accelerated adoption of artificial intelligence (AI) is radically changing the banking industry all over the world, reinventing the way financial institutions operate, compete and manage risk. In the case of multinational banks, like HSBC, AI is becoming integrated in key operations, such as credit risk assessment, fraud detection, algorithmic trading, and customer analytics</w:t>
      </w:r>
      <w:r w:rsidR="00702327" w:rsidRPr="004C6D84">
        <w:rPr>
          <w:rFonts w:cs="Times New Roman"/>
          <w:lang w:val="en-GB"/>
        </w:rPr>
        <w:t xml:space="preserve"> (HSBC, 2024)</w:t>
      </w:r>
      <w:r w:rsidRPr="004C6D84">
        <w:rPr>
          <w:rFonts w:cs="Times New Roman"/>
          <w:lang w:val="en-GB"/>
        </w:rPr>
        <w:t>. These applications optimise operational efficiency, predictive accuracy, and cost optimisation, but at the same time, they present interrelated and multi-faceted risks that transcend the traditional financial frameworks into technological, ethical and regulatory spheres.</w:t>
      </w:r>
    </w:p>
    <w:p w14:paraId="578FA92C" w14:textId="77777777" w:rsidR="00FD04ED" w:rsidRPr="004C6D84" w:rsidRDefault="00424F41" w:rsidP="0064364D">
      <w:pPr>
        <w:spacing w:before="240" w:after="240"/>
        <w:rPr>
          <w:rFonts w:cs="Times New Roman"/>
          <w:lang w:val="en-GB"/>
        </w:rPr>
      </w:pPr>
      <w:r w:rsidRPr="004C6D84">
        <w:rPr>
          <w:rFonts w:cs="Times New Roman"/>
          <w:lang w:val="en-GB"/>
        </w:rPr>
        <w:t>In its continual digital transformation, HSBC has increased the number of systems powered by AI to enhance the machine detection of financial crimes, risk modelling and provide personalised customer services. On the one hand, such deployment increases the effectiveness of the operation; on the other hand, it increases the exposure to data governance issues, especially in terms of processing large volumes of data and cross-border data flows. Furthermore, the use of algorithms for decision-making raises cruci</w:t>
      </w:r>
      <w:r w:rsidRPr="004C6D84">
        <w:rPr>
          <w:rFonts w:cs="Times New Roman"/>
          <w:lang w:val="en-GB"/>
        </w:rPr>
        <w:t>al questions of transparency, accountability, and the potential for bias, particularly in high-stakes sectors such as credit allocation (</w:t>
      </w:r>
      <w:proofErr w:type="spellStart"/>
      <w:r w:rsidRPr="004C6D84">
        <w:rPr>
          <w:rFonts w:cs="Times New Roman"/>
          <w:lang w:val="en-GB"/>
        </w:rPr>
        <w:t>Castelnovo</w:t>
      </w:r>
      <w:proofErr w:type="spellEnd"/>
      <w:r w:rsidRPr="004C6D84">
        <w:rPr>
          <w:rFonts w:cs="Times New Roman"/>
          <w:lang w:val="en-GB"/>
        </w:rPr>
        <w:t>, 2024). The use of AI, therefore, is not only a change in technologies but a more profound re-plumbing of risk management, as organisations will have to deal with the multidimensional threats that include operational, legal, and reputational risks (Deloitte, 2025).</w:t>
      </w:r>
    </w:p>
    <w:p w14:paraId="3D59E5E2" w14:textId="401DA8C0" w:rsidR="00FD04ED" w:rsidRPr="004C6D84" w:rsidRDefault="00424F41" w:rsidP="0064364D">
      <w:pPr>
        <w:spacing w:before="240" w:after="240"/>
        <w:rPr>
          <w:rFonts w:cs="Times New Roman"/>
          <w:lang w:val="en-GB"/>
        </w:rPr>
      </w:pPr>
      <w:r w:rsidRPr="004C6D84">
        <w:rPr>
          <w:rFonts w:cs="Times New Roman"/>
          <w:lang w:val="en-GB"/>
        </w:rPr>
        <w:t>The regulatory landscape that is increasingly dynamic and more fragmented in its nature only heightens these challenges to AI. There is growing intervention by governments and regulatory authorities to strike a balance between innovation and mitigation of risks, but there is a wide gap between the United Kingdom and the European Union</w:t>
      </w:r>
      <w:r w:rsidR="007D74D8" w:rsidRPr="004C6D84">
        <w:rPr>
          <w:rFonts w:cs="Times New Roman"/>
          <w:lang w:val="en-GB"/>
        </w:rPr>
        <w:t xml:space="preserve"> (Sawant et al., 2023)</w:t>
      </w:r>
      <w:r w:rsidRPr="004C6D84">
        <w:rPr>
          <w:rFonts w:cs="Times New Roman"/>
          <w:lang w:val="en-GB"/>
        </w:rPr>
        <w:t>. The UK has taken the pro-innovation model, based on principles, and prioritising flexibility and sector-based control</w:t>
      </w:r>
      <w:r w:rsidR="000233F2">
        <w:rPr>
          <w:rFonts w:cs="Times New Roman"/>
          <w:lang w:val="en-GB"/>
        </w:rPr>
        <w:t xml:space="preserve"> (</w:t>
      </w:r>
      <w:proofErr w:type="spellStart"/>
      <w:r w:rsidR="000233F2" w:rsidRPr="000233F2">
        <w:rPr>
          <w:rFonts w:cs="Times New Roman"/>
          <w:lang w:val="en-GB"/>
        </w:rPr>
        <w:t>Kuanova</w:t>
      </w:r>
      <w:proofErr w:type="spellEnd"/>
      <w:r w:rsidR="000233F2">
        <w:rPr>
          <w:rFonts w:cs="Times New Roman"/>
          <w:lang w:val="en-GB"/>
        </w:rPr>
        <w:t>, 2026)</w:t>
      </w:r>
      <w:r w:rsidRPr="004C6D84">
        <w:rPr>
          <w:rFonts w:cs="Times New Roman"/>
          <w:lang w:val="en-GB"/>
        </w:rPr>
        <w:t>. Conversely, the EU has adopted an overall, rule-based system by the EU AI Act and the General Data Protection Regulation, which place specific requirements on high-risk AI systems and data processing patterns.</w:t>
      </w:r>
    </w:p>
    <w:p w14:paraId="3CD4F455" w14:textId="5448607A" w:rsidR="00FD04ED" w:rsidRPr="004C6D84" w:rsidRDefault="00424F41" w:rsidP="0064364D">
      <w:pPr>
        <w:spacing w:before="240" w:after="240"/>
        <w:rPr>
          <w:rFonts w:cs="Times New Roman"/>
          <w:lang w:val="en-GB"/>
        </w:rPr>
      </w:pPr>
      <w:r w:rsidRPr="004C6D84">
        <w:rPr>
          <w:rFonts w:cs="Times New Roman"/>
          <w:lang w:val="en-GB"/>
        </w:rPr>
        <w:t xml:space="preserve">The choice of the European Union as a regulatory focus is strategically explained by its globally impactful and strict attitude to the regulations of AI. In the case of a global organisation like HSBC, it is crucial that the organisation meets the requirements of EU regulatory standards </w:t>
      </w:r>
      <w:r w:rsidRPr="004C6D84">
        <w:rPr>
          <w:rFonts w:cs="Times New Roman"/>
          <w:lang w:val="en-GB"/>
        </w:rPr>
        <w:lastRenderedPageBreak/>
        <w:t>because they are effective in setting a standard for the responsible use of AI</w:t>
      </w:r>
      <w:r w:rsidR="00CE586C" w:rsidRPr="004C6D84">
        <w:rPr>
          <w:rFonts w:cs="Times New Roman"/>
          <w:lang w:val="en-GB"/>
        </w:rPr>
        <w:t xml:space="preserve"> (Islam, 2023)</w:t>
      </w:r>
      <w:r w:rsidRPr="004C6D84">
        <w:rPr>
          <w:rFonts w:cs="Times New Roman"/>
          <w:lang w:val="en-GB"/>
        </w:rPr>
        <w:t>. Consequently, the EU context analysis offers a crucial understanding of the utmost regulatory expectations and the risk management requirements and makes it possible to draw a significant analogy between the EU model, which is characterised by the most rigorous regulations, and the UK model, which is more lenient.</w:t>
      </w:r>
    </w:p>
    <w:p w14:paraId="50AE2390" w14:textId="0A202846" w:rsidR="006D726E" w:rsidRPr="004C6D84" w:rsidRDefault="00424F41" w:rsidP="0064364D">
      <w:pPr>
        <w:spacing w:before="240" w:after="240"/>
        <w:rPr>
          <w:rFonts w:cs="Times New Roman"/>
          <w:lang w:val="en-GB"/>
        </w:rPr>
      </w:pPr>
      <w:r w:rsidRPr="004C6D84">
        <w:rPr>
          <w:rFonts w:cs="Times New Roman"/>
          <w:lang w:val="en-GB"/>
        </w:rPr>
        <w:t>To counteract this, this report critically addresses the consequences of adopting AI to risk management in HSBC, including data governance, ethical use of AI, regulatory compliance and customer trust</w:t>
      </w:r>
      <w:r w:rsidR="00135C91">
        <w:rPr>
          <w:rFonts w:cs="Times New Roman"/>
          <w:lang w:val="en-GB"/>
        </w:rPr>
        <w:t xml:space="preserve"> (</w:t>
      </w:r>
      <w:r w:rsidR="00135C91" w:rsidRPr="00135C91">
        <w:rPr>
          <w:rFonts w:cs="Times New Roman"/>
          <w:lang w:val="en-GB"/>
        </w:rPr>
        <w:t>Nwachukwu and Okolo</w:t>
      </w:r>
      <w:r w:rsidR="00135C91">
        <w:rPr>
          <w:rFonts w:cs="Times New Roman"/>
          <w:lang w:val="en-GB"/>
        </w:rPr>
        <w:t>, 2025)</w:t>
      </w:r>
      <w:r w:rsidRPr="004C6D84">
        <w:rPr>
          <w:rFonts w:cs="Times New Roman"/>
          <w:lang w:val="en-GB"/>
        </w:rPr>
        <w:t>. It also comes up with a joint risk management system and implementation plan that will ensure that regulatory compliance and innovation goals in both the UK and EU markets are aligned.</w:t>
      </w:r>
    </w:p>
    <w:p w14:paraId="43973E7A" w14:textId="77777777" w:rsidR="001C0510" w:rsidRPr="004C6D84" w:rsidRDefault="00424F41" w:rsidP="0064364D">
      <w:pPr>
        <w:pStyle w:val="Heading1"/>
        <w:spacing w:before="240" w:after="240"/>
        <w:rPr>
          <w:rFonts w:cs="Times New Roman"/>
          <w:lang w:val="en-GB"/>
        </w:rPr>
      </w:pPr>
      <w:bookmarkStart w:id="1" w:name="_Toc228125362"/>
      <w:r w:rsidRPr="004C6D84">
        <w:rPr>
          <w:rFonts w:cs="Times New Roman"/>
          <w:lang w:val="en-GB"/>
        </w:rPr>
        <w:t>2. Macroeconomic &amp; Business Environment</w:t>
      </w:r>
      <w:bookmarkEnd w:id="1"/>
    </w:p>
    <w:p w14:paraId="1C44AF21" w14:textId="17C6FEC5" w:rsidR="007A3090" w:rsidRPr="004C6D84" w:rsidRDefault="00424F41" w:rsidP="0064364D">
      <w:pPr>
        <w:spacing w:before="240" w:after="240"/>
        <w:rPr>
          <w:rFonts w:cs="Times New Roman"/>
          <w:lang w:val="en-GB"/>
        </w:rPr>
      </w:pPr>
      <w:r w:rsidRPr="004C6D84">
        <w:rPr>
          <w:rFonts w:cs="Times New Roman"/>
          <w:lang w:val="en-GB"/>
        </w:rPr>
        <w:t>Regulatory divergence, technological acceleration, and changing societal expectations are increasingly becoming the macroeconomic and business environment factors impacting artificial intelligence (AI) adoption in the banking industry</w:t>
      </w:r>
      <w:r w:rsidR="007D74D8" w:rsidRPr="004C6D84">
        <w:rPr>
          <w:rFonts w:cs="Times New Roman"/>
          <w:lang w:val="en-GB"/>
        </w:rPr>
        <w:t xml:space="preserve"> (Olatunbosun and Olatunbosun, 2025)</w:t>
      </w:r>
      <w:r w:rsidRPr="004C6D84">
        <w:rPr>
          <w:rFonts w:cs="Times New Roman"/>
          <w:lang w:val="en-GB"/>
        </w:rPr>
        <w:t>. In the case of HSBC, the dynamics result in a complicated environment where innovation has to be well-balanced with governance, compliance, and trust issues across jurisdictions.</w:t>
      </w:r>
    </w:p>
    <w:p w14:paraId="11FF528B" w14:textId="77777777" w:rsidR="00EF51BA" w:rsidRPr="004C6D84" w:rsidRDefault="00424F41" w:rsidP="0064364D">
      <w:pPr>
        <w:pStyle w:val="Caption"/>
        <w:keepNext/>
        <w:spacing w:before="240" w:after="240" w:line="360" w:lineRule="auto"/>
        <w:rPr>
          <w:rFonts w:cs="Times New Roman"/>
          <w:lang w:val="en-GB"/>
        </w:rPr>
      </w:pPr>
      <w:bookmarkStart w:id="2" w:name="_Toc227769777"/>
      <w:r w:rsidRPr="004C6D84">
        <w:rPr>
          <w:rFonts w:cs="Times New Roman"/>
          <w:lang w:val="en-GB"/>
        </w:rPr>
        <w:t xml:space="preserve">Table </w:t>
      </w:r>
      <w:r w:rsidRPr="004C6D84">
        <w:rPr>
          <w:rFonts w:cs="Times New Roman"/>
          <w:lang w:val="en-GB"/>
        </w:rPr>
        <w:fldChar w:fldCharType="begin"/>
      </w:r>
      <w:r w:rsidRPr="004C6D84">
        <w:rPr>
          <w:rFonts w:cs="Times New Roman"/>
          <w:lang w:val="en-GB"/>
        </w:rPr>
        <w:instrText xml:space="preserve"> SEQ Table \* ARABIC </w:instrText>
      </w:r>
      <w:r w:rsidRPr="004C6D84">
        <w:rPr>
          <w:rFonts w:cs="Times New Roman"/>
          <w:lang w:val="en-GB"/>
        </w:rPr>
        <w:fldChar w:fldCharType="separate"/>
      </w:r>
      <w:r w:rsidR="00222045" w:rsidRPr="004C6D84">
        <w:rPr>
          <w:rFonts w:cs="Times New Roman"/>
          <w:noProof/>
          <w:lang w:val="en-GB"/>
        </w:rPr>
        <w:t>1</w:t>
      </w:r>
      <w:r w:rsidRPr="004C6D84">
        <w:rPr>
          <w:rFonts w:cs="Times New Roman"/>
          <w:lang w:val="en-GB"/>
        </w:rPr>
        <w:fldChar w:fldCharType="end"/>
      </w:r>
      <w:r w:rsidRPr="004C6D84">
        <w:rPr>
          <w:rFonts w:cs="Times New Roman"/>
          <w:lang w:val="en-GB"/>
        </w:rPr>
        <w:t>:</w:t>
      </w:r>
      <w:r w:rsidRPr="004C6D84">
        <w:rPr>
          <w:rFonts w:cs="Times New Roman"/>
          <w:i w:val="0"/>
          <w:iCs w:val="0"/>
          <w:color w:val="auto"/>
          <w:sz w:val="22"/>
          <w:szCs w:val="22"/>
          <w:lang w:val="en-GB"/>
        </w:rPr>
        <w:t xml:space="preserve"> </w:t>
      </w:r>
      <w:r w:rsidRPr="004C6D84">
        <w:rPr>
          <w:rFonts w:cs="Times New Roman"/>
          <w:lang w:val="en-GB"/>
        </w:rPr>
        <w:t>PESTLE Factors Influencing AI Adoption in HSBC (UK vs EU)</w:t>
      </w:r>
      <w:bookmarkEnd w:id="2"/>
    </w:p>
    <w:p w14:paraId="0B0E51E7" w14:textId="77777777" w:rsidR="007A3090" w:rsidRPr="004C6D84" w:rsidRDefault="00424F41" w:rsidP="0064364D">
      <w:pPr>
        <w:spacing w:before="240" w:after="240"/>
        <w:rPr>
          <w:rFonts w:cs="Times New Roman"/>
          <w:lang w:val="en-GB"/>
        </w:rPr>
      </w:pPr>
      <w:r w:rsidRPr="004C6D84">
        <w:rPr>
          <w:rFonts w:cs="Times New Roman"/>
          <w:noProof/>
          <w:lang w:val="en-GB"/>
        </w:rPr>
        <w:drawing>
          <wp:inline distT="0" distB="0" distL="0" distR="0" wp14:anchorId="01DA2951" wp14:editId="296FAC9E">
            <wp:extent cx="5731510" cy="3174124"/>
            <wp:effectExtent l="0" t="0" r="2540" b="7620"/>
            <wp:docPr id="42295961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22959614" name=""/>
                    <pic:cNvPicPr/>
                  </pic:nvPicPr>
                  <pic:blipFill>
                    <a:blip r:embed="rId10"/>
                    <a:stretch>
                      <a:fillRect/>
                    </a:stretch>
                  </pic:blipFill>
                  <pic:spPr>
                    <a:xfrm>
                      <a:off x="0" y="0"/>
                      <a:ext cx="5734419" cy="3175735"/>
                    </a:xfrm>
                    <a:prstGeom prst="rect">
                      <a:avLst/>
                    </a:prstGeom>
                  </pic:spPr>
                </pic:pic>
              </a:graphicData>
            </a:graphic>
          </wp:inline>
        </w:drawing>
      </w:r>
    </w:p>
    <w:p w14:paraId="3F68AF42" w14:textId="47A1E876" w:rsidR="007E190A" w:rsidRPr="004C6D84" w:rsidRDefault="00424F41" w:rsidP="0064364D">
      <w:pPr>
        <w:spacing w:before="240" w:after="240"/>
        <w:rPr>
          <w:rFonts w:cs="Times New Roman"/>
          <w:lang w:val="en-GB"/>
        </w:rPr>
      </w:pPr>
      <w:r w:rsidRPr="004C6D84">
        <w:rPr>
          <w:rFonts w:cs="Times New Roman"/>
          <w:b/>
          <w:bCs/>
          <w:lang w:val="en-GB"/>
        </w:rPr>
        <w:lastRenderedPageBreak/>
        <w:t>Political and regulatory environment</w:t>
      </w:r>
      <w:r w:rsidRPr="004C6D84">
        <w:rPr>
          <w:rFonts w:cs="Times New Roman"/>
          <w:lang w:val="en-GB"/>
        </w:rPr>
        <w:t>: Divergence between the United Kingdom and the European Union is a characteristic of the present environment in a political and regulatory context</w:t>
      </w:r>
      <w:r w:rsidR="00CE586C" w:rsidRPr="004C6D84">
        <w:rPr>
          <w:rFonts w:cs="Times New Roman"/>
          <w:lang w:val="en-GB"/>
        </w:rPr>
        <w:t xml:space="preserve"> (</w:t>
      </w:r>
      <w:proofErr w:type="spellStart"/>
      <w:r w:rsidR="00CE586C" w:rsidRPr="004C6D84">
        <w:rPr>
          <w:rFonts w:cs="Times New Roman"/>
          <w:lang w:val="en-GB"/>
        </w:rPr>
        <w:t>Mazikana</w:t>
      </w:r>
      <w:proofErr w:type="spellEnd"/>
      <w:r w:rsidR="00CE586C" w:rsidRPr="004C6D84">
        <w:rPr>
          <w:rFonts w:cs="Times New Roman"/>
          <w:lang w:val="en-GB"/>
        </w:rPr>
        <w:t>, 2023)</w:t>
      </w:r>
      <w:r w:rsidRPr="004C6D84">
        <w:rPr>
          <w:rFonts w:cs="Times New Roman"/>
          <w:lang w:val="en-GB"/>
        </w:rPr>
        <w:t xml:space="preserve">. The pro-innovation approach of AI regulation that is formalised in the 2023 policy framework in the UK focuses on flexibility and sector-led regulation, enabling institutions to respond swiftly to technological change. </w:t>
      </w:r>
    </w:p>
    <w:p w14:paraId="2E18547D" w14:textId="6897A0D2" w:rsidR="00EF51BA" w:rsidRPr="004C6D84" w:rsidRDefault="00424F41" w:rsidP="0064364D">
      <w:pPr>
        <w:spacing w:before="240" w:after="240"/>
        <w:rPr>
          <w:rFonts w:cs="Times New Roman"/>
          <w:lang w:val="en-GB"/>
        </w:rPr>
      </w:pPr>
      <w:r w:rsidRPr="004C6D84">
        <w:rPr>
          <w:rFonts w:cs="Times New Roman"/>
          <w:lang w:val="en-GB"/>
        </w:rPr>
        <w:t>Conversely, the EU has pursued an all-encompassing and legally binding framework with the EU AI Act that categorises AI systems in terms of risk and imposes a high-compliance requirement on those applications that are considered to be high-risk, like credit scoring (European Union, 2024). Although the approach by the EU increases regulatory transparency and responsibility, it can limit innovation and delay deployment</w:t>
      </w:r>
      <w:r w:rsidR="00F00B97">
        <w:rPr>
          <w:rFonts w:cs="Times New Roman"/>
          <w:lang w:val="en-GB"/>
        </w:rPr>
        <w:t xml:space="preserve"> </w:t>
      </w:r>
      <w:r w:rsidR="00F00B97" w:rsidRPr="00F00B97">
        <w:rPr>
          <w:rFonts w:cs="Times New Roman"/>
          <w:lang w:val="en-GB"/>
        </w:rPr>
        <w:t>(</w:t>
      </w:r>
      <w:proofErr w:type="spellStart"/>
      <w:r w:rsidR="00F00B97" w:rsidRPr="00F00B97">
        <w:rPr>
          <w:rFonts w:cs="Times New Roman"/>
          <w:lang w:val="en-GB"/>
        </w:rPr>
        <w:t>Skouloudis</w:t>
      </w:r>
      <w:proofErr w:type="spellEnd"/>
      <w:r w:rsidR="00F00B97" w:rsidRPr="00F00B97">
        <w:rPr>
          <w:rFonts w:cs="Times New Roman"/>
          <w:lang w:val="en-GB"/>
        </w:rPr>
        <w:t xml:space="preserve"> et al., 2025)</w:t>
      </w:r>
      <w:r w:rsidRPr="004C6D84">
        <w:rPr>
          <w:rFonts w:cs="Times New Roman"/>
          <w:lang w:val="en-GB"/>
        </w:rPr>
        <w:t>. On the contrary, the adaptability of the UK facilitates experimentation but creates an interpretative ambiguity that may put HSBC at risk of different regulatory expectations and strategic uncertainty across markets.</w:t>
      </w:r>
    </w:p>
    <w:p w14:paraId="766E0D42" w14:textId="77777777" w:rsidR="007E190A" w:rsidRPr="004C6D84" w:rsidRDefault="00424F41" w:rsidP="0064364D">
      <w:pPr>
        <w:spacing w:before="240" w:after="240"/>
        <w:rPr>
          <w:rFonts w:cs="Times New Roman"/>
          <w:lang w:val="en-GB"/>
        </w:rPr>
      </w:pPr>
      <w:r w:rsidRPr="004C6D84">
        <w:rPr>
          <w:rFonts w:cs="Times New Roman"/>
          <w:b/>
          <w:bCs/>
          <w:lang w:val="en-GB"/>
        </w:rPr>
        <w:t>Economic environment</w:t>
      </w:r>
      <w:r w:rsidRPr="004C6D84">
        <w:rPr>
          <w:rFonts w:cs="Times New Roman"/>
          <w:lang w:val="en-GB"/>
        </w:rPr>
        <w:t>: AI is economically poised to be an important force behind productivity in financial services. It is estimated that in the banking industry alone, the global banking sector can add between $200 and 340 billion annually through efficiency and better decision making by generative AI (McKinsey &amp; Company, 2023). But there is a big difference in economic ramifications across regions. The EU has strict compliance demands, which add up to operational expenses in terms of documentation, auditing, and risk assessme</w:t>
      </w:r>
      <w:r w:rsidRPr="004C6D84">
        <w:rPr>
          <w:rFonts w:cs="Times New Roman"/>
          <w:lang w:val="en-GB"/>
        </w:rPr>
        <w:t xml:space="preserve">nt. </w:t>
      </w:r>
    </w:p>
    <w:p w14:paraId="76FF929C" w14:textId="734AC75E" w:rsidR="00EF51BA" w:rsidRPr="004C6D84" w:rsidRDefault="00424F41" w:rsidP="0064364D">
      <w:pPr>
        <w:spacing w:before="240" w:after="240"/>
        <w:rPr>
          <w:rFonts w:cs="Times New Roman"/>
          <w:lang w:val="en-GB"/>
        </w:rPr>
      </w:pPr>
      <w:r w:rsidRPr="004C6D84">
        <w:rPr>
          <w:rFonts w:cs="Times New Roman"/>
          <w:lang w:val="en-GB"/>
        </w:rPr>
        <w:t>Conversely, lower regulatory burden in the UK can lower the immediate expenses, but it can increase the long-term risks of a company if they are not well maintained by effective governance mechanisms</w:t>
      </w:r>
      <w:r w:rsidR="00CE586C" w:rsidRPr="004C6D84">
        <w:rPr>
          <w:rFonts w:cs="Times New Roman"/>
          <w:lang w:val="en-GB"/>
        </w:rPr>
        <w:t xml:space="preserve"> (</w:t>
      </w:r>
      <w:proofErr w:type="spellStart"/>
      <w:r w:rsidR="00CE586C" w:rsidRPr="004C6D84">
        <w:rPr>
          <w:rFonts w:cs="Times New Roman"/>
          <w:lang w:val="en-GB"/>
        </w:rPr>
        <w:t>Makvandi</w:t>
      </w:r>
      <w:proofErr w:type="spellEnd"/>
      <w:r w:rsidR="00CE586C" w:rsidRPr="004C6D84">
        <w:rPr>
          <w:rFonts w:cs="Times New Roman"/>
          <w:lang w:val="en-GB"/>
        </w:rPr>
        <w:t>, 2024)</w:t>
      </w:r>
      <w:r w:rsidRPr="004C6D84">
        <w:rPr>
          <w:rFonts w:cs="Times New Roman"/>
          <w:lang w:val="en-GB"/>
        </w:rPr>
        <w:t>. This presents a crucial trade-off between cost effectiveness and risk exposure in the case of HSBC and has to be strategically managed across jurisdictions</w:t>
      </w:r>
      <w:r w:rsidR="00F00B97">
        <w:rPr>
          <w:rFonts w:cs="Times New Roman"/>
          <w:lang w:val="en-GB"/>
        </w:rPr>
        <w:t xml:space="preserve"> </w:t>
      </w:r>
      <w:r w:rsidR="00F00B97" w:rsidRPr="00F00B97">
        <w:rPr>
          <w:rFonts w:cs="Times New Roman"/>
          <w:lang w:val="en-GB"/>
        </w:rPr>
        <w:t>(</w:t>
      </w:r>
      <w:proofErr w:type="spellStart"/>
      <w:r w:rsidR="00F00B97" w:rsidRPr="00F00B97">
        <w:rPr>
          <w:rFonts w:cs="Times New Roman"/>
          <w:lang w:val="en-GB"/>
        </w:rPr>
        <w:t>Saktiawan</w:t>
      </w:r>
      <w:proofErr w:type="spellEnd"/>
      <w:r w:rsidR="00F00B97" w:rsidRPr="00F00B97">
        <w:rPr>
          <w:rFonts w:cs="Times New Roman"/>
          <w:lang w:val="en-GB"/>
        </w:rPr>
        <w:t>, 2026)</w:t>
      </w:r>
      <w:r w:rsidRPr="004C6D84">
        <w:rPr>
          <w:rFonts w:cs="Times New Roman"/>
          <w:lang w:val="en-GB"/>
        </w:rPr>
        <w:t>.</w:t>
      </w:r>
    </w:p>
    <w:p w14:paraId="45A871C4" w14:textId="1DE2EEB8" w:rsidR="007E190A" w:rsidRPr="004C6D84" w:rsidRDefault="00424F41" w:rsidP="0064364D">
      <w:pPr>
        <w:spacing w:before="240" w:after="240"/>
        <w:rPr>
          <w:rFonts w:cs="Times New Roman"/>
          <w:lang w:val="en-GB"/>
        </w:rPr>
      </w:pPr>
      <w:r w:rsidRPr="004C6D84">
        <w:rPr>
          <w:rFonts w:cs="Times New Roman"/>
          <w:b/>
          <w:bCs/>
          <w:lang w:val="en-GB"/>
        </w:rPr>
        <w:t>Social dimension</w:t>
      </w:r>
      <w:r w:rsidRPr="004C6D84">
        <w:rPr>
          <w:rFonts w:cs="Times New Roman"/>
          <w:lang w:val="en-GB"/>
        </w:rPr>
        <w:t>: This complexity is further compounded by the social dimension, where the customer's trust and ethical expectations are concerned. The issue of data privacy and algorithmic bias has gained more prominence among the general population, and trusting AI-based decisions depends on the level of transparency and impartiality (Jui and Rivas, 2024). Trust institutionalisation in the EU involves strong regulatory protections that entail legal safeguards in the AI systems. Nevertheless, it can also result in a decre</w:t>
      </w:r>
      <w:r w:rsidRPr="004C6D84">
        <w:rPr>
          <w:rFonts w:cs="Times New Roman"/>
          <w:lang w:val="en-GB"/>
        </w:rPr>
        <w:t>ase in the flexibility of customer engagement strategies</w:t>
      </w:r>
      <w:r w:rsidR="00F00B97">
        <w:rPr>
          <w:rFonts w:cs="Times New Roman"/>
          <w:lang w:val="en-GB"/>
        </w:rPr>
        <w:t xml:space="preserve"> </w:t>
      </w:r>
      <w:r w:rsidR="00F00B97" w:rsidRPr="00F00B97">
        <w:rPr>
          <w:rFonts w:cs="Times New Roman"/>
          <w:lang w:val="en-GB"/>
        </w:rPr>
        <w:t>(Ali, 2026)</w:t>
      </w:r>
      <w:r w:rsidRPr="004C6D84">
        <w:rPr>
          <w:rFonts w:cs="Times New Roman"/>
          <w:lang w:val="en-GB"/>
        </w:rPr>
        <w:t xml:space="preserve">. </w:t>
      </w:r>
    </w:p>
    <w:p w14:paraId="6A215939" w14:textId="7800B215" w:rsidR="00EF51BA" w:rsidRPr="004C6D84" w:rsidRDefault="00424F41" w:rsidP="0064364D">
      <w:pPr>
        <w:spacing w:before="240" w:after="240"/>
        <w:rPr>
          <w:rFonts w:cs="Times New Roman"/>
          <w:lang w:val="en-GB"/>
        </w:rPr>
      </w:pPr>
      <w:r w:rsidRPr="004C6D84">
        <w:rPr>
          <w:rFonts w:cs="Times New Roman"/>
          <w:lang w:val="en-GB"/>
        </w:rPr>
        <w:lastRenderedPageBreak/>
        <w:t>Conversely, the UK's less prescriptive framework imposes more responsibility on the organisations to self-regulate, which entails that trust will be based more on whether HSBC can show ethical AI use</w:t>
      </w:r>
      <w:r w:rsidR="00CE586C" w:rsidRPr="004C6D84">
        <w:rPr>
          <w:rFonts w:cs="Times New Roman"/>
          <w:lang w:val="en-GB"/>
        </w:rPr>
        <w:t xml:space="preserve"> (Chang, 2022)</w:t>
      </w:r>
      <w:r w:rsidRPr="004C6D84">
        <w:rPr>
          <w:rFonts w:cs="Times New Roman"/>
          <w:lang w:val="en-GB"/>
        </w:rPr>
        <w:t>. This difference is a critical conflict between trust that is based on compliance and trust that is based on reputation.</w:t>
      </w:r>
    </w:p>
    <w:p w14:paraId="1C68C490" w14:textId="77777777" w:rsidR="00103B0C" w:rsidRPr="004C6D84" w:rsidRDefault="00424F41" w:rsidP="0064364D">
      <w:pPr>
        <w:spacing w:before="240" w:after="240"/>
        <w:rPr>
          <w:rFonts w:cs="Times New Roman"/>
          <w:lang w:val="en-GB"/>
        </w:rPr>
      </w:pPr>
      <w:r w:rsidRPr="004C6D84">
        <w:rPr>
          <w:rFonts w:cs="Times New Roman"/>
          <w:b/>
          <w:bCs/>
          <w:lang w:val="en-GB"/>
        </w:rPr>
        <w:t>Technological environment</w:t>
      </w:r>
      <w:r w:rsidRPr="004C6D84">
        <w:rPr>
          <w:rFonts w:cs="Times New Roman"/>
          <w:lang w:val="en-GB"/>
        </w:rPr>
        <w:t xml:space="preserve">: Technologically, the blistering development of AI potential has its opportunities and threats. HSBC is able to use AI to improve fraud detection, automate processes, and perform predictive analytics. Nonetheless, the rate of innovation also brings in weaknesses, especially with increasing sophistication and AI-based cyber threats. According to Deloitte (2025), financial institutions are increasingly exposed to AI-related cyber risks, and it is imperative to continuously invest in system resilience. </w:t>
      </w:r>
    </w:p>
    <w:p w14:paraId="7A498E84" w14:textId="2CC639F2" w:rsidR="00EF51BA" w:rsidRPr="004C6D84" w:rsidRDefault="00424F41" w:rsidP="0064364D">
      <w:pPr>
        <w:spacing w:before="240" w:after="240"/>
        <w:rPr>
          <w:rFonts w:cs="Times New Roman"/>
          <w:lang w:val="en-GB"/>
        </w:rPr>
      </w:pPr>
      <w:r w:rsidRPr="004C6D84">
        <w:rPr>
          <w:rFonts w:cs="Times New Roman"/>
          <w:lang w:val="en-GB"/>
        </w:rPr>
        <w:t>Although the UK has a liberal regulatory framework that can help it to adopt technologies faster, it can also expose it to unregulated risks. Conversely, the more stringent EU supervision can slow down innovation, but increase systemic protection, a trade-off between agility and security</w:t>
      </w:r>
      <w:r w:rsidR="00F00B97">
        <w:rPr>
          <w:rFonts w:cs="Times New Roman"/>
          <w:lang w:val="en-GB"/>
        </w:rPr>
        <w:t xml:space="preserve"> </w:t>
      </w:r>
      <w:r w:rsidR="00F00B97" w:rsidRPr="00F00B97">
        <w:rPr>
          <w:rFonts w:cs="Times New Roman"/>
          <w:lang w:val="en-GB"/>
        </w:rPr>
        <w:t>(</w:t>
      </w:r>
      <w:proofErr w:type="spellStart"/>
      <w:r w:rsidR="00F00B97" w:rsidRPr="00F00B97">
        <w:rPr>
          <w:rFonts w:cs="Times New Roman"/>
          <w:lang w:val="en-GB"/>
        </w:rPr>
        <w:t>Ridzuan</w:t>
      </w:r>
      <w:proofErr w:type="spellEnd"/>
      <w:r w:rsidR="00F00B97" w:rsidRPr="00F00B97">
        <w:rPr>
          <w:rFonts w:cs="Times New Roman"/>
          <w:lang w:val="en-GB"/>
        </w:rPr>
        <w:t xml:space="preserve"> et al., 2024)</w:t>
      </w:r>
      <w:r w:rsidRPr="004C6D84">
        <w:rPr>
          <w:rFonts w:cs="Times New Roman"/>
          <w:lang w:val="en-GB"/>
        </w:rPr>
        <w:t>.</w:t>
      </w:r>
    </w:p>
    <w:p w14:paraId="72ED65B8" w14:textId="77777777" w:rsidR="00103B0C" w:rsidRPr="004C6D84" w:rsidRDefault="00424F41" w:rsidP="0064364D">
      <w:pPr>
        <w:spacing w:before="240" w:after="240"/>
        <w:rPr>
          <w:rFonts w:cs="Times New Roman"/>
          <w:lang w:val="en-GB"/>
        </w:rPr>
      </w:pPr>
      <w:r w:rsidRPr="004C6D84">
        <w:rPr>
          <w:rFonts w:cs="Times New Roman"/>
          <w:b/>
          <w:bCs/>
          <w:lang w:val="en-GB"/>
        </w:rPr>
        <w:t>Legal perspectives</w:t>
      </w:r>
      <w:r w:rsidRPr="004C6D84">
        <w:rPr>
          <w:rFonts w:cs="Times New Roman"/>
          <w:lang w:val="en-GB"/>
        </w:rPr>
        <w:t xml:space="preserve">: From a legal perspective, the applicability of the General Data Protection Regulation and the EU AI Act establishes a very intricate environment when it comes to compliance, especially in terms of data protection, automated decisions, and cross-border data transfer (European Union, 2024). This minimises regulatory uncertainty but greatly enhances compliance costs. </w:t>
      </w:r>
    </w:p>
    <w:p w14:paraId="18644925" w14:textId="499486F1" w:rsidR="00EF51BA" w:rsidRPr="004C6D84" w:rsidRDefault="00424F41" w:rsidP="0064364D">
      <w:pPr>
        <w:spacing w:before="240" w:after="240"/>
        <w:rPr>
          <w:rFonts w:cs="Times New Roman"/>
          <w:lang w:val="en-GB"/>
        </w:rPr>
      </w:pPr>
      <w:r w:rsidRPr="004C6D84">
        <w:rPr>
          <w:rFonts w:cs="Times New Roman"/>
          <w:lang w:val="en-GB"/>
        </w:rPr>
        <w:t>The UK, on the other hand, is moving towards a more flexible data governance system that can provide flexibility but leads to different interpretations among regulators. In the case of HSBC, having to operate in both regimes would require it to create integrated governance structures that would be able to operate within the highest regulatory standards and, at the same time, ensure operational efficiency</w:t>
      </w:r>
      <w:r w:rsidR="00CE586C" w:rsidRPr="004C6D84">
        <w:rPr>
          <w:rFonts w:cs="Times New Roman"/>
          <w:lang w:val="en-GB"/>
        </w:rPr>
        <w:t xml:space="preserve"> (</w:t>
      </w:r>
      <w:proofErr w:type="spellStart"/>
      <w:r w:rsidR="00CE586C" w:rsidRPr="004C6D84">
        <w:rPr>
          <w:rFonts w:cs="Times New Roman"/>
          <w:lang w:val="en-GB"/>
        </w:rPr>
        <w:t>Musch</w:t>
      </w:r>
      <w:proofErr w:type="spellEnd"/>
      <w:r w:rsidR="00CE586C" w:rsidRPr="004C6D84">
        <w:rPr>
          <w:rFonts w:cs="Times New Roman"/>
          <w:lang w:val="en-GB"/>
        </w:rPr>
        <w:t xml:space="preserve"> et al., 2023)</w:t>
      </w:r>
      <w:r w:rsidRPr="004C6D84">
        <w:rPr>
          <w:rFonts w:cs="Times New Roman"/>
          <w:lang w:val="en-GB"/>
        </w:rPr>
        <w:t>.</w:t>
      </w:r>
    </w:p>
    <w:p w14:paraId="5A56C950" w14:textId="46DAF784" w:rsidR="00103B0C" w:rsidRPr="004C6D84" w:rsidRDefault="00424F41" w:rsidP="0064364D">
      <w:pPr>
        <w:spacing w:before="240" w:after="240"/>
        <w:rPr>
          <w:rFonts w:cs="Times New Roman"/>
          <w:lang w:val="en-GB"/>
        </w:rPr>
      </w:pPr>
      <w:r w:rsidRPr="004C6D84">
        <w:rPr>
          <w:rFonts w:cs="Times New Roman"/>
          <w:b/>
          <w:bCs/>
          <w:lang w:val="en-GB"/>
        </w:rPr>
        <w:t>Environmental considerations</w:t>
      </w:r>
      <w:r w:rsidRPr="004C6D84">
        <w:rPr>
          <w:rFonts w:cs="Times New Roman"/>
          <w:lang w:val="en-GB"/>
        </w:rPr>
        <w:t>: Lastly, environmental considerations are becoming a secondary yet increasingly important issue, specifically in terms of energy consumption of AI systems and how it correlates with more general ESG commitments</w:t>
      </w:r>
      <w:r w:rsidR="007D74D8" w:rsidRPr="004C6D84">
        <w:rPr>
          <w:rFonts w:cs="Times New Roman"/>
          <w:lang w:val="en-GB"/>
        </w:rPr>
        <w:t xml:space="preserve"> (Olatunbosun and Olatunbosun, 2025)</w:t>
      </w:r>
      <w:r w:rsidRPr="004C6D84">
        <w:rPr>
          <w:rFonts w:cs="Times New Roman"/>
          <w:lang w:val="en-GB"/>
        </w:rPr>
        <w:t>. Although the UK and EU are moving towards prioritising digital sustainability, the regulatory requirements are less clear as both entities are facing uncertainty regarding future regulatory requirements.</w:t>
      </w:r>
    </w:p>
    <w:p w14:paraId="4E75D6BB" w14:textId="77777777" w:rsidR="00EF51BA" w:rsidRPr="004C6D84" w:rsidRDefault="00424F41" w:rsidP="0064364D">
      <w:pPr>
        <w:spacing w:before="240" w:after="240"/>
        <w:rPr>
          <w:rFonts w:cs="Times New Roman"/>
          <w:lang w:val="en-GB"/>
        </w:rPr>
      </w:pPr>
      <w:r w:rsidRPr="004C6D84">
        <w:rPr>
          <w:rFonts w:cs="Times New Roman"/>
          <w:lang w:val="en-GB"/>
        </w:rPr>
        <w:lastRenderedPageBreak/>
        <w:t>In general, the macroeconomic and business environment is a dynamic and contradictory context in which AI is adopted. In the case of HSBC, the key issue is how to balance regulatory compliance and innovation, cost efficiency and risk management, as well as institutional trust and organisational accountability in both UK and EU markets.</w:t>
      </w:r>
    </w:p>
    <w:p w14:paraId="19BBA784" w14:textId="77777777" w:rsidR="00EF51BA" w:rsidRPr="004C6D84" w:rsidRDefault="00424F41" w:rsidP="0064364D">
      <w:pPr>
        <w:pStyle w:val="Heading1"/>
        <w:spacing w:before="240" w:after="240"/>
        <w:rPr>
          <w:rFonts w:cs="Times New Roman"/>
          <w:lang w:val="en-GB"/>
        </w:rPr>
      </w:pPr>
      <w:bookmarkStart w:id="3" w:name="_Toc228125363"/>
      <w:r w:rsidRPr="004C6D84">
        <w:rPr>
          <w:rFonts w:cs="Times New Roman"/>
          <w:lang w:val="en-GB"/>
        </w:rPr>
        <w:t>3. AI Risk Landscape in HSBC</w:t>
      </w:r>
      <w:bookmarkEnd w:id="3"/>
    </w:p>
    <w:p w14:paraId="4F1635CA" w14:textId="65F8F2C1" w:rsidR="00EF51BA" w:rsidRPr="004C6D84" w:rsidRDefault="00424F41" w:rsidP="0064364D">
      <w:pPr>
        <w:spacing w:before="240" w:after="240"/>
        <w:rPr>
          <w:rFonts w:cs="Times New Roman"/>
          <w:lang w:val="en-GB"/>
        </w:rPr>
      </w:pPr>
      <w:r w:rsidRPr="004C6D84">
        <w:rPr>
          <w:rFonts w:cs="Times New Roman"/>
          <w:lang w:val="en-GB"/>
        </w:rPr>
        <w:t>The increasing adoption of artificial intelligence (AI) within HSBC has greatly transformed the organisation's risk architecture, making it more comprehensive and less limited to conventional financial risks, encompassing complex technological, ethical, and regulatory risks. As Table 2 shows, risks related to AI are most interdependent, and data governance, regulatory compliance, and cybersecurity become the most critical ones since they have a systemic effect on HSBC operations worldwide</w:t>
      </w:r>
      <w:r w:rsidR="00CE586C" w:rsidRPr="004C6D84">
        <w:rPr>
          <w:rFonts w:cs="Times New Roman"/>
          <w:lang w:val="en-GB"/>
        </w:rPr>
        <w:t xml:space="preserve"> (</w:t>
      </w:r>
      <w:proofErr w:type="spellStart"/>
      <w:r w:rsidR="00CE586C" w:rsidRPr="004C6D84">
        <w:rPr>
          <w:rFonts w:cs="Times New Roman"/>
          <w:lang w:val="en-GB"/>
        </w:rPr>
        <w:t>Ridzuan</w:t>
      </w:r>
      <w:proofErr w:type="spellEnd"/>
      <w:r w:rsidR="00CE586C" w:rsidRPr="004C6D84">
        <w:rPr>
          <w:rFonts w:cs="Times New Roman"/>
          <w:lang w:val="en-GB"/>
        </w:rPr>
        <w:t xml:space="preserve"> et al., 2024)</w:t>
      </w:r>
      <w:r w:rsidRPr="004C6D84">
        <w:rPr>
          <w:rFonts w:cs="Times New Roman"/>
          <w:lang w:val="en-GB"/>
        </w:rPr>
        <w:t>. The risk ownership assignment also depicts that these issues are not limited to the technical spheres but involve the organisation-wide responsibility.</w:t>
      </w:r>
    </w:p>
    <w:p w14:paraId="221A6120" w14:textId="77777777" w:rsidR="001A4548" w:rsidRPr="004C6D84" w:rsidRDefault="00424F41" w:rsidP="0064364D">
      <w:pPr>
        <w:pStyle w:val="Caption"/>
        <w:keepNext/>
        <w:spacing w:before="240" w:after="240" w:line="360" w:lineRule="auto"/>
        <w:rPr>
          <w:rFonts w:cs="Times New Roman"/>
          <w:lang w:val="en-GB"/>
        </w:rPr>
      </w:pPr>
      <w:bookmarkStart w:id="4" w:name="_Toc227769778"/>
      <w:r w:rsidRPr="004C6D84">
        <w:rPr>
          <w:rFonts w:cs="Times New Roman"/>
          <w:lang w:val="en-GB"/>
        </w:rPr>
        <w:lastRenderedPageBreak/>
        <w:t xml:space="preserve">Table </w:t>
      </w:r>
      <w:r w:rsidRPr="004C6D84">
        <w:rPr>
          <w:rFonts w:cs="Times New Roman"/>
          <w:lang w:val="en-GB"/>
        </w:rPr>
        <w:fldChar w:fldCharType="begin"/>
      </w:r>
      <w:r w:rsidRPr="004C6D84">
        <w:rPr>
          <w:rFonts w:cs="Times New Roman"/>
          <w:lang w:val="en-GB"/>
        </w:rPr>
        <w:instrText xml:space="preserve"> SEQ Table \* ARABIC </w:instrText>
      </w:r>
      <w:r w:rsidRPr="004C6D84">
        <w:rPr>
          <w:rFonts w:cs="Times New Roman"/>
          <w:lang w:val="en-GB"/>
        </w:rPr>
        <w:fldChar w:fldCharType="separate"/>
      </w:r>
      <w:r w:rsidR="00222045" w:rsidRPr="004C6D84">
        <w:rPr>
          <w:rFonts w:cs="Times New Roman"/>
          <w:noProof/>
          <w:lang w:val="en-GB"/>
        </w:rPr>
        <w:t>2</w:t>
      </w:r>
      <w:r w:rsidRPr="004C6D84">
        <w:rPr>
          <w:rFonts w:cs="Times New Roman"/>
          <w:lang w:val="en-GB"/>
        </w:rPr>
        <w:fldChar w:fldCharType="end"/>
      </w:r>
      <w:r w:rsidRPr="004C6D84">
        <w:rPr>
          <w:rFonts w:cs="Times New Roman"/>
          <w:lang w:val="en-GB"/>
        </w:rPr>
        <w:t>: AI Risk Matrix for HSBC</w:t>
      </w:r>
      <w:bookmarkEnd w:id="4"/>
    </w:p>
    <w:p w14:paraId="690CBAD3" w14:textId="77777777" w:rsidR="001C0510" w:rsidRPr="004C6D84" w:rsidRDefault="00424F41" w:rsidP="0064364D">
      <w:pPr>
        <w:spacing w:before="240" w:after="240"/>
        <w:rPr>
          <w:rFonts w:cs="Times New Roman"/>
          <w:lang w:val="en-GB"/>
        </w:rPr>
      </w:pPr>
      <w:r w:rsidRPr="004C6D84">
        <w:rPr>
          <w:rFonts w:cs="Times New Roman"/>
          <w:noProof/>
          <w:lang w:val="en-GB"/>
        </w:rPr>
        <w:drawing>
          <wp:inline distT="0" distB="0" distL="0" distR="0" wp14:anchorId="3C3DF8FA" wp14:editId="3085558E">
            <wp:extent cx="5731510" cy="4827270"/>
            <wp:effectExtent l="0" t="0" r="2540" b="0"/>
            <wp:docPr id="204707525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47075253" name=""/>
                    <pic:cNvPicPr/>
                  </pic:nvPicPr>
                  <pic:blipFill>
                    <a:blip r:embed="rId11"/>
                    <a:stretch>
                      <a:fillRect/>
                    </a:stretch>
                  </pic:blipFill>
                  <pic:spPr>
                    <a:xfrm>
                      <a:off x="0" y="0"/>
                      <a:ext cx="5731510" cy="4827270"/>
                    </a:xfrm>
                    <a:prstGeom prst="rect">
                      <a:avLst/>
                    </a:prstGeom>
                  </pic:spPr>
                </pic:pic>
              </a:graphicData>
            </a:graphic>
          </wp:inline>
        </w:drawing>
      </w:r>
    </w:p>
    <w:p w14:paraId="28682551" w14:textId="77777777" w:rsidR="004B4DF5" w:rsidRPr="004C6D84" w:rsidRDefault="00424F41" w:rsidP="0064364D">
      <w:pPr>
        <w:pStyle w:val="Heading2"/>
        <w:spacing w:before="240" w:after="240"/>
        <w:rPr>
          <w:rFonts w:cs="Times New Roman"/>
          <w:lang w:val="en-GB"/>
        </w:rPr>
      </w:pPr>
      <w:bookmarkStart w:id="5" w:name="_Toc228125364"/>
      <w:r w:rsidRPr="004C6D84">
        <w:rPr>
          <w:rFonts w:cs="Times New Roman"/>
          <w:lang w:val="en-GB"/>
        </w:rPr>
        <w:t>3.1 Data Governance Risks</w:t>
      </w:r>
      <w:bookmarkEnd w:id="5"/>
    </w:p>
    <w:p w14:paraId="3E6C6726" w14:textId="726D53CD" w:rsidR="004B4DF5" w:rsidRPr="004C6D84" w:rsidRDefault="00424F41" w:rsidP="0064364D">
      <w:pPr>
        <w:spacing w:before="240" w:after="240"/>
        <w:rPr>
          <w:rFonts w:cs="Times New Roman"/>
          <w:lang w:val="en-GB"/>
        </w:rPr>
      </w:pPr>
      <w:r w:rsidRPr="004C6D84">
        <w:rPr>
          <w:rFonts w:cs="Times New Roman"/>
          <w:lang w:val="en-GB"/>
        </w:rPr>
        <w:t>HSBC’s artificial intelligence operations are based on massive datasets to aid in fraud detection, customer profiling and predictive analytics. The bank has embraced data minimisation and privacy-by-design as a way of meeting international data protection requirements. Nevertheless, the magnitude and concentration of data needed to optimise AI develops vulnerabilities in nature, especially when it comes to cross-border data flows between the UK and EU</w:t>
      </w:r>
      <w:r w:rsidR="00CE586C" w:rsidRPr="004C6D84">
        <w:rPr>
          <w:rFonts w:cs="Times New Roman"/>
          <w:lang w:val="en-GB"/>
        </w:rPr>
        <w:t xml:space="preserve"> (</w:t>
      </w:r>
      <w:proofErr w:type="spellStart"/>
      <w:r w:rsidR="00CE586C" w:rsidRPr="004C6D84">
        <w:rPr>
          <w:rFonts w:cs="Times New Roman"/>
          <w:lang w:val="en-GB"/>
        </w:rPr>
        <w:t>Eirikas</w:t>
      </w:r>
      <w:proofErr w:type="spellEnd"/>
      <w:r w:rsidR="00CE586C" w:rsidRPr="004C6D84">
        <w:rPr>
          <w:rFonts w:cs="Times New Roman"/>
          <w:lang w:val="en-GB"/>
        </w:rPr>
        <w:t>, 2026)</w:t>
      </w:r>
      <w:r w:rsidRPr="004C6D84">
        <w:rPr>
          <w:rFonts w:cs="Times New Roman"/>
          <w:lang w:val="en-GB"/>
        </w:rPr>
        <w:t xml:space="preserve">. Although regulations like the General Data Protection Regulation bring about stringent measures, the situation is not as easy to comply with because of the jurisdictional differences. More importantly, data-driven efficiency as a </w:t>
      </w:r>
      <w:proofErr w:type="gramStart"/>
      <w:r w:rsidRPr="004C6D84">
        <w:rPr>
          <w:rFonts w:cs="Times New Roman"/>
          <w:lang w:val="en-GB"/>
        </w:rPr>
        <w:t>goal results</w:t>
      </w:r>
      <w:proofErr w:type="gramEnd"/>
      <w:r w:rsidRPr="004C6D84">
        <w:rPr>
          <w:rFonts w:cs="Times New Roman"/>
          <w:lang w:val="en-GB"/>
        </w:rPr>
        <w:t xml:space="preserve"> in a paradox, as more data is integrated, the more accurate the analysis will be, yet the more vulnerable the system will become in terms of breaches and misuse</w:t>
      </w:r>
      <w:r w:rsidR="00F00B97">
        <w:rPr>
          <w:rFonts w:cs="Times New Roman"/>
          <w:lang w:val="en-GB"/>
        </w:rPr>
        <w:t xml:space="preserve"> </w:t>
      </w:r>
      <w:r w:rsidR="00F00B97" w:rsidRPr="00F00B97">
        <w:rPr>
          <w:rFonts w:cs="Times New Roman"/>
          <w:lang w:val="en-GB"/>
        </w:rPr>
        <w:t>(</w:t>
      </w:r>
      <w:proofErr w:type="spellStart"/>
      <w:r w:rsidR="00F00B97" w:rsidRPr="00F00B97">
        <w:rPr>
          <w:rFonts w:cs="Times New Roman"/>
          <w:lang w:val="en-GB"/>
        </w:rPr>
        <w:t>Gyau</w:t>
      </w:r>
      <w:proofErr w:type="spellEnd"/>
      <w:r w:rsidR="00F00B97" w:rsidRPr="00F00B97">
        <w:rPr>
          <w:rFonts w:cs="Times New Roman"/>
          <w:lang w:val="en-GB"/>
        </w:rPr>
        <w:t xml:space="preserve"> et al., 2024)</w:t>
      </w:r>
      <w:r w:rsidRPr="004C6D84">
        <w:rPr>
          <w:rFonts w:cs="Times New Roman"/>
          <w:lang w:val="en-GB"/>
        </w:rPr>
        <w:t xml:space="preserve">. Unless </w:t>
      </w:r>
      <w:r w:rsidRPr="004C6D84">
        <w:rPr>
          <w:rFonts w:cs="Times New Roman"/>
          <w:lang w:val="en-GB"/>
        </w:rPr>
        <w:lastRenderedPageBreak/>
        <w:t xml:space="preserve">well addressed, these failures may lead to massive regulatory </w:t>
      </w:r>
      <w:r w:rsidRPr="004C6D84">
        <w:rPr>
          <w:rFonts w:cs="Times New Roman"/>
          <w:lang w:val="en-GB"/>
        </w:rPr>
        <w:t>fines and loss of stakeholder confidence in the long run.</w:t>
      </w:r>
    </w:p>
    <w:p w14:paraId="5FBDE4A9" w14:textId="77777777" w:rsidR="004B4DF5" w:rsidRPr="004C6D84" w:rsidRDefault="00424F41" w:rsidP="0064364D">
      <w:pPr>
        <w:pStyle w:val="Heading2"/>
        <w:spacing w:before="240" w:after="240"/>
        <w:rPr>
          <w:rFonts w:cs="Times New Roman"/>
          <w:lang w:val="en-GB"/>
        </w:rPr>
      </w:pPr>
      <w:bookmarkStart w:id="6" w:name="_Toc228125365"/>
      <w:r w:rsidRPr="004C6D84">
        <w:rPr>
          <w:rFonts w:cs="Times New Roman"/>
          <w:lang w:val="en-GB"/>
        </w:rPr>
        <w:t>3.2 Ethical AI Risks</w:t>
      </w:r>
      <w:bookmarkEnd w:id="6"/>
    </w:p>
    <w:p w14:paraId="12FA08A8" w14:textId="2EC65D1F" w:rsidR="004B4DF5" w:rsidRPr="004C6D84" w:rsidRDefault="00424F41" w:rsidP="0064364D">
      <w:pPr>
        <w:spacing w:before="240" w:after="240"/>
        <w:rPr>
          <w:rFonts w:cs="Times New Roman"/>
          <w:lang w:val="en-GB"/>
        </w:rPr>
      </w:pPr>
      <w:r w:rsidRPr="004C6D84">
        <w:rPr>
          <w:rFonts w:cs="Times New Roman"/>
          <w:lang w:val="en-GB"/>
        </w:rPr>
        <w:t>AI in decision-making, especially credit scoring and lending, is an area that poses ethical issues. Internal governance mechanisms of HSBC, such as AI ethics committees and human-in-the-loop oversight, have been identified as tools to mitigate these risks to promote fairness and accountability in automated decisions. Nevertheless, even with these precautions, the threat of algorithmic bias still exists since AI models can be based on past inequalities present in training data (</w:t>
      </w:r>
      <w:proofErr w:type="spellStart"/>
      <w:r w:rsidRPr="004C6D84">
        <w:rPr>
          <w:rFonts w:cs="Times New Roman"/>
          <w:lang w:val="en-GB"/>
        </w:rPr>
        <w:t>Pessach</w:t>
      </w:r>
      <w:proofErr w:type="spellEnd"/>
      <w:r w:rsidRPr="004C6D84">
        <w:rPr>
          <w:rFonts w:cs="Times New Roman"/>
          <w:lang w:val="en-GB"/>
        </w:rPr>
        <w:t xml:space="preserve"> and Shmueli, 2022). Moreover, the explainability is restricted by the complexity of AI systems, which makes it difficult to justify decisions to the regulators and customers. This poses a serious conflict between efficiency and fairness: on the one hand, AI increases its predictive power, but on the other hand, it can decrease transparency</w:t>
      </w:r>
      <w:r w:rsidR="007A04FF">
        <w:rPr>
          <w:rFonts w:cs="Times New Roman"/>
          <w:lang w:val="en-GB"/>
        </w:rPr>
        <w:t xml:space="preserve"> </w:t>
      </w:r>
      <w:r w:rsidR="007A04FF" w:rsidRPr="007A04FF">
        <w:rPr>
          <w:rFonts w:cs="Times New Roman"/>
          <w:lang w:val="en-GB"/>
        </w:rPr>
        <w:t>(Fritz-Morgenthal et al., 2022)</w:t>
      </w:r>
      <w:r w:rsidRPr="004C6D84">
        <w:rPr>
          <w:rFonts w:cs="Times New Roman"/>
          <w:lang w:val="en-GB"/>
        </w:rPr>
        <w:t xml:space="preserve">. With the EU being under the more stringent regulatory regime, these types of limitations may lead to compliance inspections, but </w:t>
      </w:r>
      <w:r w:rsidRPr="004C6D84">
        <w:rPr>
          <w:rFonts w:cs="Times New Roman"/>
          <w:lang w:val="en-GB"/>
        </w:rPr>
        <w:t>in the UK case, it brings reputational risk because it is more dependent on organisational self-regulation</w:t>
      </w:r>
      <w:r w:rsidR="00CE586C" w:rsidRPr="004C6D84">
        <w:rPr>
          <w:rFonts w:cs="Times New Roman"/>
          <w:lang w:val="en-GB"/>
        </w:rPr>
        <w:t xml:space="preserve"> (</w:t>
      </w:r>
      <w:proofErr w:type="spellStart"/>
      <w:r w:rsidR="00CE586C" w:rsidRPr="004C6D84">
        <w:rPr>
          <w:rFonts w:cs="Times New Roman"/>
          <w:lang w:val="en-GB"/>
        </w:rPr>
        <w:t>Uzougbo</w:t>
      </w:r>
      <w:proofErr w:type="spellEnd"/>
      <w:r w:rsidR="00CE586C" w:rsidRPr="004C6D84">
        <w:rPr>
          <w:rFonts w:cs="Times New Roman"/>
          <w:lang w:val="en-GB"/>
        </w:rPr>
        <w:t xml:space="preserve"> et al., 2024)</w:t>
      </w:r>
      <w:r w:rsidRPr="004C6D84">
        <w:rPr>
          <w:rFonts w:cs="Times New Roman"/>
          <w:lang w:val="en-GB"/>
        </w:rPr>
        <w:t>. These risks could result in financial marginalisation, legal problems, and a tarnished reputation, unless addressed.</w:t>
      </w:r>
    </w:p>
    <w:p w14:paraId="1D2ABFAB" w14:textId="77777777" w:rsidR="004B4DF5" w:rsidRPr="004C6D84" w:rsidRDefault="00424F41" w:rsidP="0064364D">
      <w:pPr>
        <w:pStyle w:val="Heading2"/>
        <w:spacing w:before="240" w:after="240"/>
        <w:rPr>
          <w:rFonts w:cs="Times New Roman"/>
          <w:lang w:val="en-GB"/>
        </w:rPr>
      </w:pPr>
      <w:bookmarkStart w:id="7" w:name="_Toc228125366"/>
      <w:r w:rsidRPr="004C6D84">
        <w:rPr>
          <w:rFonts w:cs="Times New Roman"/>
          <w:lang w:val="en-GB"/>
        </w:rPr>
        <w:t>3.3 Regulatory and Compliance Risks</w:t>
      </w:r>
      <w:bookmarkEnd w:id="7"/>
    </w:p>
    <w:p w14:paraId="0C07C42A" w14:textId="785F1803" w:rsidR="004B4DF5" w:rsidRPr="004C6D84" w:rsidRDefault="00424F41" w:rsidP="0064364D">
      <w:pPr>
        <w:spacing w:before="240" w:after="240"/>
        <w:rPr>
          <w:rFonts w:cs="Times New Roman"/>
          <w:lang w:val="en-GB"/>
        </w:rPr>
      </w:pPr>
      <w:r w:rsidRPr="004C6D84">
        <w:rPr>
          <w:rFonts w:cs="Times New Roman"/>
          <w:lang w:val="en-GB"/>
        </w:rPr>
        <w:t>One of the most critical challenges to the AI adoption strategy of HSBC is regulatory risk. The bank has a dispersed regulatory environment with fragmented governance models in the UK and the EU, as it operates in both regions. The EU AI Act requires the EU to create rigorous requirements on high-risk AI systems, such as risk assessment, documentation, and human oversight</w:t>
      </w:r>
      <w:r w:rsidR="00CE586C" w:rsidRPr="004C6D84">
        <w:rPr>
          <w:rFonts w:cs="Times New Roman"/>
          <w:lang w:val="en-GB"/>
        </w:rPr>
        <w:t xml:space="preserve"> (</w:t>
      </w:r>
      <w:proofErr w:type="spellStart"/>
      <w:r w:rsidR="00CE586C" w:rsidRPr="004C6D84">
        <w:rPr>
          <w:rFonts w:cs="Times New Roman"/>
          <w:lang w:val="en-GB"/>
        </w:rPr>
        <w:t>Aivatoglou</w:t>
      </w:r>
      <w:proofErr w:type="spellEnd"/>
      <w:r w:rsidR="00CE586C" w:rsidRPr="004C6D84">
        <w:rPr>
          <w:rFonts w:cs="Times New Roman"/>
          <w:lang w:val="en-GB"/>
        </w:rPr>
        <w:t>, 2025)</w:t>
      </w:r>
      <w:r w:rsidRPr="004C6D84">
        <w:rPr>
          <w:rFonts w:cs="Times New Roman"/>
          <w:lang w:val="en-GB"/>
        </w:rPr>
        <w:t>. Although this makes the accountability more responsible, it also makes the costs of compliance and the rigidity of operations high. Conversely, the UK has a more permissive strategy where innovation can be more advanced, but it poses a blurry picture, given that no single legislative framework exists. The approach of HSBC to standardise the AI solution with the global regulations is a move to cope with this complexity, but at the same time, it is hard to ensure consistency on a cross-ju</w:t>
      </w:r>
      <w:r w:rsidRPr="004C6D84">
        <w:rPr>
          <w:rFonts w:cs="Times New Roman"/>
          <w:lang w:val="en-GB"/>
        </w:rPr>
        <w:t>risdictional level</w:t>
      </w:r>
      <w:r w:rsidR="00EE675A" w:rsidRPr="004C6D84">
        <w:rPr>
          <w:rFonts w:cs="Times New Roman"/>
          <w:lang w:val="en-GB"/>
        </w:rPr>
        <w:t xml:space="preserve"> (</w:t>
      </w:r>
      <w:proofErr w:type="spellStart"/>
      <w:r w:rsidR="00EE675A" w:rsidRPr="004C6D84">
        <w:rPr>
          <w:rFonts w:cs="Times New Roman"/>
          <w:lang w:val="en-GB"/>
        </w:rPr>
        <w:t>Turkse</w:t>
      </w:r>
      <w:proofErr w:type="spellEnd"/>
      <w:r w:rsidR="00EE675A" w:rsidRPr="004C6D84">
        <w:rPr>
          <w:rFonts w:cs="Times New Roman"/>
          <w:lang w:val="en-GB"/>
        </w:rPr>
        <w:t xml:space="preserve"> et al., 2024)</w:t>
      </w:r>
      <w:r w:rsidRPr="004C6D84">
        <w:rPr>
          <w:rFonts w:cs="Times New Roman"/>
          <w:lang w:val="en-GB"/>
        </w:rPr>
        <w:t>. Inability to manage the differences successfully might lead to regulatory violations, fines, and operational disruption, especially in highly-regulated EU markets.</w:t>
      </w:r>
    </w:p>
    <w:p w14:paraId="20FD25D9" w14:textId="77777777" w:rsidR="004B4DF5" w:rsidRPr="004C6D84" w:rsidRDefault="00424F41" w:rsidP="0064364D">
      <w:pPr>
        <w:pStyle w:val="Heading2"/>
        <w:spacing w:before="240" w:after="240"/>
        <w:rPr>
          <w:rFonts w:cs="Times New Roman"/>
          <w:lang w:val="en-GB"/>
        </w:rPr>
      </w:pPr>
      <w:bookmarkStart w:id="8" w:name="_Toc228125367"/>
      <w:r w:rsidRPr="004C6D84">
        <w:rPr>
          <w:rFonts w:cs="Times New Roman"/>
          <w:lang w:val="en-GB"/>
        </w:rPr>
        <w:lastRenderedPageBreak/>
        <w:t>3.4 Operational and Cyber Risks</w:t>
      </w:r>
      <w:bookmarkEnd w:id="8"/>
    </w:p>
    <w:p w14:paraId="2AA1BE37" w14:textId="005D3FFD" w:rsidR="004B4DF5" w:rsidRPr="004C6D84" w:rsidRDefault="00424F41" w:rsidP="0064364D">
      <w:pPr>
        <w:spacing w:before="240" w:after="240"/>
        <w:rPr>
          <w:rFonts w:cs="Times New Roman"/>
          <w:lang w:val="en-GB"/>
        </w:rPr>
      </w:pPr>
      <w:r w:rsidRPr="004C6D84">
        <w:rPr>
          <w:rFonts w:cs="Times New Roman"/>
          <w:lang w:val="en-GB"/>
        </w:rPr>
        <w:t>Implementation of AI in the main banking operations presents novel operation weaknesses, especially in the context of system stability and new technological threats. The growing experimentation of generative AI by HSBC in a variety of applications further exacerbates these issues, especially by the threat of the so-called AI hallucinations, where machines produce false and misleading results</w:t>
      </w:r>
      <w:r w:rsidR="00EE675A" w:rsidRPr="004C6D84">
        <w:rPr>
          <w:rFonts w:cs="Times New Roman"/>
          <w:lang w:val="en-GB"/>
        </w:rPr>
        <w:t xml:space="preserve"> (</w:t>
      </w:r>
      <w:proofErr w:type="spellStart"/>
      <w:r w:rsidR="00EE675A" w:rsidRPr="004C6D84">
        <w:rPr>
          <w:rFonts w:cs="Times New Roman"/>
          <w:lang w:val="en-GB"/>
        </w:rPr>
        <w:t>Turksen</w:t>
      </w:r>
      <w:proofErr w:type="spellEnd"/>
      <w:r w:rsidR="00EE675A" w:rsidRPr="004C6D84">
        <w:rPr>
          <w:rFonts w:cs="Times New Roman"/>
          <w:lang w:val="en-GB"/>
        </w:rPr>
        <w:t xml:space="preserve"> et al., 2024)</w:t>
      </w:r>
      <w:r w:rsidRPr="004C6D84">
        <w:rPr>
          <w:rFonts w:cs="Times New Roman"/>
          <w:lang w:val="en-GB"/>
        </w:rPr>
        <w:t>. Financially, these errors might result in incorrect decision-making or misinformation being given to the customers. Moreover, the emergence of cyber threats that use AI enhances the complexity of attacks on financial institutions (Deloitte, 2025). Although AI improves the ability to detect fraud, it also provides the bad actors with the means of advanced fraud detection tools, which leads to an ongoing process of escalation. The adaptable regulatory platform in the UK can allow fast</w:t>
      </w:r>
      <w:r w:rsidRPr="004C6D84">
        <w:rPr>
          <w:rFonts w:cs="Times New Roman"/>
          <w:lang w:val="en-GB"/>
        </w:rPr>
        <w:t xml:space="preserve"> technological adoption, yet it can subject HSBC to increased operational risks unless regulatory governance systems keep pace</w:t>
      </w:r>
      <w:r w:rsidR="007A04FF">
        <w:rPr>
          <w:rFonts w:cs="Times New Roman"/>
          <w:lang w:val="en-GB"/>
        </w:rPr>
        <w:t xml:space="preserve"> </w:t>
      </w:r>
      <w:r w:rsidR="007A04FF" w:rsidRPr="007A04FF">
        <w:rPr>
          <w:rFonts w:cs="Times New Roman"/>
          <w:lang w:val="en-GB"/>
        </w:rPr>
        <w:t>(Truby, 2020)</w:t>
      </w:r>
      <w:r w:rsidRPr="004C6D84">
        <w:rPr>
          <w:rFonts w:cs="Times New Roman"/>
          <w:lang w:val="en-GB"/>
        </w:rPr>
        <w:t>. On the other hand, tightening the EU control can minimise some of the weaknesses at the price of decreased agility.</w:t>
      </w:r>
    </w:p>
    <w:p w14:paraId="1A0B094B" w14:textId="77777777" w:rsidR="004B4DF5" w:rsidRPr="004C6D84" w:rsidRDefault="00424F41" w:rsidP="0064364D">
      <w:pPr>
        <w:pStyle w:val="Heading2"/>
        <w:spacing w:before="240" w:after="240"/>
        <w:rPr>
          <w:rFonts w:cs="Times New Roman"/>
          <w:lang w:val="en-GB"/>
        </w:rPr>
      </w:pPr>
      <w:bookmarkStart w:id="9" w:name="_Toc228125368"/>
      <w:r w:rsidRPr="004C6D84">
        <w:rPr>
          <w:rFonts w:cs="Times New Roman"/>
          <w:lang w:val="en-GB"/>
        </w:rPr>
        <w:t>3.5 Reputational and Customer Trust Risks</w:t>
      </w:r>
      <w:bookmarkEnd w:id="9"/>
    </w:p>
    <w:p w14:paraId="34703666" w14:textId="64A25243" w:rsidR="00103B0C" w:rsidRPr="004C6D84" w:rsidRDefault="00424F41" w:rsidP="0064364D">
      <w:pPr>
        <w:spacing w:before="240" w:after="240"/>
        <w:rPr>
          <w:rFonts w:cs="Times New Roman"/>
          <w:lang w:val="en-GB"/>
        </w:rPr>
      </w:pPr>
      <w:r w:rsidRPr="004C6D84">
        <w:rPr>
          <w:rFonts w:cs="Times New Roman"/>
          <w:lang w:val="en-GB"/>
        </w:rPr>
        <w:t>Reputational risk represents a cumulative risk of failure in data governance, ethical and operational sectors</w:t>
      </w:r>
      <w:r w:rsidR="007A04FF">
        <w:rPr>
          <w:rFonts w:cs="Times New Roman"/>
          <w:lang w:val="en-GB"/>
        </w:rPr>
        <w:t xml:space="preserve"> </w:t>
      </w:r>
      <w:r w:rsidR="007A04FF" w:rsidRPr="007A04FF">
        <w:rPr>
          <w:rFonts w:cs="Times New Roman"/>
          <w:lang w:val="en-GB"/>
        </w:rPr>
        <w:t>(Bank for International Settlements, 2025)</w:t>
      </w:r>
      <w:r w:rsidRPr="004C6D84">
        <w:rPr>
          <w:rFonts w:cs="Times New Roman"/>
          <w:lang w:val="en-GB"/>
        </w:rPr>
        <w:t>. The increased reliance on AI-led decision-making in HSBC puts more pressure on ensuring customer trust, especially in the fields where sensitive financial information and automated decision-making are in play. Although the bank has put in place governance systems that make sure that AI is used in a responsible manner, other problems like perceived bias, abuse of data or intrusion practices can work against trust unless well controlled, like the behavioural tracki</w:t>
      </w:r>
      <w:r w:rsidRPr="004C6D84">
        <w:rPr>
          <w:rFonts w:cs="Times New Roman"/>
          <w:lang w:val="en-GB"/>
        </w:rPr>
        <w:t>ng which is used to detect fraud</w:t>
      </w:r>
      <w:r w:rsidR="00EE675A" w:rsidRPr="004C6D84">
        <w:rPr>
          <w:rFonts w:cs="Times New Roman"/>
          <w:lang w:val="en-GB"/>
        </w:rPr>
        <w:t xml:space="preserve"> (</w:t>
      </w:r>
      <w:proofErr w:type="spellStart"/>
      <w:r w:rsidR="00EE675A" w:rsidRPr="004C6D84">
        <w:rPr>
          <w:rFonts w:cs="Times New Roman"/>
          <w:lang w:val="en-GB"/>
        </w:rPr>
        <w:t>Ridzuan</w:t>
      </w:r>
      <w:proofErr w:type="spellEnd"/>
      <w:r w:rsidR="00EE675A" w:rsidRPr="004C6D84">
        <w:rPr>
          <w:rFonts w:cs="Times New Roman"/>
          <w:lang w:val="en-GB"/>
        </w:rPr>
        <w:t xml:space="preserve"> et al., 2024)</w:t>
      </w:r>
      <w:r w:rsidRPr="004C6D84">
        <w:rPr>
          <w:rFonts w:cs="Times New Roman"/>
          <w:lang w:val="en-GB"/>
        </w:rPr>
        <w:t>. In the EU, good regulatory safeguards also help in instilling trust in institutions by creating protective measures in the law that make the customer more demanding of the institutions to comply with the law</w:t>
      </w:r>
      <w:r w:rsidR="00EE675A" w:rsidRPr="004C6D84">
        <w:rPr>
          <w:rFonts w:cs="Times New Roman"/>
          <w:lang w:val="en-GB"/>
        </w:rPr>
        <w:t xml:space="preserve"> (Aivatoglou, 2025)</w:t>
      </w:r>
      <w:r w:rsidRPr="004C6D84">
        <w:rPr>
          <w:rFonts w:cs="Times New Roman"/>
          <w:lang w:val="en-GB"/>
        </w:rPr>
        <w:t>. Contrastingly, the UK is much more concerned with transparency in organisations, and as such, trust is more contingent upon internal governance practices at HSBC</w:t>
      </w:r>
      <w:r w:rsidR="00EE675A" w:rsidRPr="004C6D84">
        <w:rPr>
          <w:rFonts w:cs="Times New Roman"/>
          <w:lang w:val="en-GB"/>
        </w:rPr>
        <w:t xml:space="preserve"> (Chang, 2022)</w:t>
      </w:r>
      <w:r w:rsidRPr="004C6D84">
        <w:rPr>
          <w:rFonts w:cs="Times New Roman"/>
          <w:lang w:val="en-GB"/>
        </w:rPr>
        <w:t xml:space="preserve">. The reputational harm in case of AI-related risks </w:t>
      </w:r>
      <w:r w:rsidRPr="004C6D84">
        <w:rPr>
          <w:rFonts w:cs="Times New Roman"/>
          <w:lang w:val="en-GB"/>
        </w:rPr>
        <w:t>becoming reality may have a long-term effect on the company, including the ability to retain customers, relationships with the regulatory bodies and the market standing in general.</w:t>
      </w:r>
    </w:p>
    <w:p w14:paraId="4FE3AAB7" w14:textId="333C2ED8" w:rsidR="004B4DF5" w:rsidRPr="004C6D84" w:rsidRDefault="00424F41" w:rsidP="0064364D">
      <w:pPr>
        <w:spacing w:before="240" w:after="240"/>
        <w:rPr>
          <w:rFonts w:cs="Times New Roman"/>
          <w:lang w:val="en-GB"/>
        </w:rPr>
      </w:pPr>
      <w:r w:rsidRPr="004C6D84">
        <w:rPr>
          <w:rFonts w:cs="Times New Roman"/>
          <w:lang w:val="en-GB"/>
        </w:rPr>
        <w:lastRenderedPageBreak/>
        <w:t>Altogether, the AI risk environment in HSBC can be defined as interdependent and growing risks that cross-cut organisational and regulatory lines. Although the bank has put in place governance mechanisms to curb these challenges, the residual risks are still high, especially when it comes to regulatory divergence and technological complexity</w:t>
      </w:r>
      <w:r w:rsidR="007A04FF">
        <w:rPr>
          <w:rFonts w:cs="Times New Roman"/>
          <w:lang w:val="en-GB"/>
        </w:rPr>
        <w:t xml:space="preserve"> </w:t>
      </w:r>
      <w:r w:rsidR="007A04FF" w:rsidRPr="007A04FF">
        <w:rPr>
          <w:rFonts w:cs="Times New Roman"/>
          <w:lang w:val="en-GB"/>
        </w:rPr>
        <w:t>(</w:t>
      </w:r>
      <w:proofErr w:type="spellStart"/>
      <w:r w:rsidR="007A04FF" w:rsidRPr="007A04FF">
        <w:rPr>
          <w:rFonts w:cs="Times New Roman"/>
          <w:lang w:val="en-GB"/>
        </w:rPr>
        <w:t>Fundira</w:t>
      </w:r>
      <w:proofErr w:type="spellEnd"/>
      <w:r w:rsidR="007A04FF" w:rsidRPr="007A04FF">
        <w:rPr>
          <w:rFonts w:cs="Times New Roman"/>
          <w:lang w:val="en-GB"/>
        </w:rPr>
        <w:t>, 2025)</w:t>
      </w:r>
      <w:r w:rsidRPr="004C6D84">
        <w:rPr>
          <w:rFonts w:cs="Times New Roman"/>
          <w:lang w:val="en-GB"/>
        </w:rPr>
        <w:t>. This highlights the importance of a holistic and flexible risk management framework, which has the ability to incorporate the elements of ethical, regulatory, and operational in both the UK and EU markets.</w:t>
      </w:r>
    </w:p>
    <w:p w14:paraId="6C190924" w14:textId="77777777" w:rsidR="001C0510" w:rsidRPr="004C6D84" w:rsidRDefault="00424F41" w:rsidP="0064364D">
      <w:pPr>
        <w:pStyle w:val="Heading1"/>
        <w:spacing w:before="240" w:after="240"/>
        <w:rPr>
          <w:rFonts w:cs="Times New Roman"/>
          <w:lang w:val="en-GB"/>
        </w:rPr>
      </w:pPr>
      <w:bookmarkStart w:id="10" w:name="_Toc228125369"/>
      <w:r w:rsidRPr="004C6D84">
        <w:rPr>
          <w:rFonts w:cs="Times New Roman"/>
          <w:lang w:val="en-GB"/>
        </w:rPr>
        <w:t>4. Comparative Regulatory Analysis: UK vs EU</w:t>
      </w:r>
      <w:bookmarkEnd w:id="10"/>
      <w:r w:rsidRPr="004C6D84">
        <w:rPr>
          <w:rFonts w:cs="Times New Roman"/>
          <w:lang w:val="en-GB"/>
        </w:rPr>
        <w:t xml:space="preserve"> </w:t>
      </w:r>
    </w:p>
    <w:p w14:paraId="1780A20B" w14:textId="77777777" w:rsidR="001A4548" w:rsidRPr="004C6D84" w:rsidRDefault="00424F41" w:rsidP="0064364D">
      <w:pPr>
        <w:pStyle w:val="Caption"/>
        <w:keepNext/>
        <w:spacing w:before="240" w:after="240" w:line="360" w:lineRule="auto"/>
        <w:rPr>
          <w:rFonts w:cs="Times New Roman"/>
          <w:lang w:val="en-GB"/>
        </w:rPr>
      </w:pPr>
      <w:bookmarkStart w:id="11" w:name="_Toc227769779"/>
      <w:r w:rsidRPr="004C6D84">
        <w:rPr>
          <w:rFonts w:cs="Times New Roman"/>
          <w:lang w:val="en-GB"/>
        </w:rPr>
        <w:t xml:space="preserve">Table </w:t>
      </w:r>
      <w:r w:rsidRPr="004C6D84">
        <w:rPr>
          <w:rFonts w:cs="Times New Roman"/>
          <w:lang w:val="en-GB"/>
        </w:rPr>
        <w:fldChar w:fldCharType="begin"/>
      </w:r>
      <w:r w:rsidRPr="004C6D84">
        <w:rPr>
          <w:rFonts w:cs="Times New Roman"/>
          <w:lang w:val="en-GB"/>
        </w:rPr>
        <w:instrText xml:space="preserve"> SEQ Table \* ARABIC </w:instrText>
      </w:r>
      <w:r w:rsidRPr="004C6D84">
        <w:rPr>
          <w:rFonts w:cs="Times New Roman"/>
          <w:lang w:val="en-GB"/>
        </w:rPr>
        <w:fldChar w:fldCharType="separate"/>
      </w:r>
      <w:r w:rsidR="00222045" w:rsidRPr="004C6D84">
        <w:rPr>
          <w:rFonts w:cs="Times New Roman"/>
          <w:noProof/>
          <w:lang w:val="en-GB"/>
        </w:rPr>
        <w:t>3</w:t>
      </w:r>
      <w:r w:rsidRPr="004C6D84">
        <w:rPr>
          <w:rFonts w:cs="Times New Roman"/>
          <w:lang w:val="en-GB"/>
        </w:rPr>
        <w:fldChar w:fldCharType="end"/>
      </w:r>
      <w:r w:rsidRPr="004C6D84">
        <w:rPr>
          <w:rFonts w:cs="Times New Roman"/>
          <w:lang w:val="en-GB"/>
        </w:rPr>
        <w:t>: Comparative Overview of UK and EU AI Regulatory Approaches</w:t>
      </w:r>
      <w:bookmarkEnd w:id="11"/>
    </w:p>
    <w:p w14:paraId="3CD52C21" w14:textId="77777777" w:rsidR="004B4DF5" w:rsidRPr="004C6D84" w:rsidRDefault="00424F41" w:rsidP="0064364D">
      <w:pPr>
        <w:spacing w:before="240" w:after="240"/>
        <w:rPr>
          <w:rFonts w:cs="Times New Roman"/>
          <w:lang w:val="en-GB"/>
        </w:rPr>
      </w:pPr>
      <w:r w:rsidRPr="004C6D84">
        <w:rPr>
          <w:rFonts w:cs="Times New Roman"/>
          <w:noProof/>
          <w:lang w:val="en-GB"/>
        </w:rPr>
        <w:drawing>
          <wp:inline distT="0" distB="0" distL="0" distR="0" wp14:anchorId="062FEE0C" wp14:editId="77CC0471">
            <wp:extent cx="5731510" cy="2766695"/>
            <wp:effectExtent l="0" t="0" r="2540" b="0"/>
            <wp:docPr id="49238519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92385191" name=""/>
                    <pic:cNvPicPr/>
                  </pic:nvPicPr>
                  <pic:blipFill>
                    <a:blip r:embed="rId12"/>
                    <a:stretch>
                      <a:fillRect/>
                    </a:stretch>
                  </pic:blipFill>
                  <pic:spPr>
                    <a:xfrm>
                      <a:off x="0" y="0"/>
                      <a:ext cx="5731510" cy="2766695"/>
                    </a:xfrm>
                    <a:prstGeom prst="rect">
                      <a:avLst/>
                    </a:prstGeom>
                  </pic:spPr>
                </pic:pic>
              </a:graphicData>
            </a:graphic>
          </wp:inline>
        </w:drawing>
      </w:r>
    </w:p>
    <w:p w14:paraId="590AC74D" w14:textId="77777777" w:rsidR="001A4548" w:rsidRPr="004C6D84" w:rsidRDefault="00424F41" w:rsidP="0064364D">
      <w:pPr>
        <w:pStyle w:val="Heading2"/>
        <w:spacing w:before="240" w:after="240"/>
        <w:rPr>
          <w:rFonts w:cs="Times New Roman"/>
          <w:lang w:val="en-GB"/>
        </w:rPr>
      </w:pPr>
      <w:bookmarkStart w:id="12" w:name="_Toc228125370"/>
      <w:r w:rsidRPr="004C6D84">
        <w:rPr>
          <w:rFonts w:cs="Times New Roman"/>
          <w:lang w:val="en-GB"/>
        </w:rPr>
        <w:t>4.1 UK Regulatory Approach to AI in Financial Services</w:t>
      </w:r>
      <w:bookmarkEnd w:id="12"/>
    </w:p>
    <w:p w14:paraId="0D8CC299" w14:textId="2AB1EE6E" w:rsidR="00103B0C" w:rsidRPr="004C6D84" w:rsidRDefault="00424F41" w:rsidP="0064364D">
      <w:pPr>
        <w:spacing w:before="240" w:after="240"/>
        <w:rPr>
          <w:rFonts w:cs="Times New Roman"/>
          <w:lang w:val="en-GB"/>
        </w:rPr>
      </w:pPr>
      <w:r w:rsidRPr="004C6D84">
        <w:rPr>
          <w:rFonts w:cs="Times New Roman"/>
          <w:lang w:val="en-GB"/>
        </w:rPr>
        <w:t>The UK has taken a principles-based and pro-innovation regulatory approach to artificial intelligence (AI) without attempting to enact one overarching statute on AI. Rather, the governance is shared between the regulators in place, like the Financial Conduct Authority (FCA), which enforces the set financial principles, including fairness, accountability and transparency, to AI systems</w:t>
      </w:r>
      <w:r w:rsidR="007D74D8" w:rsidRPr="004C6D84">
        <w:rPr>
          <w:rFonts w:cs="Times New Roman"/>
          <w:lang w:val="en-GB"/>
        </w:rPr>
        <w:t xml:space="preserve"> (UK Treasury Committee, 2024)</w:t>
      </w:r>
      <w:r w:rsidRPr="004C6D84">
        <w:rPr>
          <w:rFonts w:cs="Times New Roman"/>
          <w:lang w:val="en-GB"/>
        </w:rPr>
        <w:t>. This enables financial institutions, such as HSBC, to incorporate AI technologies in operations like fraud detection, customer analytics, and risk modelling with comparatively fewer prescriptive restrictions.</w:t>
      </w:r>
    </w:p>
    <w:p w14:paraId="6C121117" w14:textId="5FF14895" w:rsidR="00103B0C" w:rsidRPr="004C6D84" w:rsidRDefault="00424F41" w:rsidP="0064364D">
      <w:pPr>
        <w:spacing w:before="240" w:after="240"/>
        <w:rPr>
          <w:rFonts w:cs="Times New Roman"/>
          <w:lang w:val="en-GB"/>
        </w:rPr>
      </w:pPr>
      <w:r w:rsidRPr="004C6D84">
        <w:rPr>
          <w:rFonts w:cs="Times New Roman"/>
          <w:lang w:val="en-GB"/>
        </w:rPr>
        <w:t>Such regulatory leniency helps HSBC to test AI-based solutions and quickly implement innovations in the UK market</w:t>
      </w:r>
      <w:r w:rsidR="00EE675A" w:rsidRPr="004C6D84">
        <w:rPr>
          <w:rFonts w:cs="Times New Roman"/>
          <w:lang w:val="en-GB"/>
        </w:rPr>
        <w:t xml:space="preserve"> (Chang, 2022)</w:t>
      </w:r>
      <w:r w:rsidRPr="004C6D84">
        <w:rPr>
          <w:rFonts w:cs="Times New Roman"/>
          <w:lang w:val="en-GB"/>
        </w:rPr>
        <w:t>. Nevertheless, the lack of explicitly written AI-</w:t>
      </w:r>
      <w:r w:rsidRPr="004C6D84">
        <w:rPr>
          <w:rFonts w:cs="Times New Roman"/>
          <w:lang w:val="en-GB"/>
        </w:rPr>
        <w:lastRenderedPageBreak/>
        <w:t>related regulations creates uncertainty in the interpretation, as companies will have to decide how general regulatory frameworks will be applied to sophisticated AI systems</w:t>
      </w:r>
      <w:r w:rsidR="007A04FF">
        <w:rPr>
          <w:rFonts w:cs="Times New Roman"/>
          <w:lang w:val="en-GB"/>
        </w:rPr>
        <w:t xml:space="preserve"> </w:t>
      </w:r>
      <w:r w:rsidR="007A04FF" w:rsidRPr="007A04FF">
        <w:rPr>
          <w:rFonts w:cs="Times New Roman"/>
          <w:lang w:val="en-GB"/>
        </w:rPr>
        <w:t>(Ahmed, 2026)</w:t>
      </w:r>
      <w:r w:rsidRPr="004C6D84">
        <w:rPr>
          <w:rFonts w:cs="Times New Roman"/>
          <w:lang w:val="en-GB"/>
        </w:rPr>
        <w:t>. This means the onus of setting standards of governance is transferred to the organisation, thereby placing more emphasis on internal controls, including AI ethics committees and model validation procedures.</w:t>
      </w:r>
    </w:p>
    <w:p w14:paraId="0C269153" w14:textId="0F310C82" w:rsidR="001A4548" w:rsidRPr="004C6D84" w:rsidRDefault="00424F41" w:rsidP="0064364D">
      <w:pPr>
        <w:spacing w:before="240" w:after="240"/>
        <w:rPr>
          <w:rFonts w:cs="Times New Roman"/>
          <w:lang w:val="en-GB"/>
        </w:rPr>
      </w:pPr>
      <w:r w:rsidRPr="004C6D84">
        <w:rPr>
          <w:rFonts w:cs="Times New Roman"/>
          <w:lang w:val="en-GB"/>
        </w:rPr>
        <w:t>Importantly, the UK strategy facilitates agility but also puts a company at risk of reputational and compliance losses</w:t>
      </w:r>
      <w:r w:rsidR="00EE675A" w:rsidRPr="004C6D84">
        <w:rPr>
          <w:rFonts w:cs="Times New Roman"/>
          <w:lang w:val="en-GB"/>
        </w:rPr>
        <w:t xml:space="preserve"> (</w:t>
      </w:r>
      <w:proofErr w:type="spellStart"/>
      <w:r w:rsidR="00EE675A" w:rsidRPr="004C6D84">
        <w:rPr>
          <w:rFonts w:cs="Times New Roman"/>
          <w:lang w:val="en-GB"/>
        </w:rPr>
        <w:t>Ridzuan</w:t>
      </w:r>
      <w:proofErr w:type="spellEnd"/>
      <w:r w:rsidR="00EE675A" w:rsidRPr="004C6D84">
        <w:rPr>
          <w:rFonts w:cs="Times New Roman"/>
          <w:lang w:val="en-GB"/>
        </w:rPr>
        <w:t xml:space="preserve"> </w:t>
      </w:r>
      <w:r w:rsidR="003A3FAA" w:rsidRPr="004C6D84">
        <w:rPr>
          <w:rFonts w:cs="Times New Roman"/>
          <w:lang w:val="en-GB"/>
        </w:rPr>
        <w:t>et al</w:t>
      </w:r>
      <w:r w:rsidR="00EE675A" w:rsidRPr="004C6D84">
        <w:rPr>
          <w:rFonts w:cs="Times New Roman"/>
          <w:lang w:val="en-GB"/>
        </w:rPr>
        <w:t>., 2024)</w:t>
      </w:r>
      <w:r w:rsidRPr="004C6D84">
        <w:rPr>
          <w:rFonts w:cs="Times New Roman"/>
          <w:lang w:val="en-GB"/>
        </w:rPr>
        <w:t>. In the absence of clear regulatory standards, differences in the application of AI can occur, which can result in ethical issues or regulatory oversight in case systems generate biased or non-transparent results. This poses a conflict where HSBC enjoys the flexibility of regulations, but at the same time needs to invest in strong internal governance to reduce the ambiguity and preserve trust.</w:t>
      </w:r>
    </w:p>
    <w:p w14:paraId="3EA1DB45" w14:textId="77777777" w:rsidR="001A4548" w:rsidRPr="004C6D84" w:rsidRDefault="00424F41" w:rsidP="0064364D">
      <w:pPr>
        <w:pStyle w:val="Heading2"/>
        <w:spacing w:before="240" w:after="240"/>
        <w:rPr>
          <w:rFonts w:cs="Times New Roman"/>
          <w:lang w:val="en-GB"/>
        </w:rPr>
      </w:pPr>
      <w:bookmarkStart w:id="13" w:name="_Toc228125371"/>
      <w:r w:rsidRPr="004C6D84">
        <w:rPr>
          <w:rFonts w:cs="Times New Roman"/>
          <w:lang w:val="en-GB"/>
        </w:rPr>
        <w:t>4.2 EU Regulatory Framework for AI and Data Governance</w:t>
      </w:r>
      <w:bookmarkEnd w:id="13"/>
    </w:p>
    <w:p w14:paraId="6265AFCB" w14:textId="3B23B29B" w:rsidR="00103B0C" w:rsidRPr="004C6D84" w:rsidRDefault="00424F41" w:rsidP="0064364D">
      <w:pPr>
        <w:spacing w:before="240" w:after="240"/>
        <w:rPr>
          <w:rFonts w:cs="Times New Roman"/>
          <w:lang w:val="en-GB"/>
        </w:rPr>
      </w:pPr>
      <w:r w:rsidRPr="004C6D84">
        <w:rPr>
          <w:rFonts w:cs="Times New Roman"/>
          <w:lang w:val="en-GB"/>
        </w:rPr>
        <w:t>Conversely, the European Union has enacted a legal and all-encompassing AI governance system under the EU AI Act, backed by the General Data Protection Regulation. The EU AI Act uses a risk-based classification scheme, according to which AI systems applied in the financial sector, especially in credit rating and assessing risks to customers, are considered high-risk</w:t>
      </w:r>
      <w:r w:rsidR="003A3FAA" w:rsidRPr="004C6D84">
        <w:rPr>
          <w:rFonts w:cs="Times New Roman"/>
          <w:lang w:val="en-GB"/>
        </w:rPr>
        <w:t xml:space="preserve"> (</w:t>
      </w:r>
      <w:proofErr w:type="spellStart"/>
      <w:r w:rsidR="003A3FAA" w:rsidRPr="004C6D84">
        <w:rPr>
          <w:rFonts w:cs="Times New Roman"/>
          <w:lang w:val="en-GB"/>
        </w:rPr>
        <w:t>Uzougbo</w:t>
      </w:r>
      <w:proofErr w:type="spellEnd"/>
      <w:r w:rsidR="003A3FAA" w:rsidRPr="004C6D84">
        <w:rPr>
          <w:rFonts w:cs="Times New Roman"/>
          <w:lang w:val="en-GB"/>
        </w:rPr>
        <w:t xml:space="preserve"> et al., 2024)</w:t>
      </w:r>
      <w:r w:rsidRPr="004C6D84">
        <w:rPr>
          <w:rFonts w:cs="Times New Roman"/>
          <w:lang w:val="en-GB"/>
        </w:rPr>
        <w:t>.</w:t>
      </w:r>
    </w:p>
    <w:p w14:paraId="7215F4C1" w14:textId="2441CD5E" w:rsidR="00103B0C" w:rsidRPr="004C6D84" w:rsidRDefault="00424F41" w:rsidP="0064364D">
      <w:pPr>
        <w:spacing w:before="240" w:after="240"/>
        <w:rPr>
          <w:rFonts w:cs="Times New Roman"/>
          <w:lang w:val="en-GB"/>
        </w:rPr>
      </w:pPr>
      <w:r w:rsidRPr="004C6D84">
        <w:rPr>
          <w:rFonts w:cs="Times New Roman"/>
          <w:lang w:val="en-GB"/>
        </w:rPr>
        <w:t>In the case of HSBC, this classification has great operation implications. The implementation of high-risk AI systems should meet very strict criteria, such as formal risk management systems, high-quality and bias-reduced datasets, extensive documentation and audit trails, and human supervision</w:t>
      </w:r>
      <w:r w:rsidR="00546ABE" w:rsidRPr="004C6D84">
        <w:rPr>
          <w:rFonts w:cs="Times New Roman"/>
          <w:lang w:val="en-GB"/>
        </w:rPr>
        <w:t xml:space="preserve"> (</w:t>
      </w:r>
      <w:proofErr w:type="spellStart"/>
      <w:r w:rsidR="00546ABE" w:rsidRPr="004C6D84">
        <w:rPr>
          <w:rFonts w:cs="Times New Roman"/>
          <w:lang w:val="en-GB"/>
        </w:rPr>
        <w:t>Bhouri</w:t>
      </w:r>
      <w:proofErr w:type="spellEnd"/>
      <w:r w:rsidR="00546ABE" w:rsidRPr="004C6D84">
        <w:rPr>
          <w:rFonts w:cs="Times New Roman"/>
          <w:lang w:val="en-GB"/>
        </w:rPr>
        <w:t>, 2025)</w:t>
      </w:r>
      <w:r w:rsidRPr="004C6D84">
        <w:rPr>
          <w:rFonts w:cs="Times New Roman"/>
          <w:lang w:val="en-GB"/>
        </w:rPr>
        <w:t>. These clauses have a direct impact on the application of AI by HSBC in the lending process and fraud detection, as they must be constantly monitored and validated.</w:t>
      </w:r>
    </w:p>
    <w:p w14:paraId="4F5B9389" w14:textId="77295B85" w:rsidR="00103B0C" w:rsidRPr="004C6D84" w:rsidRDefault="00424F41" w:rsidP="0064364D">
      <w:pPr>
        <w:spacing w:before="240" w:after="240"/>
        <w:rPr>
          <w:rFonts w:cs="Times New Roman"/>
          <w:lang w:val="en-GB"/>
        </w:rPr>
      </w:pPr>
      <w:r w:rsidRPr="004C6D84">
        <w:rPr>
          <w:rFonts w:cs="Times New Roman"/>
          <w:lang w:val="en-GB"/>
        </w:rPr>
        <w:t>The GDPR supports these requirements even more, specifically by Article 22, which limits completely automated decision-making, which can greatly impact people (GDPR, 2018). This implies that HSBC should integrate human-in-the-loop functions in AI-enabled operations like loan approvals, whereby customers should be allowed to seek human intervention and clarification</w:t>
      </w:r>
      <w:r w:rsidR="00546ABE" w:rsidRPr="004C6D84">
        <w:rPr>
          <w:rFonts w:cs="Times New Roman"/>
          <w:lang w:val="en-GB"/>
        </w:rPr>
        <w:t xml:space="preserve"> (Grafenstein, 2022)</w:t>
      </w:r>
      <w:r w:rsidRPr="004C6D84">
        <w:rPr>
          <w:rFonts w:cs="Times New Roman"/>
          <w:lang w:val="en-GB"/>
        </w:rPr>
        <w:t>. Although this will increase accountability and safeguard consumer rights, it will also decrease the efficiency benefits of complete automation.</w:t>
      </w:r>
    </w:p>
    <w:p w14:paraId="0737DFB1" w14:textId="77777777" w:rsidR="001A4548" w:rsidRPr="004C6D84" w:rsidRDefault="00424F41" w:rsidP="0064364D">
      <w:pPr>
        <w:spacing w:before="240" w:after="240"/>
        <w:rPr>
          <w:rFonts w:cs="Times New Roman"/>
          <w:lang w:val="en-GB"/>
        </w:rPr>
      </w:pPr>
      <w:r w:rsidRPr="004C6D84">
        <w:rPr>
          <w:rFonts w:cs="Times New Roman"/>
          <w:lang w:val="en-GB"/>
        </w:rPr>
        <w:lastRenderedPageBreak/>
        <w:t>From a critical point of view EU framework offers regulatory clarity and good consumer protection, which minimises the chances of legal ambiguity. But it is also costly in terms of compliance costs and operational restrictions, which may restrict HSBC from scaling AI innovations quickly. This is indicative of a greater trade-off between organisational agility and regulatory certainty.</w:t>
      </w:r>
    </w:p>
    <w:p w14:paraId="058D3284" w14:textId="77777777" w:rsidR="001A4548" w:rsidRPr="004C6D84" w:rsidRDefault="00424F41" w:rsidP="0064364D">
      <w:pPr>
        <w:pStyle w:val="Heading2"/>
        <w:spacing w:before="240" w:after="240"/>
        <w:rPr>
          <w:rFonts w:cs="Times New Roman"/>
          <w:lang w:val="en-GB"/>
        </w:rPr>
      </w:pPr>
      <w:bookmarkStart w:id="14" w:name="_Toc228125372"/>
      <w:r w:rsidRPr="004C6D84">
        <w:rPr>
          <w:rFonts w:cs="Times New Roman"/>
          <w:lang w:val="en-GB"/>
        </w:rPr>
        <w:t>4.3 Critical Comparison and Implications for HSBC</w:t>
      </w:r>
      <w:bookmarkEnd w:id="14"/>
    </w:p>
    <w:p w14:paraId="14D7A1AF" w14:textId="2438C094" w:rsidR="00103B0C" w:rsidRPr="004C6D84" w:rsidRDefault="00424F41" w:rsidP="0064364D">
      <w:pPr>
        <w:spacing w:before="240" w:after="240"/>
        <w:rPr>
          <w:rFonts w:cs="Times New Roman"/>
          <w:lang w:val="en-GB"/>
        </w:rPr>
      </w:pPr>
      <w:r w:rsidRPr="004C6D84">
        <w:rPr>
          <w:rFonts w:cs="Times New Roman"/>
          <w:lang w:val="en-GB"/>
        </w:rPr>
        <w:t>The difference between the UK and EU models in terms of regulation poses a complicated strategic situation to HSBC, as the bank has to work in the context of two entirely different models of governance. The UK is flexible and innovative, whereas the EU is more focused on control, accountability and risk mitigation</w:t>
      </w:r>
      <w:r w:rsidR="007A04FF">
        <w:rPr>
          <w:rFonts w:cs="Times New Roman"/>
          <w:lang w:val="en-GB"/>
        </w:rPr>
        <w:t xml:space="preserve"> </w:t>
      </w:r>
      <w:r w:rsidR="007A04FF" w:rsidRPr="007A04FF">
        <w:rPr>
          <w:rFonts w:cs="Times New Roman"/>
          <w:lang w:val="en-GB"/>
        </w:rPr>
        <w:t>(Smith, 2025)</w:t>
      </w:r>
      <w:r w:rsidRPr="004C6D84">
        <w:rPr>
          <w:rFonts w:cs="Times New Roman"/>
          <w:lang w:val="en-GB"/>
        </w:rPr>
        <w:t>. This contrast creates both chances and difficulties.</w:t>
      </w:r>
    </w:p>
    <w:p w14:paraId="2F62851A" w14:textId="4819AC7A" w:rsidR="00103B0C" w:rsidRPr="004C6D84" w:rsidRDefault="00424F41" w:rsidP="0064364D">
      <w:pPr>
        <w:spacing w:before="240" w:after="240"/>
        <w:rPr>
          <w:rFonts w:cs="Times New Roman"/>
          <w:lang w:val="en-GB"/>
        </w:rPr>
      </w:pPr>
      <w:r w:rsidRPr="004C6D84">
        <w:rPr>
          <w:rFonts w:cs="Times New Roman"/>
          <w:lang w:val="en-GB"/>
        </w:rPr>
        <w:t xml:space="preserve">One of the implications is that HSBC will have to develop AI systems that meet the </w:t>
      </w:r>
      <w:proofErr w:type="gramStart"/>
      <w:r w:rsidRPr="004C6D84">
        <w:rPr>
          <w:rFonts w:cs="Times New Roman"/>
          <w:lang w:val="en-GB"/>
        </w:rPr>
        <w:t>most strict</w:t>
      </w:r>
      <w:proofErr w:type="gramEnd"/>
      <w:r w:rsidRPr="004C6D84">
        <w:rPr>
          <w:rFonts w:cs="Times New Roman"/>
          <w:lang w:val="en-GB"/>
        </w:rPr>
        <w:t xml:space="preserve"> regulatory standards, especially those of the EU. Since AI applications like credit scoring are considered to be high-risk, HSBC will not be able to afford to implement region-specific standards, which are below EU standards</w:t>
      </w:r>
      <w:r w:rsidR="00546ABE" w:rsidRPr="004C6D84">
        <w:rPr>
          <w:rFonts w:cs="Times New Roman"/>
          <w:lang w:val="en-GB"/>
        </w:rPr>
        <w:t xml:space="preserve"> (</w:t>
      </w:r>
      <w:proofErr w:type="spellStart"/>
      <w:r w:rsidR="00546ABE" w:rsidRPr="004C6D84">
        <w:rPr>
          <w:rFonts w:cs="Times New Roman"/>
          <w:lang w:val="en-GB"/>
        </w:rPr>
        <w:t>Pessach</w:t>
      </w:r>
      <w:proofErr w:type="spellEnd"/>
      <w:r w:rsidR="00546ABE" w:rsidRPr="004C6D84">
        <w:rPr>
          <w:rFonts w:cs="Times New Roman"/>
          <w:lang w:val="en-GB"/>
        </w:rPr>
        <w:t xml:space="preserve"> and Shmueli, 2022)</w:t>
      </w:r>
      <w:r w:rsidRPr="004C6D84">
        <w:rPr>
          <w:rFonts w:cs="Times New Roman"/>
          <w:lang w:val="en-GB"/>
        </w:rPr>
        <w:t>. This, in effect, heightens the global AI governance threshold in the organisation, but makes compliance more expensive, whilst the chances of regulatory violations become less probable.</w:t>
      </w:r>
    </w:p>
    <w:p w14:paraId="7198F7B5" w14:textId="0522CA33" w:rsidR="00103B0C" w:rsidRPr="004C6D84" w:rsidRDefault="00424F41" w:rsidP="0064364D">
      <w:pPr>
        <w:spacing w:before="240" w:after="240"/>
        <w:rPr>
          <w:rFonts w:cs="Times New Roman"/>
          <w:lang w:val="en-GB"/>
        </w:rPr>
      </w:pPr>
      <w:r w:rsidRPr="004C6D84">
        <w:rPr>
          <w:rFonts w:cs="Times New Roman"/>
          <w:lang w:val="en-GB"/>
        </w:rPr>
        <w:t>Simultaneously, the UK has a loose system, which provides a chance to innovate and implement AI technologies more quickly. Nevertheless, complete use of this flexibility can pose problems with systems that comply with EU standards, resulting in operational inefficiencies</w:t>
      </w:r>
      <w:r w:rsidR="00546ABE" w:rsidRPr="004C6D84">
        <w:rPr>
          <w:rFonts w:cs="Times New Roman"/>
          <w:lang w:val="en-GB"/>
        </w:rPr>
        <w:t xml:space="preserve"> (Aidoo et al., 2025)</w:t>
      </w:r>
      <w:r w:rsidRPr="004C6D84">
        <w:rPr>
          <w:rFonts w:cs="Times New Roman"/>
          <w:lang w:val="en-GB"/>
        </w:rPr>
        <w:t xml:space="preserve">. This poses a strategic dilemma: a uniform global governance framework would improve uniformity and </w:t>
      </w:r>
      <w:r w:rsidR="003A3FAA" w:rsidRPr="004C6D84">
        <w:rPr>
          <w:rFonts w:cs="Times New Roman"/>
          <w:lang w:val="en-GB"/>
        </w:rPr>
        <w:t>credibility but</w:t>
      </w:r>
      <w:r w:rsidRPr="004C6D84">
        <w:rPr>
          <w:rFonts w:cs="Times New Roman"/>
          <w:lang w:val="en-GB"/>
        </w:rPr>
        <w:t xml:space="preserve"> could decrease the competitive benefits of the UK regulatory framework.</w:t>
      </w:r>
    </w:p>
    <w:p w14:paraId="1463BC9D" w14:textId="7E3E0E02" w:rsidR="00103B0C" w:rsidRPr="004C6D84" w:rsidRDefault="00424F41" w:rsidP="0064364D">
      <w:pPr>
        <w:spacing w:before="240" w:after="240"/>
        <w:rPr>
          <w:rFonts w:cs="Times New Roman"/>
          <w:lang w:val="en-GB"/>
        </w:rPr>
      </w:pPr>
      <w:r w:rsidRPr="004C6D84">
        <w:rPr>
          <w:rFonts w:cs="Times New Roman"/>
          <w:lang w:val="en-GB"/>
        </w:rPr>
        <w:t>The difference between the two systems is also emphasised by the customer trust. Strong legal protection is one of the main institutionalisations of trust in the EU; that is, the adherence itself helps to strengthen credibility. Conversely, the UK is more focused on the organisational responsibility, which means that HSBC must be active in showing ethical AI usage and openness</w:t>
      </w:r>
      <w:r w:rsidR="003A3FAA" w:rsidRPr="004C6D84">
        <w:rPr>
          <w:rFonts w:cs="Times New Roman"/>
          <w:lang w:val="en-GB"/>
        </w:rPr>
        <w:t xml:space="preserve"> (</w:t>
      </w:r>
      <w:proofErr w:type="spellStart"/>
      <w:r w:rsidR="003A3FAA" w:rsidRPr="004C6D84">
        <w:rPr>
          <w:rFonts w:cs="Times New Roman"/>
          <w:lang w:val="en-GB"/>
        </w:rPr>
        <w:t>Turkse</w:t>
      </w:r>
      <w:proofErr w:type="spellEnd"/>
      <w:r w:rsidR="003A3FAA" w:rsidRPr="004C6D84">
        <w:rPr>
          <w:rFonts w:cs="Times New Roman"/>
          <w:lang w:val="en-GB"/>
        </w:rPr>
        <w:t xml:space="preserve"> et al., 2024)</w:t>
      </w:r>
      <w:r w:rsidRPr="004C6D84">
        <w:rPr>
          <w:rFonts w:cs="Times New Roman"/>
          <w:lang w:val="en-GB"/>
        </w:rPr>
        <w:t>. Consequently, HSBC has to take a dual trust approach, which involves formal compliance, active governance and communication.</w:t>
      </w:r>
    </w:p>
    <w:p w14:paraId="51478F34" w14:textId="70D1A02F" w:rsidR="001A4548" w:rsidRPr="004C6D84" w:rsidRDefault="00424F41" w:rsidP="0064364D">
      <w:pPr>
        <w:spacing w:before="240" w:after="240"/>
        <w:rPr>
          <w:rFonts w:cs="Times New Roman"/>
          <w:lang w:val="en-GB"/>
        </w:rPr>
      </w:pPr>
      <w:r w:rsidRPr="004C6D84">
        <w:rPr>
          <w:rFonts w:cs="Times New Roman"/>
          <w:lang w:val="en-GB"/>
        </w:rPr>
        <w:lastRenderedPageBreak/>
        <w:t>In general, regulatory divergence between the UK and the EU is a manifestation of a tension between innovation and control. In the case of HSBC, the key to successful AI risk management lies in its capacity to reconcile these competing priorities so that it would adhere to the strict EU regulations and yet be flexible enough to be innovative in the UK market</w:t>
      </w:r>
      <w:r w:rsidR="007A04FF">
        <w:rPr>
          <w:rFonts w:cs="Times New Roman"/>
          <w:lang w:val="en-GB"/>
        </w:rPr>
        <w:t xml:space="preserve"> </w:t>
      </w:r>
      <w:r w:rsidR="007A04FF" w:rsidRPr="007A04FF">
        <w:rPr>
          <w:rFonts w:cs="Times New Roman"/>
          <w:lang w:val="en-GB"/>
        </w:rPr>
        <w:t>(Khan, 2025)</w:t>
      </w:r>
      <w:r w:rsidRPr="004C6D84">
        <w:rPr>
          <w:rFonts w:cs="Times New Roman"/>
          <w:lang w:val="en-GB"/>
        </w:rPr>
        <w:t>.</w:t>
      </w:r>
    </w:p>
    <w:p w14:paraId="414D9243" w14:textId="77777777" w:rsidR="001C0510" w:rsidRPr="004C6D84" w:rsidRDefault="00424F41" w:rsidP="0064364D">
      <w:pPr>
        <w:pStyle w:val="Heading1"/>
        <w:spacing w:before="240" w:after="240"/>
        <w:rPr>
          <w:rFonts w:cs="Times New Roman"/>
          <w:lang w:val="en-GB"/>
        </w:rPr>
      </w:pPr>
      <w:bookmarkStart w:id="15" w:name="_Toc228125373"/>
      <w:r w:rsidRPr="004C6D84">
        <w:rPr>
          <w:rFonts w:cs="Times New Roman"/>
          <w:lang w:val="en-GB"/>
        </w:rPr>
        <w:t>5. Strategic Risk Management Framework</w:t>
      </w:r>
      <w:bookmarkEnd w:id="15"/>
    </w:p>
    <w:p w14:paraId="57F0DC0C" w14:textId="03742C5E" w:rsidR="000C6BB9" w:rsidRPr="004C6D84" w:rsidRDefault="00424F41" w:rsidP="0064364D">
      <w:pPr>
        <w:spacing w:before="240" w:after="240"/>
        <w:rPr>
          <w:rFonts w:cs="Times New Roman"/>
          <w:lang w:val="en-GB"/>
        </w:rPr>
      </w:pPr>
      <w:r w:rsidRPr="004C6D84">
        <w:rPr>
          <w:rFonts w:cs="Times New Roman"/>
          <w:lang w:val="en-GB"/>
        </w:rPr>
        <w:t>Building on the identified AI risk landscape and regulatory differences between the United Kingdom and the European Union, HSBC needs a framework of risk management that is structured and integrated to balance technological innovation with governance, compliance, and trust</w:t>
      </w:r>
      <w:r w:rsidR="00546ABE" w:rsidRPr="004C6D84">
        <w:rPr>
          <w:rFonts w:cs="Times New Roman"/>
          <w:lang w:val="en-GB"/>
        </w:rPr>
        <w:t xml:space="preserve"> (</w:t>
      </w:r>
      <w:proofErr w:type="spellStart"/>
      <w:r w:rsidR="00546ABE" w:rsidRPr="004C6D84">
        <w:rPr>
          <w:rFonts w:cs="Times New Roman"/>
          <w:lang w:val="en-GB"/>
        </w:rPr>
        <w:t>Castelnovo</w:t>
      </w:r>
      <w:proofErr w:type="spellEnd"/>
      <w:r w:rsidR="00546ABE" w:rsidRPr="004C6D84">
        <w:rPr>
          <w:rFonts w:cs="Times New Roman"/>
          <w:lang w:val="en-GB"/>
        </w:rPr>
        <w:t>, 2024)</w:t>
      </w:r>
      <w:r w:rsidRPr="004C6D84">
        <w:rPr>
          <w:rFonts w:cs="Times New Roman"/>
          <w:lang w:val="en-GB"/>
        </w:rPr>
        <w:t>. Considering the multidimensionality of risks related to AI, a successful approach should not rely on single-point controls, but should be a comprehensive and holistic, organisation-wide governance framework that is consistent across jurisdictions and is flexible in operations</w:t>
      </w:r>
      <w:r w:rsidR="00A51AB3">
        <w:rPr>
          <w:rFonts w:cs="Times New Roman"/>
          <w:lang w:val="en-GB"/>
        </w:rPr>
        <w:t xml:space="preserve"> </w:t>
      </w:r>
      <w:r w:rsidR="00A51AB3" w:rsidRPr="00A51AB3">
        <w:rPr>
          <w:rFonts w:cs="Times New Roman"/>
          <w:lang w:val="en-GB"/>
        </w:rPr>
        <w:t>(Petrova, 2025)</w:t>
      </w:r>
      <w:r w:rsidRPr="004C6D84">
        <w:rPr>
          <w:rFonts w:cs="Times New Roman"/>
          <w:lang w:val="en-GB"/>
        </w:rPr>
        <w:t>.</w:t>
      </w:r>
    </w:p>
    <w:p w14:paraId="4E368BAE" w14:textId="77777777" w:rsidR="00D05DAD" w:rsidRPr="004C6D84" w:rsidRDefault="00424F41" w:rsidP="0064364D">
      <w:pPr>
        <w:pStyle w:val="Heading2"/>
        <w:spacing w:before="240" w:after="240"/>
        <w:rPr>
          <w:rFonts w:cs="Times New Roman"/>
          <w:lang w:val="en-GB"/>
        </w:rPr>
      </w:pPr>
      <w:bookmarkStart w:id="16" w:name="_Toc228125374"/>
      <w:r w:rsidRPr="004C6D84">
        <w:rPr>
          <w:rFonts w:cs="Times New Roman"/>
          <w:lang w:val="en-GB"/>
        </w:rPr>
        <w:t>5.1 Integrated AI Governance Framework</w:t>
      </w:r>
      <w:bookmarkEnd w:id="16"/>
    </w:p>
    <w:p w14:paraId="1D996B74" w14:textId="77777777" w:rsidR="000C6BB9" w:rsidRPr="004C6D84" w:rsidRDefault="00424F41" w:rsidP="0064364D">
      <w:pPr>
        <w:spacing w:before="240" w:after="240"/>
        <w:rPr>
          <w:rFonts w:cs="Times New Roman"/>
          <w:lang w:val="en-GB"/>
        </w:rPr>
      </w:pPr>
      <w:r w:rsidRPr="004C6D84">
        <w:rPr>
          <w:rFonts w:cs="Times New Roman"/>
          <w:lang w:val="en-GB"/>
        </w:rPr>
        <w:t>HSBC should implement a three-layer AI governance model to ensure accountability and coordination across organisational levels.</w:t>
      </w:r>
    </w:p>
    <w:p w14:paraId="21BC016E" w14:textId="77777777" w:rsidR="000C6BB9" w:rsidRPr="004C6D84" w:rsidRDefault="00424F41" w:rsidP="0064364D">
      <w:pPr>
        <w:pStyle w:val="Caption"/>
        <w:keepNext/>
        <w:spacing w:before="240" w:after="240" w:line="360" w:lineRule="auto"/>
        <w:rPr>
          <w:rFonts w:cs="Times New Roman"/>
          <w:lang w:val="en-GB"/>
        </w:rPr>
      </w:pPr>
      <w:bookmarkStart w:id="17" w:name="_Toc227769780"/>
      <w:r w:rsidRPr="004C6D84">
        <w:rPr>
          <w:rFonts w:cs="Times New Roman"/>
          <w:lang w:val="en-GB"/>
        </w:rPr>
        <w:t xml:space="preserve">Table </w:t>
      </w:r>
      <w:r w:rsidRPr="004C6D84">
        <w:rPr>
          <w:rFonts w:cs="Times New Roman"/>
          <w:lang w:val="en-GB"/>
        </w:rPr>
        <w:fldChar w:fldCharType="begin"/>
      </w:r>
      <w:r w:rsidRPr="004C6D84">
        <w:rPr>
          <w:rFonts w:cs="Times New Roman"/>
          <w:lang w:val="en-GB"/>
        </w:rPr>
        <w:instrText xml:space="preserve"> SEQ Table \* ARABIC </w:instrText>
      </w:r>
      <w:r w:rsidRPr="004C6D84">
        <w:rPr>
          <w:rFonts w:cs="Times New Roman"/>
          <w:lang w:val="en-GB"/>
        </w:rPr>
        <w:fldChar w:fldCharType="separate"/>
      </w:r>
      <w:r w:rsidR="00222045" w:rsidRPr="004C6D84">
        <w:rPr>
          <w:rFonts w:cs="Times New Roman"/>
          <w:noProof/>
          <w:lang w:val="en-GB"/>
        </w:rPr>
        <w:t>4</w:t>
      </w:r>
      <w:r w:rsidRPr="004C6D84">
        <w:rPr>
          <w:rFonts w:cs="Times New Roman"/>
          <w:lang w:val="en-GB"/>
        </w:rPr>
        <w:fldChar w:fldCharType="end"/>
      </w:r>
      <w:r w:rsidRPr="004C6D84">
        <w:rPr>
          <w:rFonts w:cs="Times New Roman"/>
          <w:lang w:val="en-GB"/>
        </w:rPr>
        <w:t>: Three-layer AI governance model</w:t>
      </w:r>
      <w:bookmarkEnd w:id="17"/>
    </w:p>
    <w:p w14:paraId="448FACF5" w14:textId="77777777" w:rsidR="008A553B" w:rsidRPr="004C6D84" w:rsidRDefault="00424F41" w:rsidP="0064364D">
      <w:pPr>
        <w:spacing w:before="240" w:after="240"/>
        <w:rPr>
          <w:rFonts w:cs="Times New Roman"/>
          <w:lang w:val="en-GB"/>
        </w:rPr>
      </w:pPr>
      <w:r w:rsidRPr="004C6D84">
        <w:rPr>
          <w:rFonts w:cs="Times New Roman"/>
          <w:noProof/>
          <w:lang w:val="en-GB"/>
        </w:rPr>
        <w:drawing>
          <wp:inline distT="0" distB="0" distL="0" distR="0" wp14:anchorId="68D36B31" wp14:editId="11C438A8">
            <wp:extent cx="5731510" cy="1784350"/>
            <wp:effectExtent l="0" t="0" r="2540" b="6350"/>
            <wp:docPr id="210423010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04230102" name=""/>
                    <pic:cNvPicPr/>
                  </pic:nvPicPr>
                  <pic:blipFill>
                    <a:blip r:embed="rId13"/>
                    <a:stretch>
                      <a:fillRect/>
                    </a:stretch>
                  </pic:blipFill>
                  <pic:spPr>
                    <a:xfrm>
                      <a:off x="0" y="0"/>
                      <a:ext cx="5731510" cy="1784350"/>
                    </a:xfrm>
                    <a:prstGeom prst="rect">
                      <a:avLst/>
                    </a:prstGeom>
                  </pic:spPr>
                </pic:pic>
              </a:graphicData>
            </a:graphic>
          </wp:inline>
        </w:drawing>
      </w:r>
    </w:p>
    <w:p w14:paraId="56EAFE3B" w14:textId="1DAAB139" w:rsidR="000C6BB9" w:rsidRPr="004C6D84" w:rsidRDefault="00424F41" w:rsidP="0064364D">
      <w:pPr>
        <w:spacing w:before="240" w:after="240"/>
        <w:rPr>
          <w:rFonts w:cs="Times New Roman"/>
          <w:lang w:val="en-GB"/>
        </w:rPr>
      </w:pPr>
      <w:r w:rsidRPr="004C6D84">
        <w:rPr>
          <w:rFonts w:cs="Times New Roman"/>
          <w:lang w:val="en-GB"/>
        </w:rPr>
        <w:t>Such a structure can make sure that the risks of AI are managed on multiple levels and make them less fragmented. Notably, the framework must use EU regulatory standards as a reference point, especially when it comes to high-risk AI systems, although it must be flexible and controlled in the UK</w:t>
      </w:r>
      <w:r w:rsidR="003A3FAA" w:rsidRPr="004C6D84">
        <w:rPr>
          <w:rFonts w:cs="Times New Roman"/>
          <w:lang w:val="en-GB"/>
        </w:rPr>
        <w:t xml:space="preserve"> (</w:t>
      </w:r>
      <w:proofErr w:type="spellStart"/>
      <w:r w:rsidR="003A3FAA" w:rsidRPr="004C6D84">
        <w:rPr>
          <w:rFonts w:cs="Times New Roman"/>
          <w:lang w:val="en-GB"/>
        </w:rPr>
        <w:t>Aivatoglou</w:t>
      </w:r>
      <w:proofErr w:type="spellEnd"/>
      <w:r w:rsidR="003A3FAA" w:rsidRPr="004C6D84">
        <w:rPr>
          <w:rFonts w:cs="Times New Roman"/>
          <w:lang w:val="en-GB"/>
        </w:rPr>
        <w:t>, 2025)</w:t>
      </w:r>
      <w:r w:rsidRPr="004C6D84">
        <w:rPr>
          <w:rFonts w:cs="Times New Roman"/>
          <w:lang w:val="en-GB"/>
        </w:rPr>
        <w:t>. This will reduce the risk of compliance and allow innovation. The centralisation of governance can, however, delay the decision-making process, which is why the control-agility balance should be a priority.</w:t>
      </w:r>
    </w:p>
    <w:p w14:paraId="1028055D" w14:textId="77777777" w:rsidR="000C6BB9" w:rsidRPr="004C6D84" w:rsidRDefault="00424F41" w:rsidP="0064364D">
      <w:pPr>
        <w:pStyle w:val="Heading2"/>
        <w:spacing w:before="240" w:after="240"/>
        <w:rPr>
          <w:rFonts w:cs="Times New Roman"/>
          <w:lang w:val="en-GB"/>
        </w:rPr>
      </w:pPr>
      <w:bookmarkStart w:id="18" w:name="_Toc228125375"/>
      <w:r w:rsidRPr="004C6D84">
        <w:rPr>
          <w:rFonts w:cs="Times New Roman"/>
          <w:lang w:val="en-GB"/>
        </w:rPr>
        <w:lastRenderedPageBreak/>
        <w:t>5.2 Data Governance Strategy</w:t>
      </w:r>
      <w:bookmarkEnd w:id="18"/>
    </w:p>
    <w:p w14:paraId="6A6271C9" w14:textId="166E5D4D" w:rsidR="000C6BB9" w:rsidRPr="004C6D84" w:rsidRDefault="00424F41" w:rsidP="0064364D">
      <w:pPr>
        <w:spacing w:before="240" w:after="240"/>
        <w:rPr>
          <w:rFonts w:cs="Times New Roman"/>
          <w:lang w:val="en-GB"/>
        </w:rPr>
      </w:pPr>
      <w:r w:rsidRPr="004C6D84">
        <w:rPr>
          <w:rFonts w:cs="Times New Roman"/>
          <w:lang w:val="en-GB"/>
        </w:rPr>
        <w:t>The governance of AI risks is heavily dependent on data, which is why HSBC requires an effective data governance approach, considering that it has been using large-scale cross-border data flows</w:t>
      </w:r>
      <w:r w:rsidR="00251717">
        <w:rPr>
          <w:rFonts w:cs="Times New Roman"/>
          <w:lang w:val="en-GB"/>
        </w:rPr>
        <w:t xml:space="preserve"> </w:t>
      </w:r>
      <w:r w:rsidR="00251717" w:rsidRPr="00251717">
        <w:rPr>
          <w:rFonts w:cs="Times New Roman"/>
          <w:lang w:val="en-GB"/>
        </w:rPr>
        <w:t>(Ibrahim, 2025)</w:t>
      </w:r>
      <w:r w:rsidRPr="004C6D84">
        <w:rPr>
          <w:rFonts w:cs="Times New Roman"/>
          <w:lang w:val="en-GB"/>
        </w:rPr>
        <w:t>. The organisation is supposed to adopt a centralised data governance architecture that formalises the data collection, storage, and processing practices within the jurisdiction.</w:t>
      </w:r>
    </w:p>
    <w:p w14:paraId="5DB42447" w14:textId="77777777" w:rsidR="003A5275" w:rsidRPr="004C6D84" w:rsidRDefault="00424F41" w:rsidP="0064364D">
      <w:pPr>
        <w:spacing w:before="240" w:after="240"/>
        <w:rPr>
          <w:rFonts w:cs="Times New Roman"/>
          <w:lang w:val="en-GB"/>
        </w:rPr>
      </w:pPr>
      <w:r w:rsidRPr="004C6D84">
        <w:rPr>
          <w:rFonts w:cs="Times New Roman"/>
          <w:lang w:val="en-GB"/>
        </w:rPr>
        <w:t>Key actions include:</w:t>
      </w:r>
    </w:p>
    <w:p w14:paraId="62E0A616" w14:textId="77777777" w:rsidR="003A5275" w:rsidRPr="004C6D84" w:rsidRDefault="00424F41" w:rsidP="0064364D">
      <w:pPr>
        <w:pStyle w:val="ListParagraph"/>
        <w:numPr>
          <w:ilvl w:val="0"/>
          <w:numId w:val="25"/>
        </w:numPr>
        <w:spacing w:before="240" w:after="240"/>
        <w:rPr>
          <w:rFonts w:cs="Times New Roman"/>
          <w:lang w:val="en-GB"/>
        </w:rPr>
      </w:pPr>
      <w:r w:rsidRPr="004C6D84">
        <w:rPr>
          <w:rFonts w:cs="Times New Roman"/>
          <w:lang w:val="en-GB"/>
        </w:rPr>
        <w:t xml:space="preserve">Setting data quality and validation measures to minimise bias in AI models. </w:t>
      </w:r>
    </w:p>
    <w:p w14:paraId="5F508237" w14:textId="77777777" w:rsidR="003A5275" w:rsidRPr="004C6D84" w:rsidRDefault="00424F41" w:rsidP="0064364D">
      <w:pPr>
        <w:pStyle w:val="ListParagraph"/>
        <w:numPr>
          <w:ilvl w:val="0"/>
          <w:numId w:val="25"/>
        </w:numPr>
        <w:spacing w:before="240" w:after="240"/>
        <w:rPr>
          <w:rFonts w:cs="Times New Roman"/>
          <w:lang w:val="en-GB"/>
        </w:rPr>
      </w:pPr>
      <w:r w:rsidRPr="004C6D84">
        <w:rPr>
          <w:rFonts w:cs="Times New Roman"/>
          <w:lang w:val="en-GB"/>
        </w:rPr>
        <w:t xml:space="preserve">Enhancing the use of cross-border data transfer controls with regard to GDPR policies. </w:t>
      </w:r>
    </w:p>
    <w:p w14:paraId="2EA06B39" w14:textId="77777777" w:rsidR="003A5275" w:rsidRPr="004C6D84" w:rsidRDefault="00424F41" w:rsidP="0064364D">
      <w:pPr>
        <w:pStyle w:val="ListParagraph"/>
        <w:numPr>
          <w:ilvl w:val="0"/>
          <w:numId w:val="25"/>
        </w:numPr>
        <w:spacing w:before="240" w:after="240"/>
        <w:rPr>
          <w:rFonts w:cs="Times New Roman"/>
          <w:lang w:val="en-GB"/>
        </w:rPr>
      </w:pPr>
      <w:r w:rsidRPr="004C6D84">
        <w:rPr>
          <w:rFonts w:cs="Times New Roman"/>
          <w:lang w:val="en-GB"/>
        </w:rPr>
        <w:t xml:space="preserve">Using privacy-by-design concepts to make the development stage compliant. </w:t>
      </w:r>
    </w:p>
    <w:p w14:paraId="5B3E2B1E" w14:textId="55E1FDF3" w:rsidR="000C6BB9" w:rsidRPr="004C6D84" w:rsidRDefault="00424F41" w:rsidP="0064364D">
      <w:pPr>
        <w:spacing w:before="240" w:after="240"/>
        <w:rPr>
          <w:rFonts w:cs="Times New Roman"/>
          <w:lang w:val="en-GB"/>
        </w:rPr>
      </w:pPr>
      <w:r w:rsidRPr="004C6D84">
        <w:rPr>
          <w:rFonts w:cs="Times New Roman"/>
          <w:lang w:val="en-GB"/>
        </w:rPr>
        <w:t>Although centralisation will increase uniformity and compliance with regulations, it can also decrease the local flexibility of operations</w:t>
      </w:r>
      <w:r w:rsidR="00546ABE" w:rsidRPr="004C6D84">
        <w:rPr>
          <w:rFonts w:cs="Times New Roman"/>
          <w:lang w:val="en-GB"/>
        </w:rPr>
        <w:t xml:space="preserve"> (Anjanappa, 2025)</w:t>
      </w:r>
      <w:r w:rsidRPr="004C6D84">
        <w:rPr>
          <w:rFonts w:cs="Times New Roman"/>
          <w:lang w:val="en-GB"/>
        </w:rPr>
        <w:t>. It thus follows that HSBC should make sure that the international standards are flexible to regional needs without damaging data integrity. Lack of proper data governance administration may result in regulatory fines and reputational losses, especially in more stringent EU systems.</w:t>
      </w:r>
    </w:p>
    <w:p w14:paraId="7B090DB0" w14:textId="77777777" w:rsidR="000C6BB9" w:rsidRPr="004C6D84" w:rsidRDefault="00424F41" w:rsidP="0064364D">
      <w:pPr>
        <w:pStyle w:val="Heading2"/>
        <w:spacing w:before="240" w:after="240"/>
        <w:rPr>
          <w:rFonts w:cs="Times New Roman"/>
          <w:lang w:val="en-GB"/>
        </w:rPr>
      </w:pPr>
      <w:bookmarkStart w:id="19" w:name="_Toc228125376"/>
      <w:r w:rsidRPr="004C6D84">
        <w:rPr>
          <w:rFonts w:cs="Times New Roman"/>
          <w:lang w:val="en-GB"/>
        </w:rPr>
        <w:t>5.3 Ethical AI Implementation</w:t>
      </w:r>
      <w:bookmarkEnd w:id="19"/>
    </w:p>
    <w:p w14:paraId="255F1971" w14:textId="1353547F" w:rsidR="003A5275" w:rsidRPr="004C6D84" w:rsidRDefault="00424F41" w:rsidP="0064364D">
      <w:pPr>
        <w:spacing w:before="240" w:after="240"/>
        <w:rPr>
          <w:rFonts w:cs="Times New Roman"/>
          <w:lang w:val="en-GB"/>
        </w:rPr>
      </w:pPr>
      <w:r w:rsidRPr="004C6D84">
        <w:rPr>
          <w:rFonts w:cs="Times New Roman"/>
          <w:lang w:val="en-GB"/>
        </w:rPr>
        <w:t>To mitigate ethical risks, HSBC must institutionalise it by having a detailed ethical AI framework that is integrated into the organisational processes</w:t>
      </w:r>
      <w:r w:rsidR="00546ABE" w:rsidRPr="004C6D84">
        <w:rPr>
          <w:rFonts w:cs="Times New Roman"/>
          <w:lang w:val="en-GB"/>
        </w:rPr>
        <w:t xml:space="preserve"> (Venna, 2024)</w:t>
      </w:r>
      <w:r w:rsidRPr="004C6D84">
        <w:rPr>
          <w:rFonts w:cs="Times New Roman"/>
          <w:lang w:val="en-GB"/>
        </w:rPr>
        <w:t>. This must be an augmentation of the existing frameworks, like AI ethics boards and human control.</w:t>
      </w:r>
    </w:p>
    <w:p w14:paraId="4C5FCB4F" w14:textId="77777777" w:rsidR="003A5275" w:rsidRPr="004C6D84" w:rsidRDefault="00424F41" w:rsidP="0064364D">
      <w:pPr>
        <w:spacing w:before="240" w:after="240"/>
        <w:rPr>
          <w:rFonts w:cs="Times New Roman"/>
          <w:lang w:val="en-GB"/>
        </w:rPr>
      </w:pPr>
      <w:r w:rsidRPr="004C6D84">
        <w:rPr>
          <w:rFonts w:cs="Times New Roman"/>
          <w:lang w:val="en-GB"/>
        </w:rPr>
        <w:t>Some important strategic actions are:</w:t>
      </w:r>
    </w:p>
    <w:p w14:paraId="12076593" w14:textId="77777777" w:rsidR="003A5275" w:rsidRPr="004C6D84" w:rsidRDefault="00424F41" w:rsidP="0064364D">
      <w:pPr>
        <w:pStyle w:val="ListParagraph"/>
        <w:numPr>
          <w:ilvl w:val="0"/>
          <w:numId w:val="28"/>
        </w:numPr>
        <w:spacing w:before="240" w:after="240"/>
        <w:rPr>
          <w:rFonts w:cs="Times New Roman"/>
          <w:lang w:val="en-GB"/>
        </w:rPr>
      </w:pPr>
      <w:r w:rsidRPr="004C6D84">
        <w:rPr>
          <w:rFonts w:cs="Times New Roman"/>
          <w:lang w:val="en-GB"/>
        </w:rPr>
        <w:t xml:space="preserve">The use of bias detection and reduction tools in the development of the models. </w:t>
      </w:r>
    </w:p>
    <w:p w14:paraId="40D08401" w14:textId="0B834109" w:rsidR="003A5275" w:rsidRPr="004C6D84" w:rsidRDefault="00424F41" w:rsidP="0064364D">
      <w:pPr>
        <w:pStyle w:val="ListParagraph"/>
        <w:numPr>
          <w:ilvl w:val="0"/>
          <w:numId w:val="28"/>
        </w:numPr>
        <w:spacing w:before="240" w:after="240"/>
        <w:rPr>
          <w:rFonts w:cs="Times New Roman"/>
          <w:lang w:val="en-GB"/>
        </w:rPr>
      </w:pPr>
      <w:r w:rsidRPr="004C6D84">
        <w:rPr>
          <w:rFonts w:cs="Times New Roman"/>
          <w:lang w:val="en-GB"/>
        </w:rPr>
        <w:t>An ability to ensure that AI decisions are explainable, especially where there is customer interaction</w:t>
      </w:r>
      <w:r w:rsidR="00251717">
        <w:rPr>
          <w:rFonts w:cs="Times New Roman"/>
          <w:lang w:val="en-GB"/>
        </w:rPr>
        <w:t xml:space="preserve"> </w:t>
      </w:r>
      <w:r w:rsidR="00251717" w:rsidRPr="00251717">
        <w:rPr>
          <w:rFonts w:cs="Times New Roman"/>
          <w:lang w:val="en-GB"/>
        </w:rPr>
        <w:t>(Hassan, 2025)</w:t>
      </w:r>
      <w:r w:rsidRPr="004C6D84">
        <w:rPr>
          <w:rFonts w:cs="Times New Roman"/>
          <w:lang w:val="en-GB"/>
        </w:rPr>
        <w:t xml:space="preserve">. </w:t>
      </w:r>
    </w:p>
    <w:p w14:paraId="1A64FEC5" w14:textId="77777777" w:rsidR="003A5275" w:rsidRPr="004C6D84" w:rsidRDefault="00424F41" w:rsidP="0064364D">
      <w:pPr>
        <w:pStyle w:val="ListParagraph"/>
        <w:numPr>
          <w:ilvl w:val="0"/>
          <w:numId w:val="28"/>
        </w:numPr>
        <w:spacing w:before="240" w:after="240"/>
        <w:rPr>
          <w:rFonts w:cs="Times New Roman"/>
          <w:lang w:val="en-GB"/>
        </w:rPr>
      </w:pPr>
      <w:r w:rsidRPr="004C6D84">
        <w:rPr>
          <w:rFonts w:cs="Times New Roman"/>
          <w:lang w:val="en-GB"/>
        </w:rPr>
        <w:t xml:space="preserve">Having a human in the loop system in high-risk decision-making, like credit approval. </w:t>
      </w:r>
    </w:p>
    <w:p w14:paraId="2F8E8E54" w14:textId="5F490D32" w:rsidR="000C6BB9" w:rsidRPr="004C6D84" w:rsidRDefault="00424F41" w:rsidP="0064364D">
      <w:pPr>
        <w:spacing w:before="240" w:after="240"/>
        <w:rPr>
          <w:rFonts w:cs="Times New Roman"/>
          <w:lang w:val="en-GB"/>
        </w:rPr>
      </w:pPr>
      <w:r w:rsidRPr="004C6D84">
        <w:rPr>
          <w:rFonts w:cs="Times New Roman"/>
          <w:lang w:val="en-GB"/>
        </w:rPr>
        <w:t>These measures will help improve fairness and accountability, but they can decrease the effectiveness of complete automation</w:t>
      </w:r>
      <w:r w:rsidR="003A3FAA" w:rsidRPr="004C6D84">
        <w:rPr>
          <w:rFonts w:cs="Times New Roman"/>
          <w:lang w:val="en-GB"/>
        </w:rPr>
        <w:t xml:space="preserve"> behaviour (Daniel et al., 2024)</w:t>
      </w:r>
      <w:r w:rsidRPr="004C6D84">
        <w:rPr>
          <w:rFonts w:cs="Times New Roman"/>
          <w:lang w:val="en-GB"/>
        </w:rPr>
        <w:t xml:space="preserve">. This is some basic form of trade-off between efficiency in operations and the moral duty. Nevertheless, ethical AI </w:t>
      </w:r>
      <w:r w:rsidRPr="004C6D84">
        <w:rPr>
          <w:rFonts w:cs="Times New Roman"/>
          <w:lang w:val="en-GB"/>
        </w:rPr>
        <w:lastRenderedPageBreak/>
        <w:t>should be prioritised in order to be in compliance with the EU regulations and to ensure the trust of customers in both areas.</w:t>
      </w:r>
    </w:p>
    <w:p w14:paraId="0AF7004A" w14:textId="77777777" w:rsidR="000C6BB9" w:rsidRPr="004C6D84" w:rsidRDefault="00424F41" w:rsidP="0064364D">
      <w:pPr>
        <w:pStyle w:val="Heading2"/>
        <w:spacing w:before="240" w:after="240"/>
        <w:rPr>
          <w:rFonts w:cs="Times New Roman"/>
          <w:lang w:val="en-GB"/>
        </w:rPr>
      </w:pPr>
      <w:bookmarkStart w:id="20" w:name="_Toc228125377"/>
      <w:r w:rsidRPr="004C6D84">
        <w:rPr>
          <w:rFonts w:cs="Times New Roman"/>
          <w:lang w:val="en-GB"/>
        </w:rPr>
        <w:t>5.4 Regulatory Compliance Strategy</w:t>
      </w:r>
      <w:bookmarkEnd w:id="20"/>
    </w:p>
    <w:p w14:paraId="40D2CD35" w14:textId="2C44F27E" w:rsidR="003A5275" w:rsidRPr="004C6D84" w:rsidRDefault="00424F41" w:rsidP="0064364D">
      <w:pPr>
        <w:spacing w:before="240" w:after="240"/>
        <w:rPr>
          <w:rFonts w:cs="Times New Roman"/>
          <w:lang w:val="en-GB"/>
        </w:rPr>
      </w:pPr>
      <w:r w:rsidRPr="004C6D84">
        <w:rPr>
          <w:rFonts w:cs="Times New Roman"/>
          <w:lang w:val="en-GB"/>
        </w:rPr>
        <w:t>Given the difference in the UK and EU regulatory frameworks, HSBC will have to pursue a compliance strategy of the highest common denominator, in line with which its AI systems must be aligned with the strictest requirements, especially those of the EU</w:t>
      </w:r>
      <w:r w:rsidR="00CE586C" w:rsidRPr="004C6D84">
        <w:rPr>
          <w:rFonts w:cs="Times New Roman"/>
          <w:lang w:val="en-GB"/>
        </w:rPr>
        <w:t xml:space="preserve"> (</w:t>
      </w:r>
      <w:proofErr w:type="spellStart"/>
      <w:r w:rsidR="00CE586C" w:rsidRPr="004C6D84">
        <w:rPr>
          <w:rFonts w:cs="Times New Roman"/>
          <w:lang w:val="en-GB"/>
        </w:rPr>
        <w:t>Musch</w:t>
      </w:r>
      <w:proofErr w:type="spellEnd"/>
      <w:r w:rsidR="00CE586C" w:rsidRPr="004C6D84">
        <w:rPr>
          <w:rFonts w:cs="Times New Roman"/>
          <w:lang w:val="en-GB"/>
        </w:rPr>
        <w:t xml:space="preserve"> et al., 2023)</w:t>
      </w:r>
      <w:r w:rsidRPr="004C6D84">
        <w:rPr>
          <w:rFonts w:cs="Times New Roman"/>
          <w:lang w:val="en-GB"/>
        </w:rPr>
        <w:t>.</w:t>
      </w:r>
    </w:p>
    <w:p w14:paraId="7217382D" w14:textId="77777777" w:rsidR="003A5275" w:rsidRPr="004C6D84" w:rsidRDefault="00424F41" w:rsidP="0064364D">
      <w:pPr>
        <w:spacing w:before="240" w:after="240"/>
        <w:rPr>
          <w:rFonts w:cs="Times New Roman"/>
          <w:lang w:val="en-GB"/>
        </w:rPr>
      </w:pPr>
      <w:r w:rsidRPr="004C6D84">
        <w:rPr>
          <w:rFonts w:cs="Times New Roman"/>
          <w:lang w:val="en-GB"/>
        </w:rPr>
        <w:t>Key actions include:</w:t>
      </w:r>
    </w:p>
    <w:p w14:paraId="7FD312F3" w14:textId="77777777" w:rsidR="003A5275" w:rsidRPr="004C6D84" w:rsidRDefault="00424F41" w:rsidP="0064364D">
      <w:pPr>
        <w:pStyle w:val="ListParagraph"/>
        <w:numPr>
          <w:ilvl w:val="0"/>
          <w:numId w:val="30"/>
        </w:numPr>
        <w:spacing w:before="240" w:after="240"/>
        <w:rPr>
          <w:rFonts w:cs="Times New Roman"/>
          <w:lang w:val="en-GB"/>
        </w:rPr>
      </w:pPr>
      <w:r w:rsidRPr="004C6D84">
        <w:rPr>
          <w:rFonts w:cs="Times New Roman"/>
          <w:lang w:val="en-GB"/>
        </w:rPr>
        <w:t xml:space="preserve">Setting up standardised documentation and audit trails of all AI systems. </w:t>
      </w:r>
    </w:p>
    <w:p w14:paraId="5F8AF72D" w14:textId="77777777" w:rsidR="003A5275" w:rsidRPr="004C6D84" w:rsidRDefault="00424F41" w:rsidP="0064364D">
      <w:pPr>
        <w:pStyle w:val="ListParagraph"/>
        <w:numPr>
          <w:ilvl w:val="0"/>
          <w:numId w:val="30"/>
        </w:numPr>
        <w:spacing w:before="240" w:after="240"/>
        <w:rPr>
          <w:rFonts w:cs="Times New Roman"/>
          <w:lang w:val="en-GB"/>
        </w:rPr>
      </w:pPr>
      <w:r w:rsidRPr="004C6D84">
        <w:rPr>
          <w:rFonts w:cs="Times New Roman"/>
          <w:lang w:val="en-GB"/>
        </w:rPr>
        <w:t xml:space="preserve">Risk assessment and compliance review on a regular basis. </w:t>
      </w:r>
    </w:p>
    <w:p w14:paraId="71395FC6" w14:textId="77777777" w:rsidR="003A5275" w:rsidRPr="004C6D84" w:rsidRDefault="00424F41" w:rsidP="0064364D">
      <w:pPr>
        <w:pStyle w:val="ListParagraph"/>
        <w:numPr>
          <w:ilvl w:val="0"/>
          <w:numId w:val="30"/>
        </w:numPr>
        <w:spacing w:before="240" w:after="240"/>
        <w:rPr>
          <w:rFonts w:cs="Times New Roman"/>
          <w:lang w:val="en-GB"/>
        </w:rPr>
      </w:pPr>
      <w:r w:rsidRPr="004C6D84">
        <w:rPr>
          <w:rFonts w:cs="Times New Roman"/>
          <w:lang w:val="en-GB"/>
        </w:rPr>
        <w:t xml:space="preserve">Incorporation of regulatory monitoring systems to monitor changing legal requirements. </w:t>
      </w:r>
    </w:p>
    <w:p w14:paraId="411C1462" w14:textId="3358E279" w:rsidR="000C6BB9" w:rsidRPr="004C6D84" w:rsidRDefault="00424F41" w:rsidP="0064364D">
      <w:pPr>
        <w:spacing w:before="240" w:after="240"/>
        <w:rPr>
          <w:rFonts w:cs="Times New Roman"/>
          <w:lang w:val="en-GB"/>
        </w:rPr>
      </w:pPr>
      <w:r w:rsidRPr="004C6D84">
        <w:rPr>
          <w:rFonts w:cs="Times New Roman"/>
          <w:lang w:val="en-GB"/>
        </w:rPr>
        <w:t>This will provide uniformity in jurisdictions and minimise the chances of violation of regulations. Nonetheless, it might introduce compliance costs and restrict the possibility of fully taking advantage of the flexible regulatory environment in the UK</w:t>
      </w:r>
      <w:r w:rsidR="00546ABE" w:rsidRPr="004C6D84">
        <w:rPr>
          <w:rFonts w:cs="Times New Roman"/>
          <w:lang w:val="en-GB"/>
        </w:rPr>
        <w:t xml:space="preserve"> (Venna, 2024)</w:t>
      </w:r>
      <w:r w:rsidRPr="004C6D84">
        <w:rPr>
          <w:rFonts w:cs="Times New Roman"/>
          <w:lang w:val="en-GB"/>
        </w:rPr>
        <w:t>. This means that HSBC has to strike a balance between standardisation and strategic deployment of regional flexibility as it is appropriate</w:t>
      </w:r>
      <w:r w:rsidR="00251717">
        <w:rPr>
          <w:rFonts w:cs="Times New Roman"/>
          <w:lang w:val="en-GB"/>
        </w:rPr>
        <w:t xml:space="preserve"> </w:t>
      </w:r>
      <w:r w:rsidR="00251717" w:rsidRPr="00251717">
        <w:rPr>
          <w:rFonts w:cs="Times New Roman"/>
          <w:lang w:val="en-GB"/>
        </w:rPr>
        <w:t>(Rahman, 2026)</w:t>
      </w:r>
      <w:r w:rsidRPr="004C6D84">
        <w:rPr>
          <w:rFonts w:cs="Times New Roman"/>
          <w:lang w:val="en-GB"/>
        </w:rPr>
        <w:t>.</w:t>
      </w:r>
    </w:p>
    <w:p w14:paraId="6D46CB57" w14:textId="77777777" w:rsidR="000C6BB9" w:rsidRPr="004C6D84" w:rsidRDefault="00424F41" w:rsidP="0064364D">
      <w:pPr>
        <w:pStyle w:val="Heading2"/>
        <w:spacing w:before="240" w:after="240"/>
        <w:rPr>
          <w:rFonts w:cs="Times New Roman"/>
          <w:lang w:val="en-GB"/>
        </w:rPr>
      </w:pPr>
      <w:bookmarkStart w:id="21" w:name="_Toc228125378"/>
      <w:r w:rsidRPr="004C6D84">
        <w:rPr>
          <w:rFonts w:cs="Times New Roman"/>
          <w:lang w:val="en-GB"/>
        </w:rPr>
        <w:t>5.5 Customer Trust and Transparency Strategy</w:t>
      </w:r>
      <w:bookmarkEnd w:id="21"/>
    </w:p>
    <w:p w14:paraId="4FF3BD58" w14:textId="77777777" w:rsidR="003A5275" w:rsidRPr="004C6D84" w:rsidRDefault="00424F41" w:rsidP="0064364D">
      <w:pPr>
        <w:spacing w:before="240" w:after="240"/>
        <w:rPr>
          <w:rFonts w:cs="Times New Roman"/>
          <w:lang w:val="en-GB"/>
        </w:rPr>
      </w:pPr>
      <w:r w:rsidRPr="004C6D84">
        <w:rPr>
          <w:rFonts w:cs="Times New Roman"/>
          <w:lang w:val="en-GB"/>
        </w:rPr>
        <w:t>The key to the successful implementation of AI in the banking sector is to ensure that customers trust it. HSBC ought to implement a proactive approach to transparency that transcends regulatory requirements.</w:t>
      </w:r>
    </w:p>
    <w:p w14:paraId="54B3B2CF" w14:textId="77777777" w:rsidR="003A5275" w:rsidRPr="004C6D84" w:rsidRDefault="00424F41" w:rsidP="0064364D">
      <w:pPr>
        <w:spacing w:before="240" w:after="240"/>
        <w:rPr>
          <w:rFonts w:cs="Times New Roman"/>
          <w:lang w:val="en-GB"/>
        </w:rPr>
      </w:pPr>
      <w:r w:rsidRPr="004C6D84">
        <w:rPr>
          <w:rFonts w:cs="Times New Roman"/>
          <w:lang w:val="en-GB"/>
        </w:rPr>
        <w:t>Key measures include:</w:t>
      </w:r>
    </w:p>
    <w:p w14:paraId="0CDF80E0" w14:textId="77777777" w:rsidR="003A5275" w:rsidRPr="004C6D84" w:rsidRDefault="00424F41" w:rsidP="0064364D">
      <w:pPr>
        <w:pStyle w:val="ListParagraph"/>
        <w:numPr>
          <w:ilvl w:val="0"/>
          <w:numId w:val="32"/>
        </w:numPr>
        <w:spacing w:before="240" w:after="240"/>
        <w:rPr>
          <w:rFonts w:cs="Times New Roman"/>
          <w:lang w:val="en-GB"/>
        </w:rPr>
      </w:pPr>
      <w:r w:rsidRPr="004C6D84">
        <w:rPr>
          <w:rFonts w:cs="Times New Roman"/>
          <w:lang w:val="en-GB"/>
        </w:rPr>
        <w:t xml:space="preserve">Explaining to customers the AI-driven decisions in an understandable way. </w:t>
      </w:r>
    </w:p>
    <w:p w14:paraId="755FC466" w14:textId="77777777" w:rsidR="003A5275" w:rsidRPr="004C6D84" w:rsidRDefault="00424F41" w:rsidP="0064364D">
      <w:pPr>
        <w:pStyle w:val="ListParagraph"/>
        <w:numPr>
          <w:ilvl w:val="0"/>
          <w:numId w:val="32"/>
        </w:numPr>
        <w:spacing w:before="240" w:after="240"/>
        <w:rPr>
          <w:rFonts w:cs="Times New Roman"/>
          <w:lang w:val="en-GB"/>
        </w:rPr>
      </w:pPr>
      <w:r w:rsidRPr="004C6D84">
        <w:rPr>
          <w:rFonts w:cs="Times New Roman"/>
          <w:lang w:val="en-GB"/>
        </w:rPr>
        <w:t xml:space="preserve">Raising awareness about data use policies and protection. </w:t>
      </w:r>
    </w:p>
    <w:p w14:paraId="75FE71A4" w14:textId="77777777" w:rsidR="003A5275" w:rsidRPr="004C6D84" w:rsidRDefault="00424F41" w:rsidP="0064364D">
      <w:pPr>
        <w:pStyle w:val="ListParagraph"/>
        <w:numPr>
          <w:ilvl w:val="0"/>
          <w:numId w:val="32"/>
        </w:numPr>
        <w:spacing w:before="240" w:after="240"/>
        <w:rPr>
          <w:rFonts w:cs="Times New Roman"/>
          <w:lang w:val="en-GB"/>
        </w:rPr>
      </w:pPr>
      <w:r w:rsidRPr="004C6D84">
        <w:rPr>
          <w:rFonts w:cs="Times New Roman"/>
          <w:lang w:val="en-GB"/>
        </w:rPr>
        <w:t xml:space="preserve">Setting up customer feedback channels to determine trust issues. </w:t>
      </w:r>
    </w:p>
    <w:p w14:paraId="3D5A92B2" w14:textId="77583FC1" w:rsidR="000C6BB9" w:rsidRPr="004C6D84" w:rsidRDefault="00424F41" w:rsidP="0064364D">
      <w:pPr>
        <w:spacing w:before="240" w:after="240"/>
        <w:rPr>
          <w:rFonts w:cs="Times New Roman"/>
          <w:lang w:val="en-GB"/>
        </w:rPr>
      </w:pPr>
      <w:r w:rsidRPr="004C6D84">
        <w:rPr>
          <w:rFonts w:cs="Times New Roman"/>
          <w:lang w:val="en-GB"/>
        </w:rPr>
        <w:t>Although regulatory compliance in Europe helps to build institutional trust, the situation in the UK demands more organisational efforts aimed at portraying ethical behaviour</w:t>
      </w:r>
      <w:r w:rsidR="00546ABE" w:rsidRPr="004C6D84">
        <w:rPr>
          <w:rFonts w:cs="Times New Roman"/>
          <w:lang w:val="en-GB"/>
        </w:rPr>
        <w:t xml:space="preserve"> (Danie</w:t>
      </w:r>
      <w:r w:rsidR="003A3FAA" w:rsidRPr="004C6D84">
        <w:rPr>
          <w:rFonts w:cs="Times New Roman"/>
          <w:lang w:val="en-GB"/>
        </w:rPr>
        <w:t>l</w:t>
      </w:r>
      <w:r w:rsidR="00546ABE" w:rsidRPr="004C6D84">
        <w:rPr>
          <w:rFonts w:cs="Times New Roman"/>
          <w:lang w:val="en-GB"/>
        </w:rPr>
        <w:t xml:space="preserve"> et al., 2024)</w:t>
      </w:r>
      <w:r w:rsidRPr="004C6D84">
        <w:rPr>
          <w:rFonts w:cs="Times New Roman"/>
          <w:lang w:val="en-GB"/>
        </w:rPr>
        <w:t xml:space="preserve">. Thus, HSBC will have to combine law-based and reputation-based systems of trust. This </w:t>
      </w:r>
      <w:r w:rsidRPr="004C6D84">
        <w:rPr>
          <w:rFonts w:cs="Times New Roman"/>
          <w:lang w:val="en-GB"/>
        </w:rPr>
        <w:lastRenderedPageBreak/>
        <w:t>may lead to a loss of customer confidence, and the long-term competitiveness can be seriously affected.</w:t>
      </w:r>
    </w:p>
    <w:p w14:paraId="56BA82B7" w14:textId="77777777" w:rsidR="000C6BB9" w:rsidRPr="004C6D84" w:rsidRDefault="00424F41" w:rsidP="0064364D">
      <w:pPr>
        <w:pStyle w:val="Heading2"/>
        <w:spacing w:before="240" w:after="240"/>
        <w:rPr>
          <w:rFonts w:cs="Times New Roman"/>
          <w:lang w:val="en-GB"/>
        </w:rPr>
      </w:pPr>
      <w:bookmarkStart w:id="22" w:name="_Toc228125379"/>
      <w:r w:rsidRPr="004C6D84">
        <w:rPr>
          <w:rFonts w:cs="Times New Roman"/>
          <w:lang w:val="en-GB"/>
        </w:rPr>
        <w:t>5.6 Strategic Integration and Critical Evaluation</w:t>
      </w:r>
      <w:bookmarkEnd w:id="22"/>
    </w:p>
    <w:p w14:paraId="4C358E55" w14:textId="77777777" w:rsidR="003A5275" w:rsidRPr="004C6D84" w:rsidRDefault="00424F41" w:rsidP="0064364D">
      <w:pPr>
        <w:spacing w:before="240" w:after="240"/>
        <w:rPr>
          <w:rFonts w:cs="Times New Roman"/>
          <w:lang w:val="en-GB"/>
        </w:rPr>
      </w:pPr>
      <w:r w:rsidRPr="004C6D84">
        <w:rPr>
          <w:rFonts w:cs="Times New Roman"/>
          <w:lang w:val="en-GB"/>
        </w:rPr>
        <w:t>This framework is effective in the sense that it incorporates governance, ethics, compliance, and trust into a unified system. Although centralised governance ensures uniformity, it can limit the responsiveness to the local market conditions. On the same note, adherence to the EU standards conserves accountability but can be restrictive to innovation, especially in the UK scenario.</w:t>
      </w:r>
    </w:p>
    <w:p w14:paraId="3DA22347" w14:textId="61F4934E" w:rsidR="000C6BB9" w:rsidRPr="004C6D84" w:rsidRDefault="00424F41" w:rsidP="0064364D">
      <w:pPr>
        <w:spacing w:before="240" w:after="240"/>
        <w:rPr>
          <w:rFonts w:cs="Times New Roman"/>
          <w:lang w:val="en-GB"/>
        </w:rPr>
      </w:pPr>
      <w:r w:rsidRPr="004C6D84">
        <w:rPr>
          <w:rFonts w:cs="Times New Roman"/>
          <w:lang w:val="en-GB"/>
        </w:rPr>
        <w:t>Thus, the strategic issue of HSBC is the matter of staying in control and being flexible, making AI systems compliant and competitive. A unified system that complies with the best regulatory practices and enables customisation in various regions is the most feasible answer</w:t>
      </w:r>
      <w:r w:rsidR="00546ABE" w:rsidRPr="004C6D84">
        <w:rPr>
          <w:rFonts w:cs="Times New Roman"/>
          <w:lang w:val="en-GB"/>
        </w:rPr>
        <w:t xml:space="preserve"> (Daniel et al., 2024)</w:t>
      </w:r>
      <w:r w:rsidRPr="004C6D84">
        <w:rPr>
          <w:rFonts w:cs="Times New Roman"/>
          <w:lang w:val="en-GB"/>
        </w:rPr>
        <w:t>. This is not only to reduce risks, but also to place HSBC in a position to capitalise on AI as a sustainable competitive advantage in a global environment that is getting more and more regulated.</w:t>
      </w:r>
    </w:p>
    <w:p w14:paraId="103030D0" w14:textId="77777777" w:rsidR="001C0510" w:rsidRPr="004C6D84" w:rsidRDefault="00424F41" w:rsidP="0064364D">
      <w:pPr>
        <w:spacing w:before="240" w:after="240"/>
        <w:rPr>
          <w:rStyle w:val="Heading1Char"/>
          <w:rFonts w:cs="Times New Roman"/>
          <w:lang w:val="en-GB"/>
        </w:rPr>
      </w:pPr>
      <w:bookmarkStart w:id="23" w:name="_Toc228125380"/>
      <w:r w:rsidRPr="004C6D84">
        <w:rPr>
          <w:rStyle w:val="Heading1Char"/>
          <w:rFonts w:cs="Times New Roman"/>
          <w:lang w:val="en-GB"/>
        </w:rPr>
        <w:t>6. Implementation Plan</w:t>
      </w:r>
      <w:bookmarkEnd w:id="23"/>
    </w:p>
    <w:p w14:paraId="23CD631F" w14:textId="34D3A5AE" w:rsidR="00EE2825" w:rsidRPr="004C6D84" w:rsidRDefault="00424F41" w:rsidP="0064364D">
      <w:pPr>
        <w:spacing w:before="240" w:after="240"/>
        <w:rPr>
          <w:rStyle w:val="Heading1Char"/>
          <w:rFonts w:cs="Times New Roman"/>
          <w:lang w:val="en-GB"/>
        </w:rPr>
      </w:pPr>
      <w:r w:rsidRPr="004C6D84">
        <w:rPr>
          <w:rFonts w:cs="Times New Roman"/>
          <w:lang w:val="en-GB"/>
        </w:rPr>
        <w:t>To successfully operationalise the proposed framework of AI risk management, a planned and gradual implementation plan, specific to the global operations of HSBC, should be developed. Considering the complexity that results from regulatory divergence between the UK and EU, the implementation strategy should focus on complying with the strict EU regulations and, at the same time, be flexible to exploit the innovation opportunities that exist in the UK</w:t>
      </w:r>
      <w:r w:rsidR="00546ABE" w:rsidRPr="004C6D84">
        <w:rPr>
          <w:rFonts w:cs="Times New Roman"/>
          <w:lang w:val="en-GB"/>
        </w:rPr>
        <w:t xml:space="preserve"> (Sahay and Tiwari, 2023)</w:t>
      </w:r>
      <w:r w:rsidRPr="004C6D84">
        <w:rPr>
          <w:rFonts w:cs="Times New Roman"/>
          <w:lang w:val="en-GB"/>
        </w:rPr>
        <w:t>. This section provides a time-limited road map, organisational obligations, resources needed, performance monitoring systems and critical implementation issues.</w:t>
      </w:r>
    </w:p>
    <w:p w14:paraId="196061A6" w14:textId="77777777" w:rsidR="008A553B" w:rsidRPr="004C6D84" w:rsidRDefault="00424F41" w:rsidP="0064364D">
      <w:pPr>
        <w:pStyle w:val="Heading2"/>
        <w:spacing w:before="240" w:after="240"/>
        <w:rPr>
          <w:rFonts w:cs="Times New Roman"/>
          <w:lang w:val="en-GB"/>
        </w:rPr>
      </w:pPr>
      <w:bookmarkStart w:id="24" w:name="_Toc228125381"/>
      <w:r w:rsidRPr="004C6D84">
        <w:rPr>
          <w:rFonts w:cs="Times New Roman"/>
          <w:lang w:val="en-GB"/>
        </w:rPr>
        <w:lastRenderedPageBreak/>
        <w:t>6.1 Implementation Roadmap (Time-Based)</w:t>
      </w:r>
      <w:bookmarkEnd w:id="24"/>
    </w:p>
    <w:p w14:paraId="218ED86D" w14:textId="77777777" w:rsidR="008A553B" w:rsidRPr="004C6D84" w:rsidRDefault="00424F41" w:rsidP="0064364D">
      <w:pPr>
        <w:pStyle w:val="Caption"/>
        <w:keepNext/>
        <w:spacing w:before="240" w:after="240" w:line="360" w:lineRule="auto"/>
        <w:jc w:val="left"/>
        <w:rPr>
          <w:rFonts w:cs="Times New Roman"/>
          <w:lang w:val="en-GB"/>
        </w:rPr>
      </w:pPr>
      <w:bookmarkStart w:id="25" w:name="_Toc227769781"/>
      <w:r w:rsidRPr="004C6D84">
        <w:rPr>
          <w:rFonts w:cs="Times New Roman"/>
          <w:lang w:val="en-GB"/>
        </w:rPr>
        <w:t xml:space="preserve">Table </w:t>
      </w:r>
      <w:r w:rsidRPr="004C6D84">
        <w:rPr>
          <w:rFonts w:cs="Times New Roman"/>
          <w:lang w:val="en-GB"/>
        </w:rPr>
        <w:fldChar w:fldCharType="begin"/>
      </w:r>
      <w:r w:rsidRPr="004C6D84">
        <w:rPr>
          <w:rFonts w:cs="Times New Roman"/>
          <w:lang w:val="en-GB"/>
        </w:rPr>
        <w:instrText xml:space="preserve"> SEQ Table \* ARABIC </w:instrText>
      </w:r>
      <w:r w:rsidRPr="004C6D84">
        <w:rPr>
          <w:rFonts w:cs="Times New Roman"/>
          <w:lang w:val="en-GB"/>
        </w:rPr>
        <w:fldChar w:fldCharType="separate"/>
      </w:r>
      <w:r w:rsidR="00222045" w:rsidRPr="004C6D84">
        <w:rPr>
          <w:rFonts w:cs="Times New Roman"/>
          <w:noProof/>
          <w:lang w:val="en-GB"/>
        </w:rPr>
        <w:t>5</w:t>
      </w:r>
      <w:r w:rsidRPr="004C6D84">
        <w:rPr>
          <w:rFonts w:cs="Times New Roman"/>
          <w:lang w:val="en-GB"/>
        </w:rPr>
        <w:fldChar w:fldCharType="end"/>
      </w:r>
      <w:r w:rsidRPr="004C6D84">
        <w:rPr>
          <w:rFonts w:cs="Times New Roman"/>
          <w:lang w:val="en-GB"/>
        </w:rPr>
        <w:t>: Time-based implementation roadmap</w:t>
      </w:r>
      <w:bookmarkEnd w:id="25"/>
    </w:p>
    <w:p w14:paraId="00118D24" w14:textId="77777777" w:rsidR="00EE2825" w:rsidRPr="004C6D84" w:rsidRDefault="00424F41" w:rsidP="0064364D">
      <w:pPr>
        <w:spacing w:before="240" w:after="240"/>
        <w:jc w:val="left"/>
        <w:rPr>
          <w:rFonts w:eastAsiaTheme="majorEastAsia" w:cs="Times New Roman"/>
          <w:b/>
          <w:sz w:val="26"/>
          <w:szCs w:val="32"/>
          <w:lang w:val="en-GB"/>
        </w:rPr>
      </w:pPr>
      <w:r w:rsidRPr="004C6D84">
        <w:rPr>
          <w:rFonts w:eastAsiaTheme="majorEastAsia" w:cs="Times New Roman"/>
          <w:b/>
          <w:noProof/>
          <w:sz w:val="26"/>
          <w:szCs w:val="32"/>
          <w:lang w:val="en-GB"/>
        </w:rPr>
        <w:drawing>
          <wp:inline distT="0" distB="0" distL="0" distR="0" wp14:anchorId="2FBE3031" wp14:editId="2E4B9341">
            <wp:extent cx="5731510" cy="3999230"/>
            <wp:effectExtent l="0" t="0" r="2540" b="1270"/>
            <wp:docPr id="39123187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91231873" name=""/>
                    <pic:cNvPicPr/>
                  </pic:nvPicPr>
                  <pic:blipFill>
                    <a:blip r:embed="rId14"/>
                    <a:stretch>
                      <a:fillRect/>
                    </a:stretch>
                  </pic:blipFill>
                  <pic:spPr>
                    <a:xfrm>
                      <a:off x="0" y="0"/>
                      <a:ext cx="5731510" cy="3999230"/>
                    </a:xfrm>
                    <a:prstGeom prst="rect">
                      <a:avLst/>
                    </a:prstGeom>
                  </pic:spPr>
                </pic:pic>
              </a:graphicData>
            </a:graphic>
          </wp:inline>
        </w:drawing>
      </w:r>
    </w:p>
    <w:p w14:paraId="3C6052C1" w14:textId="77777777" w:rsidR="00EE2825" w:rsidRPr="004C6D84" w:rsidRDefault="00424F41" w:rsidP="0064364D">
      <w:pPr>
        <w:pStyle w:val="Heading2"/>
        <w:spacing w:before="240" w:after="240"/>
        <w:rPr>
          <w:rFonts w:cs="Times New Roman"/>
          <w:lang w:val="en-GB"/>
        </w:rPr>
      </w:pPr>
      <w:bookmarkStart w:id="26" w:name="_Toc228125382"/>
      <w:r w:rsidRPr="004C6D84">
        <w:rPr>
          <w:rFonts w:cs="Times New Roman"/>
          <w:lang w:val="en-GB"/>
        </w:rPr>
        <w:t>6.2 Roles and Responsibilities</w:t>
      </w:r>
      <w:bookmarkEnd w:id="26"/>
    </w:p>
    <w:p w14:paraId="56538430" w14:textId="77777777" w:rsidR="003A5275" w:rsidRPr="004C6D84" w:rsidRDefault="00424F41" w:rsidP="0064364D">
      <w:pPr>
        <w:spacing w:before="240" w:after="240"/>
        <w:rPr>
          <w:rFonts w:cs="Times New Roman"/>
          <w:lang w:val="en-GB"/>
        </w:rPr>
      </w:pPr>
      <w:r w:rsidRPr="004C6D84">
        <w:rPr>
          <w:rFonts w:cs="Times New Roman"/>
          <w:lang w:val="en-GB"/>
        </w:rPr>
        <w:t>Implementation of AI governance is only successful when there are well-defined roles at different levels within organisations. On the strategic level, the Board and senior executives must establish the AI risk level of the organisation and make sure that it corresponds to regulatory expectations, especially requirements set in the context of the EU frameworks. The Chief Risk Officer leads the risk incorporation among business-level functions, whereas the Chief Compliance Officer makes sure that the rising r</w:t>
      </w:r>
      <w:r w:rsidRPr="004C6D84">
        <w:rPr>
          <w:rFonts w:cs="Times New Roman"/>
          <w:lang w:val="en-GB"/>
        </w:rPr>
        <w:t>egulatory standards are met.</w:t>
      </w:r>
    </w:p>
    <w:p w14:paraId="5D031741" w14:textId="2873FADD" w:rsidR="00EE2825" w:rsidRPr="004C6D84" w:rsidRDefault="00424F41" w:rsidP="0064364D">
      <w:pPr>
        <w:spacing w:before="240" w:after="240"/>
        <w:rPr>
          <w:rFonts w:cs="Times New Roman"/>
          <w:lang w:val="en-GB"/>
        </w:rPr>
      </w:pPr>
      <w:r w:rsidRPr="004C6D84">
        <w:rPr>
          <w:rFonts w:cs="Times New Roman"/>
          <w:lang w:val="en-GB"/>
        </w:rPr>
        <w:t>Compliance teams, AI ethics committees, and model risk management units are specialised roles at the tactical level that are tasked with monitoring, validating, and enforcing AI governance policies</w:t>
      </w:r>
      <w:r w:rsidR="00546ABE" w:rsidRPr="004C6D84">
        <w:rPr>
          <w:rFonts w:cs="Times New Roman"/>
          <w:lang w:val="en-GB"/>
        </w:rPr>
        <w:t xml:space="preserve"> (Hasan et al., 2024)</w:t>
      </w:r>
      <w:r w:rsidRPr="004C6D84">
        <w:rPr>
          <w:rFonts w:cs="Times New Roman"/>
          <w:lang w:val="en-GB"/>
        </w:rPr>
        <w:t>. Operationally, data scientists, IT and business units should apply AI systems according to the existing standards, and governance should be incorporated in system design. This stratified distribution of roles makes it accountable and minimises the chances of governance loopholes in the entire global HSBC operations.</w:t>
      </w:r>
    </w:p>
    <w:p w14:paraId="5A9FEF14" w14:textId="77777777" w:rsidR="00DF5513" w:rsidRPr="004C6D84" w:rsidRDefault="00424F41" w:rsidP="0064364D">
      <w:pPr>
        <w:keepNext/>
        <w:spacing w:before="240" w:after="240"/>
        <w:jc w:val="center"/>
        <w:rPr>
          <w:rFonts w:cs="Times New Roman"/>
          <w:lang w:val="en-GB"/>
        </w:rPr>
      </w:pPr>
      <w:r w:rsidRPr="004C6D84">
        <w:rPr>
          <w:rFonts w:cs="Times New Roman"/>
          <w:b/>
          <w:bCs/>
          <w:noProof/>
          <w:lang w:val="en-GB"/>
        </w:rPr>
        <w:lastRenderedPageBreak/>
        <w:drawing>
          <wp:inline distT="0" distB="0" distL="0" distR="0" wp14:anchorId="245CFB15" wp14:editId="1E191FA2">
            <wp:extent cx="4267835" cy="4064259"/>
            <wp:effectExtent l="0" t="0" r="0" b="0"/>
            <wp:docPr id="81291409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12914096" name=""/>
                    <pic:cNvPicPr/>
                  </pic:nvPicPr>
                  <pic:blipFill>
                    <a:blip r:embed="rId15"/>
                    <a:stretch>
                      <a:fillRect/>
                    </a:stretch>
                  </pic:blipFill>
                  <pic:spPr>
                    <a:xfrm>
                      <a:off x="0" y="0"/>
                      <a:ext cx="4277352" cy="4073322"/>
                    </a:xfrm>
                    <a:prstGeom prst="rect">
                      <a:avLst/>
                    </a:prstGeom>
                  </pic:spPr>
                </pic:pic>
              </a:graphicData>
            </a:graphic>
          </wp:inline>
        </w:drawing>
      </w:r>
    </w:p>
    <w:p w14:paraId="44A3C3A2" w14:textId="77777777" w:rsidR="00EE2825" w:rsidRPr="004C6D84" w:rsidRDefault="00424F41" w:rsidP="0064364D">
      <w:pPr>
        <w:pStyle w:val="Caption"/>
        <w:spacing w:before="240" w:after="240" w:line="360" w:lineRule="auto"/>
        <w:jc w:val="center"/>
        <w:rPr>
          <w:rFonts w:cs="Times New Roman"/>
          <w:lang w:val="en-GB"/>
        </w:rPr>
      </w:pPr>
      <w:bookmarkStart w:id="27" w:name="_Toc227769769"/>
      <w:r w:rsidRPr="004C6D84">
        <w:rPr>
          <w:rFonts w:cs="Times New Roman"/>
          <w:lang w:val="en-GB"/>
        </w:rPr>
        <w:t xml:space="preserve">Figure </w:t>
      </w:r>
      <w:r w:rsidRPr="004C6D84">
        <w:rPr>
          <w:rFonts w:cs="Times New Roman"/>
          <w:lang w:val="en-GB"/>
        </w:rPr>
        <w:fldChar w:fldCharType="begin"/>
      </w:r>
      <w:r w:rsidRPr="004C6D84">
        <w:rPr>
          <w:rFonts w:cs="Times New Roman"/>
          <w:lang w:val="en-GB"/>
        </w:rPr>
        <w:instrText xml:space="preserve"> SEQ Figure \* ARABIC </w:instrText>
      </w:r>
      <w:r w:rsidRPr="004C6D84">
        <w:rPr>
          <w:rFonts w:cs="Times New Roman"/>
          <w:lang w:val="en-GB"/>
        </w:rPr>
        <w:fldChar w:fldCharType="separate"/>
      </w:r>
      <w:r w:rsidR="0049402C" w:rsidRPr="004C6D84">
        <w:rPr>
          <w:rFonts w:cs="Times New Roman"/>
          <w:noProof/>
          <w:lang w:val="en-GB"/>
        </w:rPr>
        <w:t>1</w:t>
      </w:r>
      <w:r w:rsidRPr="004C6D84">
        <w:rPr>
          <w:rFonts w:cs="Times New Roman"/>
          <w:lang w:val="en-GB"/>
        </w:rPr>
        <w:fldChar w:fldCharType="end"/>
      </w:r>
      <w:r w:rsidRPr="004C6D84">
        <w:rPr>
          <w:rFonts w:cs="Times New Roman"/>
          <w:lang w:val="en-GB"/>
        </w:rPr>
        <w:t>: Roles across organisational levels</w:t>
      </w:r>
      <w:bookmarkEnd w:id="27"/>
    </w:p>
    <w:p w14:paraId="5994F0DF" w14:textId="77777777" w:rsidR="00DF5513" w:rsidRPr="004C6D84" w:rsidRDefault="00424F41" w:rsidP="0064364D">
      <w:pPr>
        <w:spacing w:before="240" w:after="240"/>
        <w:jc w:val="center"/>
        <w:rPr>
          <w:rFonts w:cs="Times New Roman"/>
          <w:lang w:val="en-GB"/>
        </w:rPr>
      </w:pPr>
      <w:r w:rsidRPr="004C6D84">
        <w:rPr>
          <w:rFonts w:cs="Times New Roman"/>
          <w:lang w:val="en-GB"/>
        </w:rPr>
        <w:t>(Source: Self-developed)</w:t>
      </w:r>
    </w:p>
    <w:p w14:paraId="41E97EBE" w14:textId="77777777" w:rsidR="00EE2825" w:rsidRPr="004C6D84" w:rsidRDefault="00424F41" w:rsidP="0064364D">
      <w:pPr>
        <w:pStyle w:val="Heading2"/>
        <w:spacing w:before="240" w:after="240"/>
        <w:rPr>
          <w:rFonts w:cs="Times New Roman"/>
          <w:lang w:val="en-GB"/>
        </w:rPr>
      </w:pPr>
      <w:bookmarkStart w:id="28" w:name="_Toc228125383"/>
      <w:r w:rsidRPr="004C6D84">
        <w:rPr>
          <w:rFonts w:cs="Times New Roman"/>
          <w:lang w:val="en-GB"/>
        </w:rPr>
        <w:t>6.3 Resource and Capability Requirements</w:t>
      </w:r>
      <w:bookmarkEnd w:id="28"/>
    </w:p>
    <w:p w14:paraId="35B00FCC" w14:textId="323FF059" w:rsidR="003A5275" w:rsidRPr="004C6D84" w:rsidRDefault="00424F41" w:rsidP="0064364D">
      <w:pPr>
        <w:spacing w:before="240" w:after="240"/>
        <w:rPr>
          <w:rFonts w:cs="Times New Roman"/>
          <w:lang w:val="en-GB"/>
        </w:rPr>
      </w:pPr>
      <w:r w:rsidRPr="004C6D84">
        <w:rPr>
          <w:rFonts w:cs="Times New Roman"/>
          <w:lang w:val="en-GB"/>
        </w:rPr>
        <w:t>The successful deployment of an effective AI risk management framework needs substantial investment in both the technological infrastructure and human resources. HSBC should invest in cutting-edge data governance systems that will be able to regulate cross-border data flows and meet the strictest regulations, including GDPR</w:t>
      </w:r>
      <w:r w:rsidR="003A3FAA" w:rsidRPr="004C6D84">
        <w:rPr>
          <w:rFonts w:cs="Times New Roman"/>
          <w:lang w:val="en-GB"/>
        </w:rPr>
        <w:t xml:space="preserve"> (</w:t>
      </w:r>
      <w:proofErr w:type="spellStart"/>
      <w:r w:rsidR="003A3FAA" w:rsidRPr="004C6D84">
        <w:rPr>
          <w:rFonts w:cs="Times New Roman"/>
          <w:lang w:val="en-GB"/>
        </w:rPr>
        <w:t>Pessach</w:t>
      </w:r>
      <w:proofErr w:type="spellEnd"/>
      <w:r w:rsidR="003A3FAA" w:rsidRPr="004C6D84">
        <w:rPr>
          <w:rFonts w:cs="Times New Roman"/>
          <w:lang w:val="en-GB"/>
        </w:rPr>
        <w:t xml:space="preserve"> and Shmueli, 2022)</w:t>
      </w:r>
      <w:r w:rsidRPr="004C6D84">
        <w:rPr>
          <w:rFonts w:cs="Times New Roman"/>
          <w:lang w:val="en-GB"/>
        </w:rPr>
        <w:t>. Also, explainable AI tools and bias detect systems should be invested in to enable ethical AI implementation.</w:t>
      </w:r>
    </w:p>
    <w:p w14:paraId="3E5AD79B" w14:textId="64F978ED" w:rsidR="00DF5513" w:rsidRPr="004C6D84" w:rsidRDefault="00424F41" w:rsidP="0064364D">
      <w:pPr>
        <w:spacing w:before="240" w:after="240"/>
        <w:rPr>
          <w:rFonts w:cs="Times New Roman"/>
          <w:lang w:val="en-GB"/>
        </w:rPr>
      </w:pPr>
      <w:r w:rsidRPr="004C6D84">
        <w:rPr>
          <w:rFonts w:cs="Times New Roman"/>
          <w:lang w:val="en-GB"/>
        </w:rPr>
        <w:t>Human capital is also vital. HSBC will have to build internal capacity to govern AI, manage risk, and comply with the regulatory requirements, which may be achieved with the help of specific training courses and attracting specialised talent</w:t>
      </w:r>
      <w:r w:rsidR="00546ABE" w:rsidRPr="004C6D84">
        <w:rPr>
          <w:rFonts w:cs="Times New Roman"/>
          <w:lang w:val="en-GB"/>
        </w:rPr>
        <w:t xml:space="preserve"> (Sahay and Tiwari, 2023)</w:t>
      </w:r>
      <w:r w:rsidRPr="004C6D84">
        <w:rPr>
          <w:rFonts w:cs="Times New Roman"/>
          <w:lang w:val="en-GB"/>
        </w:rPr>
        <w:t xml:space="preserve">. Although such investments can augment short-term operation expenses, they are required to alleviate long-term risks, such as breaches of regulations, reputation, and failure of systems. Failure to </w:t>
      </w:r>
      <w:r w:rsidRPr="004C6D84">
        <w:rPr>
          <w:rFonts w:cs="Times New Roman"/>
          <w:lang w:val="en-GB"/>
        </w:rPr>
        <w:lastRenderedPageBreak/>
        <w:t>properly invest in these capabilities may jeopardise the effectiveness of the whole governance structure.</w:t>
      </w:r>
    </w:p>
    <w:p w14:paraId="3E0E2EA0" w14:textId="77777777" w:rsidR="0049402C" w:rsidRPr="004C6D84" w:rsidRDefault="00424F41" w:rsidP="0064364D">
      <w:pPr>
        <w:keepNext/>
        <w:spacing w:before="240" w:after="240"/>
        <w:jc w:val="center"/>
        <w:rPr>
          <w:rFonts w:cs="Times New Roman"/>
          <w:lang w:val="en-GB"/>
        </w:rPr>
      </w:pPr>
      <w:r w:rsidRPr="004C6D84">
        <w:rPr>
          <w:rFonts w:cs="Times New Roman"/>
          <w:noProof/>
          <w:lang w:val="en-GB"/>
        </w:rPr>
        <w:drawing>
          <wp:inline distT="0" distB="0" distL="0" distR="0" wp14:anchorId="44DF5CDF" wp14:editId="47FABABE">
            <wp:extent cx="5443220" cy="3628813"/>
            <wp:effectExtent l="0" t="0" r="5080" b="0"/>
            <wp:docPr id="715640886"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15640886" name="Picture 4"/>
                    <pic:cNvPicPr>
                      <a:picLocks noChangeAspect="1" noChangeArrowheads="1"/>
                    </pic:cNvPicPr>
                  </pic:nvPicPr>
                  <pic:blipFill>
                    <a:blip r:embed="rId16" cstate="print">
                      <a:extLst>
                        <a:ext uri="{28A0092B-C50C-407E-A947-70E740481C1C}">
                          <a14:useLocalDpi xmlns:a14="http://schemas.microsoft.com/office/drawing/2010/main" val="0"/>
                        </a:ext>
                      </a:extLst>
                    </a:blip>
                    <a:stretch>
                      <a:fillRect/>
                    </a:stretch>
                  </pic:blipFill>
                  <pic:spPr bwMode="auto">
                    <a:xfrm>
                      <a:off x="0" y="0"/>
                      <a:ext cx="5448574" cy="3632382"/>
                    </a:xfrm>
                    <a:prstGeom prst="rect">
                      <a:avLst/>
                    </a:prstGeom>
                    <a:noFill/>
                  </pic:spPr>
                </pic:pic>
              </a:graphicData>
            </a:graphic>
          </wp:inline>
        </w:drawing>
      </w:r>
    </w:p>
    <w:p w14:paraId="411F7762" w14:textId="77777777" w:rsidR="0049402C" w:rsidRPr="004C6D84" w:rsidRDefault="00424F41" w:rsidP="0064364D">
      <w:pPr>
        <w:pStyle w:val="Caption"/>
        <w:spacing w:before="240" w:after="240" w:line="360" w:lineRule="auto"/>
        <w:jc w:val="center"/>
        <w:rPr>
          <w:rFonts w:cs="Times New Roman"/>
          <w:lang w:val="en-GB"/>
        </w:rPr>
      </w:pPr>
      <w:bookmarkStart w:id="29" w:name="_Toc227769770"/>
      <w:r w:rsidRPr="004C6D84">
        <w:rPr>
          <w:rFonts w:cs="Times New Roman"/>
          <w:lang w:val="en-GB"/>
        </w:rPr>
        <w:t xml:space="preserve">Figure </w:t>
      </w:r>
      <w:r w:rsidRPr="004C6D84">
        <w:rPr>
          <w:rFonts w:cs="Times New Roman"/>
          <w:lang w:val="en-GB"/>
        </w:rPr>
        <w:fldChar w:fldCharType="begin"/>
      </w:r>
      <w:r w:rsidRPr="004C6D84">
        <w:rPr>
          <w:rFonts w:cs="Times New Roman"/>
          <w:lang w:val="en-GB"/>
        </w:rPr>
        <w:instrText xml:space="preserve"> SEQ Figure \* ARABIC </w:instrText>
      </w:r>
      <w:r w:rsidRPr="004C6D84">
        <w:rPr>
          <w:rFonts w:cs="Times New Roman"/>
          <w:lang w:val="en-GB"/>
        </w:rPr>
        <w:fldChar w:fldCharType="separate"/>
      </w:r>
      <w:r w:rsidRPr="004C6D84">
        <w:rPr>
          <w:rFonts w:cs="Times New Roman"/>
          <w:noProof/>
          <w:lang w:val="en-GB"/>
        </w:rPr>
        <w:t>2</w:t>
      </w:r>
      <w:r w:rsidRPr="004C6D84">
        <w:rPr>
          <w:rFonts w:cs="Times New Roman"/>
          <w:lang w:val="en-GB"/>
        </w:rPr>
        <w:fldChar w:fldCharType="end"/>
      </w:r>
      <w:r w:rsidRPr="004C6D84">
        <w:rPr>
          <w:rFonts w:cs="Times New Roman"/>
          <w:lang w:val="en-GB"/>
        </w:rPr>
        <w:t>: Resource and capabilities requirements for HSBC’s AI risk management</w:t>
      </w:r>
      <w:bookmarkEnd w:id="29"/>
    </w:p>
    <w:p w14:paraId="6F33BA79" w14:textId="77777777" w:rsidR="0049402C" w:rsidRPr="004C6D84" w:rsidRDefault="00424F41" w:rsidP="0064364D">
      <w:pPr>
        <w:spacing w:before="240" w:after="240"/>
        <w:jc w:val="center"/>
        <w:rPr>
          <w:rFonts w:cs="Times New Roman"/>
          <w:lang w:val="en-GB"/>
        </w:rPr>
      </w:pPr>
      <w:r w:rsidRPr="004C6D84">
        <w:rPr>
          <w:rFonts w:cs="Times New Roman"/>
          <w:lang w:val="en-GB"/>
        </w:rPr>
        <w:t>(Source: Self-developed)</w:t>
      </w:r>
    </w:p>
    <w:p w14:paraId="2E85A5ED" w14:textId="77777777" w:rsidR="00EE2825" w:rsidRPr="004C6D84" w:rsidRDefault="00424F41" w:rsidP="0064364D">
      <w:pPr>
        <w:pStyle w:val="Heading2"/>
        <w:spacing w:before="240" w:after="240"/>
        <w:rPr>
          <w:rFonts w:cs="Times New Roman"/>
          <w:lang w:val="en-GB"/>
        </w:rPr>
      </w:pPr>
      <w:bookmarkStart w:id="30" w:name="_Toc228125384"/>
      <w:r w:rsidRPr="004C6D84">
        <w:rPr>
          <w:rFonts w:cs="Times New Roman"/>
          <w:lang w:val="en-GB"/>
        </w:rPr>
        <w:t>6.4 Risk Monitoring and KPIs</w:t>
      </w:r>
      <w:bookmarkEnd w:id="30"/>
    </w:p>
    <w:p w14:paraId="583B3336" w14:textId="28731FAF" w:rsidR="00222045" w:rsidRPr="004C6D84" w:rsidRDefault="00424F41" w:rsidP="0064364D">
      <w:pPr>
        <w:spacing w:before="240" w:after="240"/>
        <w:rPr>
          <w:rFonts w:cs="Times New Roman"/>
          <w:lang w:val="en-GB"/>
        </w:rPr>
      </w:pPr>
      <w:r w:rsidRPr="004C6D84">
        <w:rPr>
          <w:rFonts w:cs="Times New Roman"/>
          <w:lang w:val="en-GB"/>
        </w:rPr>
        <w:t>The implementation of AI governance at HSBC should be based on a well-structured risk monitoring system with well-established key performance indicators (KPIs) and an effective framework. The suggested KPI model is a multi-dimensional one that encompasses data governance, ethical AI, regulatory compliance, operational resilience, cybersecurity, and customer trust</w:t>
      </w:r>
      <w:r w:rsidR="003A3FAA" w:rsidRPr="004C6D84">
        <w:rPr>
          <w:rFonts w:cs="Times New Roman"/>
          <w:lang w:val="en-GB"/>
        </w:rPr>
        <w:t xml:space="preserve"> (Olatunbosun and Olatunbosun, 2025)</w:t>
      </w:r>
      <w:r w:rsidRPr="004C6D84">
        <w:rPr>
          <w:rFonts w:cs="Times New Roman"/>
          <w:lang w:val="en-GB"/>
        </w:rPr>
        <w:t>. The compliance rates of AI systems, rates of data breaches, and records of high-risk AI models are some of the metrics that HSBC can use to keep pace with the high demands of the EU and UK regulatory authorities. Moreover, keeping track of the cases of bias and the degree of explainability will guarantee that ethical threats will be detected and properly addressed</w:t>
      </w:r>
      <w:r w:rsidR="00546ABE" w:rsidRPr="004C6D84">
        <w:rPr>
          <w:rFonts w:cs="Times New Roman"/>
          <w:lang w:val="en-GB"/>
        </w:rPr>
        <w:t xml:space="preserve"> (Hasan et al., 2024)</w:t>
      </w:r>
      <w:r w:rsidRPr="004C6D84">
        <w:rPr>
          <w:rFonts w:cs="Times New Roman"/>
          <w:lang w:val="en-GB"/>
        </w:rPr>
        <w:t xml:space="preserve">. Operational resilience is enhanced by real-time monitoring of the system performance </w:t>
      </w:r>
      <w:r w:rsidRPr="004C6D84">
        <w:rPr>
          <w:rFonts w:cs="Times New Roman"/>
          <w:lang w:val="en-GB"/>
        </w:rPr>
        <w:t xml:space="preserve">and cyber threats, whereas the rates of customer complaints and trust indices would help determine the reputational impact. Nevertheless, the use of quantitative measures alone can lead to a compliance-focused view, </w:t>
      </w:r>
      <w:r w:rsidRPr="004C6D84">
        <w:rPr>
          <w:rFonts w:cs="Times New Roman"/>
          <w:lang w:val="en-GB"/>
        </w:rPr>
        <w:lastRenderedPageBreak/>
        <w:t>which could fail to reflect underlying systemic weaknesses. As such, HSBC should incorporate quantitative measures with qualitative measurements to guarantee that monitoring mechanisms are not only effective in identifying risks but also in enhancing ongoing governance and strategic decision-mak</w:t>
      </w:r>
      <w:r w:rsidRPr="004C6D84">
        <w:rPr>
          <w:rFonts w:cs="Times New Roman"/>
          <w:lang w:val="en-GB"/>
        </w:rPr>
        <w:t>ing across jurisdictions</w:t>
      </w:r>
      <w:r w:rsidR="0049402C" w:rsidRPr="004C6D84">
        <w:rPr>
          <w:rFonts w:cs="Times New Roman"/>
          <w:lang w:val="en-GB"/>
        </w:rPr>
        <w:t>.</w:t>
      </w:r>
    </w:p>
    <w:p w14:paraId="72288EB5" w14:textId="77777777" w:rsidR="00222045" w:rsidRPr="004C6D84" w:rsidRDefault="00424F41" w:rsidP="0064364D">
      <w:pPr>
        <w:pStyle w:val="Caption"/>
        <w:keepNext/>
        <w:spacing w:before="240" w:after="240" w:line="360" w:lineRule="auto"/>
        <w:jc w:val="left"/>
        <w:rPr>
          <w:rFonts w:cs="Times New Roman"/>
          <w:lang w:val="en-GB"/>
        </w:rPr>
      </w:pPr>
      <w:bookmarkStart w:id="31" w:name="_Toc227769782"/>
      <w:r w:rsidRPr="004C6D84">
        <w:rPr>
          <w:rFonts w:cs="Times New Roman"/>
          <w:lang w:val="en-GB"/>
        </w:rPr>
        <w:t xml:space="preserve">Table </w:t>
      </w:r>
      <w:r w:rsidRPr="004C6D84">
        <w:rPr>
          <w:rFonts w:cs="Times New Roman"/>
          <w:lang w:val="en-GB"/>
        </w:rPr>
        <w:fldChar w:fldCharType="begin"/>
      </w:r>
      <w:r w:rsidRPr="004C6D84">
        <w:rPr>
          <w:rFonts w:cs="Times New Roman"/>
          <w:lang w:val="en-GB"/>
        </w:rPr>
        <w:instrText xml:space="preserve"> SEQ Table \* ARABIC </w:instrText>
      </w:r>
      <w:r w:rsidRPr="004C6D84">
        <w:rPr>
          <w:rFonts w:cs="Times New Roman"/>
          <w:lang w:val="en-GB"/>
        </w:rPr>
        <w:fldChar w:fldCharType="separate"/>
      </w:r>
      <w:r w:rsidRPr="004C6D84">
        <w:rPr>
          <w:rFonts w:cs="Times New Roman"/>
          <w:noProof/>
          <w:lang w:val="en-GB"/>
        </w:rPr>
        <w:t>6</w:t>
      </w:r>
      <w:r w:rsidRPr="004C6D84">
        <w:rPr>
          <w:rFonts w:cs="Times New Roman"/>
          <w:lang w:val="en-GB"/>
        </w:rPr>
        <w:fldChar w:fldCharType="end"/>
      </w:r>
      <w:r w:rsidRPr="004C6D84">
        <w:rPr>
          <w:rFonts w:cs="Times New Roman"/>
          <w:lang w:val="en-GB"/>
        </w:rPr>
        <w:t>: AI Risk Monitoring Framework and KPIs for HSBC</w:t>
      </w:r>
      <w:bookmarkEnd w:id="31"/>
    </w:p>
    <w:p w14:paraId="18F7ABC5" w14:textId="77777777" w:rsidR="0049402C" w:rsidRPr="004C6D84" w:rsidRDefault="00424F41" w:rsidP="0064364D">
      <w:pPr>
        <w:spacing w:before="240" w:after="240"/>
        <w:jc w:val="center"/>
        <w:rPr>
          <w:rFonts w:cs="Times New Roman"/>
          <w:lang w:val="en-GB"/>
        </w:rPr>
      </w:pPr>
      <w:r w:rsidRPr="004C6D84">
        <w:rPr>
          <w:rFonts w:cs="Times New Roman"/>
          <w:noProof/>
          <w:lang w:val="en-GB"/>
        </w:rPr>
        <w:drawing>
          <wp:inline distT="0" distB="0" distL="0" distR="0" wp14:anchorId="78DADBCB" wp14:editId="7F2EF39A">
            <wp:extent cx="5233539" cy="6500853"/>
            <wp:effectExtent l="0" t="0" r="5715" b="0"/>
            <wp:docPr id="157427462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74274626" name=""/>
                    <pic:cNvPicPr/>
                  </pic:nvPicPr>
                  <pic:blipFill>
                    <a:blip r:embed="rId17"/>
                    <a:stretch>
                      <a:fillRect/>
                    </a:stretch>
                  </pic:blipFill>
                  <pic:spPr>
                    <a:xfrm>
                      <a:off x="0" y="0"/>
                      <a:ext cx="5250958" cy="6522490"/>
                    </a:xfrm>
                    <a:prstGeom prst="rect">
                      <a:avLst/>
                    </a:prstGeom>
                  </pic:spPr>
                </pic:pic>
              </a:graphicData>
            </a:graphic>
          </wp:inline>
        </w:drawing>
      </w:r>
    </w:p>
    <w:p w14:paraId="70855B56" w14:textId="77777777" w:rsidR="00EE2825" w:rsidRPr="004C6D84" w:rsidRDefault="00424F41" w:rsidP="0064364D">
      <w:pPr>
        <w:pStyle w:val="Heading2"/>
        <w:spacing w:before="240" w:after="240"/>
        <w:rPr>
          <w:rFonts w:cs="Times New Roman"/>
          <w:lang w:val="en-GB"/>
        </w:rPr>
      </w:pPr>
      <w:bookmarkStart w:id="32" w:name="_Toc228125385"/>
      <w:r w:rsidRPr="004C6D84">
        <w:rPr>
          <w:rFonts w:cs="Times New Roman"/>
          <w:lang w:val="en-GB"/>
        </w:rPr>
        <w:lastRenderedPageBreak/>
        <w:t>6.5 Feasibility and Challenges</w:t>
      </w:r>
      <w:bookmarkEnd w:id="32"/>
      <w:r w:rsidRPr="004C6D84">
        <w:rPr>
          <w:rFonts w:cs="Times New Roman"/>
          <w:lang w:val="en-GB"/>
        </w:rPr>
        <w:t xml:space="preserve"> </w:t>
      </w:r>
    </w:p>
    <w:p w14:paraId="470DE9FA" w14:textId="4AA5F846" w:rsidR="003A5275" w:rsidRPr="004C6D84" w:rsidRDefault="00424F41" w:rsidP="0064364D">
      <w:pPr>
        <w:spacing w:before="240" w:after="240"/>
        <w:rPr>
          <w:rFonts w:cs="Times New Roman"/>
          <w:lang w:val="en-GB"/>
        </w:rPr>
      </w:pPr>
      <w:r w:rsidRPr="004C6D84">
        <w:rPr>
          <w:rFonts w:cs="Times New Roman"/>
          <w:lang w:val="en-GB"/>
        </w:rPr>
        <w:t>Although strategic, an integrated AI risk management framework has some challenges in its implementation. To begin with, compliance costs, especially when it comes to EU regulatory standards, can be high, which can have a short-term impact on profitability</w:t>
      </w:r>
      <w:r w:rsidR="00DB6106">
        <w:rPr>
          <w:rFonts w:cs="Times New Roman"/>
          <w:lang w:val="en-GB"/>
        </w:rPr>
        <w:t xml:space="preserve"> (</w:t>
      </w:r>
      <w:proofErr w:type="spellStart"/>
      <w:r w:rsidR="00DB6106" w:rsidRPr="00DB6106">
        <w:rPr>
          <w:rFonts w:cs="Times New Roman"/>
          <w:lang w:val="en-US"/>
        </w:rPr>
        <w:t>Chrenoczy</w:t>
      </w:r>
      <w:proofErr w:type="spellEnd"/>
      <w:r w:rsidR="00DB6106" w:rsidRPr="00DB6106">
        <w:rPr>
          <w:rFonts w:cs="Times New Roman"/>
          <w:lang w:val="en-US"/>
        </w:rPr>
        <w:t>-Nagy</w:t>
      </w:r>
      <w:r w:rsidR="00DB6106">
        <w:rPr>
          <w:rFonts w:cs="Times New Roman"/>
          <w:lang w:val="en-US"/>
        </w:rPr>
        <w:t xml:space="preserve"> and</w:t>
      </w:r>
      <w:r w:rsidR="00DB6106" w:rsidRPr="00DB6106">
        <w:rPr>
          <w:rFonts w:cs="Times New Roman"/>
          <w:lang w:val="en-US"/>
        </w:rPr>
        <w:t xml:space="preserve"> </w:t>
      </w:r>
      <w:proofErr w:type="spellStart"/>
      <w:r w:rsidR="00DB6106" w:rsidRPr="00DB6106">
        <w:rPr>
          <w:rFonts w:cs="Times New Roman"/>
          <w:lang w:val="en-US"/>
        </w:rPr>
        <w:t>Bujtar</w:t>
      </w:r>
      <w:proofErr w:type="spellEnd"/>
      <w:r w:rsidR="00DB6106" w:rsidRPr="00DB6106">
        <w:rPr>
          <w:rFonts w:cs="Times New Roman"/>
          <w:lang w:val="en-US"/>
        </w:rPr>
        <w:t>,</w:t>
      </w:r>
      <w:r w:rsidR="00DB6106">
        <w:rPr>
          <w:rFonts w:cs="Times New Roman"/>
          <w:lang w:val="en-US"/>
        </w:rPr>
        <w:t xml:space="preserve"> 2025</w:t>
      </w:r>
      <w:r w:rsidR="00DB6106">
        <w:rPr>
          <w:rFonts w:cs="Times New Roman"/>
          <w:lang w:val="en-GB"/>
        </w:rPr>
        <w:t>)</w:t>
      </w:r>
      <w:r w:rsidRPr="004C6D84">
        <w:rPr>
          <w:rFonts w:cs="Times New Roman"/>
          <w:lang w:val="en-GB"/>
        </w:rPr>
        <w:t xml:space="preserve">. Second, the organisational resistance towards change can also occur, especially when new processes of governance change the working processes and </w:t>
      </w:r>
      <w:r w:rsidR="003A3FAA" w:rsidRPr="004C6D84">
        <w:rPr>
          <w:rFonts w:cs="Times New Roman"/>
          <w:lang w:val="en-GB"/>
        </w:rPr>
        <w:t>decision-making</w:t>
      </w:r>
      <w:r w:rsidRPr="004C6D84">
        <w:rPr>
          <w:rFonts w:cs="Times New Roman"/>
          <w:lang w:val="en-GB"/>
        </w:rPr>
        <w:t xml:space="preserve"> structures.</w:t>
      </w:r>
    </w:p>
    <w:p w14:paraId="7BD5FFD9" w14:textId="338598C3" w:rsidR="003A5275" w:rsidRPr="004C6D84" w:rsidRDefault="00424F41" w:rsidP="0064364D">
      <w:pPr>
        <w:spacing w:before="240" w:after="240"/>
        <w:rPr>
          <w:rFonts w:cs="Times New Roman"/>
          <w:lang w:val="en-GB"/>
        </w:rPr>
      </w:pPr>
      <w:r w:rsidRPr="004C6D84">
        <w:rPr>
          <w:rFonts w:cs="Times New Roman"/>
          <w:lang w:val="en-GB"/>
        </w:rPr>
        <w:t>Moreover, managing in various regulatory conditions also creates coordination issues, as HSBC needs to be consistent and adapt to the regional variations</w:t>
      </w:r>
      <w:r w:rsidR="00546ABE" w:rsidRPr="004C6D84">
        <w:rPr>
          <w:rFonts w:cs="Times New Roman"/>
          <w:lang w:val="en-GB"/>
        </w:rPr>
        <w:t xml:space="preserve"> (Jui and Rivas, 2024)</w:t>
      </w:r>
      <w:r w:rsidRPr="004C6D84">
        <w:rPr>
          <w:rFonts w:cs="Times New Roman"/>
          <w:lang w:val="en-GB"/>
        </w:rPr>
        <w:t>. The danger also exists that too strict governance frameworks may curb innovation, making the organisation less responsive to the competition.</w:t>
      </w:r>
    </w:p>
    <w:p w14:paraId="5BC5147A" w14:textId="0E5D7B15" w:rsidR="003A5275" w:rsidRPr="004C6D84" w:rsidRDefault="00424F41" w:rsidP="0064364D">
      <w:pPr>
        <w:spacing w:before="240" w:after="240"/>
        <w:rPr>
          <w:rFonts w:cs="Times New Roman"/>
          <w:lang w:val="en-GB"/>
        </w:rPr>
      </w:pPr>
      <w:r w:rsidRPr="004C6D84">
        <w:rPr>
          <w:rFonts w:cs="Times New Roman"/>
          <w:lang w:val="en-GB"/>
        </w:rPr>
        <w:t>More importantly, the implementation will be successful provided that HSBC can walk the fine line between standardisation and flexibility, whereby the mechanisms of governance must be strong enough to comply with the regulatory requirements and be flexible to technological and market changes</w:t>
      </w:r>
      <w:r w:rsidR="00546ABE" w:rsidRPr="004C6D84">
        <w:rPr>
          <w:rFonts w:cs="Times New Roman"/>
          <w:lang w:val="en-GB"/>
        </w:rPr>
        <w:t xml:space="preserve"> (Anjanappa, 2025)</w:t>
      </w:r>
      <w:r w:rsidRPr="004C6D84">
        <w:rPr>
          <w:rFonts w:cs="Times New Roman"/>
          <w:lang w:val="en-GB"/>
        </w:rPr>
        <w:t>. Inability to strike this balance may lead to either non-compliance with the regulations or a lack of competitive advantage.</w:t>
      </w:r>
    </w:p>
    <w:p w14:paraId="32AF74D9" w14:textId="77777777" w:rsidR="007F3448" w:rsidRPr="004C6D84" w:rsidRDefault="00424F41" w:rsidP="0064364D">
      <w:pPr>
        <w:spacing w:before="240" w:after="240"/>
        <w:rPr>
          <w:rFonts w:cs="Times New Roman"/>
          <w:lang w:val="en-GB"/>
        </w:rPr>
      </w:pPr>
      <w:r w:rsidRPr="004C6D84">
        <w:rPr>
          <w:rFonts w:cs="Times New Roman"/>
          <w:lang w:val="en-GB"/>
        </w:rPr>
        <w:t>In general, the implementation plan proposed offers a systematic way of operationalising the AI risk management strategy by HSBC. By harmonising governance, resources, and monitoring, the organisation will be able to efficiently alleviate AI-related risks and continue to innovate in the UK and EU markets</w:t>
      </w:r>
      <w:r w:rsidR="00DF5513" w:rsidRPr="004C6D84">
        <w:rPr>
          <w:rFonts w:cs="Times New Roman"/>
          <w:lang w:val="en-GB"/>
        </w:rPr>
        <w:t>.</w:t>
      </w:r>
    </w:p>
    <w:p w14:paraId="10226B39" w14:textId="77777777" w:rsidR="001C0510" w:rsidRPr="004C6D84" w:rsidRDefault="00424F41" w:rsidP="0064364D">
      <w:pPr>
        <w:pStyle w:val="Heading1"/>
        <w:spacing w:before="240" w:after="240"/>
        <w:rPr>
          <w:rFonts w:cs="Times New Roman"/>
          <w:lang w:val="en-GB"/>
        </w:rPr>
      </w:pPr>
      <w:bookmarkStart w:id="33" w:name="_Toc228125386"/>
      <w:r w:rsidRPr="004C6D84">
        <w:rPr>
          <w:rFonts w:cs="Times New Roman"/>
          <w:lang w:val="en-GB"/>
        </w:rPr>
        <w:t>7. Conclusion</w:t>
      </w:r>
      <w:bookmarkEnd w:id="33"/>
    </w:p>
    <w:p w14:paraId="13781AA3" w14:textId="77777777" w:rsidR="003A5275" w:rsidRPr="004C6D84" w:rsidRDefault="00424F41" w:rsidP="0064364D">
      <w:pPr>
        <w:spacing w:before="240" w:after="240"/>
        <w:rPr>
          <w:rFonts w:cs="Times New Roman"/>
          <w:lang w:val="en-GB"/>
        </w:rPr>
      </w:pPr>
      <w:r w:rsidRPr="004C6D84">
        <w:rPr>
          <w:rFonts w:cs="Times New Roman"/>
          <w:lang w:val="en-GB"/>
        </w:rPr>
        <w:t>This report has critically analysed the implications of artificial intelligence (AI) use on risk management within HSBC, and the specifics have been addressed in the form of data governance, ethical use of AI, regulatory compliance, and customer trust in the United Kingdom and European Union. The discussion shows that AI has tremendous potential in terms of operational effectiveness and improved decision-making, but, at the same time, presents intricate and interrelated risks which go beyond conventional fi</w:t>
      </w:r>
      <w:r w:rsidRPr="004C6D84">
        <w:rPr>
          <w:rFonts w:cs="Times New Roman"/>
          <w:lang w:val="en-GB"/>
        </w:rPr>
        <w:t>nancial systems.</w:t>
      </w:r>
    </w:p>
    <w:p w14:paraId="01A2AA26" w14:textId="77777777" w:rsidR="003A5275" w:rsidRPr="004C6D84" w:rsidRDefault="00424F41" w:rsidP="0064364D">
      <w:pPr>
        <w:spacing w:before="240" w:after="240"/>
        <w:rPr>
          <w:rFonts w:cs="Times New Roman"/>
          <w:lang w:val="en-GB"/>
        </w:rPr>
      </w:pPr>
      <w:r w:rsidRPr="004C6D84">
        <w:rPr>
          <w:rFonts w:cs="Times New Roman"/>
          <w:lang w:val="en-GB"/>
        </w:rPr>
        <w:t xml:space="preserve">One of the findings is that the UK principles-based, innovation-focused regulatory framework is different to the EU rules-based, risk-classified framework. This regulatory duality poses both </w:t>
      </w:r>
      <w:r w:rsidRPr="004C6D84">
        <w:rPr>
          <w:rFonts w:cs="Times New Roman"/>
          <w:lang w:val="en-GB"/>
        </w:rPr>
        <w:lastRenderedPageBreak/>
        <w:t>strategic and operational challenges to HSBC, as the organisation has to strike a balance between flexibility and the high level of compliance requirements. The research also notes that issues of data governance, algorithmic bias, and cybersecurity are never independent but rather complementary, and can grow to have major reputational and legal implications if not addressed effectively.</w:t>
      </w:r>
    </w:p>
    <w:p w14:paraId="5866197E" w14:textId="77777777" w:rsidR="00E202D7" w:rsidRPr="004C6D84" w:rsidRDefault="00424F41" w:rsidP="0064364D">
      <w:pPr>
        <w:spacing w:before="240" w:after="240"/>
        <w:rPr>
          <w:rFonts w:cs="Times New Roman"/>
          <w:lang w:val="en-GB"/>
        </w:rPr>
      </w:pPr>
      <w:r w:rsidRPr="004C6D84">
        <w:rPr>
          <w:rFonts w:cs="Times New Roman"/>
          <w:lang w:val="en-GB"/>
        </w:rPr>
        <w:t>The report counters this by suggesting a combined AI risk management framework backed by a well-organised governance, ethical regulation, and an elaborate implementation strategy. The success of these strategies however, relies on the capability of the HSBC Bank to balance regulatory compliance and innovation goals without losing its customers. Finally, to implement AI sustainably, there is a need to take a proactive, dynamic approach that includes accountability, transparency, and resilience in organisatio</w:t>
      </w:r>
      <w:r w:rsidRPr="004C6D84">
        <w:rPr>
          <w:rFonts w:cs="Times New Roman"/>
          <w:lang w:val="en-GB"/>
        </w:rPr>
        <w:t>nal practices in both jurisdictions.</w:t>
      </w:r>
    </w:p>
    <w:p w14:paraId="5FECDEA0" w14:textId="77777777" w:rsidR="008A553B" w:rsidRPr="004C6D84" w:rsidRDefault="00424F41" w:rsidP="0064364D">
      <w:pPr>
        <w:spacing w:before="240" w:after="240"/>
        <w:jc w:val="left"/>
        <w:rPr>
          <w:rFonts w:cs="Times New Roman"/>
          <w:lang w:val="en-GB"/>
        </w:rPr>
      </w:pPr>
      <w:r w:rsidRPr="004C6D84">
        <w:rPr>
          <w:rFonts w:cs="Times New Roman"/>
          <w:lang w:val="en-GB"/>
        </w:rPr>
        <w:br w:type="page"/>
      </w:r>
    </w:p>
    <w:p w14:paraId="34E95D3E" w14:textId="313176F2" w:rsidR="00546ABE" w:rsidRPr="004C6D84" w:rsidRDefault="00BE3902" w:rsidP="0064364D">
      <w:pPr>
        <w:pStyle w:val="Heading1"/>
        <w:spacing w:before="240" w:after="240"/>
        <w:rPr>
          <w:rFonts w:cs="Times New Roman"/>
          <w:lang w:val="en-GB"/>
        </w:rPr>
      </w:pPr>
      <w:bookmarkStart w:id="34" w:name="_Toc228125387"/>
      <w:r>
        <w:rPr>
          <w:rFonts w:cs="Times New Roman"/>
          <w:lang w:val="en-GB"/>
        </w:rPr>
        <w:lastRenderedPageBreak/>
        <w:t>8. Bibliography</w:t>
      </w:r>
      <w:bookmarkEnd w:id="34"/>
      <w:r>
        <w:rPr>
          <w:rFonts w:cs="Times New Roman"/>
          <w:lang w:val="en-GB"/>
        </w:rPr>
        <w:t xml:space="preserve"> </w:t>
      </w:r>
    </w:p>
    <w:p w14:paraId="394E8D99" w14:textId="77777777" w:rsidR="009715D5" w:rsidRPr="00251717" w:rsidRDefault="009715D5" w:rsidP="00251717">
      <w:pPr>
        <w:spacing w:before="240" w:after="240"/>
        <w:rPr>
          <w:rFonts w:cs="Times New Roman"/>
          <w:lang w:val="en-US"/>
        </w:rPr>
      </w:pPr>
      <w:r w:rsidRPr="00251717">
        <w:rPr>
          <w:rFonts w:cs="Times New Roman"/>
          <w:lang w:val="en-US"/>
        </w:rPr>
        <w:t>Ahmed, R. (2026) </w:t>
      </w:r>
      <w:r w:rsidRPr="00251717">
        <w:rPr>
          <w:rFonts w:cs="Times New Roman"/>
          <w:i/>
          <w:iCs/>
          <w:lang w:val="en-US"/>
        </w:rPr>
        <w:t>Artificial intelligence-based risk management in banking sector</w:t>
      </w:r>
      <w:r w:rsidRPr="00251717">
        <w:rPr>
          <w:rFonts w:cs="Times New Roman"/>
          <w:lang w:val="en-US"/>
        </w:rPr>
        <w:t>.</w:t>
      </w:r>
      <w:r w:rsidRPr="00251717">
        <w:rPr>
          <w:rFonts w:cs="Times New Roman"/>
          <w:lang w:val="en-US"/>
        </w:rPr>
        <w:br/>
        <w:t>Available at: https://www.researchgate.net/publication/394543153</w:t>
      </w:r>
    </w:p>
    <w:p w14:paraId="159AF051" w14:textId="77777777" w:rsidR="009715D5" w:rsidRPr="004C6D84" w:rsidRDefault="009715D5" w:rsidP="0064364D">
      <w:pPr>
        <w:spacing w:before="240" w:after="240"/>
        <w:rPr>
          <w:rFonts w:cs="Times New Roman"/>
          <w:lang w:val="en-GB"/>
        </w:rPr>
      </w:pPr>
      <w:r w:rsidRPr="004C6D84">
        <w:rPr>
          <w:rFonts w:cs="Times New Roman"/>
          <w:lang w:val="en-GB"/>
        </w:rPr>
        <w:t xml:space="preserve">Aidoo, S., AML, I.D., AML, M. and Expert, F.C.C., (2025). The Role of Internal Audit in AML Compliance. </w:t>
      </w:r>
      <w:hyperlink r:id="rId18" w:history="1">
        <w:r w:rsidRPr="004C6D84">
          <w:rPr>
            <w:rStyle w:val="Hyperlink"/>
            <w:rFonts w:cs="Times New Roman"/>
            <w:lang w:val="en-GB"/>
          </w:rPr>
          <w:t>https://www.researchgate.net/profile/Samuel-Aidoo-2/publication/394032776_The_Role_of_Internal_Audit_in_AML_Compliance/links/688540f796f3c0122ef44eaa/The-Role-of-Internal-Audit-in-AML-Compliance.pdf</w:t>
        </w:r>
      </w:hyperlink>
    </w:p>
    <w:p w14:paraId="7402082C" w14:textId="77777777" w:rsidR="009715D5" w:rsidRPr="004C6D84" w:rsidRDefault="009715D5" w:rsidP="0064364D">
      <w:pPr>
        <w:spacing w:before="240" w:after="240"/>
        <w:rPr>
          <w:rFonts w:cs="Times New Roman"/>
          <w:lang w:val="en-GB"/>
        </w:rPr>
      </w:pPr>
      <w:r w:rsidRPr="004C6D84">
        <w:rPr>
          <w:rFonts w:cs="Times New Roman"/>
          <w:lang w:val="en-GB"/>
        </w:rPr>
        <w:t>Aivatoglou, A., (2025). The EU Artificial Intelligence Act: Legal and Compliance Challenges for Multinational Banks. </w:t>
      </w:r>
      <w:r w:rsidRPr="004C6D84">
        <w:rPr>
          <w:rFonts w:cs="Times New Roman"/>
          <w:i/>
          <w:iCs/>
          <w:lang w:val="en-GB"/>
        </w:rPr>
        <w:t>Available at SSRN 5619470</w:t>
      </w:r>
      <w:r w:rsidRPr="004C6D84">
        <w:rPr>
          <w:rFonts w:cs="Times New Roman"/>
          <w:lang w:val="en-GB"/>
        </w:rPr>
        <w:t xml:space="preserve">. </w:t>
      </w:r>
      <w:hyperlink r:id="rId19" w:history="1">
        <w:r w:rsidRPr="004C6D84">
          <w:rPr>
            <w:rStyle w:val="Hyperlink"/>
            <w:rFonts w:cs="Times New Roman"/>
            <w:lang w:val="en-GB"/>
          </w:rPr>
          <w:t>https://papers.ssrn.com/sol3/Delivery.cfm?abstractid=5619470</w:t>
        </w:r>
      </w:hyperlink>
    </w:p>
    <w:p w14:paraId="0D007B65" w14:textId="77777777" w:rsidR="009715D5" w:rsidRPr="00251717" w:rsidRDefault="009715D5" w:rsidP="00251717">
      <w:pPr>
        <w:spacing w:before="240" w:after="240"/>
        <w:rPr>
          <w:rFonts w:cs="Times New Roman"/>
          <w:lang w:val="en-US"/>
        </w:rPr>
      </w:pPr>
      <w:r w:rsidRPr="00251717">
        <w:rPr>
          <w:rFonts w:cs="Times New Roman"/>
          <w:lang w:val="en-US"/>
        </w:rPr>
        <w:t>Ali, A. (2026) </w:t>
      </w:r>
      <w:r w:rsidRPr="00251717">
        <w:rPr>
          <w:rFonts w:cs="Times New Roman"/>
          <w:i/>
          <w:iCs/>
          <w:lang w:val="en-US"/>
        </w:rPr>
        <w:t>Artificial intelligence for cybersecurity in banking</w:t>
      </w:r>
      <w:r w:rsidRPr="00251717">
        <w:rPr>
          <w:rFonts w:cs="Times New Roman"/>
          <w:lang w:val="en-US"/>
        </w:rPr>
        <w:t>. Journal of Information Security, 35(2).</w:t>
      </w:r>
      <w:r w:rsidRPr="00251717">
        <w:rPr>
          <w:rFonts w:cs="Times New Roman"/>
          <w:lang w:val="en-US"/>
        </w:rPr>
        <w:br/>
        <w:t>Available at: </w:t>
      </w:r>
      <w:hyperlink r:id="rId20" w:tgtFrame="_new" w:history="1">
        <w:r w:rsidRPr="00251717">
          <w:rPr>
            <w:rStyle w:val="Hyperlink"/>
            <w:rFonts w:cs="Times New Roman"/>
            <w:lang w:val="en-US"/>
          </w:rPr>
          <w:t>https://www.tandfonline.com/doi/full/10.1080/01969722.2026.2626804</w:t>
        </w:r>
      </w:hyperlink>
    </w:p>
    <w:p w14:paraId="668A8B76" w14:textId="77777777" w:rsidR="009715D5" w:rsidRPr="004C6D84" w:rsidRDefault="009715D5" w:rsidP="0064364D">
      <w:pPr>
        <w:spacing w:before="240" w:after="240"/>
        <w:rPr>
          <w:rFonts w:cs="Times New Roman"/>
          <w:lang w:val="en-GB"/>
        </w:rPr>
      </w:pPr>
      <w:r w:rsidRPr="004C6D84">
        <w:rPr>
          <w:rFonts w:cs="Times New Roman"/>
          <w:lang w:val="en-GB"/>
        </w:rPr>
        <w:t>Anjanappa, J., (2025). Strategic Approaches for Identifying, Assessing, Prioritizing, and Managing Climate Risks and Opportunities in Financial Institutions: A Long-term Perspective. </w:t>
      </w:r>
      <w:r w:rsidRPr="004C6D84">
        <w:rPr>
          <w:rFonts w:cs="Times New Roman"/>
          <w:i/>
          <w:iCs/>
          <w:lang w:val="en-GB"/>
        </w:rPr>
        <w:t>Assessing, Prioritizing, and Managing Climate Risks and Opportunities in Financial Institutions: A Long-term Perspective (June 21, 2025)</w:t>
      </w:r>
      <w:r w:rsidRPr="004C6D84">
        <w:rPr>
          <w:rFonts w:cs="Times New Roman"/>
          <w:lang w:val="en-GB"/>
        </w:rPr>
        <w:t xml:space="preserve">. </w:t>
      </w:r>
      <w:hyperlink r:id="rId21" w:history="1">
        <w:r w:rsidRPr="004C6D84">
          <w:rPr>
            <w:rStyle w:val="Hyperlink"/>
            <w:rFonts w:cs="Times New Roman"/>
            <w:lang w:val="en-GB"/>
          </w:rPr>
          <w:t>https://papers.ssrn.com/sol3/Delivery.cfm?abstractid=5314982</w:t>
        </w:r>
      </w:hyperlink>
    </w:p>
    <w:p w14:paraId="6C15096D" w14:textId="77777777" w:rsidR="009715D5" w:rsidRPr="00251717" w:rsidRDefault="009715D5" w:rsidP="00251717">
      <w:pPr>
        <w:spacing w:before="240" w:after="240"/>
        <w:rPr>
          <w:rFonts w:cs="Times New Roman"/>
          <w:lang w:val="en-US"/>
        </w:rPr>
      </w:pPr>
      <w:r w:rsidRPr="00251717">
        <w:rPr>
          <w:rFonts w:cs="Times New Roman"/>
          <w:lang w:val="en-US"/>
        </w:rPr>
        <w:t>Bank for International Settlements (2025) </w:t>
      </w:r>
      <w:r w:rsidRPr="00251717">
        <w:rPr>
          <w:rFonts w:cs="Times New Roman"/>
          <w:i/>
          <w:iCs/>
          <w:lang w:val="en-US"/>
        </w:rPr>
        <w:t>Governance and implementation of AI in financial institutions</w:t>
      </w:r>
      <w:r w:rsidRPr="00251717">
        <w:rPr>
          <w:rFonts w:cs="Times New Roman"/>
          <w:lang w:val="en-US"/>
        </w:rPr>
        <w:t>.</w:t>
      </w:r>
      <w:r w:rsidRPr="00251717">
        <w:rPr>
          <w:rFonts w:cs="Times New Roman"/>
          <w:lang w:val="en-US"/>
        </w:rPr>
        <w:br/>
        <w:t>Available at: https://www.bis.org/publ/ifc_report_18.pdf</w:t>
      </w:r>
    </w:p>
    <w:p w14:paraId="7E179973" w14:textId="77777777" w:rsidR="009715D5" w:rsidRPr="004C6D84" w:rsidRDefault="009715D5" w:rsidP="0064364D">
      <w:pPr>
        <w:spacing w:before="240" w:after="240"/>
        <w:rPr>
          <w:rFonts w:cs="Times New Roman"/>
          <w:lang w:val="en-GB"/>
        </w:rPr>
      </w:pPr>
      <w:proofErr w:type="spellStart"/>
      <w:r w:rsidRPr="004C6D84">
        <w:rPr>
          <w:rFonts w:cs="Times New Roman"/>
          <w:lang w:val="en-GB"/>
        </w:rPr>
        <w:t>Bhouri</w:t>
      </w:r>
      <w:proofErr w:type="spellEnd"/>
      <w:r w:rsidRPr="004C6D84">
        <w:rPr>
          <w:rFonts w:cs="Times New Roman"/>
          <w:lang w:val="en-GB"/>
        </w:rPr>
        <w:t>, H., (2025). Navigating Data Governance: A Critical Analysis of European Regulatory Framework for Artificial Intelligence. </w:t>
      </w:r>
      <w:r w:rsidRPr="004C6D84">
        <w:rPr>
          <w:rFonts w:cs="Times New Roman"/>
          <w:i/>
          <w:iCs/>
          <w:lang w:val="en-GB"/>
        </w:rPr>
        <w:t>Recent Advances in Public Sector Management</w:t>
      </w:r>
      <w:r w:rsidRPr="004C6D84">
        <w:rPr>
          <w:rFonts w:cs="Times New Roman"/>
          <w:lang w:val="en-GB"/>
        </w:rPr>
        <w:t>, </w:t>
      </w:r>
      <w:r w:rsidRPr="004C6D84">
        <w:rPr>
          <w:rFonts w:cs="Times New Roman"/>
          <w:i/>
          <w:iCs/>
          <w:lang w:val="en-GB"/>
        </w:rPr>
        <w:t>171</w:t>
      </w:r>
      <w:r w:rsidRPr="004C6D84">
        <w:rPr>
          <w:rFonts w:cs="Times New Roman"/>
          <w:lang w:val="en-GB"/>
        </w:rPr>
        <w:t xml:space="preserve">. </w:t>
      </w:r>
      <w:hyperlink r:id="rId22" w:history="1">
        <w:r w:rsidRPr="004C6D84">
          <w:rPr>
            <w:rStyle w:val="Hyperlink"/>
            <w:rFonts w:cs="Times New Roman"/>
            <w:lang w:val="en-GB"/>
          </w:rPr>
          <w:t>https://www.intechopen.com/chapters/89281</w:t>
        </w:r>
      </w:hyperlink>
    </w:p>
    <w:p w14:paraId="6A66BE8C" w14:textId="77777777" w:rsidR="009715D5" w:rsidRPr="004C6D84" w:rsidRDefault="009715D5" w:rsidP="0064364D">
      <w:pPr>
        <w:spacing w:before="240" w:after="240"/>
        <w:rPr>
          <w:rFonts w:cs="Times New Roman"/>
          <w:lang w:val="en-GB"/>
        </w:rPr>
      </w:pPr>
      <w:proofErr w:type="spellStart"/>
      <w:r w:rsidRPr="004C6D84">
        <w:rPr>
          <w:rFonts w:cs="Times New Roman"/>
          <w:lang w:val="en-GB"/>
        </w:rPr>
        <w:t>Castelnovo</w:t>
      </w:r>
      <w:proofErr w:type="spellEnd"/>
      <w:r w:rsidRPr="004C6D84">
        <w:rPr>
          <w:rFonts w:cs="Times New Roman"/>
          <w:lang w:val="en-GB"/>
        </w:rPr>
        <w:t>, A. (2024). Towards responsible ai in banking: Addressing bias for fair decision-making. </w:t>
      </w:r>
      <w:proofErr w:type="spellStart"/>
      <w:r w:rsidRPr="004C6D84">
        <w:rPr>
          <w:rFonts w:cs="Times New Roman"/>
          <w:i/>
          <w:iCs/>
          <w:lang w:val="en-GB"/>
        </w:rPr>
        <w:t>arXiv</w:t>
      </w:r>
      <w:proofErr w:type="spellEnd"/>
      <w:r w:rsidRPr="004C6D84">
        <w:rPr>
          <w:rFonts w:cs="Times New Roman"/>
          <w:i/>
          <w:iCs/>
          <w:lang w:val="en-GB"/>
        </w:rPr>
        <w:t xml:space="preserve"> preprint arXiv:2401.08691</w:t>
      </w:r>
      <w:r w:rsidRPr="004C6D84">
        <w:rPr>
          <w:rFonts w:cs="Times New Roman"/>
          <w:lang w:val="en-GB"/>
        </w:rPr>
        <w:t xml:space="preserve">. </w:t>
      </w:r>
      <w:hyperlink r:id="rId23" w:history="1">
        <w:r w:rsidRPr="004C6D84">
          <w:rPr>
            <w:rStyle w:val="Hyperlink"/>
            <w:rFonts w:cs="Times New Roman"/>
            <w:lang w:val="en-GB"/>
          </w:rPr>
          <w:t>https://arxiv.org/pdf/2401.08691</w:t>
        </w:r>
      </w:hyperlink>
    </w:p>
    <w:p w14:paraId="02A8DEC0" w14:textId="77777777" w:rsidR="009715D5" w:rsidRPr="004C6D84" w:rsidRDefault="009715D5" w:rsidP="0064364D">
      <w:pPr>
        <w:spacing w:before="240" w:after="240"/>
        <w:rPr>
          <w:rFonts w:cs="Times New Roman"/>
          <w:lang w:val="en-GB"/>
        </w:rPr>
      </w:pPr>
      <w:r w:rsidRPr="004C6D84">
        <w:rPr>
          <w:rFonts w:cs="Times New Roman"/>
          <w:lang w:val="en-GB"/>
        </w:rPr>
        <w:t xml:space="preserve">Chang, Y., (2022), December. How Has the Outbreak of COVID-19 Effect the Market and the Way of Operating of </w:t>
      </w:r>
      <w:proofErr w:type="gramStart"/>
      <w:r w:rsidRPr="004C6D84">
        <w:rPr>
          <w:rFonts w:cs="Times New Roman"/>
          <w:lang w:val="en-GB"/>
        </w:rPr>
        <w:t>HSBC?.</w:t>
      </w:r>
      <w:proofErr w:type="gramEnd"/>
      <w:r w:rsidRPr="004C6D84">
        <w:rPr>
          <w:rFonts w:cs="Times New Roman"/>
          <w:lang w:val="en-GB"/>
        </w:rPr>
        <w:t xml:space="preserve"> In </w:t>
      </w:r>
      <w:r w:rsidRPr="004C6D84">
        <w:rPr>
          <w:rFonts w:cs="Times New Roman"/>
          <w:i/>
          <w:iCs/>
          <w:lang w:val="en-GB"/>
        </w:rPr>
        <w:t xml:space="preserve">2022 4th International Conference on Economic Management </w:t>
      </w:r>
      <w:r w:rsidRPr="004C6D84">
        <w:rPr>
          <w:rFonts w:cs="Times New Roman"/>
          <w:i/>
          <w:iCs/>
          <w:lang w:val="en-GB"/>
        </w:rPr>
        <w:lastRenderedPageBreak/>
        <w:t>and Cultural Industry (ICEMCI 2022)</w:t>
      </w:r>
      <w:r w:rsidRPr="004C6D84">
        <w:rPr>
          <w:rFonts w:cs="Times New Roman"/>
          <w:lang w:val="en-GB"/>
        </w:rPr>
        <w:t xml:space="preserve"> (pp. 1145-1151). Atlantis Press. </w:t>
      </w:r>
      <w:hyperlink r:id="rId24" w:history="1">
        <w:r w:rsidRPr="004C6D84">
          <w:rPr>
            <w:rStyle w:val="Hyperlink"/>
            <w:rFonts w:cs="Times New Roman"/>
            <w:lang w:val="en-GB"/>
          </w:rPr>
          <w:t>https://www.atlantis-press.com/article/125981385.pdf</w:t>
        </w:r>
      </w:hyperlink>
    </w:p>
    <w:p w14:paraId="23760FB8" w14:textId="77777777" w:rsidR="009715D5" w:rsidRPr="00DB6106" w:rsidRDefault="009715D5" w:rsidP="00DB6106">
      <w:pPr>
        <w:spacing w:before="240" w:after="240"/>
        <w:rPr>
          <w:rFonts w:cs="Times New Roman"/>
          <w:lang w:val="en-US"/>
        </w:rPr>
      </w:pPr>
      <w:proofErr w:type="spellStart"/>
      <w:r w:rsidRPr="00DB6106">
        <w:rPr>
          <w:rFonts w:cs="Times New Roman"/>
          <w:lang w:val="en-US"/>
        </w:rPr>
        <w:t>Chrenoczy</w:t>
      </w:r>
      <w:proofErr w:type="spellEnd"/>
      <w:r w:rsidRPr="00DB6106">
        <w:rPr>
          <w:rFonts w:cs="Times New Roman"/>
          <w:lang w:val="en-US"/>
        </w:rPr>
        <w:t xml:space="preserve">-Nagy, J., </w:t>
      </w:r>
      <w:r>
        <w:rPr>
          <w:rFonts w:cs="Times New Roman"/>
          <w:lang w:val="en-US"/>
        </w:rPr>
        <w:t>and</w:t>
      </w:r>
      <w:r w:rsidRPr="00DB6106">
        <w:rPr>
          <w:rFonts w:cs="Times New Roman"/>
          <w:lang w:val="en-US"/>
        </w:rPr>
        <w:t xml:space="preserve"> </w:t>
      </w:r>
      <w:proofErr w:type="spellStart"/>
      <w:r w:rsidRPr="00DB6106">
        <w:rPr>
          <w:rFonts w:cs="Times New Roman"/>
          <w:lang w:val="en-US"/>
        </w:rPr>
        <w:t>Bujtar</w:t>
      </w:r>
      <w:proofErr w:type="spellEnd"/>
      <w:r w:rsidRPr="00DB6106">
        <w:rPr>
          <w:rFonts w:cs="Times New Roman"/>
          <w:lang w:val="en-US"/>
        </w:rPr>
        <w:t>, Z. (2025). The Lessons of the HSBC Scandal for Business Ethics and Corporate Governance. </w:t>
      </w:r>
      <w:r w:rsidRPr="00DB6106">
        <w:rPr>
          <w:rFonts w:cs="Times New Roman"/>
          <w:i/>
          <w:iCs/>
          <w:lang w:val="en-US"/>
        </w:rPr>
        <w:t xml:space="preserve">Jura: A Pecsi </w:t>
      </w:r>
      <w:proofErr w:type="spellStart"/>
      <w:r w:rsidRPr="00DB6106">
        <w:rPr>
          <w:rFonts w:cs="Times New Roman"/>
          <w:i/>
          <w:iCs/>
          <w:lang w:val="en-US"/>
        </w:rPr>
        <w:t>Tudomanyegyetem</w:t>
      </w:r>
      <w:proofErr w:type="spellEnd"/>
      <w:r w:rsidRPr="00DB6106">
        <w:rPr>
          <w:rFonts w:cs="Times New Roman"/>
          <w:i/>
          <w:iCs/>
          <w:lang w:val="en-US"/>
        </w:rPr>
        <w:t xml:space="preserve"> Allam-es </w:t>
      </w:r>
      <w:proofErr w:type="spellStart"/>
      <w:r w:rsidRPr="00DB6106">
        <w:rPr>
          <w:rFonts w:cs="Times New Roman"/>
          <w:i/>
          <w:iCs/>
          <w:lang w:val="en-US"/>
        </w:rPr>
        <w:t>Jogtudomanyi</w:t>
      </w:r>
      <w:proofErr w:type="spellEnd"/>
      <w:r w:rsidRPr="00DB6106">
        <w:rPr>
          <w:rFonts w:cs="Times New Roman"/>
          <w:i/>
          <w:iCs/>
          <w:lang w:val="en-US"/>
        </w:rPr>
        <w:t xml:space="preserve"> </w:t>
      </w:r>
      <w:proofErr w:type="spellStart"/>
      <w:r w:rsidRPr="00DB6106">
        <w:rPr>
          <w:rFonts w:cs="Times New Roman"/>
          <w:i/>
          <w:iCs/>
          <w:lang w:val="en-US"/>
        </w:rPr>
        <w:t>Karanak</w:t>
      </w:r>
      <w:proofErr w:type="spellEnd"/>
      <w:r w:rsidRPr="00DB6106">
        <w:rPr>
          <w:rFonts w:cs="Times New Roman"/>
          <w:i/>
          <w:iCs/>
          <w:lang w:val="en-US"/>
        </w:rPr>
        <w:t xml:space="preserve"> </w:t>
      </w:r>
      <w:proofErr w:type="spellStart"/>
      <w:r w:rsidRPr="00DB6106">
        <w:rPr>
          <w:rFonts w:cs="Times New Roman"/>
          <w:i/>
          <w:iCs/>
          <w:lang w:val="en-US"/>
        </w:rPr>
        <w:t>Tudomanyos</w:t>
      </w:r>
      <w:proofErr w:type="spellEnd"/>
      <w:r w:rsidRPr="00DB6106">
        <w:rPr>
          <w:rFonts w:cs="Times New Roman"/>
          <w:i/>
          <w:iCs/>
          <w:lang w:val="en-US"/>
        </w:rPr>
        <w:t xml:space="preserve"> Lapja</w:t>
      </w:r>
      <w:r w:rsidRPr="00DB6106">
        <w:rPr>
          <w:rFonts w:cs="Times New Roman"/>
          <w:lang w:val="en-US"/>
        </w:rPr>
        <w:t xml:space="preserve">, 90. </w:t>
      </w:r>
      <w:hyperlink r:id="rId25" w:history="1">
        <w:r w:rsidRPr="00DB6106">
          <w:rPr>
            <w:rStyle w:val="Hyperlink"/>
            <w:rFonts w:cs="Times New Roman"/>
            <w:lang w:val="en-US"/>
          </w:rPr>
          <w:t>https://heinonline.org/hol-cgi-bin/get_pdf.cgi?handle=hein.journals/jura2025&amp;section=20</w:t>
        </w:r>
      </w:hyperlink>
      <w:r w:rsidRPr="00DB6106">
        <w:rPr>
          <w:rFonts w:cs="Times New Roman"/>
          <w:lang w:val="en-US"/>
        </w:rPr>
        <w:t xml:space="preserve"> </w:t>
      </w:r>
    </w:p>
    <w:p w14:paraId="0345C085" w14:textId="77777777" w:rsidR="009715D5" w:rsidRPr="004C6D84" w:rsidRDefault="009715D5" w:rsidP="0064364D">
      <w:pPr>
        <w:spacing w:before="240" w:after="240"/>
        <w:rPr>
          <w:rFonts w:cs="Times New Roman"/>
          <w:lang w:val="en-GB"/>
        </w:rPr>
      </w:pPr>
      <w:r w:rsidRPr="004C6D84">
        <w:rPr>
          <w:rFonts w:cs="Times New Roman"/>
          <w:lang w:val="en-GB"/>
        </w:rPr>
        <w:t>Daniel, S., Brightwood, S. and Oluwaseyi, J., (2024). Financial big data analytics and risk management. </w:t>
      </w:r>
      <w:r w:rsidRPr="004C6D84">
        <w:rPr>
          <w:rFonts w:cs="Times New Roman"/>
          <w:i/>
          <w:iCs/>
          <w:lang w:val="en-GB"/>
        </w:rPr>
        <w:t>ResearchGate, August</w:t>
      </w:r>
      <w:r w:rsidRPr="004C6D84">
        <w:rPr>
          <w:rFonts w:cs="Times New Roman"/>
          <w:lang w:val="en-GB"/>
        </w:rPr>
        <w:t xml:space="preserve">. </w:t>
      </w:r>
      <w:hyperlink r:id="rId26" w:history="1">
        <w:r w:rsidRPr="004C6D84">
          <w:rPr>
            <w:rStyle w:val="Hyperlink"/>
            <w:rFonts w:cs="Times New Roman"/>
            <w:lang w:val="en-GB"/>
          </w:rPr>
          <w:t>https://www.researchgate.net/profile/Opeyemi-Adeojo-3/publication/385885192_Financial_big_data_analytics_and_risk_management/links/673915fc68de5e5a3078efe6/Financial-big-data-analytics-and-risk-management.pdf</w:t>
        </w:r>
      </w:hyperlink>
    </w:p>
    <w:p w14:paraId="25F75B0D" w14:textId="77777777" w:rsidR="009715D5" w:rsidRPr="004C6D84" w:rsidRDefault="009715D5" w:rsidP="0064364D">
      <w:pPr>
        <w:spacing w:before="240" w:after="240"/>
        <w:rPr>
          <w:rFonts w:cs="Times New Roman"/>
          <w:lang w:val="en-GB"/>
        </w:rPr>
      </w:pPr>
      <w:r w:rsidRPr="004C6D84">
        <w:rPr>
          <w:rFonts w:cs="Times New Roman"/>
          <w:lang w:val="en-GB"/>
        </w:rPr>
        <w:t>Deloitte. (2025). </w:t>
      </w:r>
      <w:r w:rsidRPr="004C6D84">
        <w:rPr>
          <w:rFonts w:cs="Times New Roman"/>
          <w:i/>
          <w:iCs/>
          <w:lang w:val="en-GB"/>
        </w:rPr>
        <w:t>Deloitte’s State of Generative AI in the Enterprise Quarter four report</w:t>
      </w:r>
      <w:r w:rsidRPr="004C6D84">
        <w:rPr>
          <w:rFonts w:cs="Times New Roman"/>
          <w:lang w:val="en-GB"/>
        </w:rPr>
        <w:t xml:space="preserve">. </w:t>
      </w:r>
      <w:hyperlink r:id="rId27" w:history="1">
        <w:r w:rsidRPr="004C6D84">
          <w:rPr>
            <w:rStyle w:val="Hyperlink"/>
            <w:rFonts w:cs="Times New Roman"/>
            <w:lang w:val="en-GB"/>
          </w:rPr>
          <w:t>https://www.deloitte.com/content/dam/assets-zone3/us/en/docs/campaigns/2025/us-state-of-gen-ai-2024-q4.pdf</w:t>
        </w:r>
      </w:hyperlink>
    </w:p>
    <w:p w14:paraId="1D6CC610" w14:textId="77777777" w:rsidR="009715D5" w:rsidRPr="004C6D84" w:rsidRDefault="009715D5" w:rsidP="0064364D">
      <w:pPr>
        <w:spacing w:before="240" w:after="240"/>
        <w:rPr>
          <w:rFonts w:cs="Times New Roman"/>
          <w:lang w:val="en-GB"/>
        </w:rPr>
      </w:pPr>
      <w:r w:rsidRPr="004C6D84">
        <w:rPr>
          <w:rFonts w:cs="Times New Roman"/>
          <w:lang w:val="en-GB"/>
        </w:rPr>
        <w:t xml:space="preserve">Deloitte. (2025). </w:t>
      </w:r>
      <w:r w:rsidRPr="004C6D84">
        <w:rPr>
          <w:rFonts w:cs="Times New Roman"/>
          <w:i/>
          <w:iCs/>
          <w:lang w:val="en-GB"/>
        </w:rPr>
        <w:t>The impact of AI on your audit: Supporting AI transparency and reliability in finance and accounting | Deloitte US</w:t>
      </w:r>
      <w:r w:rsidRPr="004C6D84">
        <w:rPr>
          <w:rFonts w:cs="Times New Roman"/>
          <w:lang w:val="en-GB"/>
        </w:rPr>
        <w:t xml:space="preserve">. Deloitte. </w:t>
      </w:r>
      <w:hyperlink r:id="rId28" w:history="1">
        <w:r w:rsidRPr="004C6D84">
          <w:rPr>
            <w:rStyle w:val="Hyperlink"/>
            <w:rFonts w:cs="Times New Roman"/>
            <w:lang w:val="en-GB"/>
          </w:rPr>
          <w:t>https://www.deloitte.com/us/en/services/audit-assurance/blogs/accounting-finance/ai-finance-accounting-data-transparency-management.html</w:t>
        </w:r>
      </w:hyperlink>
      <w:r w:rsidRPr="004C6D84">
        <w:rPr>
          <w:rFonts w:cs="Times New Roman"/>
          <w:lang w:val="en-GB"/>
        </w:rPr>
        <w:t xml:space="preserve"> </w:t>
      </w:r>
    </w:p>
    <w:p w14:paraId="70F7111A" w14:textId="77777777" w:rsidR="009715D5" w:rsidRPr="004C6D84" w:rsidRDefault="009715D5" w:rsidP="0064364D">
      <w:pPr>
        <w:spacing w:before="240" w:after="240"/>
        <w:rPr>
          <w:rFonts w:cs="Times New Roman"/>
          <w:lang w:val="en-GB"/>
        </w:rPr>
      </w:pPr>
      <w:proofErr w:type="spellStart"/>
      <w:r w:rsidRPr="004C6D84">
        <w:rPr>
          <w:rFonts w:cs="Times New Roman"/>
          <w:lang w:val="en-GB"/>
        </w:rPr>
        <w:t>Eirikas</w:t>
      </w:r>
      <w:proofErr w:type="spellEnd"/>
      <w:r w:rsidRPr="004C6D84">
        <w:rPr>
          <w:rFonts w:cs="Times New Roman"/>
          <w:lang w:val="en-GB"/>
        </w:rPr>
        <w:t>, U., (2026). </w:t>
      </w:r>
      <w:r w:rsidRPr="004C6D84">
        <w:rPr>
          <w:rFonts w:cs="Times New Roman"/>
          <w:i/>
          <w:iCs/>
          <w:lang w:val="en-GB"/>
        </w:rPr>
        <w:t>AI and cloud innovation in banking: a deep-tech approach to optimizing core financial operations</w:t>
      </w:r>
      <w:r w:rsidRPr="004C6D84">
        <w:rPr>
          <w:rFonts w:cs="Times New Roman"/>
          <w:lang w:val="en-GB"/>
        </w:rPr>
        <w:t xml:space="preserve"> (Doctoral dissertation, Vilniaus </w:t>
      </w:r>
      <w:proofErr w:type="spellStart"/>
      <w:r w:rsidRPr="004C6D84">
        <w:rPr>
          <w:rFonts w:cs="Times New Roman"/>
          <w:lang w:val="en-GB"/>
        </w:rPr>
        <w:t>universitetas</w:t>
      </w:r>
      <w:proofErr w:type="spellEnd"/>
      <w:r w:rsidRPr="004C6D84">
        <w:rPr>
          <w:rFonts w:cs="Times New Roman"/>
          <w:lang w:val="en-GB"/>
        </w:rPr>
        <w:t xml:space="preserve">.). </w:t>
      </w:r>
      <w:hyperlink r:id="rId29" w:history="1">
        <w:r w:rsidRPr="004C6D84">
          <w:rPr>
            <w:rStyle w:val="Hyperlink"/>
            <w:rFonts w:cs="Times New Roman"/>
            <w:lang w:val="en-GB"/>
          </w:rPr>
          <w:t>https://epublications.vu.lt/object/elaba:277672954/277672954.pdf</w:t>
        </w:r>
      </w:hyperlink>
    </w:p>
    <w:p w14:paraId="5158029D" w14:textId="77777777" w:rsidR="009715D5" w:rsidRPr="004C6D84" w:rsidRDefault="009715D5" w:rsidP="0064364D">
      <w:pPr>
        <w:spacing w:before="240" w:after="240"/>
        <w:rPr>
          <w:rFonts w:cs="Times New Roman"/>
          <w:lang w:val="en-GB"/>
        </w:rPr>
      </w:pPr>
      <w:r w:rsidRPr="004C6D84">
        <w:rPr>
          <w:rFonts w:cs="Times New Roman"/>
          <w:lang w:val="en-GB"/>
        </w:rPr>
        <w:t xml:space="preserve">European Union (2024) </w:t>
      </w:r>
      <w:r w:rsidRPr="004C6D84">
        <w:rPr>
          <w:rFonts w:cs="Times New Roman"/>
          <w:i/>
          <w:iCs/>
          <w:lang w:val="en-GB"/>
        </w:rPr>
        <w:t>Artificial Intelligence Act</w:t>
      </w:r>
      <w:r w:rsidRPr="004C6D84">
        <w:rPr>
          <w:rFonts w:cs="Times New Roman"/>
          <w:lang w:val="en-GB"/>
        </w:rPr>
        <w:t xml:space="preserve">. Available at: </w:t>
      </w:r>
      <w:hyperlink r:id="rId30" w:history="1">
        <w:r w:rsidRPr="004C6D84">
          <w:rPr>
            <w:rStyle w:val="Hyperlink"/>
            <w:rFonts w:cs="Times New Roman"/>
            <w:lang w:val="en-GB"/>
          </w:rPr>
          <w:t>https://artificialintelligenceact.eu/ai-act-explorer/</w:t>
        </w:r>
      </w:hyperlink>
    </w:p>
    <w:p w14:paraId="386917BA" w14:textId="77777777" w:rsidR="009715D5" w:rsidRDefault="009715D5" w:rsidP="00251717">
      <w:pPr>
        <w:spacing w:before="240" w:after="240"/>
        <w:rPr>
          <w:rFonts w:cs="Times New Roman"/>
        </w:rPr>
      </w:pPr>
      <w:r w:rsidRPr="007B3728">
        <w:rPr>
          <w:rFonts w:cs="Times New Roman"/>
        </w:rPr>
        <w:t xml:space="preserve">Fritz-Morgenthal, S., Hein, B., </w:t>
      </w:r>
      <w:r>
        <w:rPr>
          <w:rFonts w:cs="Times New Roman"/>
        </w:rPr>
        <w:t>and</w:t>
      </w:r>
      <w:r w:rsidRPr="007B3728">
        <w:rPr>
          <w:rFonts w:cs="Times New Roman"/>
        </w:rPr>
        <w:t xml:space="preserve"> </w:t>
      </w:r>
      <w:proofErr w:type="spellStart"/>
      <w:r w:rsidRPr="007B3728">
        <w:rPr>
          <w:rFonts w:cs="Times New Roman"/>
        </w:rPr>
        <w:t>Papenbrock</w:t>
      </w:r>
      <w:proofErr w:type="spellEnd"/>
      <w:r w:rsidRPr="007B3728">
        <w:rPr>
          <w:rFonts w:cs="Times New Roman"/>
        </w:rPr>
        <w:t>, J. (2022). Financial risk management and explainable, trustworthy, responsible AI. </w:t>
      </w:r>
      <w:r w:rsidRPr="007B3728">
        <w:rPr>
          <w:rFonts w:cs="Times New Roman"/>
          <w:i/>
          <w:iCs/>
        </w:rPr>
        <w:t>Frontiers in artificial intelligence</w:t>
      </w:r>
      <w:r w:rsidRPr="007B3728">
        <w:rPr>
          <w:rFonts w:cs="Times New Roman"/>
        </w:rPr>
        <w:t>, </w:t>
      </w:r>
      <w:r w:rsidRPr="007B3728">
        <w:rPr>
          <w:rFonts w:cs="Times New Roman"/>
          <w:i/>
          <w:iCs/>
        </w:rPr>
        <w:t>5</w:t>
      </w:r>
      <w:r w:rsidRPr="007B3728">
        <w:rPr>
          <w:rFonts w:cs="Times New Roman"/>
        </w:rPr>
        <w:t>, 779799.</w:t>
      </w:r>
      <w:r>
        <w:rPr>
          <w:rFonts w:cs="Times New Roman"/>
        </w:rPr>
        <w:t xml:space="preserve"> </w:t>
      </w:r>
      <w:hyperlink r:id="rId31" w:history="1">
        <w:r w:rsidRPr="00AE56D6">
          <w:rPr>
            <w:rStyle w:val="Hyperlink"/>
            <w:rFonts w:cs="Times New Roman"/>
          </w:rPr>
          <w:t>https://www.frontiersin.org/journals/artificial-intelligence/articles/10.3389/frai.2022.779799/pdf</w:t>
        </w:r>
      </w:hyperlink>
      <w:r>
        <w:rPr>
          <w:rFonts w:cs="Times New Roman"/>
        </w:rPr>
        <w:t xml:space="preserve"> </w:t>
      </w:r>
    </w:p>
    <w:p w14:paraId="32C01A7B" w14:textId="77777777" w:rsidR="009715D5" w:rsidRPr="00251717" w:rsidRDefault="009715D5" w:rsidP="00251717">
      <w:pPr>
        <w:spacing w:before="240" w:after="240"/>
        <w:rPr>
          <w:rFonts w:cs="Times New Roman"/>
          <w:lang w:val="en-US"/>
        </w:rPr>
      </w:pPr>
      <w:proofErr w:type="spellStart"/>
      <w:r w:rsidRPr="00251717">
        <w:rPr>
          <w:rFonts w:cs="Times New Roman"/>
          <w:lang w:val="en-US"/>
        </w:rPr>
        <w:t>Fundira</w:t>
      </w:r>
      <w:proofErr w:type="spellEnd"/>
      <w:r w:rsidRPr="00251717">
        <w:rPr>
          <w:rFonts w:cs="Times New Roman"/>
          <w:lang w:val="en-US"/>
        </w:rPr>
        <w:t>, M.A. (2025) </w:t>
      </w:r>
      <w:r w:rsidRPr="00251717">
        <w:rPr>
          <w:rFonts w:cs="Times New Roman"/>
          <w:i/>
          <w:iCs/>
          <w:lang w:val="en-US"/>
        </w:rPr>
        <w:t>AI ethics in banking services: A bibliometric analysis</w:t>
      </w:r>
      <w:r w:rsidRPr="00251717">
        <w:rPr>
          <w:rFonts w:cs="Times New Roman"/>
          <w:lang w:val="en-US"/>
        </w:rPr>
        <w:t>. Journal of Financial Innovation.</w:t>
      </w:r>
      <w:r w:rsidRPr="00251717">
        <w:rPr>
          <w:rFonts w:cs="Times New Roman"/>
          <w:lang w:val="en-US"/>
        </w:rPr>
        <w:br/>
        <w:t>Available at: </w:t>
      </w:r>
      <w:hyperlink r:id="rId32" w:tgtFrame="_new" w:history="1">
        <w:r w:rsidRPr="00251717">
          <w:rPr>
            <w:rStyle w:val="Hyperlink"/>
            <w:rFonts w:cs="Times New Roman"/>
            <w:lang w:val="en-US"/>
          </w:rPr>
          <w:t>https://link.springer.com/article/10.1007/s44163-025-00432-4</w:t>
        </w:r>
      </w:hyperlink>
    </w:p>
    <w:p w14:paraId="0EC4A758" w14:textId="77777777" w:rsidR="009715D5" w:rsidRPr="004C6D84" w:rsidRDefault="009715D5" w:rsidP="0064364D">
      <w:pPr>
        <w:spacing w:before="240" w:after="240"/>
        <w:rPr>
          <w:rFonts w:cs="Times New Roman"/>
          <w:lang w:val="en-GB"/>
        </w:rPr>
      </w:pPr>
      <w:r w:rsidRPr="004C6D84">
        <w:rPr>
          <w:rFonts w:cs="Times New Roman"/>
          <w:lang w:val="en-GB"/>
        </w:rPr>
        <w:lastRenderedPageBreak/>
        <w:t xml:space="preserve">GDPR. (2018). </w:t>
      </w:r>
      <w:r w:rsidRPr="004C6D84">
        <w:rPr>
          <w:rFonts w:cs="Times New Roman"/>
          <w:i/>
          <w:iCs/>
          <w:lang w:val="en-GB"/>
        </w:rPr>
        <w:t>General Data Protection Regulation (GDPR)</w:t>
      </w:r>
      <w:r w:rsidRPr="004C6D84">
        <w:rPr>
          <w:rFonts w:cs="Times New Roman"/>
          <w:lang w:val="en-GB"/>
        </w:rPr>
        <w:t xml:space="preserve">. GDPR. </w:t>
      </w:r>
      <w:hyperlink r:id="rId33" w:history="1">
        <w:r w:rsidRPr="004C6D84">
          <w:rPr>
            <w:rStyle w:val="Hyperlink"/>
            <w:rFonts w:cs="Times New Roman"/>
            <w:lang w:val="en-GB"/>
          </w:rPr>
          <w:t>https://gdpr-info.eu/</w:t>
        </w:r>
      </w:hyperlink>
      <w:r w:rsidRPr="004C6D84">
        <w:rPr>
          <w:rFonts w:cs="Times New Roman"/>
          <w:lang w:val="en-GB"/>
        </w:rPr>
        <w:t xml:space="preserve"> </w:t>
      </w:r>
    </w:p>
    <w:p w14:paraId="29549976" w14:textId="77777777" w:rsidR="009715D5" w:rsidRPr="004C6D84" w:rsidRDefault="009715D5" w:rsidP="0064364D">
      <w:pPr>
        <w:spacing w:before="240" w:after="240"/>
        <w:rPr>
          <w:rFonts w:cs="Times New Roman"/>
          <w:lang w:val="en-GB"/>
        </w:rPr>
      </w:pPr>
      <w:r w:rsidRPr="004C6D84">
        <w:rPr>
          <w:rFonts w:cs="Times New Roman"/>
          <w:lang w:val="en-GB"/>
        </w:rPr>
        <w:t xml:space="preserve">Grafenstein, M., (2022). Reconciling conflicting interests in Data through Data Governance. An analytical framework (and a brief discussion of the Data Governance Act Draft, the Data Act Draft, the AI Regulation Draft, as well as the GDPR). </w:t>
      </w:r>
      <w:hyperlink r:id="rId34" w:history="1">
        <w:r w:rsidRPr="004C6D84">
          <w:rPr>
            <w:rStyle w:val="Hyperlink"/>
            <w:rFonts w:cs="Times New Roman"/>
            <w:lang w:val="en-GB"/>
          </w:rPr>
          <w:t>https://papers.ssrn.com/sol3/Delivery.cfm?abstractid=4104502</w:t>
        </w:r>
      </w:hyperlink>
    </w:p>
    <w:p w14:paraId="2D900A14" w14:textId="77777777" w:rsidR="009715D5" w:rsidRDefault="009715D5" w:rsidP="0064364D">
      <w:pPr>
        <w:spacing w:before="240" w:after="240"/>
        <w:rPr>
          <w:rFonts w:cs="Times New Roman"/>
        </w:rPr>
      </w:pPr>
      <w:proofErr w:type="spellStart"/>
      <w:r w:rsidRPr="00251717">
        <w:rPr>
          <w:rFonts w:cs="Times New Roman"/>
        </w:rPr>
        <w:t>Gyau</w:t>
      </w:r>
      <w:proofErr w:type="spellEnd"/>
      <w:r w:rsidRPr="00251717">
        <w:rPr>
          <w:rFonts w:cs="Times New Roman"/>
        </w:rPr>
        <w:t xml:space="preserve">, E. B., Appiah, M., Gyamfi, B. A., Achie, T., </w:t>
      </w:r>
      <w:r>
        <w:rPr>
          <w:rFonts w:cs="Times New Roman"/>
        </w:rPr>
        <w:t>and</w:t>
      </w:r>
      <w:r w:rsidRPr="00251717">
        <w:rPr>
          <w:rFonts w:cs="Times New Roman"/>
        </w:rPr>
        <w:t xml:space="preserve"> Naeem, M. A. (2024). Transforming banking: Examining the role of AI technology innovation in boosting banks financial performance. </w:t>
      </w:r>
      <w:r w:rsidRPr="00251717">
        <w:rPr>
          <w:rFonts w:cs="Times New Roman"/>
          <w:i/>
          <w:iCs/>
        </w:rPr>
        <w:t>International Review of Financial Analysis</w:t>
      </w:r>
      <w:r w:rsidRPr="00251717">
        <w:rPr>
          <w:rFonts w:cs="Times New Roman"/>
        </w:rPr>
        <w:t>, </w:t>
      </w:r>
      <w:r w:rsidRPr="00251717">
        <w:rPr>
          <w:rFonts w:cs="Times New Roman"/>
          <w:i/>
          <w:iCs/>
        </w:rPr>
        <w:t>96</w:t>
      </w:r>
      <w:r w:rsidRPr="00251717">
        <w:rPr>
          <w:rFonts w:cs="Times New Roman"/>
        </w:rPr>
        <w:t>, 103700.</w:t>
      </w:r>
      <w:r>
        <w:rPr>
          <w:rFonts w:cs="Times New Roman"/>
        </w:rPr>
        <w:t xml:space="preserve"> </w:t>
      </w:r>
      <w:hyperlink r:id="rId35" w:history="1">
        <w:r w:rsidRPr="00AE56D6">
          <w:rPr>
            <w:rStyle w:val="Hyperlink"/>
            <w:rFonts w:cs="Times New Roman"/>
          </w:rPr>
          <w:t>https://www.sciencedirect.com/science/article/pii/S105752192400632X</w:t>
        </w:r>
      </w:hyperlink>
      <w:r>
        <w:rPr>
          <w:rFonts w:cs="Times New Roman"/>
        </w:rPr>
        <w:t xml:space="preserve"> </w:t>
      </w:r>
    </w:p>
    <w:p w14:paraId="09DF5C50" w14:textId="77777777" w:rsidR="009715D5" w:rsidRPr="004C6D84" w:rsidRDefault="009715D5" w:rsidP="0064364D">
      <w:pPr>
        <w:spacing w:before="240" w:after="240"/>
        <w:rPr>
          <w:rFonts w:cs="Times New Roman"/>
          <w:lang w:val="en-GB"/>
        </w:rPr>
      </w:pPr>
      <w:r w:rsidRPr="004C6D84">
        <w:rPr>
          <w:rFonts w:cs="Times New Roman"/>
          <w:lang w:val="en-GB"/>
        </w:rPr>
        <w:t>Hasan, M., Rahman, M.M., Hossain, M.S. and Maraj, M.A.A., 2024. Advancing data security in global banking: innovative big data management techniques. </w:t>
      </w:r>
      <w:r w:rsidRPr="004C6D84">
        <w:rPr>
          <w:rFonts w:cs="Times New Roman"/>
          <w:i/>
          <w:iCs/>
          <w:lang w:val="en-GB"/>
        </w:rPr>
        <w:t>International Journal of Management Information Systems and Data Science</w:t>
      </w:r>
      <w:r w:rsidRPr="004C6D84">
        <w:rPr>
          <w:rFonts w:cs="Times New Roman"/>
          <w:lang w:val="en-GB"/>
        </w:rPr>
        <w:t>, </w:t>
      </w:r>
      <w:r w:rsidRPr="004C6D84">
        <w:rPr>
          <w:rFonts w:cs="Times New Roman"/>
          <w:i/>
          <w:iCs/>
          <w:lang w:val="en-GB"/>
        </w:rPr>
        <w:t>1</w:t>
      </w:r>
      <w:r w:rsidRPr="004C6D84">
        <w:rPr>
          <w:rFonts w:cs="Times New Roman"/>
          <w:lang w:val="en-GB"/>
        </w:rPr>
        <w:t xml:space="preserve">(2), pp.26-37. </w:t>
      </w:r>
      <w:hyperlink r:id="rId36" w:history="1">
        <w:r w:rsidRPr="004C6D84">
          <w:rPr>
            <w:rStyle w:val="Hyperlink"/>
            <w:rFonts w:cs="Times New Roman"/>
            <w:lang w:val="en-GB"/>
          </w:rPr>
          <w:t>https://www.researchgate.net/profile/Md-Mostafizur-Rahman-18/publication/380270469_ADVANCING_DATA_SECURITY_IN_GLOBAL_BANKING_INNOVATIVE_BIG_DATA_MANAGEMENT_TECHNIQUES/links/6634b2787091b94e93ec4ce2/ADVANCING-DATA-SECURITY-IN-GLOBAL-BANKING-INNOVATIVE-BIG-DATA-MANAGEMENT-TECHNIQUES.pdf</w:t>
        </w:r>
      </w:hyperlink>
    </w:p>
    <w:p w14:paraId="58E521A2" w14:textId="77777777" w:rsidR="009715D5" w:rsidRPr="00251717" w:rsidRDefault="009715D5" w:rsidP="00251717">
      <w:pPr>
        <w:spacing w:before="240" w:after="240"/>
        <w:rPr>
          <w:rFonts w:cs="Times New Roman"/>
          <w:lang w:val="en-US"/>
        </w:rPr>
      </w:pPr>
      <w:r w:rsidRPr="00251717">
        <w:rPr>
          <w:rFonts w:cs="Times New Roman"/>
          <w:lang w:val="en-US"/>
        </w:rPr>
        <w:t>Hassan, T. (2025) </w:t>
      </w:r>
      <w:r w:rsidRPr="00251717">
        <w:rPr>
          <w:rFonts w:cs="Times New Roman"/>
          <w:i/>
          <w:iCs/>
          <w:lang w:val="en-US"/>
        </w:rPr>
        <w:t>Artificial intelligence and risk management in financial institutions: Evidence from the UK banking sector</w:t>
      </w:r>
      <w:r w:rsidRPr="00251717">
        <w:rPr>
          <w:rFonts w:cs="Times New Roman"/>
          <w:lang w:val="en-US"/>
        </w:rPr>
        <w:t>.</w:t>
      </w:r>
      <w:r w:rsidRPr="00251717">
        <w:rPr>
          <w:rFonts w:cs="Times New Roman"/>
          <w:lang w:val="en-US"/>
        </w:rPr>
        <w:br/>
        <w:t>Available at: https://www.researchgate.net/publication/397368815</w:t>
      </w:r>
    </w:p>
    <w:p w14:paraId="69482302" w14:textId="77777777" w:rsidR="009715D5" w:rsidRPr="004C6D84" w:rsidRDefault="009715D5" w:rsidP="0064364D">
      <w:pPr>
        <w:spacing w:before="240" w:after="240"/>
        <w:rPr>
          <w:rFonts w:cs="Times New Roman"/>
          <w:lang w:val="en-GB"/>
        </w:rPr>
      </w:pPr>
      <w:r w:rsidRPr="004C6D84">
        <w:rPr>
          <w:rFonts w:cs="Times New Roman"/>
          <w:lang w:val="en-GB"/>
        </w:rPr>
        <w:t>HSBC. (2024). </w:t>
      </w:r>
      <w:r w:rsidRPr="004C6D84">
        <w:rPr>
          <w:rFonts w:cs="Times New Roman"/>
          <w:i/>
          <w:iCs/>
          <w:lang w:val="en-GB"/>
        </w:rPr>
        <w:t>HSBC and AI | HSBC and Digital | HSBC Holdings Plc</w:t>
      </w:r>
      <w:r w:rsidRPr="004C6D84">
        <w:rPr>
          <w:rFonts w:cs="Times New Roman"/>
          <w:lang w:val="en-GB"/>
        </w:rPr>
        <w:t xml:space="preserve">. HSBC. </w:t>
      </w:r>
      <w:hyperlink r:id="rId37" w:history="1">
        <w:r w:rsidRPr="004C6D84">
          <w:rPr>
            <w:rStyle w:val="Hyperlink"/>
            <w:rFonts w:cs="Times New Roman"/>
            <w:lang w:val="en-GB"/>
          </w:rPr>
          <w:t>https://www.hsbc.com/who-we-are/hsbc-and-digital/hsbc-and-ai</w:t>
        </w:r>
      </w:hyperlink>
      <w:r w:rsidRPr="004C6D84">
        <w:rPr>
          <w:rFonts w:cs="Times New Roman"/>
          <w:lang w:val="en-GB"/>
        </w:rPr>
        <w:t xml:space="preserve">  </w:t>
      </w:r>
    </w:p>
    <w:p w14:paraId="0F73F7CB" w14:textId="77777777" w:rsidR="009715D5" w:rsidRPr="004C6D84" w:rsidRDefault="009715D5" w:rsidP="0064364D">
      <w:pPr>
        <w:spacing w:before="240" w:after="240"/>
        <w:rPr>
          <w:rFonts w:cs="Times New Roman"/>
          <w:lang w:val="en-GB"/>
        </w:rPr>
      </w:pPr>
      <w:r w:rsidRPr="004C6D84">
        <w:rPr>
          <w:rFonts w:cs="Times New Roman"/>
          <w:lang w:val="en-GB"/>
        </w:rPr>
        <w:t>HSBC. (2024). </w:t>
      </w:r>
      <w:r w:rsidRPr="004C6D84">
        <w:rPr>
          <w:rFonts w:cs="Times New Roman"/>
          <w:i/>
          <w:iCs/>
          <w:lang w:val="en-GB"/>
        </w:rPr>
        <w:t>Who we are | HSBC Holdings plc</w:t>
      </w:r>
      <w:r w:rsidRPr="004C6D84">
        <w:rPr>
          <w:rFonts w:cs="Times New Roman"/>
          <w:lang w:val="en-GB"/>
        </w:rPr>
        <w:t xml:space="preserve">. HSBC. </w:t>
      </w:r>
      <w:hyperlink r:id="rId38" w:history="1">
        <w:r w:rsidRPr="004C6D84">
          <w:rPr>
            <w:rStyle w:val="Hyperlink"/>
            <w:rFonts w:cs="Times New Roman"/>
            <w:lang w:val="en-GB"/>
          </w:rPr>
          <w:t>https://www.hsbc.com/who-we-are</w:t>
        </w:r>
      </w:hyperlink>
    </w:p>
    <w:p w14:paraId="6EF5E815" w14:textId="77777777" w:rsidR="009715D5" w:rsidRPr="00251717" w:rsidRDefault="009715D5" w:rsidP="00251717">
      <w:pPr>
        <w:spacing w:before="240" w:after="240"/>
        <w:rPr>
          <w:rFonts w:cs="Times New Roman"/>
          <w:lang w:val="en-US"/>
        </w:rPr>
      </w:pPr>
      <w:r w:rsidRPr="00251717">
        <w:rPr>
          <w:rFonts w:cs="Times New Roman"/>
          <w:lang w:val="en-US"/>
        </w:rPr>
        <w:t>Ibrahim, S. (2025) </w:t>
      </w:r>
      <w:r w:rsidRPr="00251717">
        <w:rPr>
          <w:rFonts w:cs="Times New Roman"/>
          <w:i/>
          <w:iCs/>
          <w:lang w:val="en-US"/>
        </w:rPr>
        <w:t>IT governance, audit and risk management in banking</w:t>
      </w:r>
      <w:r w:rsidRPr="00251717">
        <w:rPr>
          <w:rFonts w:cs="Times New Roman"/>
          <w:lang w:val="en-US"/>
        </w:rPr>
        <w:t>.</w:t>
      </w:r>
      <w:r w:rsidRPr="00251717">
        <w:rPr>
          <w:rFonts w:cs="Times New Roman"/>
          <w:lang w:val="en-US"/>
        </w:rPr>
        <w:br/>
        <w:t>Available at: </w:t>
      </w:r>
      <w:hyperlink r:id="rId39" w:tgtFrame="_new" w:history="1">
        <w:r w:rsidRPr="00251717">
          <w:rPr>
            <w:rStyle w:val="Hyperlink"/>
            <w:rFonts w:cs="Times New Roman"/>
            <w:lang w:val="en-US"/>
          </w:rPr>
          <w:t>https://papers.academic-conferences.org/index.php/icair/article/view/4352</w:t>
        </w:r>
      </w:hyperlink>
    </w:p>
    <w:p w14:paraId="6AD55674" w14:textId="77777777" w:rsidR="009715D5" w:rsidRPr="004C6D84" w:rsidRDefault="009715D5" w:rsidP="0064364D">
      <w:pPr>
        <w:spacing w:before="240" w:after="240"/>
        <w:rPr>
          <w:rFonts w:cs="Times New Roman"/>
          <w:lang w:val="en-GB"/>
        </w:rPr>
      </w:pPr>
      <w:r w:rsidRPr="004C6D84">
        <w:rPr>
          <w:rFonts w:cs="Times New Roman"/>
          <w:lang w:val="en-GB"/>
        </w:rPr>
        <w:t>Islam, S., (2023). Ethical and Regulatory Challenges of AI Adoption in the Banking Sector: A Global Perspective. </w:t>
      </w:r>
      <w:r w:rsidRPr="004C6D84">
        <w:rPr>
          <w:rFonts w:cs="Times New Roman"/>
          <w:i/>
          <w:iCs/>
          <w:lang w:val="en-GB"/>
        </w:rPr>
        <w:t>Frontiers in Computer Science and Artificial Intelligence</w:t>
      </w:r>
      <w:r w:rsidRPr="004C6D84">
        <w:rPr>
          <w:rFonts w:cs="Times New Roman"/>
          <w:lang w:val="en-GB"/>
        </w:rPr>
        <w:t>, </w:t>
      </w:r>
      <w:r w:rsidRPr="004C6D84">
        <w:rPr>
          <w:rFonts w:cs="Times New Roman"/>
          <w:i/>
          <w:iCs/>
          <w:lang w:val="en-GB"/>
        </w:rPr>
        <w:t>2</w:t>
      </w:r>
      <w:r w:rsidRPr="004C6D84">
        <w:rPr>
          <w:rFonts w:cs="Times New Roman"/>
          <w:lang w:val="en-GB"/>
        </w:rPr>
        <w:t xml:space="preserve">(2), pp.01-14. </w:t>
      </w:r>
      <w:hyperlink r:id="rId40" w:history="1">
        <w:r w:rsidRPr="004C6D84">
          <w:rPr>
            <w:rStyle w:val="Hyperlink"/>
            <w:rFonts w:cs="Times New Roman"/>
            <w:lang w:val="en-GB"/>
          </w:rPr>
          <w:t>https://al-kindipublishers.org/index.php/fcsai/article/download/11523/10260</w:t>
        </w:r>
      </w:hyperlink>
    </w:p>
    <w:p w14:paraId="15627E7A" w14:textId="77777777" w:rsidR="009715D5" w:rsidRPr="004C6D84" w:rsidRDefault="009715D5" w:rsidP="0064364D">
      <w:pPr>
        <w:spacing w:before="240" w:after="240"/>
        <w:rPr>
          <w:rFonts w:cs="Times New Roman"/>
          <w:lang w:val="en-GB"/>
        </w:rPr>
      </w:pPr>
      <w:r w:rsidRPr="004C6D84">
        <w:rPr>
          <w:rFonts w:cs="Times New Roman"/>
          <w:lang w:val="en-GB"/>
        </w:rPr>
        <w:lastRenderedPageBreak/>
        <w:t>Jui, T. D., and Rivas, P. (2024). Fairness issues, current approaches, and challenges in machine learning models. </w:t>
      </w:r>
      <w:r w:rsidRPr="004C6D84">
        <w:rPr>
          <w:rFonts w:cs="Times New Roman"/>
          <w:i/>
          <w:iCs/>
          <w:lang w:val="en-GB"/>
        </w:rPr>
        <w:t>International Journal of Machine Learning and Cybernetics</w:t>
      </w:r>
      <w:r w:rsidRPr="004C6D84">
        <w:rPr>
          <w:rFonts w:cs="Times New Roman"/>
          <w:lang w:val="en-GB"/>
        </w:rPr>
        <w:t>, </w:t>
      </w:r>
      <w:r w:rsidRPr="004C6D84">
        <w:rPr>
          <w:rFonts w:cs="Times New Roman"/>
          <w:i/>
          <w:iCs/>
          <w:lang w:val="en-GB"/>
        </w:rPr>
        <w:t>15</w:t>
      </w:r>
      <w:r w:rsidRPr="004C6D84">
        <w:rPr>
          <w:rFonts w:cs="Times New Roman"/>
          <w:lang w:val="en-GB"/>
        </w:rPr>
        <w:t xml:space="preserve">(8), 3095-3125. </w:t>
      </w:r>
      <w:hyperlink r:id="rId41" w:history="1">
        <w:r w:rsidRPr="004C6D84">
          <w:rPr>
            <w:rStyle w:val="Hyperlink"/>
            <w:rFonts w:cs="Times New Roman"/>
            <w:lang w:val="en-GB"/>
          </w:rPr>
          <w:t>https://link.springer.com/content/pdf/10.1007/s13042-023-02083-2.pdf</w:t>
        </w:r>
      </w:hyperlink>
      <w:r w:rsidRPr="004C6D84">
        <w:rPr>
          <w:rFonts w:cs="Times New Roman"/>
          <w:lang w:val="en-GB"/>
        </w:rPr>
        <w:t xml:space="preserve"> </w:t>
      </w:r>
    </w:p>
    <w:p w14:paraId="7E9ADC2B" w14:textId="77777777" w:rsidR="009715D5" w:rsidRPr="00251717" w:rsidRDefault="009715D5" w:rsidP="00251717">
      <w:pPr>
        <w:spacing w:before="240" w:after="240"/>
        <w:rPr>
          <w:rFonts w:cs="Times New Roman"/>
          <w:lang w:val="en-US"/>
        </w:rPr>
      </w:pPr>
      <w:r w:rsidRPr="00251717">
        <w:rPr>
          <w:rFonts w:cs="Times New Roman"/>
          <w:lang w:val="en-US"/>
        </w:rPr>
        <w:t>Khan, M. (2025) </w:t>
      </w:r>
      <w:r w:rsidRPr="00251717">
        <w:rPr>
          <w:rFonts w:cs="Times New Roman"/>
          <w:i/>
          <w:iCs/>
          <w:lang w:val="en-US"/>
        </w:rPr>
        <w:t>Artificial intelligence in modern banking systems</w:t>
      </w:r>
      <w:r w:rsidRPr="00251717">
        <w:rPr>
          <w:rFonts w:cs="Times New Roman"/>
          <w:lang w:val="en-US"/>
        </w:rPr>
        <w:t>. WJAETS Journal.</w:t>
      </w:r>
      <w:r w:rsidRPr="00251717">
        <w:rPr>
          <w:rFonts w:cs="Times New Roman"/>
          <w:lang w:val="en-US"/>
        </w:rPr>
        <w:br/>
        <w:t>Available at: https://wjaets.com/sites/default/files/WJAETS-2025-1289.pdf</w:t>
      </w:r>
    </w:p>
    <w:p w14:paraId="15FD5343" w14:textId="77777777" w:rsidR="009715D5" w:rsidRPr="00251717" w:rsidRDefault="009715D5" w:rsidP="00251717">
      <w:pPr>
        <w:spacing w:before="240" w:after="240"/>
        <w:rPr>
          <w:rFonts w:cs="Times New Roman"/>
          <w:lang w:val="en-US"/>
        </w:rPr>
      </w:pPr>
      <w:proofErr w:type="spellStart"/>
      <w:r w:rsidRPr="00251717">
        <w:rPr>
          <w:rFonts w:cs="Times New Roman"/>
          <w:lang w:val="en-US"/>
        </w:rPr>
        <w:t>Kuanova</w:t>
      </w:r>
      <w:proofErr w:type="spellEnd"/>
      <w:r w:rsidRPr="00251717">
        <w:rPr>
          <w:rFonts w:cs="Times New Roman"/>
          <w:lang w:val="en-US"/>
        </w:rPr>
        <w:t>, L.A. (2026) </w:t>
      </w:r>
      <w:r w:rsidRPr="00251717">
        <w:rPr>
          <w:rFonts w:cs="Times New Roman"/>
          <w:i/>
          <w:iCs/>
          <w:lang w:val="en-US"/>
        </w:rPr>
        <w:t>Artificial intelligence in banking risk management</w:t>
      </w:r>
      <w:r w:rsidRPr="00251717">
        <w:rPr>
          <w:rFonts w:cs="Times New Roman"/>
          <w:lang w:val="en-US"/>
        </w:rPr>
        <w:t>. Journal of Risk and Financial Management, 14(4), p.93.</w:t>
      </w:r>
      <w:r w:rsidRPr="00251717">
        <w:rPr>
          <w:rFonts w:cs="Times New Roman"/>
          <w:lang w:val="en-US"/>
        </w:rPr>
        <w:br/>
        <w:t>Available at: </w:t>
      </w:r>
      <w:hyperlink r:id="rId42" w:tgtFrame="_new" w:history="1">
        <w:r w:rsidRPr="00251717">
          <w:rPr>
            <w:rStyle w:val="Hyperlink"/>
            <w:rFonts w:cs="Times New Roman"/>
            <w:lang w:val="en-US"/>
          </w:rPr>
          <w:t>https://www.mdpi.com/2227-7072/14/4/93</w:t>
        </w:r>
      </w:hyperlink>
    </w:p>
    <w:p w14:paraId="326FEB8F" w14:textId="77777777" w:rsidR="009715D5" w:rsidRPr="004C6D84" w:rsidRDefault="009715D5" w:rsidP="0064364D">
      <w:pPr>
        <w:spacing w:before="240" w:after="240"/>
        <w:rPr>
          <w:rFonts w:cs="Times New Roman"/>
          <w:lang w:val="en-GB"/>
        </w:rPr>
      </w:pPr>
      <w:proofErr w:type="spellStart"/>
      <w:r w:rsidRPr="004C6D84">
        <w:rPr>
          <w:rFonts w:cs="Times New Roman"/>
          <w:lang w:val="en-GB"/>
        </w:rPr>
        <w:t>Makvandi</w:t>
      </w:r>
      <w:proofErr w:type="spellEnd"/>
      <w:r w:rsidRPr="004C6D84">
        <w:rPr>
          <w:rFonts w:cs="Times New Roman"/>
          <w:lang w:val="en-GB"/>
        </w:rPr>
        <w:t>, R., (2024). Analysis of the impact of macroeconomic factors on the development of financial products: Application of the PESTEL model in identifying opportunities and threats. </w:t>
      </w:r>
      <w:r w:rsidRPr="004C6D84">
        <w:rPr>
          <w:rFonts w:cs="Times New Roman"/>
          <w:i/>
          <w:iCs/>
          <w:lang w:val="en-GB"/>
        </w:rPr>
        <w:t>Transactions on quantitative finance and beyond</w:t>
      </w:r>
      <w:r w:rsidRPr="004C6D84">
        <w:rPr>
          <w:rFonts w:cs="Times New Roman"/>
          <w:lang w:val="en-GB"/>
        </w:rPr>
        <w:t>, </w:t>
      </w:r>
      <w:r w:rsidRPr="004C6D84">
        <w:rPr>
          <w:rFonts w:cs="Times New Roman"/>
          <w:i/>
          <w:iCs/>
          <w:lang w:val="en-GB"/>
        </w:rPr>
        <w:t>1</w:t>
      </w:r>
      <w:r w:rsidRPr="004C6D84">
        <w:rPr>
          <w:rFonts w:cs="Times New Roman"/>
          <w:lang w:val="en-GB"/>
        </w:rPr>
        <w:t xml:space="preserve">(2), pp.233-246. </w:t>
      </w:r>
      <w:hyperlink r:id="rId43" w:history="1">
        <w:r w:rsidRPr="004C6D84">
          <w:rPr>
            <w:rStyle w:val="Hyperlink"/>
            <w:rFonts w:cs="Times New Roman"/>
            <w:lang w:val="en-GB"/>
          </w:rPr>
          <w:t>https://www.tqfb.reapress.com/journal/article/download/40/74</w:t>
        </w:r>
      </w:hyperlink>
    </w:p>
    <w:p w14:paraId="0AACABF6" w14:textId="77777777" w:rsidR="009715D5" w:rsidRPr="004C6D84" w:rsidRDefault="009715D5" w:rsidP="0064364D">
      <w:pPr>
        <w:spacing w:before="240" w:after="240"/>
        <w:rPr>
          <w:rFonts w:cs="Times New Roman"/>
          <w:lang w:val="en-GB"/>
        </w:rPr>
      </w:pPr>
      <w:proofErr w:type="spellStart"/>
      <w:r w:rsidRPr="004C6D84">
        <w:rPr>
          <w:rFonts w:cs="Times New Roman"/>
          <w:lang w:val="en-GB"/>
        </w:rPr>
        <w:t>Mazikana</w:t>
      </w:r>
      <w:proofErr w:type="spellEnd"/>
      <w:r w:rsidRPr="004C6D84">
        <w:rPr>
          <w:rFonts w:cs="Times New Roman"/>
          <w:lang w:val="en-GB"/>
        </w:rPr>
        <w:t xml:space="preserve">, A.T., (2023). Application of </w:t>
      </w:r>
      <w:proofErr w:type="spellStart"/>
      <w:r w:rsidRPr="004C6D84">
        <w:rPr>
          <w:rFonts w:cs="Times New Roman"/>
          <w:lang w:val="en-GB"/>
        </w:rPr>
        <w:t>pestel</w:t>
      </w:r>
      <w:proofErr w:type="spellEnd"/>
      <w:r w:rsidRPr="004C6D84">
        <w:rPr>
          <w:rFonts w:cs="Times New Roman"/>
          <w:lang w:val="en-GB"/>
        </w:rPr>
        <w:t xml:space="preserve"> factors: a case of financial institutions. </w:t>
      </w:r>
      <w:r w:rsidRPr="004C6D84">
        <w:rPr>
          <w:rFonts w:cs="Times New Roman"/>
          <w:i/>
          <w:iCs/>
          <w:lang w:val="en-GB"/>
        </w:rPr>
        <w:t>Available at SSRN 4380768</w:t>
      </w:r>
      <w:r w:rsidRPr="004C6D84">
        <w:rPr>
          <w:rFonts w:cs="Times New Roman"/>
          <w:lang w:val="en-GB"/>
        </w:rPr>
        <w:t xml:space="preserve">. </w:t>
      </w:r>
      <w:hyperlink r:id="rId44" w:history="1">
        <w:r w:rsidRPr="004C6D84">
          <w:rPr>
            <w:rStyle w:val="Hyperlink"/>
            <w:rFonts w:cs="Times New Roman"/>
            <w:lang w:val="en-GB"/>
          </w:rPr>
          <w:t>https://papers.ssrn.com/sol3/Delivery.cfm?abstractid=4380768</w:t>
        </w:r>
      </w:hyperlink>
    </w:p>
    <w:p w14:paraId="1D4DBC22" w14:textId="77777777" w:rsidR="009715D5" w:rsidRPr="004C6D84" w:rsidRDefault="009715D5" w:rsidP="0064364D">
      <w:pPr>
        <w:spacing w:before="240" w:after="240"/>
        <w:rPr>
          <w:rFonts w:cs="Times New Roman"/>
          <w:lang w:val="en-GB"/>
        </w:rPr>
      </w:pPr>
      <w:r w:rsidRPr="004C6D84">
        <w:rPr>
          <w:rFonts w:cs="Times New Roman"/>
          <w:lang w:val="en-GB"/>
        </w:rPr>
        <w:t xml:space="preserve">McKinsey &amp; Company (2023). </w:t>
      </w:r>
      <w:r w:rsidRPr="004C6D84">
        <w:rPr>
          <w:rFonts w:cs="Times New Roman"/>
          <w:i/>
          <w:iCs/>
          <w:lang w:val="en-GB"/>
        </w:rPr>
        <w:t>The economic potential of generative AI The next productivity frontier</w:t>
      </w:r>
      <w:r w:rsidRPr="004C6D84">
        <w:rPr>
          <w:rFonts w:cs="Times New Roman"/>
          <w:lang w:val="en-GB"/>
        </w:rPr>
        <w:t xml:space="preserve">. </w:t>
      </w:r>
      <w:hyperlink r:id="rId45" w:history="1">
        <w:r w:rsidRPr="004C6D84">
          <w:rPr>
            <w:rStyle w:val="Hyperlink"/>
            <w:rFonts w:cs="Times New Roman"/>
            <w:lang w:val="en-GB"/>
          </w:rPr>
          <w:t>https://www.mckinsey.com/~/media/mckinsey/business%20functions/mckinsey%20digital/our%20insights/the%20economic%20potential%20of%20generative%20ai%20the%20next%20productivity%20frontier/the-economic-potential-of-generative-ai-the-next-productivity-frontier.pdf</w:t>
        </w:r>
      </w:hyperlink>
      <w:r w:rsidRPr="004C6D84">
        <w:rPr>
          <w:rFonts w:cs="Times New Roman"/>
          <w:lang w:val="en-GB"/>
        </w:rPr>
        <w:t xml:space="preserve"> </w:t>
      </w:r>
    </w:p>
    <w:p w14:paraId="4A372DEE" w14:textId="77777777" w:rsidR="009715D5" w:rsidRPr="004C6D84" w:rsidRDefault="009715D5" w:rsidP="0064364D">
      <w:pPr>
        <w:spacing w:before="240" w:after="240"/>
        <w:rPr>
          <w:rFonts w:cs="Times New Roman"/>
          <w:lang w:val="en-GB"/>
        </w:rPr>
      </w:pPr>
      <w:proofErr w:type="spellStart"/>
      <w:r w:rsidRPr="004C6D84">
        <w:rPr>
          <w:rFonts w:cs="Times New Roman"/>
          <w:lang w:val="en-GB"/>
        </w:rPr>
        <w:t>Musch</w:t>
      </w:r>
      <w:proofErr w:type="spellEnd"/>
      <w:r w:rsidRPr="004C6D84">
        <w:rPr>
          <w:rFonts w:cs="Times New Roman"/>
          <w:lang w:val="en-GB"/>
        </w:rPr>
        <w:t>, S., Borrelli, M. and Kerrigan, C., (2023). The EU AI Act: a comprehensive regulatory framework for ethical AI development. </w:t>
      </w:r>
      <w:r w:rsidRPr="004C6D84">
        <w:rPr>
          <w:rFonts w:cs="Times New Roman"/>
          <w:i/>
          <w:iCs/>
          <w:lang w:val="en-GB"/>
        </w:rPr>
        <w:t>Available at SSRN 4549248</w:t>
      </w:r>
      <w:r w:rsidRPr="004C6D84">
        <w:rPr>
          <w:rFonts w:cs="Times New Roman"/>
          <w:lang w:val="en-GB"/>
        </w:rPr>
        <w:t xml:space="preserve">. </w:t>
      </w:r>
      <w:hyperlink r:id="rId46" w:history="1">
        <w:r w:rsidRPr="004C6D84">
          <w:rPr>
            <w:rStyle w:val="Hyperlink"/>
            <w:rFonts w:cs="Times New Roman"/>
            <w:lang w:val="en-GB"/>
          </w:rPr>
          <w:t>https://papers.ssrn.com/sol3/Delivery.cfm?abstractid=4549248</w:t>
        </w:r>
      </w:hyperlink>
    </w:p>
    <w:p w14:paraId="41E9EB89" w14:textId="77777777" w:rsidR="009715D5" w:rsidRPr="004C6D84" w:rsidRDefault="009715D5" w:rsidP="0064364D">
      <w:pPr>
        <w:spacing w:before="240" w:after="240"/>
        <w:rPr>
          <w:rFonts w:cs="Times New Roman"/>
          <w:lang w:val="en-GB"/>
        </w:rPr>
      </w:pPr>
      <w:proofErr w:type="spellStart"/>
      <w:r w:rsidRPr="004C6D84">
        <w:rPr>
          <w:rFonts w:cs="Times New Roman"/>
          <w:lang w:val="en-GB"/>
        </w:rPr>
        <w:t>Musch</w:t>
      </w:r>
      <w:proofErr w:type="spellEnd"/>
      <w:r w:rsidRPr="004C6D84">
        <w:rPr>
          <w:rFonts w:cs="Times New Roman"/>
          <w:lang w:val="en-GB"/>
        </w:rPr>
        <w:t xml:space="preserve">, S., Borrelli, M. and Kerrigan, C., (2023). The impact of the </w:t>
      </w:r>
      <w:proofErr w:type="spellStart"/>
      <w:r w:rsidRPr="004C6D84">
        <w:rPr>
          <w:rFonts w:cs="Times New Roman"/>
          <w:lang w:val="en-GB"/>
        </w:rPr>
        <w:t>european</w:t>
      </w:r>
      <w:proofErr w:type="spellEnd"/>
      <w:r w:rsidRPr="004C6D84">
        <w:rPr>
          <w:rFonts w:cs="Times New Roman"/>
          <w:lang w:val="en-GB"/>
        </w:rPr>
        <w:t xml:space="preserve"> union artificial intelligence act on the banking sector: Individuals’ fundamental rights, conflicts of laws and </w:t>
      </w:r>
      <w:proofErr w:type="spellStart"/>
      <w:r w:rsidRPr="004C6D84">
        <w:rPr>
          <w:rFonts w:cs="Times New Roman"/>
          <w:lang w:val="en-GB"/>
        </w:rPr>
        <w:t>brexit</w:t>
      </w:r>
      <w:proofErr w:type="spellEnd"/>
      <w:r w:rsidRPr="004C6D84">
        <w:rPr>
          <w:rFonts w:cs="Times New Roman"/>
          <w:lang w:val="en-GB"/>
        </w:rPr>
        <w:t>. </w:t>
      </w:r>
      <w:r w:rsidRPr="004C6D84">
        <w:rPr>
          <w:rFonts w:cs="Times New Roman"/>
          <w:i/>
          <w:iCs/>
          <w:lang w:val="en-GB"/>
        </w:rPr>
        <w:t>Conflicts of Laws and Brexit (August 23, 2023)</w:t>
      </w:r>
      <w:r w:rsidRPr="004C6D84">
        <w:rPr>
          <w:rFonts w:cs="Times New Roman"/>
          <w:lang w:val="en-GB"/>
        </w:rPr>
        <w:t xml:space="preserve">. </w:t>
      </w:r>
      <w:hyperlink r:id="rId47" w:history="1">
        <w:r w:rsidRPr="004C6D84">
          <w:rPr>
            <w:rStyle w:val="Hyperlink"/>
            <w:rFonts w:cs="Times New Roman"/>
            <w:lang w:val="en-GB"/>
          </w:rPr>
          <w:t>https://papers.ssrn.com/sol3/Delivery.cfm?abstractid=4549256</w:t>
        </w:r>
      </w:hyperlink>
    </w:p>
    <w:p w14:paraId="45FDCC13" w14:textId="77777777" w:rsidR="009715D5" w:rsidRPr="00251717" w:rsidRDefault="009715D5" w:rsidP="00251717">
      <w:pPr>
        <w:spacing w:before="240" w:after="240"/>
        <w:rPr>
          <w:rFonts w:cs="Times New Roman"/>
          <w:lang w:val="en-US"/>
        </w:rPr>
      </w:pPr>
      <w:r w:rsidRPr="00251717">
        <w:rPr>
          <w:rFonts w:cs="Times New Roman"/>
          <w:lang w:val="en-US"/>
        </w:rPr>
        <w:lastRenderedPageBreak/>
        <w:t>Nwachukwu, C. and Okolo, P. (2025) </w:t>
      </w:r>
      <w:r w:rsidRPr="00251717">
        <w:rPr>
          <w:rFonts w:cs="Times New Roman"/>
          <w:i/>
          <w:iCs/>
          <w:lang w:val="en-US"/>
        </w:rPr>
        <w:t>The artificial intelligence governance framework for finance: A control-by-design approach</w:t>
      </w:r>
      <w:r w:rsidRPr="00251717">
        <w:rPr>
          <w:rFonts w:cs="Times New Roman"/>
          <w:lang w:val="en-US"/>
        </w:rPr>
        <w:t>. Finance &amp; Accounting Research Journal, 7(8).</w:t>
      </w:r>
      <w:r w:rsidRPr="00251717">
        <w:rPr>
          <w:rFonts w:cs="Times New Roman"/>
          <w:lang w:val="en-US"/>
        </w:rPr>
        <w:br/>
        <w:t>Available at: </w:t>
      </w:r>
      <w:hyperlink r:id="rId48" w:history="1">
        <w:r w:rsidRPr="00AE56D6">
          <w:rPr>
            <w:rStyle w:val="Hyperlink"/>
            <w:rFonts w:cs="Times New Roman"/>
            <w:lang w:val="en-US"/>
          </w:rPr>
          <w:t>https://www.researchgate.net/publication/395330652</w:t>
        </w:r>
      </w:hyperlink>
      <w:r>
        <w:rPr>
          <w:rFonts w:cs="Times New Roman"/>
          <w:lang w:val="en-US"/>
        </w:rPr>
        <w:t xml:space="preserve"> </w:t>
      </w:r>
    </w:p>
    <w:p w14:paraId="348ABE8F" w14:textId="77777777" w:rsidR="009715D5" w:rsidRPr="004C6D84" w:rsidRDefault="009715D5" w:rsidP="0064364D">
      <w:pPr>
        <w:spacing w:before="240" w:after="240"/>
        <w:rPr>
          <w:rFonts w:cs="Times New Roman"/>
          <w:lang w:val="en-GB"/>
        </w:rPr>
      </w:pPr>
      <w:r w:rsidRPr="004C6D84">
        <w:rPr>
          <w:rFonts w:cs="Times New Roman"/>
          <w:lang w:val="en-GB"/>
        </w:rPr>
        <w:t>Olatunbosun, I.E. and Olatunbosun, A.R., (2025). Artificial Intelligence and Risk Management in Financial Institutions: Evidence from the UK Banking Sector. </w:t>
      </w:r>
      <w:proofErr w:type="spellStart"/>
      <w:r w:rsidRPr="004C6D84">
        <w:rPr>
          <w:rFonts w:cs="Times New Roman"/>
          <w:i/>
          <w:iCs/>
          <w:lang w:val="en-GB"/>
        </w:rPr>
        <w:t>EthAIca</w:t>
      </w:r>
      <w:proofErr w:type="spellEnd"/>
      <w:r w:rsidRPr="004C6D84">
        <w:rPr>
          <w:rFonts w:cs="Times New Roman"/>
          <w:i/>
          <w:iCs/>
          <w:lang w:val="en-GB"/>
        </w:rPr>
        <w:t>: Journal of Ethics, AI and Critical Analysis</w:t>
      </w:r>
      <w:r w:rsidRPr="004C6D84">
        <w:rPr>
          <w:rFonts w:cs="Times New Roman"/>
          <w:lang w:val="en-GB"/>
        </w:rPr>
        <w:t xml:space="preserve">, (4), p.436. </w:t>
      </w:r>
      <w:hyperlink r:id="rId49" w:history="1">
        <w:r w:rsidRPr="004C6D84">
          <w:rPr>
            <w:rStyle w:val="Hyperlink"/>
            <w:rFonts w:cs="Times New Roman"/>
            <w:lang w:val="en-GB"/>
          </w:rPr>
          <w:t>https://dialnet.unirioja.es/descarga/articulo/10457320.pdf</w:t>
        </w:r>
      </w:hyperlink>
    </w:p>
    <w:p w14:paraId="49BD3CA1" w14:textId="77777777" w:rsidR="009715D5" w:rsidRPr="004C6D84" w:rsidRDefault="009715D5" w:rsidP="0064364D">
      <w:pPr>
        <w:spacing w:before="240" w:after="240"/>
        <w:rPr>
          <w:rFonts w:cs="Times New Roman"/>
          <w:lang w:val="en-GB"/>
        </w:rPr>
      </w:pPr>
      <w:proofErr w:type="spellStart"/>
      <w:r w:rsidRPr="004C6D84">
        <w:rPr>
          <w:rFonts w:cs="Times New Roman"/>
          <w:lang w:val="en-GB"/>
        </w:rPr>
        <w:t>Pessach</w:t>
      </w:r>
      <w:proofErr w:type="spellEnd"/>
      <w:r w:rsidRPr="004C6D84">
        <w:rPr>
          <w:rFonts w:cs="Times New Roman"/>
          <w:lang w:val="en-GB"/>
        </w:rPr>
        <w:t>, D. and Shmueli, E., (2022). A review on fairness in machine learning. </w:t>
      </w:r>
      <w:r w:rsidRPr="004C6D84">
        <w:rPr>
          <w:rFonts w:cs="Times New Roman"/>
          <w:i/>
          <w:iCs/>
          <w:lang w:val="en-GB"/>
        </w:rPr>
        <w:t>ACM computing surveys (CSUR)</w:t>
      </w:r>
      <w:r w:rsidRPr="004C6D84">
        <w:rPr>
          <w:rFonts w:cs="Times New Roman"/>
          <w:lang w:val="en-GB"/>
        </w:rPr>
        <w:t>, </w:t>
      </w:r>
      <w:r w:rsidRPr="004C6D84">
        <w:rPr>
          <w:rFonts w:cs="Times New Roman"/>
          <w:i/>
          <w:iCs/>
          <w:lang w:val="en-GB"/>
        </w:rPr>
        <w:t>55</w:t>
      </w:r>
      <w:r w:rsidRPr="004C6D84">
        <w:rPr>
          <w:rFonts w:cs="Times New Roman"/>
          <w:lang w:val="en-GB"/>
        </w:rPr>
        <w:t xml:space="preserve">(3), pp.1-44. </w:t>
      </w:r>
      <w:hyperlink r:id="rId50" w:history="1">
        <w:r w:rsidRPr="004C6D84">
          <w:rPr>
            <w:rStyle w:val="Hyperlink"/>
            <w:rFonts w:cs="Times New Roman"/>
            <w:lang w:val="en-GB"/>
          </w:rPr>
          <w:t>https://dl.acm.org/doi/pdf/10.1145/3494672</w:t>
        </w:r>
      </w:hyperlink>
    </w:p>
    <w:p w14:paraId="7BCBCDAB" w14:textId="77777777" w:rsidR="009715D5" w:rsidRPr="00251717" w:rsidRDefault="009715D5" w:rsidP="00251717">
      <w:pPr>
        <w:spacing w:before="240" w:after="240"/>
        <w:rPr>
          <w:rFonts w:cs="Times New Roman"/>
          <w:lang w:val="en-US"/>
        </w:rPr>
      </w:pPr>
      <w:r w:rsidRPr="00251717">
        <w:rPr>
          <w:rFonts w:cs="Times New Roman"/>
          <w:lang w:val="en-US"/>
        </w:rPr>
        <w:t>Petrova, L. (2025) </w:t>
      </w:r>
      <w:r w:rsidRPr="00251717">
        <w:rPr>
          <w:rFonts w:cs="Times New Roman"/>
          <w:i/>
          <w:iCs/>
          <w:lang w:val="en-US"/>
        </w:rPr>
        <w:t>Leveraging AI for sustainability in banking</w:t>
      </w:r>
      <w:r w:rsidRPr="00251717">
        <w:rPr>
          <w:rFonts w:cs="Times New Roman"/>
          <w:lang w:val="en-US"/>
        </w:rPr>
        <w:t>. International Journal of Engineering and Management Research.</w:t>
      </w:r>
      <w:r w:rsidRPr="00251717">
        <w:rPr>
          <w:rFonts w:cs="Times New Roman"/>
          <w:lang w:val="en-US"/>
        </w:rPr>
        <w:br/>
        <w:t>Available at: </w:t>
      </w:r>
      <w:hyperlink r:id="rId51" w:tgtFrame="_new" w:history="1">
        <w:r w:rsidRPr="00251717">
          <w:rPr>
            <w:rStyle w:val="Hyperlink"/>
            <w:rFonts w:cs="Times New Roman"/>
            <w:lang w:val="en-US"/>
          </w:rPr>
          <w:t>https://www.granthaalayahpublication.org/ijetmr-ojms/ijetmr/article/view/1624</w:t>
        </w:r>
      </w:hyperlink>
    </w:p>
    <w:p w14:paraId="549E0983" w14:textId="77777777" w:rsidR="009715D5" w:rsidRPr="00251717" w:rsidRDefault="009715D5" w:rsidP="00251717">
      <w:pPr>
        <w:spacing w:before="240" w:after="240"/>
        <w:rPr>
          <w:rFonts w:cs="Times New Roman"/>
          <w:lang w:val="en-US"/>
        </w:rPr>
      </w:pPr>
      <w:r w:rsidRPr="00251717">
        <w:rPr>
          <w:rFonts w:cs="Times New Roman"/>
          <w:lang w:val="en-US"/>
        </w:rPr>
        <w:t>Rahman, S. (2026) </w:t>
      </w:r>
      <w:r w:rsidRPr="00251717">
        <w:rPr>
          <w:rFonts w:cs="Times New Roman"/>
          <w:i/>
          <w:iCs/>
          <w:lang w:val="en-US"/>
        </w:rPr>
        <w:t>Responsible AI governance in banking: A comparative regulatory analysis</w:t>
      </w:r>
      <w:r w:rsidRPr="00251717">
        <w:rPr>
          <w:rFonts w:cs="Times New Roman"/>
          <w:lang w:val="en-US"/>
        </w:rPr>
        <w:t>.</w:t>
      </w:r>
      <w:r w:rsidRPr="00251717">
        <w:rPr>
          <w:rFonts w:cs="Times New Roman"/>
          <w:lang w:val="en-US"/>
        </w:rPr>
        <w:br/>
        <w:t>Available at: </w:t>
      </w:r>
      <w:hyperlink r:id="rId52" w:history="1">
        <w:r w:rsidRPr="00251717">
          <w:rPr>
            <w:rStyle w:val="Hyperlink"/>
            <w:rFonts w:cs="Times New Roman"/>
            <w:lang w:val="en-US"/>
          </w:rPr>
          <w:t>https://ijctjournal.org/responsible-ai-governance-banking/</w:t>
        </w:r>
      </w:hyperlink>
      <w:r w:rsidRPr="00251717">
        <w:rPr>
          <w:rFonts w:cs="Times New Roman"/>
          <w:lang w:val="en-US"/>
        </w:rPr>
        <w:t xml:space="preserve">  </w:t>
      </w:r>
    </w:p>
    <w:p w14:paraId="4DDFD21D" w14:textId="77777777" w:rsidR="009715D5" w:rsidRDefault="009715D5" w:rsidP="0064364D">
      <w:pPr>
        <w:spacing w:before="240" w:after="240"/>
        <w:rPr>
          <w:rFonts w:cs="Times New Roman"/>
        </w:rPr>
      </w:pPr>
      <w:proofErr w:type="spellStart"/>
      <w:r w:rsidRPr="007B3728">
        <w:rPr>
          <w:rFonts w:cs="Times New Roman"/>
        </w:rPr>
        <w:t>Ridzuan</w:t>
      </w:r>
      <w:proofErr w:type="spellEnd"/>
      <w:r w:rsidRPr="007B3728">
        <w:rPr>
          <w:rFonts w:cs="Times New Roman"/>
        </w:rPr>
        <w:t xml:space="preserve">, N. N., Masri, M., </w:t>
      </w:r>
      <w:proofErr w:type="spellStart"/>
      <w:r w:rsidRPr="007B3728">
        <w:rPr>
          <w:rFonts w:cs="Times New Roman"/>
        </w:rPr>
        <w:t>Anshari</w:t>
      </w:r>
      <w:proofErr w:type="spellEnd"/>
      <w:r w:rsidRPr="007B3728">
        <w:rPr>
          <w:rFonts w:cs="Times New Roman"/>
        </w:rPr>
        <w:t>, M., Fitriyani, N. L., &amp; Syafrudin, M. (2024). AI in the financial sector: The line between innovation, regulation and ethical responsibility. </w:t>
      </w:r>
      <w:r w:rsidRPr="007B3728">
        <w:rPr>
          <w:rFonts w:cs="Times New Roman"/>
          <w:i/>
          <w:iCs/>
        </w:rPr>
        <w:t>Information</w:t>
      </w:r>
      <w:r w:rsidRPr="007B3728">
        <w:rPr>
          <w:rFonts w:cs="Times New Roman"/>
        </w:rPr>
        <w:t>, </w:t>
      </w:r>
      <w:r w:rsidRPr="007B3728">
        <w:rPr>
          <w:rFonts w:cs="Times New Roman"/>
          <w:i/>
          <w:iCs/>
        </w:rPr>
        <w:t>15</w:t>
      </w:r>
      <w:r w:rsidRPr="007B3728">
        <w:rPr>
          <w:rFonts w:cs="Times New Roman"/>
        </w:rPr>
        <w:t>(8), 432.</w:t>
      </w:r>
      <w:r>
        <w:rPr>
          <w:rFonts w:cs="Times New Roman"/>
        </w:rPr>
        <w:t xml:space="preserve"> </w:t>
      </w:r>
      <w:hyperlink r:id="rId53" w:history="1">
        <w:r w:rsidRPr="00AE56D6">
          <w:rPr>
            <w:rStyle w:val="Hyperlink"/>
            <w:rFonts w:cs="Times New Roman"/>
          </w:rPr>
          <w:t>https://www.mdpi.com/2078-2489/15/8/432</w:t>
        </w:r>
      </w:hyperlink>
      <w:r>
        <w:rPr>
          <w:rFonts w:cs="Times New Roman"/>
        </w:rPr>
        <w:t xml:space="preserve"> </w:t>
      </w:r>
    </w:p>
    <w:p w14:paraId="1E8C6F1D" w14:textId="77777777" w:rsidR="009715D5" w:rsidRPr="004C6D84" w:rsidRDefault="009715D5" w:rsidP="0064364D">
      <w:pPr>
        <w:spacing w:before="240" w:after="240"/>
        <w:rPr>
          <w:rFonts w:cs="Times New Roman"/>
          <w:lang w:val="en-GB"/>
        </w:rPr>
      </w:pPr>
      <w:r w:rsidRPr="004C6D84">
        <w:rPr>
          <w:rFonts w:cs="Times New Roman"/>
          <w:lang w:val="en-GB"/>
        </w:rPr>
        <w:t>Sahay, A. and Tiwari, T., (2023). HSBC: Facilitating Trade Finance Through Blockchain. </w:t>
      </w:r>
      <w:r w:rsidRPr="004C6D84">
        <w:rPr>
          <w:rFonts w:cs="Times New Roman"/>
          <w:i/>
          <w:iCs/>
          <w:lang w:val="en-GB"/>
        </w:rPr>
        <w:t>Indian Institute of Management Ahmedabad</w:t>
      </w:r>
      <w:r w:rsidRPr="004C6D84">
        <w:rPr>
          <w:rFonts w:cs="Times New Roman"/>
          <w:lang w:val="en-GB"/>
        </w:rPr>
        <w:t xml:space="preserve">, pp.1-25. </w:t>
      </w:r>
      <w:hyperlink r:id="rId54" w:history="1">
        <w:r w:rsidRPr="004C6D84">
          <w:rPr>
            <w:rStyle w:val="Hyperlink"/>
            <w:rFonts w:cs="Times New Roman"/>
            <w:lang w:val="en-GB"/>
          </w:rPr>
          <w:t>https://www.emerald.com/licima/article-pdf/doi/10.1108/CASE.IIMA.2023.000016/3370896/case_iima_2023_000016.pdf</w:t>
        </w:r>
      </w:hyperlink>
    </w:p>
    <w:p w14:paraId="0C8F7771" w14:textId="77777777" w:rsidR="009715D5" w:rsidRPr="00251717" w:rsidRDefault="009715D5" w:rsidP="00251717">
      <w:pPr>
        <w:spacing w:before="240" w:after="240"/>
        <w:rPr>
          <w:rFonts w:cs="Times New Roman"/>
          <w:lang w:val="en-US"/>
        </w:rPr>
      </w:pPr>
      <w:proofErr w:type="spellStart"/>
      <w:r w:rsidRPr="00251717">
        <w:rPr>
          <w:rFonts w:cs="Times New Roman"/>
          <w:lang w:val="en-US"/>
        </w:rPr>
        <w:t>Saktiawan</w:t>
      </w:r>
      <w:proofErr w:type="spellEnd"/>
      <w:r w:rsidRPr="00251717">
        <w:rPr>
          <w:rFonts w:cs="Times New Roman"/>
          <w:lang w:val="en-US"/>
        </w:rPr>
        <w:t>, B. (2026) </w:t>
      </w:r>
      <w:r w:rsidRPr="00251717">
        <w:rPr>
          <w:rFonts w:cs="Times New Roman"/>
          <w:i/>
          <w:iCs/>
          <w:lang w:val="en-US"/>
        </w:rPr>
        <w:t>AI for financial institution governance: Panacea or poison?</w:t>
      </w:r>
      <w:r w:rsidRPr="00251717">
        <w:rPr>
          <w:rFonts w:cs="Times New Roman"/>
          <w:lang w:val="en-US"/>
        </w:rPr>
        <w:t> Journal of Financial Innovation.</w:t>
      </w:r>
      <w:r w:rsidRPr="00251717">
        <w:rPr>
          <w:rFonts w:cs="Times New Roman"/>
          <w:lang w:val="en-US"/>
        </w:rPr>
        <w:br/>
        <w:t>Available at: </w:t>
      </w:r>
      <w:hyperlink r:id="rId55" w:tgtFrame="_new" w:history="1">
        <w:r w:rsidRPr="00251717">
          <w:rPr>
            <w:rStyle w:val="Hyperlink"/>
            <w:rFonts w:cs="Times New Roman"/>
            <w:lang w:val="en-US"/>
          </w:rPr>
          <w:t>https://www.sciencedirect.com/science/article/pii/S2590051X26000110</w:t>
        </w:r>
      </w:hyperlink>
    </w:p>
    <w:p w14:paraId="76E5DD99" w14:textId="77777777" w:rsidR="009715D5" w:rsidRPr="004C6D84" w:rsidRDefault="009715D5" w:rsidP="0064364D">
      <w:pPr>
        <w:spacing w:before="240" w:after="240"/>
        <w:rPr>
          <w:rFonts w:cs="Times New Roman"/>
          <w:lang w:val="en-GB"/>
        </w:rPr>
      </w:pPr>
      <w:r w:rsidRPr="004C6D84">
        <w:rPr>
          <w:rFonts w:cs="Times New Roman"/>
          <w:lang w:val="en-GB"/>
        </w:rPr>
        <w:t xml:space="preserve">Sawant, K., Soni, H., </w:t>
      </w:r>
      <w:proofErr w:type="spellStart"/>
      <w:r w:rsidRPr="004C6D84">
        <w:rPr>
          <w:rFonts w:cs="Times New Roman"/>
          <w:lang w:val="en-GB"/>
        </w:rPr>
        <w:t>Maharaul</w:t>
      </w:r>
      <w:proofErr w:type="spellEnd"/>
      <w:r w:rsidRPr="004C6D84">
        <w:rPr>
          <w:rFonts w:cs="Times New Roman"/>
          <w:lang w:val="en-GB"/>
        </w:rPr>
        <w:t>, P. and Agarwal, S., (2023). A study of AI in banking system. </w:t>
      </w:r>
      <w:r w:rsidRPr="004C6D84">
        <w:rPr>
          <w:rFonts w:cs="Times New Roman"/>
          <w:i/>
          <w:iCs/>
          <w:lang w:val="en-GB"/>
        </w:rPr>
        <w:t>Korea Review of International Studies</w:t>
      </w:r>
      <w:r w:rsidRPr="004C6D84">
        <w:rPr>
          <w:rFonts w:cs="Times New Roman"/>
          <w:lang w:val="en-GB"/>
        </w:rPr>
        <w:t>, </w:t>
      </w:r>
      <w:r w:rsidRPr="004C6D84">
        <w:rPr>
          <w:rFonts w:cs="Times New Roman"/>
          <w:i/>
          <w:iCs/>
          <w:lang w:val="en-GB"/>
        </w:rPr>
        <w:t>16</w:t>
      </w:r>
      <w:r w:rsidRPr="004C6D84">
        <w:rPr>
          <w:rFonts w:cs="Times New Roman"/>
          <w:lang w:val="en-GB"/>
        </w:rPr>
        <w:t xml:space="preserve">(6), p.36. </w:t>
      </w:r>
      <w:hyperlink r:id="rId56" w:history="1">
        <w:r w:rsidRPr="004C6D84">
          <w:rPr>
            <w:rStyle w:val="Hyperlink"/>
            <w:rFonts w:cs="Times New Roman"/>
            <w:lang w:val="en-GB"/>
          </w:rPr>
          <w:t>https://www.universalai.in/wp-content/uploads/2020/03/A-STUDY-OF-AI-IN-BANKING-SYSTEM-KRI160616.pdf</w:t>
        </w:r>
      </w:hyperlink>
    </w:p>
    <w:p w14:paraId="6B733595" w14:textId="77777777" w:rsidR="009715D5" w:rsidRPr="00251717" w:rsidRDefault="009715D5" w:rsidP="00251717">
      <w:pPr>
        <w:spacing w:before="240" w:after="240"/>
        <w:rPr>
          <w:rFonts w:cs="Times New Roman"/>
          <w:lang w:val="en-US"/>
        </w:rPr>
      </w:pPr>
      <w:r w:rsidRPr="00251717">
        <w:rPr>
          <w:rFonts w:cs="Times New Roman"/>
          <w:lang w:val="en-US"/>
        </w:rPr>
        <w:t>Skouloudis, A. et al. (2025) </w:t>
      </w:r>
      <w:r w:rsidRPr="00251717">
        <w:rPr>
          <w:rFonts w:cs="Times New Roman"/>
          <w:i/>
          <w:iCs/>
          <w:lang w:val="en-US"/>
        </w:rPr>
        <w:t>Responsible AI in financial services</w:t>
      </w:r>
      <w:r w:rsidRPr="00251717">
        <w:rPr>
          <w:rFonts w:cs="Times New Roman"/>
          <w:lang w:val="en-US"/>
        </w:rPr>
        <w:t>. AI Journal, 6(8).</w:t>
      </w:r>
      <w:r w:rsidRPr="00251717">
        <w:rPr>
          <w:rFonts w:cs="Times New Roman"/>
          <w:lang w:val="en-US"/>
        </w:rPr>
        <w:br/>
        <w:t>Available at: </w:t>
      </w:r>
      <w:hyperlink r:id="rId57" w:tgtFrame="_new" w:history="1">
        <w:r w:rsidRPr="00251717">
          <w:rPr>
            <w:rStyle w:val="Hyperlink"/>
            <w:rFonts w:cs="Times New Roman"/>
            <w:lang w:val="en-US"/>
          </w:rPr>
          <w:t>https://www.mdpi.com/2673-2688/6/8/169</w:t>
        </w:r>
      </w:hyperlink>
    </w:p>
    <w:p w14:paraId="3DDB90D6" w14:textId="77777777" w:rsidR="009715D5" w:rsidRPr="00251717" w:rsidRDefault="009715D5" w:rsidP="00251717">
      <w:pPr>
        <w:spacing w:before="240" w:after="240"/>
        <w:rPr>
          <w:rFonts w:cs="Times New Roman"/>
          <w:lang w:val="en-US"/>
        </w:rPr>
      </w:pPr>
      <w:r w:rsidRPr="00251717">
        <w:rPr>
          <w:rFonts w:cs="Times New Roman"/>
          <w:lang w:val="en-US"/>
        </w:rPr>
        <w:lastRenderedPageBreak/>
        <w:t>Smith, J. (2025) </w:t>
      </w:r>
      <w:r w:rsidRPr="00251717">
        <w:rPr>
          <w:rFonts w:cs="Times New Roman"/>
          <w:i/>
          <w:iCs/>
          <w:lang w:val="en-US"/>
        </w:rPr>
        <w:t>AI-driven innovations in banking: Enhancing risk compliance</w:t>
      </w:r>
      <w:r w:rsidRPr="00251717">
        <w:rPr>
          <w:rFonts w:cs="Times New Roman"/>
          <w:lang w:val="en-US"/>
        </w:rPr>
        <w:t>. SSRN Working Paper.</w:t>
      </w:r>
      <w:r w:rsidRPr="00251717">
        <w:rPr>
          <w:rFonts w:cs="Times New Roman"/>
          <w:lang w:val="en-US"/>
        </w:rPr>
        <w:br/>
        <w:t>Available at: </w:t>
      </w:r>
      <w:hyperlink r:id="rId58" w:tgtFrame="_new" w:history="1">
        <w:r w:rsidRPr="00251717">
          <w:rPr>
            <w:rStyle w:val="Hyperlink"/>
            <w:rFonts w:cs="Times New Roman"/>
            <w:lang w:val="en-US"/>
          </w:rPr>
          <w:t>https://papers.ssrn.com/sol3/papers.cfm?abstract_id=5244840</w:t>
        </w:r>
      </w:hyperlink>
    </w:p>
    <w:p w14:paraId="2B503763" w14:textId="77777777" w:rsidR="009715D5" w:rsidRPr="00251717" w:rsidRDefault="009715D5" w:rsidP="00251717">
      <w:pPr>
        <w:spacing w:before="240" w:after="240"/>
        <w:rPr>
          <w:rFonts w:cs="Times New Roman"/>
          <w:lang w:val="en-US"/>
        </w:rPr>
      </w:pPr>
      <w:r w:rsidRPr="00251717">
        <w:rPr>
          <w:rFonts w:cs="Times New Roman"/>
          <w:lang w:val="en-US"/>
        </w:rPr>
        <w:t>Truby, J. (2020) </w:t>
      </w:r>
      <w:r w:rsidRPr="00251717">
        <w:rPr>
          <w:rFonts w:cs="Times New Roman"/>
          <w:i/>
          <w:iCs/>
          <w:lang w:val="en-US"/>
        </w:rPr>
        <w:t>Governing artificial intelligence in finance</w:t>
      </w:r>
      <w:r w:rsidRPr="00251717">
        <w:rPr>
          <w:rFonts w:cs="Times New Roman"/>
          <w:lang w:val="en-US"/>
        </w:rPr>
        <w:t>. Journal of Banking Regulation, 21(3).</w:t>
      </w:r>
      <w:r w:rsidRPr="00251717">
        <w:rPr>
          <w:rFonts w:cs="Times New Roman"/>
          <w:lang w:val="en-US"/>
        </w:rPr>
        <w:br/>
        <w:t>Available at: https://link.springer.com/article/10.1057/s41261-020-00137-8</w:t>
      </w:r>
    </w:p>
    <w:p w14:paraId="3F699C0B" w14:textId="77777777" w:rsidR="009715D5" w:rsidRPr="004C6D84" w:rsidRDefault="009715D5" w:rsidP="0064364D">
      <w:pPr>
        <w:spacing w:before="240" w:after="240"/>
        <w:rPr>
          <w:rFonts w:cs="Times New Roman"/>
          <w:lang w:val="en-GB"/>
        </w:rPr>
      </w:pPr>
      <w:proofErr w:type="spellStart"/>
      <w:r w:rsidRPr="004C6D84">
        <w:rPr>
          <w:rFonts w:cs="Times New Roman"/>
          <w:lang w:val="en-GB"/>
        </w:rPr>
        <w:t>Turksen</w:t>
      </w:r>
      <w:proofErr w:type="spellEnd"/>
      <w:r w:rsidRPr="004C6D84">
        <w:rPr>
          <w:rFonts w:cs="Times New Roman"/>
          <w:lang w:val="en-GB"/>
        </w:rPr>
        <w:t xml:space="preserve">, U., Benson, V. and </w:t>
      </w:r>
      <w:proofErr w:type="spellStart"/>
      <w:r w:rsidRPr="004C6D84">
        <w:rPr>
          <w:rFonts w:cs="Times New Roman"/>
          <w:lang w:val="en-GB"/>
        </w:rPr>
        <w:t>Adamyk</w:t>
      </w:r>
      <w:proofErr w:type="spellEnd"/>
      <w:r w:rsidRPr="004C6D84">
        <w:rPr>
          <w:rFonts w:cs="Times New Roman"/>
          <w:lang w:val="en-GB"/>
        </w:rPr>
        <w:t>, B., (2024). Legal implications of automated suspicious transaction monitoring: enhancing integrity of AI. </w:t>
      </w:r>
      <w:r w:rsidRPr="004C6D84">
        <w:rPr>
          <w:rFonts w:cs="Times New Roman"/>
          <w:i/>
          <w:iCs/>
          <w:lang w:val="en-GB"/>
        </w:rPr>
        <w:t>Journal of Banking Regulation</w:t>
      </w:r>
      <w:r w:rsidRPr="004C6D84">
        <w:rPr>
          <w:rFonts w:cs="Times New Roman"/>
          <w:lang w:val="en-GB"/>
        </w:rPr>
        <w:t>, </w:t>
      </w:r>
      <w:r w:rsidRPr="004C6D84">
        <w:rPr>
          <w:rFonts w:cs="Times New Roman"/>
          <w:i/>
          <w:iCs/>
          <w:lang w:val="en-GB"/>
        </w:rPr>
        <w:t>25</w:t>
      </w:r>
      <w:r w:rsidRPr="004C6D84">
        <w:rPr>
          <w:rFonts w:cs="Times New Roman"/>
          <w:lang w:val="en-GB"/>
        </w:rPr>
        <w:t xml:space="preserve">(4), pp.359-377. </w:t>
      </w:r>
      <w:hyperlink r:id="rId59" w:history="1">
        <w:r w:rsidRPr="004C6D84">
          <w:rPr>
            <w:rStyle w:val="Hyperlink"/>
            <w:rFonts w:cs="Times New Roman"/>
            <w:lang w:val="en-GB"/>
          </w:rPr>
          <w:t>https://link.springer.com/content/pdf/10.1057/s41261-024-00233-2.pdf</w:t>
        </w:r>
      </w:hyperlink>
    </w:p>
    <w:p w14:paraId="51942BFC" w14:textId="77777777" w:rsidR="009715D5" w:rsidRPr="004C6D84" w:rsidRDefault="009715D5" w:rsidP="0064364D">
      <w:pPr>
        <w:spacing w:before="240" w:after="240"/>
        <w:rPr>
          <w:rFonts w:cs="Times New Roman"/>
          <w:lang w:val="en-GB"/>
        </w:rPr>
      </w:pPr>
      <w:r w:rsidRPr="004C6D84">
        <w:rPr>
          <w:rFonts w:cs="Times New Roman"/>
          <w:lang w:val="en-GB"/>
        </w:rPr>
        <w:t xml:space="preserve">UK Treasury Committee. (2024). </w:t>
      </w:r>
      <w:r w:rsidRPr="004C6D84">
        <w:rPr>
          <w:rFonts w:cs="Times New Roman"/>
          <w:i/>
          <w:iCs/>
          <w:lang w:val="en-GB"/>
        </w:rPr>
        <w:t>Artificial intelligence in financial services</w:t>
      </w:r>
      <w:r w:rsidRPr="004C6D84">
        <w:rPr>
          <w:rFonts w:cs="Times New Roman"/>
          <w:lang w:val="en-GB"/>
        </w:rPr>
        <w:t xml:space="preserve">. Parliament.uk. </w:t>
      </w:r>
      <w:hyperlink r:id="rId60" w:history="1">
        <w:r w:rsidRPr="004C6D84">
          <w:rPr>
            <w:rStyle w:val="Hyperlink"/>
            <w:rFonts w:cs="Times New Roman"/>
            <w:lang w:val="en-GB"/>
          </w:rPr>
          <w:t>https://publications.parliament.uk/pa/cm5901/cmselect/cmtreasy/684/report.html</w:t>
        </w:r>
      </w:hyperlink>
    </w:p>
    <w:p w14:paraId="3C684228" w14:textId="77777777" w:rsidR="009715D5" w:rsidRPr="004C6D84" w:rsidRDefault="009715D5" w:rsidP="0064364D">
      <w:pPr>
        <w:spacing w:before="240" w:after="240"/>
        <w:rPr>
          <w:rFonts w:cs="Times New Roman"/>
          <w:lang w:val="en-GB"/>
        </w:rPr>
      </w:pPr>
      <w:proofErr w:type="spellStart"/>
      <w:r w:rsidRPr="004C6D84">
        <w:rPr>
          <w:rFonts w:cs="Times New Roman"/>
          <w:lang w:val="en-GB"/>
        </w:rPr>
        <w:t>Uzougbo</w:t>
      </w:r>
      <w:proofErr w:type="spellEnd"/>
      <w:r w:rsidRPr="004C6D84">
        <w:rPr>
          <w:rFonts w:cs="Times New Roman"/>
          <w:lang w:val="en-GB"/>
        </w:rPr>
        <w:t xml:space="preserve">, N.S., </w:t>
      </w:r>
      <w:proofErr w:type="spellStart"/>
      <w:r w:rsidRPr="004C6D84">
        <w:rPr>
          <w:rFonts w:cs="Times New Roman"/>
          <w:lang w:val="en-GB"/>
        </w:rPr>
        <w:t>Ikegwu</w:t>
      </w:r>
      <w:proofErr w:type="spellEnd"/>
      <w:r w:rsidRPr="004C6D84">
        <w:rPr>
          <w:rFonts w:cs="Times New Roman"/>
          <w:lang w:val="en-GB"/>
        </w:rPr>
        <w:t>, C.G. and Adewusi, A.O., (2024). Legal accountability and ethical considerations of AI in financial services. </w:t>
      </w:r>
      <w:r w:rsidRPr="004C6D84">
        <w:rPr>
          <w:rFonts w:cs="Times New Roman"/>
          <w:i/>
          <w:iCs/>
          <w:lang w:val="en-GB"/>
        </w:rPr>
        <w:t>GSC Advanced Research and Reviews</w:t>
      </w:r>
      <w:r w:rsidRPr="004C6D84">
        <w:rPr>
          <w:rFonts w:cs="Times New Roman"/>
          <w:lang w:val="en-GB"/>
        </w:rPr>
        <w:t>, </w:t>
      </w:r>
      <w:r w:rsidRPr="004C6D84">
        <w:rPr>
          <w:rFonts w:cs="Times New Roman"/>
          <w:i/>
          <w:iCs/>
          <w:lang w:val="en-GB"/>
        </w:rPr>
        <w:t>19</w:t>
      </w:r>
      <w:r w:rsidRPr="004C6D84">
        <w:rPr>
          <w:rFonts w:cs="Times New Roman"/>
          <w:lang w:val="en-GB"/>
        </w:rPr>
        <w:t xml:space="preserve">(02), pp.130-142. </w:t>
      </w:r>
      <w:hyperlink r:id="rId61" w:history="1">
        <w:r w:rsidRPr="004C6D84">
          <w:rPr>
            <w:rStyle w:val="Hyperlink"/>
            <w:rFonts w:cs="Times New Roman"/>
            <w:lang w:val="en-GB"/>
          </w:rPr>
          <w:t>https://www.researchgate.net/profile/Fola-Odion/publication/380542494_Legal_accountability_and_ethical_considerations_of_AI_in_financial_services/links/665538d1479366623a1af410/Legal-accountability-and-ethical-considerations-of-AI-in-financial-services.pdf</w:t>
        </w:r>
      </w:hyperlink>
    </w:p>
    <w:p w14:paraId="06BEC9AF" w14:textId="77777777" w:rsidR="009715D5" w:rsidRDefault="009715D5" w:rsidP="0064364D">
      <w:pPr>
        <w:spacing w:before="240" w:after="240"/>
      </w:pPr>
      <w:r w:rsidRPr="004C6D84">
        <w:rPr>
          <w:rFonts w:cs="Times New Roman"/>
          <w:lang w:val="en-GB"/>
        </w:rPr>
        <w:t>Venna, S.R., (2024). Next-Generation Regulatory Operations: Trends in AI, Data, and Automation. </w:t>
      </w:r>
      <w:r w:rsidRPr="004C6D84">
        <w:rPr>
          <w:rFonts w:cs="Times New Roman"/>
          <w:i/>
          <w:iCs/>
          <w:lang w:val="en-GB"/>
        </w:rPr>
        <w:t>Available at SSRN 5270687</w:t>
      </w:r>
      <w:r w:rsidRPr="004C6D84">
        <w:rPr>
          <w:rFonts w:cs="Times New Roman"/>
          <w:lang w:val="en-GB"/>
        </w:rPr>
        <w:t xml:space="preserve">. </w:t>
      </w:r>
      <w:hyperlink r:id="rId62" w:history="1">
        <w:r w:rsidRPr="004C6D84">
          <w:rPr>
            <w:rStyle w:val="Hyperlink"/>
            <w:rFonts w:cs="Times New Roman"/>
            <w:lang w:val="en-GB"/>
          </w:rPr>
          <w:t>https://papers.ssrn.com/sol3/Delivery.cfm?abstractid=5270687</w:t>
        </w:r>
      </w:hyperlink>
    </w:p>
    <w:p w14:paraId="1C3C5D7B" w14:textId="77777777" w:rsidR="00251717" w:rsidRPr="004C6D84" w:rsidRDefault="00251717" w:rsidP="0064364D">
      <w:pPr>
        <w:spacing w:before="240" w:after="240"/>
        <w:rPr>
          <w:rFonts w:cs="Times New Roman"/>
          <w:lang w:val="en-GB"/>
        </w:rPr>
      </w:pPr>
    </w:p>
    <w:sectPr w:rsidR="00251717" w:rsidRPr="004C6D84" w:rsidSect="00546ABE">
      <w:footerReference w:type="default" r:id="rId63"/>
      <w:pgSz w:w="11906" w:h="16838" w:code="9"/>
      <w:pgMar w:top="1440" w:right="1440" w:bottom="1440" w:left="1440" w:header="709" w:footer="709" w:gutter="0"/>
      <w:pgBorders w:offsetFrom="page">
        <w:top w:val="single" w:sz="4" w:space="24" w:color="auto" w:shadow="1"/>
        <w:left w:val="single" w:sz="4" w:space="24" w:color="auto" w:shadow="1"/>
        <w:bottom w:val="single" w:sz="4" w:space="24" w:color="auto" w:shadow="1"/>
        <w:right w:val="single" w:sz="4" w:space="24" w:color="auto" w:shadow="1"/>
      </w:pgBorders>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6BCCDD05" w14:textId="77777777" w:rsidR="00424F41" w:rsidRDefault="00424F41" w:rsidP="00546ABE">
      <w:pPr>
        <w:spacing w:after="0" w:line="240" w:lineRule="auto"/>
      </w:pPr>
      <w:r>
        <w:separator/>
      </w:r>
    </w:p>
  </w:endnote>
  <w:endnote w:type="continuationSeparator" w:id="0">
    <w:p w14:paraId="3F161BFF" w14:textId="77777777" w:rsidR="00424F41" w:rsidRDefault="00424F41" w:rsidP="00546AB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Shruti">
    <w:panose1 w:val="02000500000000000000"/>
    <w:charset w:val="00"/>
    <w:family w:val="swiss"/>
    <w:pitch w:val="variable"/>
    <w:sig w:usb0="00040003" w:usb1="00000000" w:usb2="00000000" w:usb3="00000000" w:csb0="00000001" w:csb1="00000000"/>
  </w:font>
  <w:font w:name="Aptos Display">
    <w:charset w:val="00"/>
    <w:family w:val="swiss"/>
    <w:pitch w:val="variable"/>
    <w:sig w:usb0="20000287" w:usb1="00000003"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612942817"/>
      <w:docPartObj>
        <w:docPartGallery w:val="Page Numbers (Bottom of Page)"/>
        <w:docPartUnique/>
      </w:docPartObj>
    </w:sdtPr>
    <w:sdtEndPr>
      <w:rPr>
        <w:noProof/>
      </w:rPr>
    </w:sdtEndPr>
    <w:sdtContent>
      <w:p w14:paraId="2C624D83" w14:textId="7DDC94C5" w:rsidR="00546ABE" w:rsidRDefault="00546ABE">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217201F4" w14:textId="77777777" w:rsidR="00546ABE" w:rsidRDefault="00546ABE">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30DCEE10" w14:textId="77777777" w:rsidR="00424F41" w:rsidRDefault="00424F41" w:rsidP="00546ABE">
      <w:pPr>
        <w:spacing w:after="0" w:line="240" w:lineRule="auto"/>
      </w:pPr>
      <w:r>
        <w:separator/>
      </w:r>
    </w:p>
  </w:footnote>
  <w:footnote w:type="continuationSeparator" w:id="0">
    <w:p w14:paraId="3E0E5B27" w14:textId="77777777" w:rsidR="00424F41" w:rsidRDefault="00424F41" w:rsidP="00546ABE">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0D812B4"/>
    <w:multiLevelType w:val="multilevel"/>
    <w:tmpl w:val="6930D93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3087516"/>
    <w:multiLevelType w:val="multilevel"/>
    <w:tmpl w:val="25C0A0B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03516A06"/>
    <w:multiLevelType w:val="multilevel"/>
    <w:tmpl w:val="71DC97F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05E95BB2"/>
    <w:multiLevelType w:val="multilevel"/>
    <w:tmpl w:val="EDBE1FB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083349E8"/>
    <w:multiLevelType w:val="multilevel"/>
    <w:tmpl w:val="FCCCA25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0C821076"/>
    <w:multiLevelType w:val="multilevel"/>
    <w:tmpl w:val="882C7EF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10524BCD"/>
    <w:multiLevelType w:val="hybridMultilevel"/>
    <w:tmpl w:val="8D8CD268"/>
    <w:lvl w:ilvl="0" w:tplc="52DAED90">
      <w:numFmt w:val="bullet"/>
      <w:lvlText w:val="•"/>
      <w:lvlJc w:val="left"/>
      <w:pPr>
        <w:ind w:left="1080" w:hanging="720"/>
      </w:pPr>
      <w:rPr>
        <w:rFonts w:ascii="Times New Roman" w:eastAsiaTheme="minorHAnsi" w:hAnsi="Times New Roman" w:cs="Times New Roman" w:hint="default"/>
      </w:rPr>
    </w:lvl>
    <w:lvl w:ilvl="1" w:tplc="590CA9E0" w:tentative="1">
      <w:start w:val="1"/>
      <w:numFmt w:val="bullet"/>
      <w:lvlText w:val="o"/>
      <w:lvlJc w:val="left"/>
      <w:pPr>
        <w:ind w:left="1440" w:hanging="360"/>
      </w:pPr>
      <w:rPr>
        <w:rFonts w:ascii="Courier New" w:hAnsi="Courier New" w:cs="Courier New" w:hint="default"/>
      </w:rPr>
    </w:lvl>
    <w:lvl w:ilvl="2" w:tplc="7ECA79FC" w:tentative="1">
      <w:start w:val="1"/>
      <w:numFmt w:val="bullet"/>
      <w:lvlText w:val=""/>
      <w:lvlJc w:val="left"/>
      <w:pPr>
        <w:ind w:left="2160" w:hanging="360"/>
      </w:pPr>
      <w:rPr>
        <w:rFonts w:ascii="Wingdings" w:hAnsi="Wingdings" w:hint="default"/>
      </w:rPr>
    </w:lvl>
    <w:lvl w:ilvl="3" w:tplc="588695DC" w:tentative="1">
      <w:start w:val="1"/>
      <w:numFmt w:val="bullet"/>
      <w:lvlText w:val=""/>
      <w:lvlJc w:val="left"/>
      <w:pPr>
        <w:ind w:left="2880" w:hanging="360"/>
      </w:pPr>
      <w:rPr>
        <w:rFonts w:ascii="Symbol" w:hAnsi="Symbol" w:hint="default"/>
      </w:rPr>
    </w:lvl>
    <w:lvl w:ilvl="4" w:tplc="96663874" w:tentative="1">
      <w:start w:val="1"/>
      <w:numFmt w:val="bullet"/>
      <w:lvlText w:val="o"/>
      <w:lvlJc w:val="left"/>
      <w:pPr>
        <w:ind w:left="3600" w:hanging="360"/>
      </w:pPr>
      <w:rPr>
        <w:rFonts w:ascii="Courier New" w:hAnsi="Courier New" w:cs="Courier New" w:hint="default"/>
      </w:rPr>
    </w:lvl>
    <w:lvl w:ilvl="5" w:tplc="4D1EF856" w:tentative="1">
      <w:start w:val="1"/>
      <w:numFmt w:val="bullet"/>
      <w:lvlText w:val=""/>
      <w:lvlJc w:val="left"/>
      <w:pPr>
        <w:ind w:left="4320" w:hanging="360"/>
      </w:pPr>
      <w:rPr>
        <w:rFonts w:ascii="Wingdings" w:hAnsi="Wingdings" w:hint="default"/>
      </w:rPr>
    </w:lvl>
    <w:lvl w:ilvl="6" w:tplc="B278443A" w:tentative="1">
      <w:start w:val="1"/>
      <w:numFmt w:val="bullet"/>
      <w:lvlText w:val=""/>
      <w:lvlJc w:val="left"/>
      <w:pPr>
        <w:ind w:left="5040" w:hanging="360"/>
      </w:pPr>
      <w:rPr>
        <w:rFonts w:ascii="Symbol" w:hAnsi="Symbol" w:hint="default"/>
      </w:rPr>
    </w:lvl>
    <w:lvl w:ilvl="7" w:tplc="F2569016" w:tentative="1">
      <w:start w:val="1"/>
      <w:numFmt w:val="bullet"/>
      <w:lvlText w:val="o"/>
      <w:lvlJc w:val="left"/>
      <w:pPr>
        <w:ind w:left="5760" w:hanging="360"/>
      </w:pPr>
      <w:rPr>
        <w:rFonts w:ascii="Courier New" w:hAnsi="Courier New" w:cs="Courier New" w:hint="default"/>
      </w:rPr>
    </w:lvl>
    <w:lvl w:ilvl="8" w:tplc="29B44180" w:tentative="1">
      <w:start w:val="1"/>
      <w:numFmt w:val="bullet"/>
      <w:lvlText w:val=""/>
      <w:lvlJc w:val="left"/>
      <w:pPr>
        <w:ind w:left="6480" w:hanging="360"/>
      </w:pPr>
      <w:rPr>
        <w:rFonts w:ascii="Wingdings" w:hAnsi="Wingdings" w:hint="default"/>
      </w:rPr>
    </w:lvl>
  </w:abstractNum>
  <w:abstractNum w:abstractNumId="7" w15:restartNumberingAfterBreak="0">
    <w:nsid w:val="118429B3"/>
    <w:multiLevelType w:val="hybridMultilevel"/>
    <w:tmpl w:val="F69AFAF8"/>
    <w:lvl w:ilvl="0" w:tplc="EA880F8E">
      <w:start w:val="1"/>
      <w:numFmt w:val="bullet"/>
      <w:lvlText w:val=""/>
      <w:lvlJc w:val="left"/>
      <w:pPr>
        <w:ind w:left="720" w:hanging="360"/>
      </w:pPr>
      <w:rPr>
        <w:rFonts w:ascii="Wingdings" w:hAnsi="Wingdings" w:hint="default"/>
      </w:rPr>
    </w:lvl>
    <w:lvl w:ilvl="1" w:tplc="344A51DA" w:tentative="1">
      <w:start w:val="1"/>
      <w:numFmt w:val="bullet"/>
      <w:lvlText w:val="o"/>
      <w:lvlJc w:val="left"/>
      <w:pPr>
        <w:ind w:left="1440" w:hanging="360"/>
      </w:pPr>
      <w:rPr>
        <w:rFonts w:ascii="Courier New" w:hAnsi="Courier New" w:cs="Courier New" w:hint="default"/>
      </w:rPr>
    </w:lvl>
    <w:lvl w:ilvl="2" w:tplc="8E6C70F0" w:tentative="1">
      <w:start w:val="1"/>
      <w:numFmt w:val="bullet"/>
      <w:lvlText w:val=""/>
      <w:lvlJc w:val="left"/>
      <w:pPr>
        <w:ind w:left="2160" w:hanging="360"/>
      </w:pPr>
      <w:rPr>
        <w:rFonts w:ascii="Wingdings" w:hAnsi="Wingdings" w:hint="default"/>
      </w:rPr>
    </w:lvl>
    <w:lvl w:ilvl="3" w:tplc="16A8775E" w:tentative="1">
      <w:start w:val="1"/>
      <w:numFmt w:val="bullet"/>
      <w:lvlText w:val=""/>
      <w:lvlJc w:val="left"/>
      <w:pPr>
        <w:ind w:left="2880" w:hanging="360"/>
      </w:pPr>
      <w:rPr>
        <w:rFonts w:ascii="Symbol" w:hAnsi="Symbol" w:hint="default"/>
      </w:rPr>
    </w:lvl>
    <w:lvl w:ilvl="4" w:tplc="B780505A" w:tentative="1">
      <w:start w:val="1"/>
      <w:numFmt w:val="bullet"/>
      <w:lvlText w:val="o"/>
      <w:lvlJc w:val="left"/>
      <w:pPr>
        <w:ind w:left="3600" w:hanging="360"/>
      </w:pPr>
      <w:rPr>
        <w:rFonts w:ascii="Courier New" w:hAnsi="Courier New" w:cs="Courier New" w:hint="default"/>
      </w:rPr>
    </w:lvl>
    <w:lvl w:ilvl="5" w:tplc="EF3C9A7A" w:tentative="1">
      <w:start w:val="1"/>
      <w:numFmt w:val="bullet"/>
      <w:lvlText w:val=""/>
      <w:lvlJc w:val="left"/>
      <w:pPr>
        <w:ind w:left="4320" w:hanging="360"/>
      </w:pPr>
      <w:rPr>
        <w:rFonts w:ascii="Wingdings" w:hAnsi="Wingdings" w:hint="default"/>
      </w:rPr>
    </w:lvl>
    <w:lvl w:ilvl="6" w:tplc="B038C41C" w:tentative="1">
      <w:start w:val="1"/>
      <w:numFmt w:val="bullet"/>
      <w:lvlText w:val=""/>
      <w:lvlJc w:val="left"/>
      <w:pPr>
        <w:ind w:left="5040" w:hanging="360"/>
      </w:pPr>
      <w:rPr>
        <w:rFonts w:ascii="Symbol" w:hAnsi="Symbol" w:hint="default"/>
      </w:rPr>
    </w:lvl>
    <w:lvl w:ilvl="7" w:tplc="02E8F62C" w:tentative="1">
      <w:start w:val="1"/>
      <w:numFmt w:val="bullet"/>
      <w:lvlText w:val="o"/>
      <w:lvlJc w:val="left"/>
      <w:pPr>
        <w:ind w:left="5760" w:hanging="360"/>
      </w:pPr>
      <w:rPr>
        <w:rFonts w:ascii="Courier New" w:hAnsi="Courier New" w:cs="Courier New" w:hint="default"/>
      </w:rPr>
    </w:lvl>
    <w:lvl w:ilvl="8" w:tplc="7772E17E" w:tentative="1">
      <w:start w:val="1"/>
      <w:numFmt w:val="bullet"/>
      <w:lvlText w:val=""/>
      <w:lvlJc w:val="left"/>
      <w:pPr>
        <w:ind w:left="6480" w:hanging="360"/>
      </w:pPr>
      <w:rPr>
        <w:rFonts w:ascii="Wingdings" w:hAnsi="Wingdings" w:hint="default"/>
      </w:rPr>
    </w:lvl>
  </w:abstractNum>
  <w:abstractNum w:abstractNumId="8" w15:restartNumberingAfterBreak="0">
    <w:nsid w:val="12351D61"/>
    <w:multiLevelType w:val="hybridMultilevel"/>
    <w:tmpl w:val="742E95D4"/>
    <w:lvl w:ilvl="0" w:tplc="55BA1DCC">
      <w:start w:val="1"/>
      <w:numFmt w:val="bullet"/>
      <w:lvlText w:val=""/>
      <w:lvlJc w:val="left"/>
      <w:pPr>
        <w:ind w:left="720" w:hanging="360"/>
      </w:pPr>
      <w:rPr>
        <w:rFonts w:ascii="Wingdings" w:hAnsi="Wingdings" w:hint="default"/>
      </w:rPr>
    </w:lvl>
    <w:lvl w:ilvl="1" w:tplc="61BCE8C6" w:tentative="1">
      <w:start w:val="1"/>
      <w:numFmt w:val="bullet"/>
      <w:lvlText w:val="o"/>
      <w:lvlJc w:val="left"/>
      <w:pPr>
        <w:ind w:left="1440" w:hanging="360"/>
      </w:pPr>
      <w:rPr>
        <w:rFonts w:ascii="Courier New" w:hAnsi="Courier New" w:cs="Courier New" w:hint="default"/>
      </w:rPr>
    </w:lvl>
    <w:lvl w:ilvl="2" w:tplc="A5509A6C" w:tentative="1">
      <w:start w:val="1"/>
      <w:numFmt w:val="bullet"/>
      <w:lvlText w:val=""/>
      <w:lvlJc w:val="left"/>
      <w:pPr>
        <w:ind w:left="2160" w:hanging="360"/>
      </w:pPr>
      <w:rPr>
        <w:rFonts w:ascii="Wingdings" w:hAnsi="Wingdings" w:hint="default"/>
      </w:rPr>
    </w:lvl>
    <w:lvl w:ilvl="3" w:tplc="8702E5FE" w:tentative="1">
      <w:start w:val="1"/>
      <w:numFmt w:val="bullet"/>
      <w:lvlText w:val=""/>
      <w:lvlJc w:val="left"/>
      <w:pPr>
        <w:ind w:left="2880" w:hanging="360"/>
      </w:pPr>
      <w:rPr>
        <w:rFonts w:ascii="Symbol" w:hAnsi="Symbol" w:hint="default"/>
      </w:rPr>
    </w:lvl>
    <w:lvl w:ilvl="4" w:tplc="D5D02CA0" w:tentative="1">
      <w:start w:val="1"/>
      <w:numFmt w:val="bullet"/>
      <w:lvlText w:val="o"/>
      <w:lvlJc w:val="left"/>
      <w:pPr>
        <w:ind w:left="3600" w:hanging="360"/>
      </w:pPr>
      <w:rPr>
        <w:rFonts w:ascii="Courier New" w:hAnsi="Courier New" w:cs="Courier New" w:hint="default"/>
      </w:rPr>
    </w:lvl>
    <w:lvl w:ilvl="5" w:tplc="6782711A" w:tentative="1">
      <w:start w:val="1"/>
      <w:numFmt w:val="bullet"/>
      <w:lvlText w:val=""/>
      <w:lvlJc w:val="left"/>
      <w:pPr>
        <w:ind w:left="4320" w:hanging="360"/>
      </w:pPr>
      <w:rPr>
        <w:rFonts w:ascii="Wingdings" w:hAnsi="Wingdings" w:hint="default"/>
      </w:rPr>
    </w:lvl>
    <w:lvl w:ilvl="6" w:tplc="6A0250C8" w:tentative="1">
      <w:start w:val="1"/>
      <w:numFmt w:val="bullet"/>
      <w:lvlText w:val=""/>
      <w:lvlJc w:val="left"/>
      <w:pPr>
        <w:ind w:left="5040" w:hanging="360"/>
      </w:pPr>
      <w:rPr>
        <w:rFonts w:ascii="Symbol" w:hAnsi="Symbol" w:hint="default"/>
      </w:rPr>
    </w:lvl>
    <w:lvl w:ilvl="7" w:tplc="6824AA8E" w:tentative="1">
      <w:start w:val="1"/>
      <w:numFmt w:val="bullet"/>
      <w:lvlText w:val="o"/>
      <w:lvlJc w:val="left"/>
      <w:pPr>
        <w:ind w:left="5760" w:hanging="360"/>
      </w:pPr>
      <w:rPr>
        <w:rFonts w:ascii="Courier New" w:hAnsi="Courier New" w:cs="Courier New" w:hint="default"/>
      </w:rPr>
    </w:lvl>
    <w:lvl w:ilvl="8" w:tplc="857ED9F8" w:tentative="1">
      <w:start w:val="1"/>
      <w:numFmt w:val="bullet"/>
      <w:lvlText w:val=""/>
      <w:lvlJc w:val="left"/>
      <w:pPr>
        <w:ind w:left="6480" w:hanging="360"/>
      </w:pPr>
      <w:rPr>
        <w:rFonts w:ascii="Wingdings" w:hAnsi="Wingdings" w:hint="default"/>
      </w:rPr>
    </w:lvl>
  </w:abstractNum>
  <w:abstractNum w:abstractNumId="9" w15:restartNumberingAfterBreak="0">
    <w:nsid w:val="12DC3A2C"/>
    <w:multiLevelType w:val="multilevel"/>
    <w:tmpl w:val="D0A0005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17AB35B1"/>
    <w:multiLevelType w:val="multilevel"/>
    <w:tmpl w:val="F85A48F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1A0B50EE"/>
    <w:multiLevelType w:val="hybridMultilevel"/>
    <w:tmpl w:val="743EFDEC"/>
    <w:lvl w:ilvl="0" w:tplc="5C8011E8">
      <w:numFmt w:val="bullet"/>
      <w:lvlText w:val="•"/>
      <w:lvlJc w:val="left"/>
      <w:pPr>
        <w:ind w:left="1080" w:hanging="720"/>
      </w:pPr>
      <w:rPr>
        <w:rFonts w:ascii="Times New Roman" w:eastAsiaTheme="minorHAnsi" w:hAnsi="Times New Roman" w:cs="Times New Roman" w:hint="default"/>
      </w:rPr>
    </w:lvl>
    <w:lvl w:ilvl="1" w:tplc="35A6701C" w:tentative="1">
      <w:start w:val="1"/>
      <w:numFmt w:val="bullet"/>
      <w:lvlText w:val="o"/>
      <w:lvlJc w:val="left"/>
      <w:pPr>
        <w:ind w:left="1440" w:hanging="360"/>
      </w:pPr>
      <w:rPr>
        <w:rFonts w:ascii="Courier New" w:hAnsi="Courier New" w:cs="Courier New" w:hint="default"/>
      </w:rPr>
    </w:lvl>
    <w:lvl w:ilvl="2" w:tplc="6FB2A302" w:tentative="1">
      <w:start w:val="1"/>
      <w:numFmt w:val="bullet"/>
      <w:lvlText w:val=""/>
      <w:lvlJc w:val="left"/>
      <w:pPr>
        <w:ind w:left="2160" w:hanging="360"/>
      </w:pPr>
      <w:rPr>
        <w:rFonts w:ascii="Wingdings" w:hAnsi="Wingdings" w:hint="default"/>
      </w:rPr>
    </w:lvl>
    <w:lvl w:ilvl="3" w:tplc="F4B8F89A" w:tentative="1">
      <w:start w:val="1"/>
      <w:numFmt w:val="bullet"/>
      <w:lvlText w:val=""/>
      <w:lvlJc w:val="left"/>
      <w:pPr>
        <w:ind w:left="2880" w:hanging="360"/>
      </w:pPr>
      <w:rPr>
        <w:rFonts w:ascii="Symbol" w:hAnsi="Symbol" w:hint="default"/>
      </w:rPr>
    </w:lvl>
    <w:lvl w:ilvl="4" w:tplc="BBAEB174" w:tentative="1">
      <w:start w:val="1"/>
      <w:numFmt w:val="bullet"/>
      <w:lvlText w:val="o"/>
      <w:lvlJc w:val="left"/>
      <w:pPr>
        <w:ind w:left="3600" w:hanging="360"/>
      </w:pPr>
      <w:rPr>
        <w:rFonts w:ascii="Courier New" w:hAnsi="Courier New" w:cs="Courier New" w:hint="default"/>
      </w:rPr>
    </w:lvl>
    <w:lvl w:ilvl="5" w:tplc="5BAA1844" w:tentative="1">
      <w:start w:val="1"/>
      <w:numFmt w:val="bullet"/>
      <w:lvlText w:val=""/>
      <w:lvlJc w:val="left"/>
      <w:pPr>
        <w:ind w:left="4320" w:hanging="360"/>
      </w:pPr>
      <w:rPr>
        <w:rFonts w:ascii="Wingdings" w:hAnsi="Wingdings" w:hint="default"/>
      </w:rPr>
    </w:lvl>
    <w:lvl w:ilvl="6" w:tplc="7264D186" w:tentative="1">
      <w:start w:val="1"/>
      <w:numFmt w:val="bullet"/>
      <w:lvlText w:val=""/>
      <w:lvlJc w:val="left"/>
      <w:pPr>
        <w:ind w:left="5040" w:hanging="360"/>
      </w:pPr>
      <w:rPr>
        <w:rFonts w:ascii="Symbol" w:hAnsi="Symbol" w:hint="default"/>
      </w:rPr>
    </w:lvl>
    <w:lvl w:ilvl="7" w:tplc="7A7C7CE6" w:tentative="1">
      <w:start w:val="1"/>
      <w:numFmt w:val="bullet"/>
      <w:lvlText w:val="o"/>
      <w:lvlJc w:val="left"/>
      <w:pPr>
        <w:ind w:left="5760" w:hanging="360"/>
      </w:pPr>
      <w:rPr>
        <w:rFonts w:ascii="Courier New" w:hAnsi="Courier New" w:cs="Courier New" w:hint="default"/>
      </w:rPr>
    </w:lvl>
    <w:lvl w:ilvl="8" w:tplc="E2C2E05A" w:tentative="1">
      <w:start w:val="1"/>
      <w:numFmt w:val="bullet"/>
      <w:lvlText w:val=""/>
      <w:lvlJc w:val="left"/>
      <w:pPr>
        <w:ind w:left="6480" w:hanging="360"/>
      </w:pPr>
      <w:rPr>
        <w:rFonts w:ascii="Wingdings" w:hAnsi="Wingdings" w:hint="default"/>
      </w:rPr>
    </w:lvl>
  </w:abstractNum>
  <w:abstractNum w:abstractNumId="12" w15:restartNumberingAfterBreak="0">
    <w:nsid w:val="1C8A0AFE"/>
    <w:multiLevelType w:val="multilevel"/>
    <w:tmpl w:val="A9B02E4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27D96F1D"/>
    <w:multiLevelType w:val="multilevel"/>
    <w:tmpl w:val="0B40FFC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15:restartNumberingAfterBreak="0">
    <w:nsid w:val="2AEC4FA6"/>
    <w:multiLevelType w:val="multilevel"/>
    <w:tmpl w:val="BAF00BC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5" w15:restartNumberingAfterBreak="0">
    <w:nsid w:val="2B220132"/>
    <w:multiLevelType w:val="hybridMultilevel"/>
    <w:tmpl w:val="2280DDB0"/>
    <w:lvl w:ilvl="0" w:tplc="3AD69DF6">
      <w:start w:val="1"/>
      <w:numFmt w:val="bullet"/>
      <w:lvlText w:val=""/>
      <w:lvlJc w:val="left"/>
      <w:pPr>
        <w:ind w:left="1080" w:hanging="720"/>
      </w:pPr>
      <w:rPr>
        <w:rFonts w:ascii="Wingdings" w:hAnsi="Wingdings" w:hint="default"/>
      </w:rPr>
    </w:lvl>
    <w:lvl w:ilvl="1" w:tplc="8D8A5616" w:tentative="1">
      <w:start w:val="1"/>
      <w:numFmt w:val="bullet"/>
      <w:lvlText w:val="o"/>
      <w:lvlJc w:val="left"/>
      <w:pPr>
        <w:ind w:left="1440" w:hanging="360"/>
      </w:pPr>
      <w:rPr>
        <w:rFonts w:ascii="Courier New" w:hAnsi="Courier New" w:cs="Courier New" w:hint="default"/>
      </w:rPr>
    </w:lvl>
    <w:lvl w:ilvl="2" w:tplc="F9E8EB9C" w:tentative="1">
      <w:start w:val="1"/>
      <w:numFmt w:val="bullet"/>
      <w:lvlText w:val=""/>
      <w:lvlJc w:val="left"/>
      <w:pPr>
        <w:ind w:left="2160" w:hanging="360"/>
      </w:pPr>
      <w:rPr>
        <w:rFonts w:ascii="Wingdings" w:hAnsi="Wingdings" w:hint="default"/>
      </w:rPr>
    </w:lvl>
    <w:lvl w:ilvl="3" w:tplc="3EE09D72" w:tentative="1">
      <w:start w:val="1"/>
      <w:numFmt w:val="bullet"/>
      <w:lvlText w:val=""/>
      <w:lvlJc w:val="left"/>
      <w:pPr>
        <w:ind w:left="2880" w:hanging="360"/>
      </w:pPr>
      <w:rPr>
        <w:rFonts w:ascii="Symbol" w:hAnsi="Symbol" w:hint="default"/>
      </w:rPr>
    </w:lvl>
    <w:lvl w:ilvl="4" w:tplc="88603378" w:tentative="1">
      <w:start w:val="1"/>
      <w:numFmt w:val="bullet"/>
      <w:lvlText w:val="o"/>
      <w:lvlJc w:val="left"/>
      <w:pPr>
        <w:ind w:left="3600" w:hanging="360"/>
      </w:pPr>
      <w:rPr>
        <w:rFonts w:ascii="Courier New" w:hAnsi="Courier New" w:cs="Courier New" w:hint="default"/>
      </w:rPr>
    </w:lvl>
    <w:lvl w:ilvl="5" w:tplc="DAD6C590" w:tentative="1">
      <w:start w:val="1"/>
      <w:numFmt w:val="bullet"/>
      <w:lvlText w:val=""/>
      <w:lvlJc w:val="left"/>
      <w:pPr>
        <w:ind w:left="4320" w:hanging="360"/>
      </w:pPr>
      <w:rPr>
        <w:rFonts w:ascii="Wingdings" w:hAnsi="Wingdings" w:hint="default"/>
      </w:rPr>
    </w:lvl>
    <w:lvl w:ilvl="6" w:tplc="B650AEE2" w:tentative="1">
      <w:start w:val="1"/>
      <w:numFmt w:val="bullet"/>
      <w:lvlText w:val=""/>
      <w:lvlJc w:val="left"/>
      <w:pPr>
        <w:ind w:left="5040" w:hanging="360"/>
      </w:pPr>
      <w:rPr>
        <w:rFonts w:ascii="Symbol" w:hAnsi="Symbol" w:hint="default"/>
      </w:rPr>
    </w:lvl>
    <w:lvl w:ilvl="7" w:tplc="9AAE7F68" w:tentative="1">
      <w:start w:val="1"/>
      <w:numFmt w:val="bullet"/>
      <w:lvlText w:val="o"/>
      <w:lvlJc w:val="left"/>
      <w:pPr>
        <w:ind w:left="5760" w:hanging="360"/>
      </w:pPr>
      <w:rPr>
        <w:rFonts w:ascii="Courier New" w:hAnsi="Courier New" w:cs="Courier New" w:hint="default"/>
      </w:rPr>
    </w:lvl>
    <w:lvl w:ilvl="8" w:tplc="3058E87C" w:tentative="1">
      <w:start w:val="1"/>
      <w:numFmt w:val="bullet"/>
      <w:lvlText w:val=""/>
      <w:lvlJc w:val="left"/>
      <w:pPr>
        <w:ind w:left="6480" w:hanging="360"/>
      </w:pPr>
      <w:rPr>
        <w:rFonts w:ascii="Wingdings" w:hAnsi="Wingdings" w:hint="default"/>
      </w:rPr>
    </w:lvl>
  </w:abstractNum>
  <w:abstractNum w:abstractNumId="16" w15:restartNumberingAfterBreak="0">
    <w:nsid w:val="31D214F1"/>
    <w:multiLevelType w:val="multilevel"/>
    <w:tmpl w:val="1D2A17DC"/>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7" w15:restartNumberingAfterBreak="0">
    <w:nsid w:val="31EA2578"/>
    <w:multiLevelType w:val="multilevel"/>
    <w:tmpl w:val="28384F6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8" w15:restartNumberingAfterBreak="0">
    <w:nsid w:val="32BF75BD"/>
    <w:multiLevelType w:val="multilevel"/>
    <w:tmpl w:val="426C91C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9" w15:restartNumberingAfterBreak="0">
    <w:nsid w:val="34696DC1"/>
    <w:multiLevelType w:val="hybridMultilevel"/>
    <w:tmpl w:val="A7C48B60"/>
    <w:lvl w:ilvl="0" w:tplc="C1B839BA">
      <w:start w:val="1"/>
      <w:numFmt w:val="bullet"/>
      <w:lvlText w:val=""/>
      <w:lvlJc w:val="left"/>
      <w:pPr>
        <w:ind w:left="720" w:hanging="360"/>
      </w:pPr>
      <w:rPr>
        <w:rFonts w:ascii="Symbol" w:hAnsi="Symbol" w:hint="default"/>
      </w:rPr>
    </w:lvl>
    <w:lvl w:ilvl="1" w:tplc="FBFCBCAE" w:tentative="1">
      <w:start w:val="1"/>
      <w:numFmt w:val="bullet"/>
      <w:lvlText w:val="o"/>
      <w:lvlJc w:val="left"/>
      <w:pPr>
        <w:ind w:left="1440" w:hanging="360"/>
      </w:pPr>
      <w:rPr>
        <w:rFonts w:ascii="Courier New" w:hAnsi="Courier New" w:cs="Courier New" w:hint="default"/>
      </w:rPr>
    </w:lvl>
    <w:lvl w:ilvl="2" w:tplc="02A85638" w:tentative="1">
      <w:start w:val="1"/>
      <w:numFmt w:val="bullet"/>
      <w:lvlText w:val=""/>
      <w:lvlJc w:val="left"/>
      <w:pPr>
        <w:ind w:left="2160" w:hanging="360"/>
      </w:pPr>
      <w:rPr>
        <w:rFonts w:ascii="Wingdings" w:hAnsi="Wingdings" w:hint="default"/>
      </w:rPr>
    </w:lvl>
    <w:lvl w:ilvl="3" w:tplc="028053D8" w:tentative="1">
      <w:start w:val="1"/>
      <w:numFmt w:val="bullet"/>
      <w:lvlText w:val=""/>
      <w:lvlJc w:val="left"/>
      <w:pPr>
        <w:ind w:left="2880" w:hanging="360"/>
      </w:pPr>
      <w:rPr>
        <w:rFonts w:ascii="Symbol" w:hAnsi="Symbol" w:hint="default"/>
      </w:rPr>
    </w:lvl>
    <w:lvl w:ilvl="4" w:tplc="DC58AAAC" w:tentative="1">
      <w:start w:val="1"/>
      <w:numFmt w:val="bullet"/>
      <w:lvlText w:val="o"/>
      <w:lvlJc w:val="left"/>
      <w:pPr>
        <w:ind w:left="3600" w:hanging="360"/>
      </w:pPr>
      <w:rPr>
        <w:rFonts w:ascii="Courier New" w:hAnsi="Courier New" w:cs="Courier New" w:hint="default"/>
      </w:rPr>
    </w:lvl>
    <w:lvl w:ilvl="5" w:tplc="05AE6718" w:tentative="1">
      <w:start w:val="1"/>
      <w:numFmt w:val="bullet"/>
      <w:lvlText w:val=""/>
      <w:lvlJc w:val="left"/>
      <w:pPr>
        <w:ind w:left="4320" w:hanging="360"/>
      </w:pPr>
      <w:rPr>
        <w:rFonts w:ascii="Wingdings" w:hAnsi="Wingdings" w:hint="default"/>
      </w:rPr>
    </w:lvl>
    <w:lvl w:ilvl="6" w:tplc="9FB6817C" w:tentative="1">
      <w:start w:val="1"/>
      <w:numFmt w:val="bullet"/>
      <w:lvlText w:val=""/>
      <w:lvlJc w:val="left"/>
      <w:pPr>
        <w:ind w:left="5040" w:hanging="360"/>
      </w:pPr>
      <w:rPr>
        <w:rFonts w:ascii="Symbol" w:hAnsi="Symbol" w:hint="default"/>
      </w:rPr>
    </w:lvl>
    <w:lvl w:ilvl="7" w:tplc="D0E22E9C" w:tentative="1">
      <w:start w:val="1"/>
      <w:numFmt w:val="bullet"/>
      <w:lvlText w:val="o"/>
      <w:lvlJc w:val="left"/>
      <w:pPr>
        <w:ind w:left="5760" w:hanging="360"/>
      </w:pPr>
      <w:rPr>
        <w:rFonts w:ascii="Courier New" w:hAnsi="Courier New" w:cs="Courier New" w:hint="default"/>
      </w:rPr>
    </w:lvl>
    <w:lvl w:ilvl="8" w:tplc="88F82A0E" w:tentative="1">
      <w:start w:val="1"/>
      <w:numFmt w:val="bullet"/>
      <w:lvlText w:val=""/>
      <w:lvlJc w:val="left"/>
      <w:pPr>
        <w:ind w:left="6480" w:hanging="360"/>
      </w:pPr>
      <w:rPr>
        <w:rFonts w:ascii="Wingdings" w:hAnsi="Wingdings" w:hint="default"/>
      </w:rPr>
    </w:lvl>
  </w:abstractNum>
  <w:abstractNum w:abstractNumId="20" w15:restartNumberingAfterBreak="0">
    <w:nsid w:val="367678D1"/>
    <w:multiLevelType w:val="hybridMultilevel"/>
    <w:tmpl w:val="B4804426"/>
    <w:lvl w:ilvl="0" w:tplc="200CAFBC">
      <w:numFmt w:val="bullet"/>
      <w:lvlText w:val="•"/>
      <w:lvlJc w:val="left"/>
      <w:pPr>
        <w:ind w:left="1080" w:hanging="720"/>
      </w:pPr>
      <w:rPr>
        <w:rFonts w:ascii="Times New Roman" w:eastAsiaTheme="minorHAnsi" w:hAnsi="Times New Roman" w:cs="Times New Roman" w:hint="default"/>
      </w:rPr>
    </w:lvl>
    <w:lvl w:ilvl="1" w:tplc="2E78337C" w:tentative="1">
      <w:start w:val="1"/>
      <w:numFmt w:val="bullet"/>
      <w:lvlText w:val="o"/>
      <w:lvlJc w:val="left"/>
      <w:pPr>
        <w:ind w:left="1440" w:hanging="360"/>
      </w:pPr>
      <w:rPr>
        <w:rFonts w:ascii="Courier New" w:hAnsi="Courier New" w:cs="Courier New" w:hint="default"/>
      </w:rPr>
    </w:lvl>
    <w:lvl w:ilvl="2" w:tplc="8C9CD5E4" w:tentative="1">
      <w:start w:val="1"/>
      <w:numFmt w:val="bullet"/>
      <w:lvlText w:val=""/>
      <w:lvlJc w:val="left"/>
      <w:pPr>
        <w:ind w:left="2160" w:hanging="360"/>
      </w:pPr>
      <w:rPr>
        <w:rFonts w:ascii="Wingdings" w:hAnsi="Wingdings" w:hint="default"/>
      </w:rPr>
    </w:lvl>
    <w:lvl w:ilvl="3" w:tplc="48F661A6" w:tentative="1">
      <w:start w:val="1"/>
      <w:numFmt w:val="bullet"/>
      <w:lvlText w:val=""/>
      <w:lvlJc w:val="left"/>
      <w:pPr>
        <w:ind w:left="2880" w:hanging="360"/>
      </w:pPr>
      <w:rPr>
        <w:rFonts w:ascii="Symbol" w:hAnsi="Symbol" w:hint="default"/>
      </w:rPr>
    </w:lvl>
    <w:lvl w:ilvl="4" w:tplc="722EE346" w:tentative="1">
      <w:start w:val="1"/>
      <w:numFmt w:val="bullet"/>
      <w:lvlText w:val="o"/>
      <w:lvlJc w:val="left"/>
      <w:pPr>
        <w:ind w:left="3600" w:hanging="360"/>
      </w:pPr>
      <w:rPr>
        <w:rFonts w:ascii="Courier New" w:hAnsi="Courier New" w:cs="Courier New" w:hint="default"/>
      </w:rPr>
    </w:lvl>
    <w:lvl w:ilvl="5" w:tplc="AA70F87E" w:tentative="1">
      <w:start w:val="1"/>
      <w:numFmt w:val="bullet"/>
      <w:lvlText w:val=""/>
      <w:lvlJc w:val="left"/>
      <w:pPr>
        <w:ind w:left="4320" w:hanging="360"/>
      </w:pPr>
      <w:rPr>
        <w:rFonts w:ascii="Wingdings" w:hAnsi="Wingdings" w:hint="default"/>
      </w:rPr>
    </w:lvl>
    <w:lvl w:ilvl="6" w:tplc="7BD2AE88" w:tentative="1">
      <w:start w:val="1"/>
      <w:numFmt w:val="bullet"/>
      <w:lvlText w:val=""/>
      <w:lvlJc w:val="left"/>
      <w:pPr>
        <w:ind w:left="5040" w:hanging="360"/>
      </w:pPr>
      <w:rPr>
        <w:rFonts w:ascii="Symbol" w:hAnsi="Symbol" w:hint="default"/>
      </w:rPr>
    </w:lvl>
    <w:lvl w:ilvl="7" w:tplc="418C0C7E" w:tentative="1">
      <w:start w:val="1"/>
      <w:numFmt w:val="bullet"/>
      <w:lvlText w:val="o"/>
      <w:lvlJc w:val="left"/>
      <w:pPr>
        <w:ind w:left="5760" w:hanging="360"/>
      </w:pPr>
      <w:rPr>
        <w:rFonts w:ascii="Courier New" w:hAnsi="Courier New" w:cs="Courier New" w:hint="default"/>
      </w:rPr>
    </w:lvl>
    <w:lvl w:ilvl="8" w:tplc="A3A46DC0" w:tentative="1">
      <w:start w:val="1"/>
      <w:numFmt w:val="bullet"/>
      <w:lvlText w:val=""/>
      <w:lvlJc w:val="left"/>
      <w:pPr>
        <w:ind w:left="6480" w:hanging="360"/>
      </w:pPr>
      <w:rPr>
        <w:rFonts w:ascii="Wingdings" w:hAnsi="Wingdings" w:hint="default"/>
      </w:rPr>
    </w:lvl>
  </w:abstractNum>
  <w:abstractNum w:abstractNumId="21" w15:restartNumberingAfterBreak="0">
    <w:nsid w:val="422A17DE"/>
    <w:multiLevelType w:val="multilevel"/>
    <w:tmpl w:val="C1E0490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2" w15:restartNumberingAfterBreak="0">
    <w:nsid w:val="42904ABA"/>
    <w:multiLevelType w:val="hybridMultilevel"/>
    <w:tmpl w:val="0FFEDAC4"/>
    <w:lvl w:ilvl="0" w:tplc="8250B682">
      <w:start w:val="1"/>
      <w:numFmt w:val="bullet"/>
      <w:lvlText w:val=""/>
      <w:lvlJc w:val="left"/>
      <w:pPr>
        <w:ind w:left="720" w:hanging="360"/>
      </w:pPr>
      <w:rPr>
        <w:rFonts w:ascii="Wingdings" w:hAnsi="Wingdings" w:hint="default"/>
      </w:rPr>
    </w:lvl>
    <w:lvl w:ilvl="1" w:tplc="2F8A4820" w:tentative="1">
      <w:start w:val="1"/>
      <w:numFmt w:val="bullet"/>
      <w:lvlText w:val="o"/>
      <w:lvlJc w:val="left"/>
      <w:pPr>
        <w:ind w:left="1440" w:hanging="360"/>
      </w:pPr>
      <w:rPr>
        <w:rFonts w:ascii="Courier New" w:hAnsi="Courier New" w:cs="Courier New" w:hint="default"/>
      </w:rPr>
    </w:lvl>
    <w:lvl w:ilvl="2" w:tplc="79309F44" w:tentative="1">
      <w:start w:val="1"/>
      <w:numFmt w:val="bullet"/>
      <w:lvlText w:val=""/>
      <w:lvlJc w:val="left"/>
      <w:pPr>
        <w:ind w:left="2160" w:hanging="360"/>
      </w:pPr>
      <w:rPr>
        <w:rFonts w:ascii="Wingdings" w:hAnsi="Wingdings" w:hint="default"/>
      </w:rPr>
    </w:lvl>
    <w:lvl w:ilvl="3" w:tplc="5AC809CE" w:tentative="1">
      <w:start w:val="1"/>
      <w:numFmt w:val="bullet"/>
      <w:lvlText w:val=""/>
      <w:lvlJc w:val="left"/>
      <w:pPr>
        <w:ind w:left="2880" w:hanging="360"/>
      </w:pPr>
      <w:rPr>
        <w:rFonts w:ascii="Symbol" w:hAnsi="Symbol" w:hint="default"/>
      </w:rPr>
    </w:lvl>
    <w:lvl w:ilvl="4" w:tplc="974A8FCC" w:tentative="1">
      <w:start w:val="1"/>
      <w:numFmt w:val="bullet"/>
      <w:lvlText w:val="o"/>
      <w:lvlJc w:val="left"/>
      <w:pPr>
        <w:ind w:left="3600" w:hanging="360"/>
      </w:pPr>
      <w:rPr>
        <w:rFonts w:ascii="Courier New" w:hAnsi="Courier New" w:cs="Courier New" w:hint="default"/>
      </w:rPr>
    </w:lvl>
    <w:lvl w:ilvl="5" w:tplc="144C1D9E" w:tentative="1">
      <w:start w:val="1"/>
      <w:numFmt w:val="bullet"/>
      <w:lvlText w:val=""/>
      <w:lvlJc w:val="left"/>
      <w:pPr>
        <w:ind w:left="4320" w:hanging="360"/>
      </w:pPr>
      <w:rPr>
        <w:rFonts w:ascii="Wingdings" w:hAnsi="Wingdings" w:hint="default"/>
      </w:rPr>
    </w:lvl>
    <w:lvl w:ilvl="6" w:tplc="94D2C404" w:tentative="1">
      <w:start w:val="1"/>
      <w:numFmt w:val="bullet"/>
      <w:lvlText w:val=""/>
      <w:lvlJc w:val="left"/>
      <w:pPr>
        <w:ind w:left="5040" w:hanging="360"/>
      </w:pPr>
      <w:rPr>
        <w:rFonts w:ascii="Symbol" w:hAnsi="Symbol" w:hint="default"/>
      </w:rPr>
    </w:lvl>
    <w:lvl w:ilvl="7" w:tplc="79AE652A" w:tentative="1">
      <w:start w:val="1"/>
      <w:numFmt w:val="bullet"/>
      <w:lvlText w:val="o"/>
      <w:lvlJc w:val="left"/>
      <w:pPr>
        <w:ind w:left="5760" w:hanging="360"/>
      </w:pPr>
      <w:rPr>
        <w:rFonts w:ascii="Courier New" w:hAnsi="Courier New" w:cs="Courier New" w:hint="default"/>
      </w:rPr>
    </w:lvl>
    <w:lvl w:ilvl="8" w:tplc="8408A21C" w:tentative="1">
      <w:start w:val="1"/>
      <w:numFmt w:val="bullet"/>
      <w:lvlText w:val=""/>
      <w:lvlJc w:val="left"/>
      <w:pPr>
        <w:ind w:left="6480" w:hanging="360"/>
      </w:pPr>
      <w:rPr>
        <w:rFonts w:ascii="Wingdings" w:hAnsi="Wingdings" w:hint="default"/>
      </w:rPr>
    </w:lvl>
  </w:abstractNum>
  <w:abstractNum w:abstractNumId="23" w15:restartNumberingAfterBreak="0">
    <w:nsid w:val="457B4BB7"/>
    <w:multiLevelType w:val="hybridMultilevel"/>
    <w:tmpl w:val="A66CF9A4"/>
    <w:lvl w:ilvl="0" w:tplc="512209DC">
      <w:start w:val="1"/>
      <w:numFmt w:val="bullet"/>
      <w:lvlText w:val=""/>
      <w:lvlJc w:val="left"/>
      <w:pPr>
        <w:ind w:left="1080" w:hanging="720"/>
      </w:pPr>
      <w:rPr>
        <w:rFonts w:ascii="Wingdings" w:hAnsi="Wingdings" w:hint="default"/>
      </w:rPr>
    </w:lvl>
    <w:lvl w:ilvl="1" w:tplc="7780D33C" w:tentative="1">
      <w:start w:val="1"/>
      <w:numFmt w:val="bullet"/>
      <w:lvlText w:val="o"/>
      <w:lvlJc w:val="left"/>
      <w:pPr>
        <w:ind w:left="1440" w:hanging="360"/>
      </w:pPr>
      <w:rPr>
        <w:rFonts w:ascii="Courier New" w:hAnsi="Courier New" w:cs="Courier New" w:hint="default"/>
      </w:rPr>
    </w:lvl>
    <w:lvl w:ilvl="2" w:tplc="41003026" w:tentative="1">
      <w:start w:val="1"/>
      <w:numFmt w:val="bullet"/>
      <w:lvlText w:val=""/>
      <w:lvlJc w:val="left"/>
      <w:pPr>
        <w:ind w:left="2160" w:hanging="360"/>
      </w:pPr>
      <w:rPr>
        <w:rFonts w:ascii="Wingdings" w:hAnsi="Wingdings" w:hint="default"/>
      </w:rPr>
    </w:lvl>
    <w:lvl w:ilvl="3" w:tplc="AD341A6C" w:tentative="1">
      <w:start w:val="1"/>
      <w:numFmt w:val="bullet"/>
      <w:lvlText w:val=""/>
      <w:lvlJc w:val="left"/>
      <w:pPr>
        <w:ind w:left="2880" w:hanging="360"/>
      </w:pPr>
      <w:rPr>
        <w:rFonts w:ascii="Symbol" w:hAnsi="Symbol" w:hint="default"/>
      </w:rPr>
    </w:lvl>
    <w:lvl w:ilvl="4" w:tplc="E0A83F64" w:tentative="1">
      <w:start w:val="1"/>
      <w:numFmt w:val="bullet"/>
      <w:lvlText w:val="o"/>
      <w:lvlJc w:val="left"/>
      <w:pPr>
        <w:ind w:left="3600" w:hanging="360"/>
      </w:pPr>
      <w:rPr>
        <w:rFonts w:ascii="Courier New" w:hAnsi="Courier New" w:cs="Courier New" w:hint="default"/>
      </w:rPr>
    </w:lvl>
    <w:lvl w:ilvl="5" w:tplc="551EBA6E" w:tentative="1">
      <w:start w:val="1"/>
      <w:numFmt w:val="bullet"/>
      <w:lvlText w:val=""/>
      <w:lvlJc w:val="left"/>
      <w:pPr>
        <w:ind w:left="4320" w:hanging="360"/>
      </w:pPr>
      <w:rPr>
        <w:rFonts w:ascii="Wingdings" w:hAnsi="Wingdings" w:hint="default"/>
      </w:rPr>
    </w:lvl>
    <w:lvl w:ilvl="6" w:tplc="A260E9E2" w:tentative="1">
      <w:start w:val="1"/>
      <w:numFmt w:val="bullet"/>
      <w:lvlText w:val=""/>
      <w:lvlJc w:val="left"/>
      <w:pPr>
        <w:ind w:left="5040" w:hanging="360"/>
      </w:pPr>
      <w:rPr>
        <w:rFonts w:ascii="Symbol" w:hAnsi="Symbol" w:hint="default"/>
      </w:rPr>
    </w:lvl>
    <w:lvl w:ilvl="7" w:tplc="16FC42CA" w:tentative="1">
      <w:start w:val="1"/>
      <w:numFmt w:val="bullet"/>
      <w:lvlText w:val="o"/>
      <w:lvlJc w:val="left"/>
      <w:pPr>
        <w:ind w:left="5760" w:hanging="360"/>
      </w:pPr>
      <w:rPr>
        <w:rFonts w:ascii="Courier New" w:hAnsi="Courier New" w:cs="Courier New" w:hint="default"/>
      </w:rPr>
    </w:lvl>
    <w:lvl w:ilvl="8" w:tplc="8E6A0910" w:tentative="1">
      <w:start w:val="1"/>
      <w:numFmt w:val="bullet"/>
      <w:lvlText w:val=""/>
      <w:lvlJc w:val="left"/>
      <w:pPr>
        <w:ind w:left="6480" w:hanging="360"/>
      </w:pPr>
      <w:rPr>
        <w:rFonts w:ascii="Wingdings" w:hAnsi="Wingdings" w:hint="default"/>
      </w:rPr>
    </w:lvl>
  </w:abstractNum>
  <w:abstractNum w:abstractNumId="24" w15:restartNumberingAfterBreak="0">
    <w:nsid w:val="57343E88"/>
    <w:multiLevelType w:val="multilevel"/>
    <w:tmpl w:val="3514B0C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5" w15:restartNumberingAfterBreak="0">
    <w:nsid w:val="6587491A"/>
    <w:multiLevelType w:val="hybridMultilevel"/>
    <w:tmpl w:val="9AE4C3FC"/>
    <w:lvl w:ilvl="0" w:tplc="48AC63BA">
      <w:numFmt w:val="bullet"/>
      <w:lvlText w:val="•"/>
      <w:lvlJc w:val="left"/>
      <w:pPr>
        <w:ind w:left="1080" w:hanging="720"/>
      </w:pPr>
      <w:rPr>
        <w:rFonts w:ascii="Times New Roman" w:eastAsiaTheme="minorHAnsi" w:hAnsi="Times New Roman" w:cs="Times New Roman" w:hint="default"/>
      </w:rPr>
    </w:lvl>
    <w:lvl w:ilvl="1" w:tplc="46883104" w:tentative="1">
      <w:start w:val="1"/>
      <w:numFmt w:val="bullet"/>
      <w:lvlText w:val="o"/>
      <w:lvlJc w:val="left"/>
      <w:pPr>
        <w:ind w:left="1440" w:hanging="360"/>
      </w:pPr>
      <w:rPr>
        <w:rFonts w:ascii="Courier New" w:hAnsi="Courier New" w:cs="Courier New" w:hint="default"/>
      </w:rPr>
    </w:lvl>
    <w:lvl w:ilvl="2" w:tplc="B2A05102" w:tentative="1">
      <w:start w:val="1"/>
      <w:numFmt w:val="bullet"/>
      <w:lvlText w:val=""/>
      <w:lvlJc w:val="left"/>
      <w:pPr>
        <w:ind w:left="2160" w:hanging="360"/>
      </w:pPr>
      <w:rPr>
        <w:rFonts w:ascii="Wingdings" w:hAnsi="Wingdings" w:hint="default"/>
      </w:rPr>
    </w:lvl>
    <w:lvl w:ilvl="3" w:tplc="4670B06C" w:tentative="1">
      <w:start w:val="1"/>
      <w:numFmt w:val="bullet"/>
      <w:lvlText w:val=""/>
      <w:lvlJc w:val="left"/>
      <w:pPr>
        <w:ind w:left="2880" w:hanging="360"/>
      </w:pPr>
      <w:rPr>
        <w:rFonts w:ascii="Symbol" w:hAnsi="Symbol" w:hint="default"/>
      </w:rPr>
    </w:lvl>
    <w:lvl w:ilvl="4" w:tplc="CEB8E71C" w:tentative="1">
      <w:start w:val="1"/>
      <w:numFmt w:val="bullet"/>
      <w:lvlText w:val="o"/>
      <w:lvlJc w:val="left"/>
      <w:pPr>
        <w:ind w:left="3600" w:hanging="360"/>
      </w:pPr>
      <w:rPr>
        <w:rFonts w:ascii="Courier New" w:hAnsi="Courier New" w:cs="Courier New" w:hint="default"/>
      </w:rPr>
    </w:lvl>
    <w:lvl w:ilvl="5" w:tplc="DF4AAB9A" w:tentative="1">
      <w:start w:val="1"/>
      <w:numFmt w:val="bullet"/>
      <w:lvlText w:val=""/>
      <w:lvlJc w:val="left"/>
      <w:pPr>
        <w:ind w:left="4320" w:hanging="360"/>
      </w:pPr>
      <w:rPr>
        <w:rFonts w:ascii="Wingdings" w:hAnsi="Wingdings" w:hint="default"/>
      </w:rPr>
    </w:lvl>
    <w:lvl w:ilvl="6" w:tplc="E6C24C92" w:tentative="1">
      <w:start w:val="1"/>
      <w:numFmt w:val="bullet"/>
      <w:lvlText w:val=""/>
      <w:lvlJc w:val="left"/>
      <w:pPr>
        <w:ind w:left="5040" w:hanging="360"/>
      </w:pPr>
      <w:rPr>
        <w:rFonts w:ascii="Symbol" w:hAnsi="Symbol" w:hint="default"/>
      </w:rPr>
    </w:lvl>
    <w:lvl w:ilvl="7" w:tplc="FD625D78" w:tentative="1">
      <w:start w:val="1"/>
      <w:numFmt w:val="bullet"/>
      <w:lvlText w:val="o"/>
      <w:lvlJc w:val="left"/>
      <w:pPr>
        <w:ind w:left="5760" w:hanging="360"/>
      </w:pPr>
      <w:rPr>
        <w:rFonts w:ascii="Courier New" w:hAnsi="Courier New" w:cs="Courier New" w:hint="default"/>
      </w:rPr>
    </w:lvl>
    <w:lvl w:ilvl="8" w:tplc="35986A6E" w:tentative="1">
      <w:start w:val="1"/>
      <w:numFmt w:val="bullet"/>
      <w:lvlText w:val=""/>
      <w:lvlJc w:val="left"/>
      <w:pPr>
        <w:ind w:left="6480" w:hanging="360"/>
      </w:pPr>
      <w:rPr>
        <w:rFonts w:ascii="Wingdings" w:hAnsi="Wingdings" w:hint="default"/>
      </w:rPr>
    </w:lvl>
  </w:abstractNum>
  <w:abstractNum w:abstractNumId="26" w15:restartNumberingAfterBreak="0">
    <w:nsid w:val="6B8F29FE"/>
    <w:multiLevelType w:val="multilevel"/>
    <w:tmpl w:val="4902370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7" w15:restartNumberingAfterBreak="0">
    <w:nsid w:val="6CC927E6"/>
    <w:multiLevelType w:val="multilevel"/>
    <w:tmpl w:val="DF7C3C4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8" w15:restartNumberingAfterBreak="0">
    <w:nsid w:val="6E033B76"/>
    <w:multiLevelType w:val="multilevel"/>
    <w:tmpl w:val="BF3A9CC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9" w15:restartNumberingAfterBreak="0">
    <w:nsid w:val="74D317B8"/>
    <w:multiLevelType w:val="multilevel"/>
    <w:tmpl w:val="4C9087B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0" w15:restartNumberingAfterBreak="0">
    <w:nsid w:val="7D0F710C"/>
    <w:multiLevelType w:val="multilevel"/>
    <w:tmpl w:val="75A23E6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1" w15:restartNumberingAfterBreak="0">
    <w:nsid w:val="7F813D27"/>
    <w:multiLevelType w:val="multilevel"/>
    <w:tmpl w:val="62B2D12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344238740">
    <w:abstractNumId w:val="16"/>
  </w:num>
  <w:num w:numId="2" w16cid:durableId="1962876316">
    <w:abstractNumId w:val="18"/>
  </w:num>
  <w:num w:numId="3" w16cid:durableId="493760407">
    <w:abstractNumId w:val="17"/>
  </w:num>
  <w:num w:numId="4" w16cid:durableId="298386758">
    <w:abstractNumId w:val="29"/>
  </w:num>
  <w:num w:numId="5" w16cid:durableId="905457810">
    <w:abstractNumId w:val="31"/>
  </w:num>
  <w:num w:numId="6" w16cid:durableId="287512487">
    <w:abstractNumId w:val="1"/>
  </w:num>
  <w:num w:numId="7" w16cid:durableId="130906986">
    <w:abstractNumId w:val="13"/>
  </w:num>
  <w:num w:numId="8" w16cid:durableId="28991373">
    <w:abstractNumId w:val="12"/>
  </w:num>
  <w:num w:numId="9" w16cid:durableId="573397007">
    <w:abstractNumId w:val="30"/>
  </w:num>
  <w:num w:numId="10" w16cid:durableId="1488979449">
    <w:abstractNumId w:val="5"/>
  </w:num>
  <w:num w:numId="11" w16cid:durableId="2074114138">
    <w:abstractNumId w:val="21"/>
  </w:num>
  <w:num w:numId="12" w16cid:durableId="94327368">
    <w:abstractNumId w:val="28"/>
  </w:num>
  <w:num w:numId="13" w16cid:durableId="1223102862">
    <w:abstractNumId w:val="24"/>
  </w:num>
  <w:num w:numId="14" w16cid:durableId="1846817494">
    <w:abstractNumId w:val="10"/>
  </w:num>
  <w:num w:numId="15" w16cid:durableId="1422674884">
    <w:abstractNumId w:val="4"/>
  </w:num>
  <w:num w:numId="16" w16cid:durableId="1737432856">
    <w:abstractNumId w:val="26"/>
  </w:num>
  <w:num w:numId="17" w16cid:durableId="322322819">
    <w:abstractNumId w:val="2"/>
  </w:num>
  <w:num w:numId="18" w16cid:durableId="506675129">
    <w:abstractNumId w:val="9"/>
  </w:num>
  <w:num w:numId="19" w16cid:durableId="1487159973">
    <w:abstractNumId w:val="27"/>
  </w:num>
  <w:num w:numId="20" w16cid:durableId="171266790">
    <w:abstractNumId w:val="0"/>
  </w:num>
  <w:num w:numId="21" w16cid:durableId="2110465042">
    <w:abstractNumId w:val="3"/>
  </w:num>
  <w:num w:numId="22" w16cid:durableId="769932024">
    <w:abstractNumId w:val="14"/>
  </w:num>
  <w:num w:numId="23" w16cid:durableId="241062721">
    <w:abstractNumId w:val="19"/>
  </w:num>
  <w:num w:numId="24" w16cid:durableId="75638184">
    <w:abstractNumId w:val="25"/>
  </w:num>
  <w:num w:numId="25" w16cid:durableId="917906881">
    <w:abstractNumId w:val="8"/>
  </w:num>
  <w:num w:numId="26" w16cid:durableId="526715454">
    <w:abstractNumId w:val="7"/>
  </w:num>
  <w:num w:numId="27" w16cid:durableId="1995839096">
    <w:abstractNumId w:val="20"/>
  </w:num>
  <w:num w:numId="28" w16cid:durableId="406808022">
    <w:abstractNumId w:val="15"/>
  </w:num>
  <w:num w:numId="29" w16cid:durableId="1209302009">
    <w:abstractNumId w:val="22"/>
  </w:num>
  <w:num w:numId="30" w16cid:durableId="1666781054">
    <w:abstractNumId w:val="11"/>
  </w:num>
  <w:num w:numId="31" w16cid:durableId="546142853">
    <w:abstractNumId w:val="6"/>
  </w:num>
  <w:num w:numId="32" w16cid:durableId="1916013096">
    <w:abstractNumId w:val="2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02500"/>
    <w:rsid w:val="000233F2"/>
    <w:rsid w:val="000C6BB9"/>
    <w:rsid w:val="00103B0C"/>
    <w:rsid w:val="00135C91"/>
    <w:rsid w:val="00165EB5"/>
    <w:rsid w:val="001A4548"/>
    <w:rsid w:val="001C0510"/>
    <w:rsid w:val="00222045"/>
    <w:rsid w:val="00251717"/>
    <w:rsid w:val="002A0F68"/>
    <w:rsid w:val="002B269A"/>
    <w:rsid w:val="002C29E0"/>
    <w:rsid w:val="003023EA"/>
    <w:rsid w:val="003A3FAA"/>
    <w:rsid w:val="003A5275"/>
    <w:rsid w:val="003D2736"/>
    <w:rsid w:val="00424F41"/>
    <w:rsid w:val="0049402C"/>
    <w:rsid w:val="004A27A8"/>
    <w:rsid w:val="004B4DF5"/>
    <w:rsid w:val="004C6D84"/>
    <w:rsid w:val="00530CC7"/>
    <w:rsid w:val="00546ABE"/>
    <w:rsid w:val="005D5D8C"/>
    <w:rsid w:val="006351FD"/>
    <w:rsid w:val="0063652C"/>
    <w:rsid w:val="0064364D"/>
    <w:rsid w:val="006D4E38"/>
    <w:rsid w:val="006D726E"/>
    <w:rsid w:val="00702327"/>
    <w:rsid w:val="00732267"/>
    <w:rsid w:val="00754163"/>
    <w:rsid w:val="00761C1E"/>
    <w:rsid w:val="00786F69"/>
    <w:rsid w:val="007A04FF"/>
    <w:rsid w:val="007A3090"/>
    <w:rsid w:val="007B3728"/>
    <w:rsid w:val="007D74D8"/>
    <w:rsid w:val="007E190A"/>
    <w:rsid w:val="007F3448"/>
    <w:rsid w:val="00855F7A"/>
    <w:rsid w:val="008A553B"/>
    <w:rsid w:val="0091488B"/>
    <w:rsid w:val="009715D5"/>
    <w:rsid w:val="00A51AB3"/>
    <w:rsid w:val="00B02500"/>
    <w:rsid w:val="00B27EA3"/>
    <w:rsid w:val="00B473BE"/>
    <w:rsid w:val="00BE3902"/>
    <w:rsid w:val="00BF0703"/>
    <w:rsid w:val="00C0762E"/>
    <w:rsid w:val="00C11FFE"/>
    <w:rsid w:val="00CB3752"/>
    <w:rsid w:val="00CE586C"/>
    <w:rsid w:val="00D05DAD"/>
    <w:rsid w:val="00D7746F"/>
    <w:rsid w:val="00DB6106"/>
    <w:rsid w:val="00DD09FF"/>
    <w:rsid w:val="00DF5513"/>
    <w:rsid w:val="00DF7872"/>
    <w:rsid w:val="00E20281"/>
    <w:rsid w:val="00E202D7"/>
    <w:rsid w:val="00E2164F"/>
    <w:rsid w:val="00E643A9"/>
    <w:rsid w:val="00E75644"/>
    <w:rsid w:val="00EA6395"/>
    <w:rsid w:val="00EE2825"/>
    <w:rsid w:val="00EE675A"/>
    <w:rsid w:val="00EF51BA"/>
    <w:rsid w:val="00F00B97"/>
    <w:rsid w:val="00F2767B"/>
    <w:rsid w:val="00F645D1"/>
    <w:rsid w:val="00FD04ED"/>
    <w:rsid w:val="00FF771B"/>
  </w:rsids>
  <m:mathPr>
    <m:mathFont m:val="Cambria Math"/>
    <m:brkBin m:val="before"/>
    <m:brkBinSub m:val="--"/>
    <m:smallFrac m:val="0"/>
    <m:dispDef/>
    <m:lMargin m:val="0"/>
    <m:rMargin m:val="0"/>
    <m:defJc m:val="centerGroup"/>
    <m:wrapIndent m:val="1440"/>
    <m:intLim m:val="subSup"/>
    <m:naryLim m:val="undOvr"/>
  </m:mathPr>
  <w:themeFontLang w:val="en-IN" w:bidi="gu-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4873C04"/>
  <w15:chartTrackingRefBased/>
  <w15:docId w15:val="{C260630D-C0D6-49AC-854A-A5EECE5366C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IN"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6D4E38"/>
    <w:pPr>
      <w:spacing w:line="360" w:lineRule="auto"/>
      <w:jc w:val="both"/>
    </w:pPr>
    <w:rPr>
      <w:rFonts w:ascii="Times New Roman" w:hAnsi="Times New Roman"/>
      <w:sz w:val="24"/>
    </w:rPr>
  </w:style>
  <w:style w:type="paragraph" w:styleId="Heading1">
    <w:name w:val="heading 1"/>
    <w:basedOn w:val="Normal"/>
    <w:next w:val="Normal"/>
    <w:link w:val="Heading1Char"/>
    <w:uiPriority w:val="9"/>
    <w:qFormat/>
    <w:rsid w:val="006D4E38"/>
    <w:pPr>
      <w:keepNext/>
      <w:keepLines/>
      <w:spacing w:before="360" w:after="80"/>
      <w:outlineLvl w:val="0"/>
    </w:pPr>
    <w:rPr>
      <w:rFonts w:eastAsiaTheme="majorEastAsia" w:cstheme="majorBidi"/>
      <w:b/>
      <w:sz w:val="28"/>
      <w:szCs w:val="40"/>
    </w:rPr>
  </w:style>
  <w:style w:type="paragraph" w:styleId="Heading2">
    <w:name w:val="heading 2"/>
    <w:basedOn w:val="Normal"/>
    <w:next w:val="Normal"/>
    <w:link w:val="Heading2Char"/>
    <w:uiPriority w:val="9"/>
    <w:unhideWhenUsed/>
    <w:qFormat/>
    <w:rsid w:val="006D4E38"/>
    <w:pPr>
      <w:keepNext/>
      <w:keepLines/>
      <w:spacing w:before="160" w:after="80"/>
      <w:outlineLvl w:val="1"/>
    </w:pPr>
    <w:rPr>
      <w:rFonts w:eastAsiaTheme="majorEastAsia" w:cstheme="majorBidi"/>
      <w:b/>
      <w:sz w:val="26"/>
      <w:szCs w:val="32"/>
    </w:rPr>
  </w:style>
  <w:style w:type="paragraph" w:styleId="Heading3">
    <w:name w:val="heading 3"/>
    <w:basedOn w:val="Normal"/>
    <w:next w:val="Normal"/>
    <w:link w:val="Heading3Char"/>
    <w:uiPriority w:val="9"/>
    <w:semiHidden/>
    <w:unhideWhenUsed/>
    <w:qFormat/>
    <w:rsid w:val="006D4E38"/>
    <w:pPr>
      <w:keepNext/>
      <w:keepLines/>
      <w:spacing w:before="160" w:after="80"/>
      <w:outlineLvl w:val="2"/>
    </w:pPr>
    <w:rPr>
      <w:rFonts w:eastAsiaTheme="majorEastAsia" w:cstheme="majorBidi"/>
      <w:b/>
      <w:i/>
      <w:szCs w:val="28"/>
    </w:rPr>
  </w:style>
  <w:style w:type="paragraph" w:styleId="Heading4">
    <w:name w:val="heading 4"/>
    <w:basedOn w:val="Normal"/>
    <w:next w:val="Normal"/>
    <w:link w:val="Heading4Char"/>
    <w:uiPriority w:val="9"/>
    <w:semiHidden/>
    <w:unhideWhenUsed/>
    <w:qFormat/>
    <w:rsid w:val="00B02500"/>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B02500"/>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B02500"/>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B02500"/>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B02500"/>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B02500"/>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6D4E38"/>
    <w:rPr>
      <w:rFonts w:ascii="Times New Roman" w:eastAsiaTheme="majorEastAsia" w:hAnsi="Times New Roman" w:cstheme="majorBidi"/>
      <w:b/>
      <w:sz w:val="28"/>
      <w:szCs w:val="40"/>
    </w:rPr>
  </w:style>
  <w:style w:type="character" w:customStyle="1" w:styleId="Heading2Char">
    <w:name w:val="Heading 2 Char"/>
    <w:basedOn w:val="DefaultParagraphFont"/>
    <w:link w:val="Heading2"/>
    <w:uiPriority w:val="9"/>
    <w:rsid w:val="006D4E38"/>
    <w:rPr>
      <w:rFonts w:ascii="Times New Roman" w:eastAsiaTheme="majorEastAsia" w:hAnsi="Times New Roman" w:cstheme="majorBidi"/>
      <w:b/>
      <w:sz w:val="26"/>
      <w:szCs w:val="32"/>
    </w:rPr>
  </w:style>
  <w:style w:type="character" w:customStyle="1" w:styleId="Heading3Char">
    <w:name w:val="Heading 3 Char"/>
    <w:basedOn w:val="DefaultParagraphFont"/>
    <w:link w:val="Heading3"/>
    <w:uiPriority w:val="9"/>
    <w:semiHidden/>
    <w:rsid w:val="006D4E38"/>
    <w:rPr>
      <w:rFonts w:ascii="Times New Roman" w:eastAsiaTheme="majorEastAsia" w:hAnsi="Times New Roman" w:cstheme="majorBidi"/>
      <w:b/>
      <w:i/>
      <w:sz w:val="24"/>
      <w:szCs w:val="28"/>
    </w:rPr>
  </w:style>
  <w:style w:type="character" w:customStyle="1" w:styleId="Heading4Char">
    <w:name w:val="Heading 4 Char"/>
    <w:basedOn w:val="DefaultParagraphFont"/>
    <w:link w:val="Heading4"/>
    <w:uiPriority w:val="9"/>
    <w:semiHidden/>
    <w:rsid w:val="00B02500"/>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B02500"/>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B02500"/>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B02500"/>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B02500"/>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B02500"/>
    <w:rPr>
      <w:rFonts w:eastAsiaTheme="majorEastAsia" w:cstheme="majorBidi"/>
      <w:color w:val="272727" w:themeColor="text1" w:themeTint="D8"/>
    </w:rPr>
  </w:style>
  <w:style w:type="paragraph" w:styleId="Title">
    <w:name w:val="Title"/>
    <w:basedOn w:val="Normal"/>
    <w:next w:val="Normal"/>
    <w:link w:val="TitleChar"/>
    <w:uiPriority w:val="10"/>
    <w:qFormat/>
    <w:rsid w:val="00B02500"/>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B02500"/>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B02500"/>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B02500"/>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B02500"/>
    <w:pPr>
      <w:spacing w:before="160"/>
      <w:jc w:val="center"/>
    </w:pPr>
    <w:rPr>
      <w:i/>
      <w:iCs/>
      <w:color w:val="404040" w:themeColor="text1" w:themeTint="BF"/>
    </w:rPr>
  </w:style>
  <w:style w:type="character" w:customStyle="1" w:styleId="QuoteChar">
    <w:name w:val="Quote Char"/>
    <w:basedOn w:val="DefaultParagraphFont"/>
    <w:link w:val="Quote"/>
    <w:uiPriority w:val="29"/>
    <w:rsid w:val="00B02500"/>
    <w:rPr>
      <w:i/>
      <w:iCs/>
      <w:color w:val="404040" w:themeColor="text1" w:themeTint="BF"/>
    </w:rPr>
  </w:style>
  <w:style w:type="paragraph" w:styleId="ListParagraph">
    <w:name w:val="List Paragraph"/>
    <w:basedOn w:val="Normal"/>
    <w:uiPriority w:val="34"/>
    <w:qFormat/>
    <w:rsid w:val="00B02500"/>
    <w:pPr>
      <w:ind w:left="720"/>
      <w:contextualSpacing/>
    </w:pPr>
  </w:style>
  <w:style w:type="character" w:styleId="IntenseEmphasis">
    <w:name w:val="Intense Emphasis"/>
    <w:basedOn w:val="DefaultParagraphFont"/>
    <w:uiPriority w:val="21"/>
    <w:qFormat/>
    <w:rsid w:val="00B02500"/>
    <w:rPr>
      <w:i/>
      <w:iCs/>
      <w:color w:val="0F4761" w:themeColor="accent1" w:themeShade="BF"/>
    </w:rPr>
  </w:style>
  <w:style w:type="paragraph" w:styleId="IntenseQuote">
    <w:name w:val="Intense Quote"/>
    <w:basedOn w:val="Normal"/>
    <w:next w:val="Normal"/>
    <w:link w:val="IntenseQuoteChar"/>
    <w:uiPriority w:val="30"/>
    <w:qFormat/>
    <w:rsid w:val="00B02500"/>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B02500"/>
    <w:rPr>
      <w:i/>
      <w:iCs/>
      <w:color w:val="0F4761" w:themeColor="accent1" w:themeShade="BF"/>
    </w:rPr>
  </w:style>
  <w:style w:type="character" w:styleId="IntenseReference">
    <w:name w:val="Intense Reference"/>
    <w:basedOn w:val="DefaultParagraphFont"/>
    <w:uiPriority w:val="32"/>
    <w:qFormat/>
    <w:rsid w:val="00B02500"/>
    <w:rPr>
      <w:b/>
      <w:bCs/>
      <w:smallCaps/>
      <w:color w:val="0F4761" w:themeColor="accent1" w:themeShade="BF"/>
      <w:spacing w:val="5"/>
    </w:rPr>
  </w:style>
  <w:style w:type="table" w:styleId="GridTable4">
    <w:name w:val="Grid Table 4"/>
    <w:basedOn w:val="TableNormal"/>
    <w:uiPriority w:val="49"/>
    <w:rsid w:val="007A3090"/>
    <w:pPr>
      <w:spacing w:after="0" w:line="240" w:lineRule="auto"/>
    </w:pPr>
    <w:tblPr>
      <w:tblStyleRowBandSize w:val="1"/>
      <w:tblStyleColBandSize w:val="1"/>
      <w:tblBorders>
        <w:top w:val="single" w:sz="4" w:space="0" w:color="666666" w:themeColor="text1" w:themeTint="99"/>
        <w:left w:val="single" w:sz="4" w:space="0" w:color="666666" w:themeColor="text1" w:themeTint="99"/>
        <w:bottom w:val="single" w:sz="4" w:space="0" w:color="666666" w:themeColor="text1" w:themeTint="99"/>
        <w:right w:val="single" w:sz="4" w:space="0" w:color="666666" w:themeColor="text1" w:themeTint="99"/>
        <w:insideH w:val="single" w:sz="4" w:space="0" w:color="666666" w:themeColor="text1" w:themeTint="99"/>
        <w:insideV w:val="single" w:sz="4" w:space="0" w:color="666666" w:themeColor="text1" w:themeTint="99"/>
      </w:tblBorders>
    </w:tblPr>
    <w:tblStylePr w:type="firstRow">
      <w:rPr>
        <w:b/>
        <w:bCs/>
        <w:color w:val="FFFFFF" w:themeColor="background1"/>
      </w:rPr>
      <w:tblPr/>
      <w:tcPr>
        <w:tcBorders>
          <w:top w:val="single" w:sz="4" w:space="0" w:color="000000" w:themeColor="text1"/>
          <w:left w:val="single" w:sz="4" w:space="0" w:color="000000" w:themeColor="text1"/>
          <w:bottom w:val="single" w:sz="4" w:space="0" w:color="000000" w:themeColor="text1"/>
          <w:right w:val="single" w:sz="4" w:space="0" w:color="000000" w:themeColor="text1"/>
          <w:insideH w:val="nil"/>
          <w:insideV w:val="nil"/>
        </w:tcBorders>
        <w:shd w:val="clear" w:color="auto" w:fill="000000" w:themeFill="text1"/>
      </w:tcPr>
    </w:tblStylePr>
    <w:tblStylePr w:type="lastRow">
      <w:rPr>
        <w:b/>
        <w:bCs/>
      </w:rPr>
      <w:tblPr/>
      <w:tcPr>
        <w:tcBorders>
          <w:top w:val="double" w:sz="4" w:space="0" w:color="000000" w:themeColor="text1"/>
        </w:tcBorders>
      </w:tcPr>
    </w:tblStylePr>
    <w:tblStylePr w:type="firstCol">
      <w:rPr>
        <w:b/>
        <w:bCs/>
      </w:rPr>
    </w:tblStylePr>
    <w:tblStylePr w:type="lastCol">
      <w:rPr>
        <w:b/>
        <w:bCs/>
      </w:rPr>
    </w:tblStylePr>
    <w:tblStylePr w:type="band1Vert">
      <w:tblPr/>
      <w:tcPr>
        <w:shd w:val="clear" w:color="auto" w:fill="CCCCCC" w:themeFill="text1" w:themeFillTint="33"/>
      </w:tcPr>
    </w:tblStylePr>
    <w:tblStylePr w:type="band1Horz">
      <w:tblPr/>
      <w:tcPr>
        <w:shd w:val="clear" w:color="auto" w:fill="CCCCCC" w:themeFill="text1" w:themeFillTint="33"/>
      </w:tcPr>
    </w:tblStylePr>
  </w:style>
  <w:style w:type="paragraph" w:styleId="Caption">
    <w:name w:val="caption"/>
    <w:basedOn w:val="Normal"/>
    <w:next w:val="Normal"/>
    <w:uiPriority w:val="35"/>
    <w:unhideWhenUsed/>
    <w:qFormat/>
    <w:rsid w:val="00EF51BA"/>
    <w:pPr>
      <w:spacing w:after="200" w:line="240" w:lineRule="auto"/>
    </w:pPr>
    <w:rPr>
      <w:i/>
      <w:iCs/>
      <w:color w:val="0E2841" w:themeColor="text2"/>
      <w:sz w:val="18"/>
      <w:szCs w:val="18"/>
    </w:rPr>
  </w:style>
  <w:style w:type="table" w:styleId="TableGrid">
    <w:name w:val="Table Grid"/>
    <w:basedOn w:val="TableNormal"/>
    <w:uiPriority w:val="39"/>
    <w:rsid w:val="00EF51BA"/>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PlainTable1">
    <w:name w:val="Plain Table 1"/>
    <w:basedOn w:val="TableNormal"/>
    <w:uiPriority w:val="41"/>
    <w:rsid w:val="001A4548"/>
    <w:pPr>
      <w:spacing w:after="0" w:line="240" w:lineRule="auto"/>
    </w:pPr>
    <w:tblPr>
      <w:tblStyleRowBandSize w:val="1"/>
      <w:tblStyleColBandSize w:val="1"/>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tblStylePr w:type="firstRow">
      <w:rPr>
        <w:b/>
        <w:bCs/>
      </w:rPr>
    </w:tblStylePr>
    <w:tblStylePr w:type="lastRow">
      <w:rPr>
        <w:b/>
        <w:bCs/>
      </w:rPr>
      <w:tblPr/>
      <w:tcPr>
        <w:tcBorders>
          <w:top w:val="double" w:sz="4" w:space="0" w:color="BFBFBF" w:themeColor="background1" w:themeShade="BF"/>
        </w:tcBorders>
      </w:tcPr>
    </w:tblStylePr>
    <w:tblStylePr w:type="firstCol">
      <w:rPr>
        <w:b/>
        <w:bCs/>
      </w:rPr>
    </w:tblStylePr>
    <w:tblStylePr w:type="lastCol">
      <w:rPr>
        <w:b/>
        <w:bCs/>
      </w:r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style>
  <w:style w:type="table" w:styleId="GridTable2">
    <w:name w:val="Grid Table 2"/>
    <w:basedOn w:val="TableNormal"/>
    <w:uiPriority w:val="47"/>
    <w:rsid w:val="001A4548"/>
    <w:pPr>
      <w:spacing w:after="0" w:line="240" w:lineRule="auto"/>
    </w:pPr>
    <w:tblPr>
      <w:tblStyleRowBandSize w:val="1"/>
      <w:tblStyleColBandSize w:val="1"/>
      <w:tblBorders>
        <w:top w:val="single" w:sz="2" w:space="0" w:color="666666" w:themeColor="text1" w:themeTint="99"/>
        <w:bottom w:val="single" w:sz="2" w:space="0" w:color="666666" w:themeColor="text1" w:themeTint="99"/>
        <w:insideH w:val="single" w:sz="2" w:space="0" w:color="666666" w:themeColor="text1" w:themeTint="99"/>
        <w:insideV w:val="single" w:sz="2" w:space="0" w:color="666666" w:themeColor="text1" w:themeTint="99"/>
      </w:tblBorders>
    </w:tblPr>
    <w:tblStylePr w:type="firstRow">
      <w:rPr>
        <w:b/>
        <w:bCs/>
      </w:rPr>
      <w:tblPr/>
      <w:tcPr>
        <w:tcBorders>
          <w:top w:val="nil"/>
          <w:bottom w:val="single" w:sz="12" w:space="0" w:color="666666" w:themeColor="text1" w:themeTint="99"/>
          <w:insideH w:val="nil"/>
          <w:insideV w:val="nil"/>
        </w:tcBorders>
        <w:shd w:val="clear" w:color="auto" w:fill="FFFFFF" w:themeFill="background1"/>
      </w:tcPr>
    </w:tblStylePr>
    <w:tblStylePr w:type="lastRow">
      <w:rPr>
        <w:b/>
        <w:bCs/>
      </w:rPr>
      <w:tblPr/>
      <w:tcPr>
        <w:tcBorders>
          <w:top w:val="double" w:sz="2" w:space="0" w:color="666666" w:themeColor="text1" w:themeTint="99"/>
          <w:bottom w:val="nil"/>
          <w:insideH w:val="nil"/>
          <w:insideV w:val="nil"/>
        </w:tcBorders>
        <w:shd w:val="clear" w:color="auto" w:fill="FFFFFF" w:themeFill="background1"/>
      </w:tcPr>
    </w:tblStylePr>
    <w:tblStylePr w:type="firstCol">
      <w:rPr>
        <w:b/>
        <w:bCs/>
      </w:rPr>
    </w:tblStylePr>
    <w:tblStylePr w:type="lastCol">
      <w:rPr>
        <w:b/>
        <w:bCs/>
      </w:rPr>
    </w:tblStylePr>
    <w:tblStylePr w:type="band1Vert">
      <w:tblPr/>
      <w:tcPr>
        <w:shd w:val="clear" w:color="auto" w:fill="CCCCCC" w:themeFill="text1" w:themeFillTint="33"/>
      </w:tcPr>
    </w:tblStylePr>
    <w:tblStylePr w:type="band1Horz">
      <w:tblPr/>
      <w:tcPr>
        <w:shd w:val="clear" w:color="auto" w:fill="CCCCCC" w:themeFill="text1" w:themeFillTint="33"/>
      </w:tcPr>
    </w:tblStylePr>
  </w:style>
  <w:style w:type="table" w:styleId="GridTable5Dark-Accent1">
    <w:name w:val="Grid Table 5 Dark Accent 1"/>
    <w:basedOn w:val="TableNormal"/>
    <w:uiPriority w:val="50"/>
    <w:rsid w:val="0049402C"/>
    <w:pPr>
      <w:spacing w:after="0" w:line="240" w:lineRule="auto"/>
    </w:pPr>
    <w:tblPr>
      <w:tblStyleRowBandSize w:val="1"/>
      <w:tblStyleColBandSize w:val="1"/>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Pr>
    <w:tcPr>
      <w:shd w:val="clear" w:color="auto" w:fill="C1E4F5" w:themeFill="accent1"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156082" w:themeFill="accent1"/>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156082" w:themeFill="accent1"/>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156082" w:themeFill="accent1"/>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156082" w:themeFill="accent1"/>
      </w:tcPr>
    </w:tblStylePr>
    <w:tblStylePr w:type="band1Vert">
      <w:tblPr/>
      <w:tcPr>
        <w:shd w:val="clear" w:color="auto" w:fill="83CAEB" w:themeFill="accent1" w:themeFillTint="66"/>
      </w:tcPr>
    </w:tblStylePr>
    <w:tblStylePr w:type="band1Horz">
      <w:tblPr/>
      <w:tcPr>
        <w:shd w:val="clear" w:color="auto" w:fill="83CAEB" w:themeFill="accent1" w:themeFillTint="66"/>
      </w:tcPr>
    </w:tblStylePr>
  </w:style>
  <w:style w:type="table" w:styleId="GridTable6Colorful">
    <w:name w:val="Grid Table 6 Colorful"/>
    <w:basedOn w:val="TableNormal"/>
    <w:uiPriority w:val="51"/>
    <w:rsid w:val="0049402C"/>
    <w:pPr>
      <w:spacing w:after="0" w:line="240" w:lineRule="auto"/>
    </w:pPr>
    <w:rPr>
      <w:color w:val="000000" w:themeColor="text1"/>
    </w:rPr>
    <w:tblPr>
      <w:tblStyleRowBandSize w:val="1"/>
      <w:tblStyleColBandSize w:val="1"/>
      <w:tblBorders>
        <w:top w:val="single" w:sz="4" w:space="0" w:color="666666" w:themeColor="text1" w:themeTint="99"/>
        <w:left w:val="single" w:sz="4" w:space="0" w:color="666666" w:themeColor="text1" w:themeTint="99"/>
        <w:bottom w:val="single" w:sz="4" w:space="0" w:color="666666" w:themeColor="text1" w:themeTint="99"/>
        <w:right w:val="single" w:sz="4" w:space="0" w:color="666666" w:themeColor="text1" w:themeTint="99"/>
        <w:insideH w:val="single" w:sz="4" w:space="0" w:color="666666" w:themeColor="text1" w:themeTint="99"/>
        <w:insideV w:val="single" w:sz="4" w:space="0" w:color="666666" w:themeColor="text1" w:themeTint="99"/>
      </w:tblBorders>
    </w:tblPr>
    <w:tblStylePr w:type="firstRow">
      <w:rPr>
        <w:b/>
        <w:bCs/>
      </w:rPr>
      <w:tblPr/>
      <w:tcPr>
        <w:tcBorders>
          <w:bottom w:val="single" w:sz="12" w:space="0" w:color="666666" w:themeColor="text1" w:themeTint="99"/>
        </w:tcBorders>
      </w:tcPr>
    </w:tblStylePr>
    <w:tblStylePr w:type="lastRow">
      <w:rPr>
        <w:b/>
        <w:bCs/>
      </w:rPr>
      <w:tblPr/>
      <w:tcPr>
        <w:tcBorders>
          <w:top w:val="double" w:sz="4" w:space="0" w:color="666666" w:themeColor="text1" w:themeTint="99"/>
        </w:tcBorders>
      </w:tcPr>
    </w:tblStylePr>
    <w:tblStylePr w:type="firstCol">
      <w:rPr>
        <w:b/>
        <w:bCs/>
      </w:rPr>
    </w:tblStylePr>
    <w:tblStylePr w:type="lastCol">
      <w:rPr>
        <w:b/>
        <w:bCs/>
      </w:rPr>
    </w:tblStylePr>
    <w:tblStylePr w:type="band1Vert">
      <w:tblPr/>
      <w:tcPr>
        <w:shd w:val="clear" w:color="auto" w:fill="CCCCCC" w:themeFill="text1" w:themeFillTint="33"/>
      </w:tcPr>
    </w:tblStylePr>
    <w:tblStylePr w:type="band1Horz">
      <w:tblPr/>
      <w:tcPr>
        <w:shd w:val="clear" w:color="auto" w:fill="CCCCCC" w:themeFill="text1" w:themeFillTint="33"/>
      </w:tcPr>
    </w:tblStylePr>
  </w:style>
  <w:style w:type="table" w:styleId="PlainTable3">
    <w:name w:val="Plain Table 3"/>
    <w:basedOn w:val="TableNormal"/>
    <w:uiPriority w:val="43"/>
    <w:rsid w:val="0049402C"/>
    <w:pPr>
      <w:spacing w:after="0" w:line="240" w:lineRule="auto"/>
    </w:pPr>
    <w:tblPr>
      <w:tblStyleRowBandSize w:val="1"/>
      <w:tblStyleColBandSize w:val="1"/>
    </w:tblPr>
    <w:tblStylePr w:type="firstRow">
      <w:rPr>
        <w:b/>
        <w:bCs/>
        <w:caps/>
      </w:rPr>
      <w:tblPr/>
      <w:tcPr>
        <w:tcBorders>
          <w:bottom w:val="single" w:sz="4" w:space="0" w:color="7F7F7F" w:themeColor="text1" w:themeTint="80"/>
        </w:tcBorders>
      </w:tcPr>
    </w:tblStylePr>
    <w:tblStylePr w:type="lastRow">
      <w:rPr>
        <w:b/>
        <w:bCs/>
        <w:caps/>
      </w:rPr>
      <w:tblPr/>
      <w:tcPr>
        <w:tcBorders>
          <w:top w:val="nil"/>
        </w:tcBorders>
      </w:tcPr>
    </w:tblStylePr>
    <w:tblStylePr w:type="firstCol">
      <w:rPr>
        <w:b/>
        <w:bCs/>
        <w:caps/>
      </w:rPr>
      <w:tblPr/>
      <w:tcPr>
        <w:tcBorders>
          <w:right w:val="single" w:sz="4" w:space="0" w:color="7F7F7F" w:themeColor="text1" w:themeTint="80"/>
        </w:tcBorders>
      </w:tcPr>
    </w:tblStylePr>
    <w:tblStylePr w:type="lastCol">
      <w:rPr>
        <w:b/>
        <w:bCs/>
        <w:caps/>
      </w:rPr>
      <w:tblPr/>
      <w:tcPr>
        <w:tcBorders>
          <w:left w:val="nil"/>
        </w:tcBorders>
      </w:tc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tblStylePr w:type="neCell">
      <w:tblPr/>
      <w:tcPr>
        <w:tcBorders>
          <w:left w:val="nil"/>
        </w:tcBorders>
      </w:tcPr>
    </w:tblStylePr>
    <w:tblStylePr w:type="nwCell">
      <w:tblPr/>
      <w:tcPr>
        <w:tcBorders>
          <w:right w:val="nil"/>
        </w:tcBorders>
      </w:tcPr>
    </w:tblStylePr>
  </w:style>
  <w:style w:type="paragraph" w:styleId="TOCHeading">
    <w:name w:val="TOC Heading"/>
    <w:basedOn w:val="Heading1"/>
    <w:next w:val="Normal"/>
    <w:uiPriority w:val="39"/>
    <w:unhideWhenUsed/>
    <w:qFormat/>
    <w:rsid w:val="006D4E38"/>
    <w:pPr>
      <w:spacing w:before="240" w:after="0" w:line="259" w:lineRule="auto"/>
      <w:jc w:val="left"/>
      <w:outlineLvl w:val="9"/>
    </w:pPr>
    <w:rPr>
      <w:rFonts w:asciiTheme="majorHAnsi" w:hAnsiTheme="majorHAnsi"/>
      <w:b w:val="0"/>
      <w:color w:val="0F4761" w:themeColor="accent1" w:themeShade="BF"/>
      <w:kern w:val="0"/>
      <w:sz w:val="32"/>
      <w:szCs w:val="32"/>
      <w:lang w:val="en-US"/>
      <w14:ligatures w14:val="none"/>
    </w:rPr>
  </w:style>
  <w:style w:type="paragraph" w:styleId="TOC1">
    <w:name w:val="toc 1"/>
    <w:basedOn w:val="Normal"/>
    <w:next w:val="Normal"/>
    <w:autoRedefine/>
    <w:uiPriority w:val="39"/>
    <w:unhideWhenUsed/>
    <w:rsid w:val="006D4E38"/>
    <w:pPr>
      <w:spacing w:after="100"/>
    </w:pPr>
  </w:style>
  <w:style w:type="paragraph" w:styleId="TOC2">
    <w:name w:val="toc 2"/>
    <w:basedOn w:val="Normal"/>
    <w:next w:val="Normal"/>
    <w:autoRedefine/>
    <w:uiPriority w:val="39"/>
    <w:unhideWhenUsed/>
    <w:rsid w:val="006D4E38"/>
    <w:pPr>
      <w:spacing w:after="100"/>
      <w:ind w:left="240"/>
    </w:pPr>
  </w:style>
  <w:style w:type="character" w:styleId="Hyperlink">
    <w:name w:val="Hyperlink"/>
    <w:basedOn w:val="DefaultParagraphFont"/>
    <w:uiPriority w:val="99"/>
    <w:unhideWhenUsed/>
    <w:rsid w:val="006D4E38"/>
    <w:rPr>
      <w:color w:val="467886" w:themeColor="hyperlink"/>
      <w:u w:val="single"/>
    </w:rPr>
  </w:style>
  <w:style w:type="table" w:styleId="PlainTable5">
    <w:name w:val="Plain Table 5"/>
    <w:basedOn w:val="TableNormal"/>
    <w:uiPriority w:val="45"/>
    <w:rsid w:val="008A553B"/>
    <w:pPr>
      <w:spacing w:after="0" w:line="240" w:lineRule="auto"/>
    </w:pPr>
    <w:tblPr>
      <w:tblStyleRowBandSize w:val="1"/>
      <w:tblStyleColBandSize w:val="1"/>
    </w:tblPr>
    <w:tblStylePr w:type="firstRow">
      <w:rPr>
        <w:rFonts w:asciiTheme="majorHAnsi" w:eastAsiaTheme="majorEastAsia" w:hAnsiTheme="majorHAnsi" w:cstheme="majorBidi"/>
        <w:i/>
        <w:iCs/>
        <w:sz w:val="26"/>
      </w:rPr>
      <w:tblPr/>
      <w:tcPr>
        <w:tcBorders>
          <w:bottom w:val="single" w:sz="4" w:space="0" w:color="7F7F7F" w:themeColor="text1" w:themeTint="80"/>
        </w:tcBorders>
        <w:shd w:val="clear" w:color="auto" w:fill="FFFFFF" w:themeFill="background1"/>
      </w:tcPr>
    </w:tblStylePr>
    <w:tblStylePr w:type="lastRow">
      <w:rPr>
        <w:rFonts w:asciiTheme="majorHAnsi" w:eastAsiaTheme="majorEastAsia" w:hAnsiTheme="majorHAnsi" w:cstheme="majorBidi"/>
        <w:i/>
        <w:iCs/>
        <w:sz w:val="26"/>
      </w:rPr>
      <w:tblPr/>
      <w:tcPr>
        <w:tcBorders>
          <w:top w:val="single" w:sz="4" w:space="0" w:color="7F7F7F" w:themeColor="text1" w:themeTint="80"/>
        </w:tcBorders>
        <w:shd w:val="clear" w:color="auto" w:fill="FFFFFF" w:themeFill="background1"/>
      </w:tcPr>
    </w:tblStylePr>
    <w:tblStylePr w:type="firstCol">
      <w:pPr>
        <w:jc w:val="right"/>
      </w:pPr>
      <w:rPr>
        <w:rFonts w:asciiTheme="majorHAnsi" w:eastAsiaTheme="majorEastAsia" w:hAnsiTheme="majorHAnsi" w:cstheme="majorBidi"/>
        <w:i/>
        <w:iCs/>
        <w:sz w:val="26"/>
      </w:rPr>
      <w:tblPr/>
      <w:tcPr>
        <w:tcBorders>
          <w:right w:val="single" w:sz="4" w:space="0" w:color="7F7F7F" w:themeColor="text1" w:themeTint="80"/>
        </w:tcBorders>
        <w:shd w:val="clear" w:color="auto" w:fill="FFFFFF" w:themeFill="background1"/>
      </w:tcPr>
    </w:tblStylePr>
    <w:tblStylePr w:type="lastCol">
      <w:rPr>
        <w:rFonts w:asciiTheme="majorHAnsi" w:eastAsiaTheme="majorEastAsia" w:hAnsiTheme="majorHAnsi" w:cstheme="majorBidi"/>
        <w:i/>
        <w:iCs/>
        <w:sz w:val="26"/>
      </w:rPr>
      <w:tblPr/>
      <w:tcPr>
        <w:tcBorders>
          <w:left w:val="single" w:sz="4" w:space="0" w:color="7F7F7F" w:themeColor="text1" w:themeTint="80"/>
        </w:tcBorders>
        <w:shd w:val="clear" w:color="auto" w:fill="FFFFFF" w:themeFill="background1"/>
      </w:tc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tblStylePr w:type="neCell">
      <w:tblPr/>
      <w:tcPr>
        <w:tcBorders>
          <w:left w:val="nil"/>
        </w:tcBorders>
      </w:tcPr>
    </w:tblStylePr>
    <w:tblStylePr w:type="nwCell">
      <w:tblPr/>
      <w:tcPr>
        <w:tcBorders>
          <w:right w:val="nil"/>
        </w:tcBorders>
      </w:tcPr>
    </w:tblStylePr>
    <w:tblStylePr w:type="seCell">
      <w:tblPr/>
      <w:tcPr>
        <w:tcBorders>
          <w:left w:val="nil"/>
        </w:tcBorders>
      </w:tcPr>
    </w:tblStylePr>
    <w:tblStylePr w:type="swCell">
      <w:tblPr/>
      <w:tcPr>
        <w:tcBorders>
          <w:right w:val="nil"/>
        </w:tcBorders>
      </w:tcPr>
    </w:tblStylePr>
  </w:style>
  <w:style w:type="table" w:styleId="GridTable3">
    <w:name w:val="Grid Table 3"/>
    <w:basedOn w:val="TableNormal"/>
    <w:uiPriority w:val="48"/>
    <w:rsid w:val="008A553B"/>
    <w:pPr>
      <w:spacing w:after="0" w:line="240" w:lineRule="auto"/>
    </w:pPr>
    <w:tblPr>
      <w:tblStyleRowBandSize w:val="1"/>
      <w:tblStyleColBandSize w:val="1"/>
      <w:tblBorders>
        <w:top w:val="single" w:sz="4" w:space="0" w:color="666666" w:themeColor="text1" w:themeTint="99"/>
        <w:left w:val="single" w:sz="4" w:space="0" w:color="666666" w:themeColor="text1" w:themeTint="99"/>
        <w:bottom w:val="single" w:sz="4" w:space="0" w:color="666666" w:themeColor="text1" w:themeTint="99"/>
        <w:right w:val="single" w:sz="4" w:space="0" w:color="666666" w:themeColor="text1" w:themeTint="99"/>
        <w:insideH w:val="single" w:sz="4" w:space="0" w:color="666666" w:themeColor="text1" w:themeTint="99"/>
        <w:insideV w:val="single" w:sz="4" w:space="0" w:color="666666" w:themeColor="text1" w:themeTint="99"/>
      </w:tblBorders>
    </w:tblPr>
    <w:tblStylePr w:type="firstRow">
      <w:rPr>
        <w:b/>
        <w:bCs/>
      </w:rPr>
      <w:tblPr/>
      <w:tcPr>
        <w:tcBorders>
          <w:top w:val="nil"/>
          <w:left w:val="nil"/>
          <w:right w:val="nil"/>
          <w:insideH w:val="nil"/>
          <w:insideV w:val="nil"/>
        </w:tcBorders>
        <w:shd w:val="clear" w:color="auto" w:fill="FFFFFF" w:themeFill="background1"/>
      </w:tcPr>
    </w:tblStylePr>
    <w:tblStylePr w:type="lastRow">
      <w:rPr>
        <w:b/>
        <w:bCs/>
      </w:rPr>
      <w:tblPr/>
      <w:tcPr>
        <w:tcBorders>
          <w:left w:val="nil"/>
          <w:bottom w:val="nil"/>
          <w:right w:val="nil"/>
          <w:insideH w:val="nil"/>
          <w:insideV w:val="nil"/>
        </w:tcBorders>
        <w:shd w:val="clear" w:color="auto" w:fill="FFFFFF" w:themeFill="background1"/>
      </w:tcPr>
    </w:tblStylePr>
    <w:tblStylePr w:type="firstCol">
      <w:pPr>
        <w:jc w:val="right"/>
      </w:pPr>
      <w:rPr>
        <w:i/>
        <w:iCs/>
      </w:rPr>
      <w:tblPr/>
      <w:tcPr>
        <w:tcBorders>
          <w:top w:val="nil"/>
          <w:left w:val="nil"/>
          <w:bottom w:val="nil"/>
          <w:insideH w:val="nil"/>
          <w:insideV w:val="nil"/>
        </w:tcBorders>
        <w:shd w:val="clear" w:color="auto" w:fill="FFFFFF" w:themeFill="background1"/>
      </w:tcPr>
    </w:tblStylePr>
    <w:tblStylePr w:type="lastCol">
      <w:rPr>
        <w:i/>
        <w:iCs/>
      </w:rPr>
      <w:tblPr/>
      <w:tcPr>
        <w:tcBorders>
          <w:top w:val="nil"/>
          <w:bottom w:val="nil"/>
          <w:right w:val="nil"/>
          <w:insideH w:val="nil"/>
          <w:insideV w:val="nil"/>
        </w:tcBorders>
        <w:shd w:val="clear" w:color="auto" w:fill="FFFFFF" w:themeFill="background1"/>
      </w:tcPr>
    </w:tblStylePr>
    <w:tblStylePr w:type="band1Vert">
      <w:tblPr/>
      <w:tcPr>
        <w:shd w:val="clear" w:color="auto" w:fill="CCCCCC" w:themeFill="text1" w:themeFillTint="33"/>
      </w:tcPr>
    </w:tblStylePr>
    <w:tblStylePr w:type="band1Horz">
      <w:tblPr/>
      <w:tcPr>
        <w:shd w:val="clear" w:color="auto" w:fill="CCCCCC" w:themeFill="text1" w:themeFillTint="33"/>
      </w:tcPr>
    </w:tblStylePr>
    <w:tblStylePr w:type="neCell">
      <w:tblPr/>
      <w:tcPr>
        <w:tcBorders>
          <w:bottom w:val="single" w:sz="4" w:space="0" w:color="666666" w:themeColor="text1" w:themeTint="99"/>
        </w:tcBorders>
      </w:tcPr>
    </w:tblStylePr>
    <w:tblStylePr w:type="nwCell">
      <w:tblPr/>
      <w:tcPr>
        <w:tcBorders>
          <w:bottom w:val="single" w:sz="4" w:space="0" w:color="666666" w:themeColor="text1" w:themeTint="99"/>
        </w:tcBorders>
      </w:tcPr>
    </w:tblStylePr>
    <w:tblStylePr w:type="seCell">
      <w:tblPr/>
      <w:tcPr>
        <w:tcBorders>
          <w:top w:val="single" w:sz="4" w:space="0" w:color="666666" w:themeColor="text1" w:themeTint="99"/>
        </w:tcBorders>
      </w:tcPr>
    </w:tblStylePr>
    <w:tblStylePr w:type="swCell">
      <w:tblPr/>
      <w:tcPr>
        <w:tcBorders>
          <w:top w:val="single" w:sz="4" w:space="0" w:color="666666" w:themeColor="text1" w:themeTint="99"/>
        </w:tcBorders>
      </w:tcPr>
    </w:tblStylePr>
  </w:style>
  <w:style w:type="paragraph" w:styleId="TableofFigures">
    <w:name w:val="table of figures"/>
    <w:basedOn w:val="Normal"/>
    <w:next w:val="Normal"/>
    <w:uiPriority w:val="99"/>
    <w:unhideWhenUsed/>
    <w:rsid w:val="00546ABE"/>
    <w:pPr>
      <w:spacing w:after="0"/>
    </w:pPr>
  </w:style>
  <w:style w:type="paragraph" w:styleId="Header">
    <w:name w:val="header"/>
    <w:basedOn w:val="Normal"/>
    <w:link w:val="HeaderChar"/>
    <w:uiPriority w:val="99"/>
    <w:unhideWhenUsed/>
    <w:rsid w:val="00546ABE"/>
    <w:pPr>
      <w:tabs>
        <w:tab w:val="center" w:pos="4513"/>
        <w:tab w:val="right" w:pos="9026"/>
      </w:tabs>
      <w:spacing w:after="0" w:line="240" w:lineRule="auto"/>
    </w:pPr>
  </w:style>
  <w:style w:type="character" w:customStyle="1" w:styleId="HeaderChar">
    <w:name w:val="Header Char"/>
    <w:basedOn w:val="DefaultParagraphFont"/>
    <w:link w:val="Header"/>
    <w:uiPriority w:val="99"/>
    <w:rsid w:val="00546ABE"/>
    <w:rPr>
      <w:rFonts w:ascii="Times New Roman" w:hAnsi="Times New Roman"/>
      <w:sz w:val="24"/>
    </w:rPr>
  </w:style>
  <w:style w:type="paragraph" w:styleId="Footer">
    <w:name w:val="footer"/>
    <w:basedOn w:val="Normal"/>
    <w:link w:val="FooterChar"/>
    <w:uiPriority w:val="99"/>
    <w:unhideWhenUsed/>
    <w:rsid w:val="00546ABE"/>
    <w:pPr>
      <w:tabs>
        <w:tab w:val="center" w:pos="4513"/>
        <w:tab w:val="right" w:pos="9026"/>
      </w:tabs>
      <w:spacing w:after="0" w:line="240" w:lineRule="auto"/>
    </w:pPr>
  </w:style>
  <w:style w:type="character" w:customStyle="1" w:styleId="FooterChar">
    <w:name w:val="Footer Char"/>
    <w:basedOn w:val="DefaultParagraphFont"/>
    <w:link w:val="Footer"/>
    <w:uiPriority w:val="99"/>
    <w:rsid w:val="00546ABE"/>
    <w:rPr>
      <w:rFonts w:ascii="Times New Roman" w:hAnsi="Times New Roman"/>
      <w:sz w:val="24"/>
    </w:rPr>
  </w:style>
  <w:style w:type="character" w:styleId="FollowedHyperlink">
    <w:name w:val="FollowedHyperlink"/>
    <w:basedOn w:val="DefaultParagraphFont"/>
    <w:uiPriority w:val="99"/>
    <w:semiHidden/>
    <w:unhideWhenUsed/>
    <w:rsid w:val="004C6D84"/>
    <w:rPr>
      <w:color w:val="96607D" w:themeColor="followedHyperlink"/>
      <w:u w:val="single"/>
    </w:rPr>
  </w:style>
  <w:style w:type="character" w:styleId="UnresolvedMention">
    <w:name w:val="Unresolved Mention"/>
    <w:basedOn w:val="DefaultParagraphFont"/>
    <w:uiPriority w:val="99"/>
    <w:semiHidden/>
    <w:unhideWhenUsed/>
    <w:rsid w:val="00251717"/>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26" Type="http://schemas.openxmlformats.org/officeDocument/2006/relationships/hyperlink" Target="https://www.researchgate.net/profile/Opeyemi-Adeojo-3/publication/385885192_Financial_big_data_analytics_and_risk_management/links/673915fc68de5e5a3078efe6/Financial-big-data-analytics-and-risk-management.pdf" TargetMode="External"/><Relationship Id="rId21" Type="http://schemas.openxmlformats.org/officeDocument/2006/relationships/hyperlink" Target="https://papers.ssrn.com/sol3/Delivery.cfm?abstractid=5314982" TargetMode="External"/><Relationship Id="rId34" Type="http://schemas.openxmlformats.org/officeDocument/2006/relationships/hyperlink" Target="https://papers.ssrn.com/sol3/Delivery.cfm?abstractid=4104502" TargetMode="External"/><Relationship Id="rId42" Type="http://schemas.openxmlformats.org/officeDocument/2006/relationships/hyperlink" Target="https://www.mdpi.com/2227-7072/14/4/93" TargetMode="External"/><Relationship Id="rId47" Type="http://schemas.openxmlformats.org/officeDocument/2006/relationships/hyperlink" Target="https://papers.ssrn.com/sol3/Delivery.cfm?abstractid=4549256" TargetMode="External"/><Relationship Id="rId50" Type="http://schemas.openxmlformats.org/officeDocument/2006/relationships/hyperlink" Target="https://dl.acm.org/doi/pdf/10.1145/3494672" TargetMode="External"/><Relationship Id="rId55" Type="http://schemas.openxmlformats.org/officeDocument/2006/relationships/hyperlink" Target="https://www.sciencedirect.com/science/article/pii/S2590051X26000110" TargetMode="External"/><Relationship Id="rId63" Type="http://schemas.openxmlformats.org/officeDocument/2006/relationships/footer" Target="footer1.xml"/><Relationship Id="rId7" Type="http://schemas.openxmlformats.org/officeDocument/2006/relationships/endnotes" Target="endnotes.xml"/><Relationship Id="rId2" Type="http://schemas.openxmlformats.org/officeDocument/2006/relationships/numbering" Target="numbering.xml"/><Relationship Id="rId16" Type="http://schemas.openxmlformats.org/officeDocument/2006/relationships/image" Target="media/image9.png"/><Relationship Id="rId29" Type="http://schemas.openxmlformats.org/officeDocument/2006/relationships/hyperlink" Target="https://epublications.vu.lt/object/elaba:277672954/277672954.pdf" TargetMode="External"/><Relationship Id="rId11" Type="http://schemas.openxmlformats.org/officeDocument/2006/relationships/image" Target="media/image4.png"/><Relationship Id="rId24" Type="http://schemas.openxmlformats.org/officeDocument/2006/relationships/hyperlink" Target="https://www.atlantis-press.com/article/125981385.pdf" TargetMode="External"/><Relationship Id="rId32" Type="http://schemas.openxmlformats.org/officeDocument/2006/relationships/hyperlink" Target="https://link.springer.com/article/10.1007/s44163-025-00432-4" TargetMode="External"/><Relationship Id="rId37" Type="http://schemas.openxmlformats.org/officeDocument/2006/relationships/hyperlink" Target="https://www.hsbc.com/who-we-are/hsbc-and-digital/hsbc-and-ai" TargetMode="External"/><Relationship Id="rId40" Type="http://schemas.openxmlformats.org/officeDocument/2006/relationships/hyperlink" Target="https://al-kindipublishers.org/index.php/fcsai/article/download/11523/10260" TargetMode="External"/><Relationship Id="rId45" Type="http://schemas.openxmlformats.org/officeDocument/2006/relationships/hyperlink" Target="https://www.mckinsey.com/~/media/mckinsey/business%20functions/mckinsey%20digital/our%20insights/the%20economic%20potential%20of%20generative%20ai%20the%20next%20productivity%20frontier/the-economic-potential-of-generative-ai-the-next-productivity-frontier.pdf" TargetMode="External"/><Relationship Id="rId53" Type="http://schemas.openxmlformats.org/officeDocument/2006/relationships/hyperlink" Target="https://www.mdpi.com/2078-2489/15/8/432" TargetMode="External"/><Relationship Id="rId58" Type="http://schemas.openxmlformats.org/officeDocument/2006/relationships/hyperlink" Target="https://papers.ssrn.com/sol3/papers.cfm?abstract_id=5244840" TargetMode="External"/><Relationship Id="rId5" Type="http://schemas.openxmlformats.org/officeDocument/2006/relationships/webSettings" Target="webSettings.xml"/><Relationship Id="rId61" Type="http://schemas.openxmlformats.org/officeDocument/2006/relationships/hyperlink" Target="https://www.researchgate.net/profile/Fola-Odion/publication/380542494_Legal_accountability_and_ethical_considerations_of_AI_in_financial_services/links/665538d1479366623a1af410/Legal-accountability-and-ethical-considerations-of-AI-in-financial-services.pdf" TargetMode="External"/><Relationship Id="rId19" Type="http://schemas.openxmlformats.org/officeDocument/2006/relationships/hyperlink" Target="https://papers.ssrn.com/sol3/Delivery.cfm?abstractid=5619470" TargetMode="External"/><Relationship Id="rId14" Type="http://schemas.openxmlformats.org/officeDocument/2006/relationships/image" Target="media/image7.png"/><Relationship Id="rId22" Type="http://schemas.openxmlformats.org/officeDocument/2006/relationships/hyperlink" Target="https://www.intechopen.com/chapters/89281" TargetMode="External"/><Relationship Id="rId27" Type="http://schemas.openxmlformats.org/officeDocument/2006/relationships/hyperlink" Target="https://www.deloitte.com/content/dam/assets-zone3/us/en/docs/campaigns/2025/us-state-of-gen-ai-2024-q4.pdf" TargetMode="External"/><Relationship Id="rId30" Type="http://schemas.openxmlformats.org/officeDocument/2006/relationships/hyperlink" Target="https://artificialintelligenceact.eu/ai-act-explorer/" TargetMode="External"/><Relationship Id="rId35" Type="http://schemas.openxmlformats.org/officeDocument/2006/relationships/hyperlink" Target="https://www.sciencedirect.com/science/article/pii/S105752192400632X" TargetMode="External"/><Relationship Id="rId43" Type="http://schemas.openxmlformats.org/officeDocument/2006/relationships/hyperlink" Target="https://www.tqfb.reapress.com/journal/article/download/40/74" TargetMode="External"/><Relationship Id="rId48" Type="http://schemas.openxmlformats.org/officeDocument/2006/relationships/hyperlink" Target="https://www.researchgate.net/publication/395330652" TargetMode="External"/><Relationship Id="rId56" Type="http://schemas.openxmlformats.org/officeDocument/2006/relationships/hyperlink" Target="https://www.universalai.in/wp-content/uploads/2020/03/A-STUDY-OF-AI-IN-BANKING-SYSTEM-KRI160616.pdf" TargetMode="External"/><Relationship Id="rId64" Type="http://schemas.openxmlformats.org/officeDocument/2006/relationships/fontTable" Target="fontTable.xml"/><Relationship Id="rId8" Type="http://schemas.openxmlformats.org/officeDocument/2006/relationships/image" Target="media/image1.png"/><Relationship Id="rId51" Type="http://schemas.openxmlformats.org/officeDocument/2006/relationships/hyperlink" Target="https://www.granthaalayahpublication.org/ijetmr-ojms/ijetmr/article/view/1624" TargetMode="External"/><Relationship Id="rId3" Type="http://schemas.openxmlformats.org/officeDocument/2006/relationships/styles" Target="styles.xml"/><Relationship Id="rId12" Type="http://schemas.openxmlformats.org/officeDocument/2006/relationships/image" Target="media/image5.png"/><Relationship Id="rId17" Type="http://schemas.openxmlformats.org/officeDocument/2006/relationships/image" Target="media/image10.png"/><Relationship Id="rId25" Type="http://schemas.openxmlformats.org/officeDocument/2006/relationships/hyperlink" Target="https://heinonline.org/hol-cgi-bin/get_pdf.cgi?handle=hein.journals/jura2025&amp;section=20" TargetMode="External"/><Relationship Id="rId33" Type="http://schemas.openxmlformats.org/officeDocument/2006/relationships/hyperlink" Target="https://gdpr-info.eu/" TargetMode="External"/><Relationship Id="rId38" Type="http://schemas.openxmlformats.org/officeDocument/2006/relationships/hyperlink" Target="https://www.hsbc.com/who-we-are" TargetMode="External"/><Relationship Id="rId46" Type="http://schemas.openxmlformats.org/officeDocument/2006/relationships/hyperlink" Target="https://papers.ssrn.com/sol3/Delivery.cfm?abstractid=4549248" TargetMode="External"/><Relationship Id="rId59" Type="http://schemas.openxmlformats.org/officeDocument/2006/relationships/hyperlink" Target="https://link.springer.com/content/pdf/10.1057/s41261-024-00233-2.pdf" TargetMode="External"/><Relationship Id="rId20" Type="http://schemas.openxmlformats.org/officeDocument/2006/relationships/hyperlink" Target="https://www.tandfonline.com/doi/full/10.1080/01969722.2026.2626804" TargetMode="External"/><Relationship Id="rId41" Type="http://schemas.openxmlformats.org/officeDocument/2006/relationships/hyperlink" Target="https://link.springer.com/content/pdf/10.1007/s13042-023-02083-2.pdf" TargetMode="External"/><Relationship Id="rId54" Type="http://schemas.openxmlformats.org/officeDocument/2006/relationships/hyperlink" Target="https://www.emerald.com/licima/article-pdf/doi/10.1108/CASE.IIMA.2023.000016/3370896/case_iima_2023_000016.pdf" TargetMode="External"/><Relationship Id="rId62" Type="http://schemas.openxmlformats.org/officeDocument/2006/relationships/hyperlink" Target="https://papers.ssrn.com/sol3/Delivery.cfm?abstractid=5270687" TargetMode="External"/><Relationship Id="rId1" Type="http://schemas.openxmlformats.org/officeDocument/2006/relationships/customXml" Target="../customXml/item1.xml"/><Relationship Id="rId6" Type="http://schemas.openxmlformats.org/officeDocument/2006/relationships/footnotes" Target="footnotes.xml"/><Relationship Id="rId15" Type="http://schemas.openxmlformats.org/officeDocument/2006/relationships/image" Target="media/image8.png"/><Relationship Id="rId23" Type="http://schemas.openxmlformats.org/officeDocument/2006/relationships/hyperlink" Target="https://arxiv.org/pdf/2401.08691" TargetMode="External"/><Relationship Id="rId28" Type="http://schemas.openxmlformats.org/officeDocument/2006/relationships/hyperlink" Target="https://www.deloitte.com/us/en/services/audit-assurance/blogs/accounting-finance/ai-finance-accounting-data-transparency-management.html" TargetMode="External"/><Relationship Id="rId36" Type="http://schemas.openxmlformats.org/officeDocument/2006/relationships/hyperlink" Target="https://www.researchgate.net/profile/Md-Mostafizur-Rahman-18/publication/380270469_ADVANCING_DATA_SECURITY_IN_GLOBAL_BANKING_INNOVATIVE_BIG_DATA_MANAGEMENT_TECHNIQUES/links/6634b2787091b94e93ec4ce2/ADVANCING-DATA-SECURITY-IN-GLOBAL-BANKING-INNOVATIVE-BIG-DATA-MANAGEMENT-TECHNIQUES.pdf" TargetMode="External"/><Relationship Id="rId49" Type="http://schemas.openxmlformats.org/officeDocument/2006/relationships/hyperlink" Target="https://dialnet.unirioja.es/descarga/articulo/10457320.pdf" TargetMode="External"/><Relationship Id="rId57" Type="http://schemas.openxmlformats.org/officeDocument/2006/relationships/hyperlink" Target="https://www.mdpi.com/2673-2688/6/8/169" TargetMode="External"/><Relationship Id="rId10" Type="http://schemas.openxmlformats.org/officeDocument/2006/relationships/image" Target="media/image3.png"/><Relationship Id="rId31" Type="http://schemas.openxmlformats.org/officeDocument/2006/relationships/hyperlink" Target="https://www.frontiersin.org/journals/artificial-intelligence/articles/10.3389/frai.2022.779799/pdf" TargetMode="External"/><Relationship Id="rId44" Type="http://schemas.openxmlformats.org/officeDocument/2006/relationships/hyperlink" Target="https://papers.ssrn.com/sol3/Delivery.cfm?abstractid=4380768" TargetMode="External"/><Relationship Id="rId52" Type="http://schemas.openxmlformats.org/officeDocument/2006/relationships/hyperlink" Target="https://ijctjournal.org/responsible-ai-governance-banking/" TargetMode="External"/><Relationship Id="rId60" Type="http://schemas.openxmlformats.org/officeDocument/2006/relationships/hyperlink" Target="https://publications.parliament.uk/pa/cm5901/cmselect/cmtreasy/684/report.html" TargetMode="External"/><Relationship Id="rId65"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image" Target="media/image2.png"/><Relationship Id="rId13" Type="http://schemas.openxmlformats.org/officeDocument/2006/relationships/image" Target="media/image6.png"/><Relationship Id="rId18" Type="http://schemas.openxmlformats.org/officeDocument/2006/relationships/hyperlink" Target="https://www.researchgate.net/profile/Samuel-Aidoo-2/publication/394032776_The_Role_of_Internal_Audit_in_AML_Compliance/links/688540f796f3c0122ef44eaa/The-Role-of-Internal-Audit-in-AML-Compliance.pdf" TargetMode="External"/><Relationship Id="rId39" Type="http://schemas.openxmlformats.org/officeDocument/2006/relationships/hyperlink" Target="https://papers.academic-conferences.org/index.php/icair/article/view/4352"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4E04F526-3A7D-4E84-8BA8-40EE2906A6F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6</TotalTime>
  <Pages>32</Pages>
  <Words>8783</Words>
  <Characters>50065</Characters>
  <Application>Microsoft Office Word</Application>
  <DocSecurity>0</DocSecurity>
  <Lines>417</Lines>
  <Paragraphs>117</Paragraphs>
  <ScaleCrop>false</ScaleCrop>
  <HeadingPairs>
    <vt:vector size="2" baseType="variant">
      <vt:variant>
        <vt:lpstr>Title</vt:lpstr>
      </vt:variant>
      <vt:variant>
        <vt:i4>1</vt:i4>
      </vt:variant>
    </vt:vector>
  </HeadingPairs>
  <TitlesOfParts>
    <vt:vector size="1" baseType="lpstr">
      <vt:lpstr/>
    </vt:vector>
  </TitlesOfParts>
  <Manager/>
  <Company/>
  <LinksUpToDate>false</LinksUpToDate>
  <CharactersWithSpaces>58731</CharactersWithSpaces>
  <SharedDoc>false</SharedDoc>
  <HyperlinkBase/>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MEET MACWAN</dc:creator>
  <cp:keywords/>
  <dc:description/>
  <cp:lastModifiedBy>MEET MACWAN</cp:lastModifiedBy>
  <cp:revision>2</cp:revision>
  <dcterms:created xsi:type="dcterms:W3CDTF">2026-04-26T18:52:00Z</dcterms:created>
  <dcterms:modified xsi:type="dcterms:W3CDTF">2026-04-26T18:52:00Z</dcterms:modified>
  <cp:category/>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40f54097-a34c-4e36-901a-ad77e2355f3e</vt:lpwstr>
  </property>
</Properties>
</file>