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5654919"/>
        <w:docPartObj>
          <w:docPartGallery w:val="Cover Pages"/>
          <w:docPartUnique/>
        </w:docPartObj>
      </w:sdtPr>
      <w:sdtEndPr>
        <w:rPr>
          <w:rFonts w:ascii="Arial" w:hAnsi="Arial" w:cs="Arial"/>
          <w:sz w:val="24"/>
          <w:szCs w:val="24"/>
        </w:rPr>
      </w:sdtEndPr>
      <w:sdtContent>
        <w:p w14:paraId="07387C41" w14:textId="21D43109" w:rsidR="002C444B" w:rsidRDefault="002C444B">
          <w:r>
            <w:rPr>
              <w:noProof/>
            </w:rPr>
            <mc:AlternateContent>
              <mc:Choice Requires="wpg">
                <w:drawing>
                  <wp:anchor distT="0" distB="0" distL="114300" distR="114300" simplePos="0" relativeHeight="251659264" behindDoc="1" locked="0" layoutInCell="1" allowOverlap="1" wp14:anchorId="1D0378E5" wp14:editId="2941B445">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B1F9244" w14:textId="7AEFD404" w:rsidR="002C444B" w:rsidRDefault="002C444B">
                                      <w:pPr>
                                        <w:pStyle w:val="NoSpacing"/>
                                        <w:rPr>
                                          <w:color w:val="FFFFFF" w:themeColor="background1"/>
                                          <w:sz w:val="32"/>
                                          <w:szCs w:val="32"/>
                                        </w:rPr>
                                      </w:pPr>
                                      <w:r>
                                        <w:rPr>
                                          <w:color w:val="FFFFFF" w:themeColor="background1"/>
                                          <w:sz w:val="32"/>
                                          <w:szCs w:val="32"/>
                                        </w:rPr>
                                        <w:t>Chelsey Poulton (2007838)</w:t>
                                      </w:r>
                                    </w:p>
                                  </w:sdtContent>
                                </w:sdt>
                                <w:p w14:paraId="653B1417" w14:textId="01B2CF29" w:rsidR="002C444B" w:rsidRDefault="001C4410">
                                  <w:pPr>
                                    <w:pStyle w:val="NoSpacing"/>
                                    <w:rPr>
                                      <w:caps/>
                                      <w:color w:val="FFFFFF" w:themeColor="background1"/>
                                    </w:rPr>
                                  </w:pPr>
                                  <w:sdt>
                                    <w:sdtPr>
                                      <w:rPr>
                                        <w:rFonts w:ascii="Arial" w:hAnsi="Arial" w:cs="Arial"/>
                                        <w:b/>
                                      </w:rPr>
                                      <w:alias w:val="Company"/>
                                      <w:tag w:val=""/>
                                      <w:id w:val="922067218"/>
                                      <w:dataBinding w:prefixMappings="xmlns:ns0='http://schemas.openxmlformats.org/officeDocument/2006/extended-properties' " w:xpath="/ns0:Properties[1]/ns0:Company[1]" w:storeItemID="{6668398D-A668-4E3E-A5EB-62B293D839F1}"/>
                                      <w:text/>
                                    </w:sdtPr>
                                    <w:sdtContent>
                                      <w:r w:rsidRPr="001C4410">
                                        <w:rPr>
                                          <w:rFonts w:ascii="Arial" w:hAnsi="Arial" w:cs="Arial"/>
                                          <w:b/>
                                        </w:rPr>
                                        <w:t>Zita Draper</w:t>
                                      </w:r>
                                    </w:sdtContent>
                                  </w:sdt>
                                  <w:r w:rsidR="002C444B">
                                    <w:rPr>
                                      <w:caps/>
                                      <w:color w:val="FFFFFF" w:themeColor="background1"/>
                                    </w:rPr>
                                    <w:t xml:space="preserve"> | </w:t>
                                  </w:r>
                                  <w:sdt>
                                    <w:sdtPr>
                                      <w:rPr>
                                        <w:rFonts w:ascii="Arial" w:hAnsi="Arial" w:cs="Arial"/>
                                        <w:b/>
                                      </w:rPr>
                                      <w:alias w:val="Address"/>
                                      <w:tag w:val=""/>
                                      <w:id w:val="2113163453"/>
                                      <w:dataBinding w:prefixMappings="xmlns:ns0='http://schemas.microsoft.com/office/2006/coverPageProps' " w:xpath="/ns0:CoverPageProperties[1]/ns0:CompanyAddress[1]" w:storeItemID="{55AF091B-3C7A-41E3-B477-F2FDAA23CFDA}"/>
                                      <w:text/>
                                    </w:sdtPr>
                                    <w:sdtContent>
                                      <w:r w:rsidR="00CF1C03" w:rsidRPr="00CF1C03">
                                        <w:rPr>
                                          <w:rFonts w:ascii="Arial" w:hAnsi="Arial" w:cs="Arial"/>
                                          <w:b/>
                                        </w:rPr>
                                        <w:t>BMPL4011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i/>
                                      <w:iCs/>
                                      <w:sz w:val="36"/>
                                      <w:szCs w:val="3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470D1AA" w14:textId="17AE778C" w:rsidR="002C444B" w:rsidRPr="00451D40" w:rsidRDefault="00451D40">
                                      <w:pPr>
                                        <w:pStyle w:val="NoSpacing"/>
                                        <w:pBdr>
                                          <w:bottom w:val="single" w:sz="6" w:space="4" w:color="7F7F7F" w:themeColor="text1" w:themeTint="80"/>
                                        </w:pBdr>
                                        <w:rPr>
                                          <w:rFonts w:asciiTheme="majorHAnsi" w:eastAsiaTheme="majorEastAsia" w:hAnsiTheme="majorHAnsi" w:cstheme="majorBidi"/>
                                          <w:bCs/>
                                          <w:i/>
                                          <w:iCs/>
                                          <w:color w:val="595959" w:themeColor="text1" w:themeTint="A6"/>
                                          <w:sz w:val="36"/>
                                          <w:szCs w:val="36"/>
                                          <w:u w:val="single"/>
                                        </w:rPr>
                                      </w:pPr>
                                      <w:r w:rsidRPr="00451D40">
                                        <w:rPr>
                                          <w:rFonts w:ascii="Arial" w:hAnsi="Arial" w:cs="Arial"/>
                                          <w:bCs/>
                                          <w:i/>
                                          <w:iCs/>
                                          <w:sz w:val="36"/>
                                          <w:szCs w:val="36"/>
                                          <w:u w:val="single"/>
                                        </w:rPr>
                                        <w:t>Role of the police within the justice system</w:t>
                                      </w:r>
                                    </w:p>
                                  </w:sdtContent>
                                </w:sdt>
                                <w:sdt>
                                  <w:sdtPr>
                                    <w:rPr>
                                      <w:rFonts w:ascii="Arial" w:eastAsia="Times New Roman" w:hAnsi="Arial" w:cs="Arial"/>
                                      <w:b/>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7285919" w14:textId="783A2416" w:rsidR="002C444B" w:rsidRDefault="00451D40" w:rsidP="00451D40">
                                      <w:pPr>
                                        <w:pStyle w:val="NoSpacing"/>
                                        <w:spacing w:before="240"/>
                                        <w:rPr>
                                          <w:caps/>
                                          <w:color w:val="44546A" w:themeColor="text2"/>
                                          <w:sz w:val="36"/>
                                          <w:szCs w:val="36"/>
                                        </w:rPr>
                                      </w:pPr>
                                      <w:r w:rsidRPr="00451D40">
                                        <w:rPr>
                                          <w:rFonts w:ascii="Arial" w:eastAsia="Times New Roman" w:hAnsi="Arial" w:cs="Arial"/>
                                          <w:b/>
                                          <w:lang w:val="en-GB"/>
                                        </w:rPr>
                                        <w:t xml:space="preserve">Professional practice policing (Level 4) </w:t>
                                      </w:r>
                                      <w:r>
                                        <w:rPr>
                                          <w:rFonts w:ascii="Arial" w:eastAsia="Times New Roman" w:hAnsi="Arial" w:cs="Arial"/>
                                          <w:b/>
                                          <w:lang w:val="en-GB"/>
                                        </w:rPr>
                                        <w:t xml:space="preserve">                                                                          </w:t>
                                      </w:r>
                                      <w:r w:rsidRPr="00451D40">
                                        <w:rPr>
                                          <w:rFonts w:ascii="Arial" w:eastAsia="Times New Roman" w:hAnsi="Arial" w:cs="Arial"/>
                                          <w:b/>
                                          <w:lang w:val="en-GB"/>
                                        </w:rPr>
                                        <w:t>Legal Process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0378E5"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B1F9244" w14:textId="7AEFD404" w:rsidR="002C444B" w:rsidRDefault="002C444B">
                                <w:pPr>
                                  <w:pStyle w:val="NoSpacing"/>
                                  <w:rPr>
                                    <w:color w:val="FFFFFF" w:themeColor="background1"/>
                                    <w:sz w:val="32"/>
                                    <w:szCs w:val="32"/>
                                  </w:rPr>
                                </w:pPr>
                                <w:r>
                                  <w:rPr>
                                    <w:color w:val="FFFFFF" w:themeColor="background1"/>
                                    <w:sz w:val="32"/>
                                    <w:szCs w:val="32"/>
                                  </w:rPr>
                                  <w:t>Chelsey Poulton (2007838)</w:t>
                                </w:r>
                              </w:p>
                            </w:sdtContent>
                          </w:sdt>
                          <w:p w14:paraId="653B1417" w14:textId="01B2CF29" w:rsidR="002C444B" w:rsidRDefault="001C4410">
                            <w:pPr>
                              <w:pStyle w:val="NoSpacing"/>
                              <w:rPr>
                                <w:caps/>
                                <w:color w:val="FFFFFF" w:themeColor="background1"/>
                              </w:rPr>
                            </w:pPr>
                            <w:sdt>
                              <w:sdtPr>
                                <w:rPr>
                                  <w:rFonts w:ascii="Arial" w:hAnsi="Arial" w:cs="Arial"/>
                                  <w:b/>
                                </w:rPr>
                                <w:alias w:val="Company"/>
                                <w:tag w:val=""/>
                                <w:id w:val="922067218"/>
                                <w:dataBinding w:prefixMappings="xmlns:ns0='http://schemas.openxmlformats.org/officeDocument/2006/extended-properties' " w:xpath="/ns0:Properties[1]/ns0:Company[1]" w:storeItemID="{6668398D-A668-4E3E-A5EB-62B293D839F1}"/>
                                <w:text/>
                              </w:sdtPr>
                              <w:sdtContent>
                                <w:r w:rsidRPr="001C4410">
                                  <w:rPr>
                                    <w:rFonts w:ascii="Arial" w:hAnsi="Arial" w:cs="Arial"/>
                                    <w:b/>
                                  </w:rPr>
                                  <w:t>Zita Draper</w:t>
                                </w:r>
                              </w:sdtContent>
                            </w:sdt>
                            <w:r w:rsidR="002C444B">
                              <w:rPr>
                                <w:caps/>
                                <w:color w:val="FFFFFF" w:themeColor="background1"/>
                              </w:rPr>
                              <w:t xml:space="preserve"> | </w:t>
                            </w:r>
                            <w:sdt>
                              <w:sdtPr>
                                <w:rPr>
                                  <w:rFonts w:ascii="Arial" w:hAnsi="Arial" w:cs="Arial"/>
                                  <w:b/>
                                </w:rPr>
                                <w:alias w:val="Address"/>
                                <w:tag w:val=""/>
                                <w:id w:val="2113163453"/>
                                <w:dataBinding w:prefixMappings="xmlns:ns0='http://schemas.microsoft.com/office/2006/coverPageProps' " w:xpath="/ns0:CoverPageProperties[1]/ns0:CompanyAddress[1]" w:storeItemID="{55AF091B-3C7A-41E3-B477-F2FDAA23CFDA}"/>
                                <w:text/>
                              </w:sdtPr>
                              <w:sdtContent>
                                <w:r w:rsidR="00CF1C03" w:rsidRPr="00CF1C03">
                                  <w:rPr>
                                    <w:rFonts w:ascii="Arial" w:hAnsi="Arial" w:cs="Arial"/>
                                    <w:b/>
                                  </w:rPr>
                                  <w:t>BMPL4011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bCs/>
                                <w:i/>
                                <w:iCs/>
                                <w:sz w:val="36"/>
                                <w:szCs w:val="3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470D1AA" w14:textId="17AE778C" w:rsidR="002C444B" w:rsidRPr="00451D40" w:rsidRDefault="00451D40">
                                <w:pPr>
                                  <w:pStyle w:val="NoSpacing"/>
                                  <w:pBdr>
                                    <w:bottom w:val="single" w:sz="6" w:space="4" w:color="7F7F7F" w:themeColor="text1" w:themeTint="80"/>
                                  </w:pBdr>
                                  <w:rPr>
                                    <w:rFonts w:asciiTheme="majorHAnsi" w:eastAsiaTheme="majorEastAsia" w:hAnsiTheme="majorHAnsi" w:cstheme="majorBidi"/>
                                    <w:bCs/>
                                    <w:i/>
                                    <w:iCs/>
                                    <w:color w:val="595959" w:themeColor="text1" w:themeTint="A6"/>
                                    <w:sz w:val="36"/>
                                    <w:szCs w:val="36"/>
                                    <w:u w:val="single"/>
                                  </w:rPr>
                                </w:pPr>
                                <w:r w:rsidRPr="00451D40">
                                  <w:rPr>
                                    <w:rFonts w:ascii="Arial" w:hAnsi="Arial" w:cs="Arial"/>
                                    <w:bCs/>
                                    <w:i/>
                                    <w:iCs/>
                                    <w:sz w:val="36"/>
                                    <w:szCs w:val="36"/>
                                    <w:u w:val="single"/>
                                  </w:rPr>
                                  <w:t>Role of the police within the justice system</w:t>
                                </w:r>
                              </w:p>
                            </w:sdtContent>
                          </w:sdt>
                          <w:sdt>
                            <w:sdtPr>
                              <w:rPr>
                                <w:rFonts w:ascii="Arial" w:eastAsia="Times New Roman" w:hAnsi="Arial" w:cs="Arial"/>
                                <w:b/>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7285919" w14:textId="783A2416" w:rsidR="002C444B" w:rsidRDefault="00451D40" w:rsidP="00451D40">
                                <w:pPr>
                                  <w:pStyle w:val="NoSpacing"/>
                                  <w:spacing w:before="240"/>
                                  <w:rPr>
                                    <w:caps/>
                                    <w:color w:val="44546A" w:themeColor="text2"/>
                                    <w:sz w:val="36"/>
                                    <w:szCs w:val="36"/>
                                  </w:rPr>
                                </w:pPr>
                                <w:r w:rsidRPr="00451D40">
                                  <w:rPr>
                                    <w:rFonts w:ascii="Arial" w:eastAsia="Times New Roman" w:hAnsi="Arial" w:cs="Arial"/>
                                    <w:b/>
                                    <w:lang w:val="en-GB"/>
                                  </w:rPr>
                                  <w:t xml:space="preserve">Professional practice policing (Level 4) </w:t>
                                </w:r>
                                <w:r>
                                  <w:rPr>
                                    <w:rFonts w:ascii="Arial" w:eastAsia="Times New Roman" w:hAnsi="Arial" w:cs="Arial"/>
                                    <w:b/>
                                    <w:lang w:val="en-GB"/>
                                  </w:rPr>
                                  <w:t xml:space="preserve">                                                                          </w:t>
                                </w:r>
                                <w:r w:rsidRPr="00451D40">
                                  <w:rPr>
                                    <w:rFonts w:ascii="Arial" w:eastAsia="Times New Roman" w:hAnsi="Arial" w:cs="Arial"/>
                                    <w:b/>
                                    <w:lang w:val="en-GB"/>
                                  </w:rPr>
                                  <w:t>Legal Process</w:t>
                                </w:r>
                              </w:p>
                            </w:sdtContent>
                          </w:sdt>
                        </w:txbxContent>
                      </v:textbox>
                    </v:shape>
                    <w10:wrap anchorx="page" anchory="page"/>
                  </v:group>
                </w:pict>
              </mc:Fallback>
            </mc:AlternateContent>
          </w:r>
        </w:p>
        <w:p w14:paraId="23871216" w14:textId="58AD950E" w:rsidR="002C444B" w:rsidRDefault="002C444B">
          <w:pPr>
            <w:rPr>
              <w:rFonts w:ascii="Arial" w:hAnsi="Arial" w:cs="Arial"/>
              <w:sz w:val="24"/>
              <w:szCs w:val="24"/>
            </w:rPr>
          </w:pPr>
          <w:r>
            <w:rPr>
              <w:rFonts w:ascii="Arial" w:hAnsi="Arial" w:cs="Arial"/>
              <w:sz w:val="24"/>
              <w:szCs w:val="24"/>
            </w:rPr>
            <w:br w:type="page"/>
          </w:r>
        </w:p>
      </w:sdtContent>
    </w:sdt>
    <w:p w14:paraId="61E5D290" w14:textId="416A3BDB" w:rsidR="001B57FE" w:rsidRDefault="00661D0D" w:rsidP="00661D0D">
      <w:pPr>
        <w:spacing w:line="360" w:lineRule="auto"/>
        <w:rPr>
          <w:rFonts w:ascii="Arial" w:hAnsi="Arial" w:cs="Arial"/>
          <w:sz w:val="24"/>
          <w:szCs w:val="24"/>
        </w:rPr>
      </w:pPr>
      <w:r>
        <w:rPr>
          <w:rFonts w:ascii="Arial" w:hAnsi="Arial" w:cs="Arial"/>
          <w:sz w:val="24"/>
          <w:szCs w:val="24"/>
        </w:rPr>
        <w:lastRenderedPageBreak/>
        <w:t xml:space="preserve"> </w:t>
      </w:r>
      <w:r w:rsidR="00820F6B">
        <w:rPr>
          <w:rFonts w:ascii="Arial" w:hAnsi="Arial" w:cs="Arial"/>
          <w:sz w:val="24"/>
          <w:szCs w:val="24"/>
        </w:rPr>
        <w:t xml:space="preserve">  </w:t>
      </w:r>
      <w:r w:rsidR="001B57FE">
        <w:rPr>
          <w:rFonts w:ascii="Arial" w:hAnsi="Arial" w:cs="Arial"/>
          <w:sz w:val="24"/>
          <w:szCs w:val="24"/>
        </w:rPr>
        <w:t xml:space="preserve">The police play an active </w:t>
      </w:r>
      <w:r w:rsidR="008D3947">
        <w:rPr>
          <w:rFonts w:ascii="Arial" w:hAnsi="Arial" w:cs="Arial"/>
          <w:sz w:val="24"/>
          <w:szCs w:val="24"/>
        </w:rPr>
        <w:t xml:space="preserve">and significant role within the English and Welsh justice-system, this is made </w:t>
      </w:r>
      <w:r w:rsidR="00820F6B">
        <w:rPr>
          <w:rFonts w:ascii="Arial" w:hAnsi="Arial" w:cs="Arial"/>
          <w:sz w:val="24"/>
          <w:szCs w:val="24"/>
        </w:rPr>
        <w:t xml:space="preserve">evident within this paper.  It goes on to outline </w:t>
      </w:r>
      <w:r w:rsidR="00FC4FF5">
        <w:rPr>
          <w:rFonts w:ascii="Arial" w:hAnsi="Arial" w:cs="Arial"/>
          <w:sz w:val="24"/>
          <w:szCs w:val="24"/>
        </w:rPr>
        <w:t xml:space="preserve">the police </w:t>
      </w:r>
      <w:r w:rsidR="00CE03A6">
        <w:rPr>
          <w:rFonts w:ascii="Arial" w:hAnsi="Arial" w:cs="Arial"/>
          <w:sz w:val="24"/>
          <w:szCs w:val="24"/>
        </w:rPr>
        <w:t>procedures</w:t>
      </w:r>
      <w:r w:rsidR="00FC4FF5">
        <w:rPr>
          <w:rFonts w:ascii="Arial" w:hAnsi="Arial" w:cs="Arial"/>
          <w:sz w:val="24"/>
          <w:szCs w:val="24"/>
        </w:rPr>
        <w:t xml:space="preserve"> around stop and search and how the police</w:t>
      </w:r>
      <w:r w:rsidR="004A0796">
        <w:rPr>
          <w:rFonts w:ascii="Arial" w:hAnsi="Arial" w:cs="Arial"/>
          <w:sz w:val="24"/>
          <w:szCs w:val="24"/>
        </w:rPr>
        <w:t xml:space="preserve"> and Criminal Evidence Act 1984 effects this</w:t>
      </w:r>
      <w:r w:rsidR="00524EB6">
        <w:rPr>
          <w:rFonts w:ascii="Arial" w:hAnsi="Arial" w:cs="Arial"/>
          <w:sz w:val="24"/>
          <w:szCs w:val="24"/>
        </w:rPr>
        <w:t>,</w:t>
      </w:r>
      <w:r w:rsidR="004A0796">
        <w:rPr>
          <w:rFonts w:ascii="Arial" w:hAnsi="Arial" w:cs="Arial"/>
          <w:sz w:val="24"/>
          <w:szCs w:val="24"/>
        </w:rPr>
        <w:t xml:space="preserve"> and how the Human Rights </w:t>
      </w:r>
      <w:r w:rsidR="00DA3893">
        <w:rPr>
          <w:rFonts w:ascii="Arial" w:hAnsi="Arial" w:cs="Arial"/>
          <w:sz w:val="24"/>
          <w:szCs w:val="24"/>
        </w:rPr>
        <w:t>Act 1998</w:t>
      </w:r>
      <w:r w:rsidR="00524EB6">
        <w:rPr>
          <w:rFonts w:ascii="Arial" w:hAnsi="Arial" w:cs="Arial"/>
          <w:sz w:val="24"/>
          <w:szCs w:val="24"/>
        </w:rPr>
        <w:t xml:space="preserve"> underpins all this and plays a vital role.  The paper </w:t>
      </w:r>
      <w:r w:rsidR="00CE03A6">
        <w:rPr>
          <w:rFonts w:ascii="Arial" w:hAnsi="Arial" w:cs="Arial"/>
          <w:sz w:val="24"/>
          <w:szCs w:val="24"/>
        </w:rPr>
        <w:t>will go on to show substantial evidence on how these all play a key part within the justice system.</w:t>
      </w:r>
      <w:r w:rsidR="004A0796">
        <w:rPr>
          <w:rFonts w:ascii="Arial" w:hAnsi="Arial" w:cs="Arial"/>
          <w:sz w:val="24"/>
          <w:szCs w:val="24"/>
        </w:rPr>
        <w:t xml:space="preserve"> </w:t>
      </w:r>
      <w:r>
        <w:rPr>
          <w:rFonts w:ascii="Arial" w:hAnsi="Arial" w:cs="Arial"/>
          <w:sz w:val="24"/>
          <w:szCs w:val="24"/>
        </w:rPr>
        <w:t xml:space="preserve"> </w:t>
      </w:r>
    </w:p>
    <w:p w14:paraId="71F3EE2A" w14:textId="4F04CC8F" w:rsidR="00A440F7" w:rsidRDefault="001B57FE" w:rsidP="00661D0D">
      <w:pPr>
        <w:spacing w:line="360" w:lineRule="auto"/>
        <w:rPr>
          <w:rFonts w:ascii="Arial" w:hAnsi="Arial" w:cs="Arial"/>
          <w:sz w:val="24"/>
          <w:szCs w:val="24"/>
        </w:rPr>
      </w:pPr>
      <w:r>
        <w:rPr>
          <w:rFonts w:ascii="Arial" w:hAnsi="Arial" w:cs="Arial"/>
          <w:sz w:val="24"/>
          <w:szCs w:val="24"/>
        </w:rPr>
        <w:t xml:space="preserve">  </w:t>
      </w:r>
      <w:r w:rsidR="00661D0D" w:rsidRPr="00661D0D">
        <w:rPr>
          <w:rFonts w:ascii="Arial" w:hAnsi="Arial" w:cs="Arial"/>
          <w:sz w:val="24"/>
          <w:szCs w:val="24"/>
        </w:rPr>
        <w:t>The police have the power to arrest an individual under the police and criminal</w:t>
      </w:r>
      <w:r w:rsidR="00661D0D">
        <w:rPr>
          <w:rFonts w:ascii="Arial" w:hAnsi="Arial" w:cs="Arial"/>
          <w:sz w:val="24"/>
          <w:szCs w:val="24"/>
        </w:rPr>
        <w:t xml:space="preserve"> Evidence Act 1984 (PACE).  This act is used to stop and search individuals and property, to arrest and to seize objects and many more things</w:t>
      </w:r>
      <w:r w:rsidR="00E92FE5">
        <w:rPr>
          <w:rFonts w:ascii="Arial" w:hAnsi="Arial" w:cs="Arial"/>
          <w:sz w:val="24"/>
          <w:szCs w:val="24"/>
        </w:rPr>
        <w:t xml:space="preserve"> (Wood Et Al 2022)</w:t>
      </w:r>
      <w:r w:rsidR="00661D0D">
        <w:rPr>
          <w:rFonts w:ascii="Arial" w:hAnsi="Arial" w:cs="Arial"/>
          <w:sz w:val="24"/>
          <w:szCs w:val="24"/>
        </w:rPr>
        <w:t>.  Any of these powers are all outlined in the pace act, and the restrictions are also explained in detail too.</w:t>
      </w:r>
      <w:r w:rsidR="00E92FE5">
        <w:rPr>
          <w:rFonts w:ascii="Arial" w:hAnsi="Arial" w:cs="Arial"/>
          <w:sz w:val="24"/>
          <w:szCs w:val="24"/>
        </w:rPr>
        <w:t xml:space="preserve">  PACE (1984) is used to strike the correct amount of balance when it comes to the powers of the police force, and the rights of the public and their freedoms (Zander 1995) The central element and they key reasons for this act is to maintain this balance.  The PACE act contains key parts of legislation in line with criminal procedures in England and in Wales, and the police powers for stop and search and arrest.  PACE (1984) is composed of 8 codes of practice (Cane 2008).  These codes are the key guidelines on how the police operate and how the investigation is conducted.  Criminal liability can arise if the PACE codes of conduct are not followed correctly.  </w:t>
      </w:r>
      <w:r w:rsidR="008A01F7">
        <w:rPr>
          <w:rFonts w:ascii="Arial" w:hAnsi="Arial" w:cs="Arial"/>
          <w:sz w:val="24"/>
          <w:szCs w:val="24"/>
        </w:rPr>
        <w:t>Dennis (1993), Walters and O’Connell (1985) all agree with this statement and go on to suggest that cases in court could go as far as being declared a miscarriage of justice and be thrown out of court all together.  In three high profile cases such as R V McLlkenney et al (1991), R V Richardson et al (1989) and R V Ward (1993) all more commonly known as the Birmingham 6, Guildford 4 ad Judith Ward.  It was noted that all these suspects were interrogated by police under unlawful conditions or there was unreliable forensic evidence, due to the PACE codes of conduct not being followed correctly these cases were declared as a mistrial of justice and all convictions were dropped.</w:t>
      </w:r>
    </w:p>
    <w:p w14:paraId="59D982B4" w14:textId="77777777" w:rsidR="003975B6" w:rsidRDefault="00A440F7" w:rsidP="00661D0D">
      <w:pPr>
        <w:spacing w:line="360" w:lineRule="auto"/>
        <w:rPr>
          <w:rFonts w:ascii="Arial" w:hAnsi="Arial" w:cs="Arial"/>
          <w:sz w:val="24"/>
          <w:szCs w:val="24"/>
        </w:rPr>
      </w:pPr>
      <w:r>
        <w:rPr>
          <w:rFonts w:ascii="Arial" w:hAnsi="Arial" w:cs="Arial"/>
          <w:sz w:val="24"/>
          <w:szCs w:val="24"/>
        </w:rPr>
        <w:t xml:space="preserve">  This Chapter is centred around stop and search procedures and outlines the polices powers and policies.  Stop and search can be a very useful way for the police to tackle crime as suggested by Tiratelli et al (2018).  Despite the usefulness of stop and search it has often been criticised raising concerns of discrimination on ethical communities.  </w:t>
      </w:r>
      <w:r w:rsidR="00CB79F3">
        <w:rPr>
          <w:rFonts w:ascii="Arial" w:hAnsi="Arial" w:cs="Arial"/>
          <w:sz w:val="24"/>
          <w:szCs w:val="24"/>
        </w:rPr>
        <w:t>So,</w:t>
      </w:r>
      <w:r>
        <w:rPr>
          <w:rFonts w:ascii="Arial" w:hAnsi="Arial" w:cs="Arial"/>
          <w:sz w:val="24"/>
          <w:szCs w:val="24"/>
        </w:rPr>
        <w:t xml:space="preserve"> there are ethical concerns surrounding stop and search and the way the police use the power they have as suggested by Bradford and Loade </w:t>
      </w:r>
      <w:r>
        <w:rPr>
          <w:rFonts w:ascii="Arial" w:hAnsi="Arial" w:cs="Arial"/>
          <w:sz w:val="24"/>
          <w:szCs w:val="24"/>
        </w:rPr>
        <w:lastRenderedPageBreak/>
        <w:t xml:space="preserve">(2016).  In an article written by Waddington et al (2004) the statement of ethical problems was backed up using research to conclude this. It is evident that the black community are stopped and searched at a rate of 7 times higher than that of someone from a white community </w:t>
      </w:r>
      <w:r w:rsidR="00CB79F3">
        <w:rPr>
          <w:rFonts w:ascii="Arial" w:hAnsi="Arial" w:cs="Arial"/>
          <w:sz w:val="24"/>
          <w:szCs w:val="24"/>
        </w:rPr>
        <w:t xml:space="preserve">as in the case of R v commissioner of the metropolitan police (2015). The home office (2023) researched figures that suggested in 2021 there was a significant drop in stop and searches, dropping by 41% but it is said that a large number of these were due to covid-19.  Although there are 19 different stop and search powers available the police most commonly use S1 of the PACE act (1984) and for a crime with a lesser extent S23 of the misuse of drugs act 1971. The key difference of these is S1 of PACE allows police to search for prohibited or stolen items. </w:t>
      </w:r>
      <w:r w:rsidR="00005E47">
        <w:rPr>
          <w:rFonts w:ascii="Arial" w:hAnsi="Arial" w:cs="Arial"/>
          <w:sz w:val="24"/>
          <w:szCs w:val="24"/>
        </w:rPr>
        <w:t>All</w:t>
      </w:r>
      <w:r w:rsidR="00CB79F3">
        <w:rPr>
          <w:rFonts w:ascii="Arial" w:hAnsi="Arial" w:cs="Arial"/>
          <w:sz w:val="24"/>
          <w:szCs w:val="24"/>
        </w:rPr>
        <w:t xml:space="preserve"> the legislation surrounding stop and search is outlined in code A of the PACE act.  It is said in this code that all stops and searches</w:t>
      </w:r>
      <w:r w:rsidR="00005E47">
        <w:rPr>
          <w:rFonts w:ascii="Arial" w:hAnsi="Arial" w:cs="Arial"/>
          <w:sz w:val="24"/>
          <w:szCs w:val="24"/>
        </w:rPr>
        <w:t xml:space="preserve"> will be carried out in a fair and lawful manor and must be able to uphold any kind of legal scrutiny. The search must follow all procedures and a record must be kept every time. Both the PACE code A para 3.1 and the terrorism Act 2000 code of practice para 5.1.1 both outlined and said that “All stop and searches should be carried out with courtesy, consideration and respect for the person concerned”, after all these policies are followed correctly and anything comes of the investigation the suspect will then be arrested and held and questioned further.</w:t>
      </w:r>
    </w:p>
    <w:p w14:paraId="4C4A34E3" w14:textId="656834EC" w:rsidR="002954EF" w:rsidRDefault="003975B6" w:rsidP="00661D0D">
      <w:pPr>
        <w:spacing w:line="360" w:lineRule="auto"/>
        <w:rPr>
          <w:rFonts w:ascii="Arial" w:hAnsi="Arial" w:cs="Arial"/>
          <w:sz w:val="24"/>
          <w:szCs w:val="24"/>
        </w:rPr>
      </w:pPr>
      <w:r>
        <w:rPr>
          <w:rFonts w:ascii="Arial" w:hAnsi="Arial" w:cs="Arial"/>
          <w:sz w:val="24"/>
          <w:szCs w:val="24"/>
        </w:rPr>
        <w:t xml:space="preserve">  </w:t>
      </w:r>
      <w:r w:rsidR="00D32874">
        <w:rPr>
          <w:rFonts w:ascii="Arial" w:hAnsi="Arial" w:cs="Arial"/>
          <w:sz w:val="24"/>
          <w:szCs w:val="24"/>
        </w:rPr>
        <w:t xml:space="preserve">The human rights principles underpin every aspect of the police force and the </w:t>
      </w:r>
      <w:r w:rsidR="00230A70">
        <w:rPr>
          <w:rFonts w:ascii="Arial" w:hAnsi="Arial" w:cs="Arial"/>
          <w:sz w:val="24"/>
          <w:szCs w:val="24"/>
        </w:rPr>
        <w:t xml:space="preserve">work the police do, all police officers </w:t>
      </w:r>
      <w:r w:rsidR="00223F56">
        <w:rPr>
          <w:rFonts w:ascii="Arial" w:hAnsi="Arial" w:cs="Arial"/>
          <w:sz w:val="24"/>
          <w:szCs w:val="24"/>
        </w:rPr>
        <w:t xml:space="preserve">must act in a way that is inline will all aspects pf the </w:t>
      </w:r>
      <w:proofErr w:type="spellStart"/>
      <w:r w:rsidR="00223F56">
        <w:rPr>
          <w:rFonts w:ascii="Arial" w:hAnsi="Arial" w:cs="Arial"/>
          <w:sz w:val="24"/>
          <w:szCs w:val="24"/>
        </w:rPr>
        <w:t>the</w:t>
      </w:r>
      <w:proofErr w:type="spellEnd"/>
      <w:r w:rsidR="00223F56">
        <w:rPr>
          <w:rFonts w:ascii="Arial" w:hAnsi="Arial" w:cs="Arial"/>
          <w:sz w:val="24"/>
          <w:szCs w:val="24"/>
        </w:rPr>
        <w:t xml:space="preserve"> Human Rights Act</w:t>
      </w:r>
      <w:r w:rsidR="00A40D91">
        <w:rPr>
          <w:rFonts w:ascii="Arial" w:hAnsi="Arial" w:cs="Arial"/>
          <w:sz w:val="24"/>
          <w:szCs w:val="24"/>
        </w:rPr>
        <w:t xml:space="preserve"> (HRA) 1998.  Before the HRA </w:t>
      </w:r>
      <w:r w:rsidR="00474772">
        <w:rPr>
          <w:rFonts w:ascii="Arial" w:hAnsi="Arial" w:cs="Arial"/>
          <w:sz w:val="24"/>
          <w:szCs w:val="24"/>
        </w:rPr>
        <w:t xml:space="preserve">(1998) was created there was no document that </w:t>
      </w:r>
      <w:r w:rsidR="000821CA">
        <w:rPr>
          <w:rFonts w:ascii="Arial" w:hAnsi="Arial" w:cs="Arial"/>
          <w:sz w:val="24"/>
          <w:szCs w:val="24"/>
        </w:rPr>
        <w:t>explained the rights the citizens</w:t>
      </w:r>
      <w:r w:rsidR="00D6588F">
        <w:rPr>
          <w:rFonts w:ascii="Arial" w:hAnsi="Arial" w:cs="Arial"/>
          <w:sz w:val="24"/>
          <w:szCs w:val="24"/>
        </w:rPr>
        <w:t xml:space="preserve"> had</w:t>
      </w:r>
      <w:r w:rsidR="000821CA">
        <w:rPr>
          <w:rFonts w:ascii="Arial" w:hAnsi="Arial" w:cs="Arial"/>
          <w:sz w:val="24"/>
          <w:szCs w:val="24"/>
        </w:rPr>
        <w:t xml:space="preserve"> within the </w:t>
      </w:r>
      <w:r w:rsidR="00D6588F">
        <w:rPr>
          <w:rFonts w:ascii="Arial" w:hAnsi="Arial" w:cs="Arial"/>
          <w:sz w:val="24"/>
          <w:szCs w:val="24"/>
        </w:rPr>
        <w:t>United Kingdom</w:t>
      </w:r>
      <w:r w:rsidR="000821CA">
        <w:rPr>
          <w:rFonts w:ascii="Arial" w:hAnsi="Arial" w:cs="Arial"/>
          <w:sz w:val="24"/>
          <w:szCs w:val="24"/>
        </w:rPr>
        <w:t xml:space="preserve"> (UK)</w:t>
      </w:r>
      <w:r w:rsidR="00D6588F">
        <w:rPr>
          <w:rFonts w:ascii="Arial" w:hAnsi="Arial" w:cs="Arial"/>
          <w:sz w:val="24"/>
          <w:szCs w:val="24"/>
        </w:rPr>
        <w:t>.  In order to get any ki</w:t>
      </w:r>
      <w:r w:rsidR="00241884">
        <w:rPr>
          <w:rFonts w:ascii="Arial" w:hAnsi="Arial" w:cs="Arial"/>
          <w:sz w:val="24"/>
          <w:szCs w:val="24"/>
        </w:rPr>
        <w:t xml:space="preserve">nd of remedy for a breach the UK </w:t>
      </w:r>
      <w:r w:rsidR="00B91E21">
        <w:rPr>
          <w:rFonts w:ascii="Arial" w:hAnsi="Arial" w:cs="Arial"/>
          <w:sz w:val="24"/>
          <w:szCs w:val="24"/>
        </w:rPr>
        <w:t>citizens</w:t>
      </w:r>
      <w:r w:rsidR="00241884">
        <w:rPr>
          <w:rFonts w:ascii="Arial" w:hAnsi="Arial" w:cs="Arial"/>
          <w:sz w:val="24"/>
          <w:szCs w:val="24"/>
        </w:rPr>
        <w:t xml:space="preserve"> needed to go </w:t>
      </w:r>
      <w:r w:rsidR="00B91E21">
        <w:rPr>
          <w:rFonts w:ascii="Arial" w:hAnsi="Arial" w:cs="Arial"/>
          <w:sz w:val="24"/>
          <w:szCs w:val="24"/>
        </w:rPr>
        <w:t xml:space="preserve">to the European court </w:t>
      </w:r>
      <w:r w:rsidR="006E6B09">
        <w:rPr>
          <w:rFonts w:ascii="Arial" w:hAnsi="Arial" w:cs="Arial"/>
          <w:sz w:val="24"/>
          <w:szCs w:val="24"/>
        </w:rPr>
        <w:t>of Human Rights (ECtHR)</w:t>
      </w:r>
      <w:r w:rsidR="00041215">
        <w:rPr>
          <w:rFonts w:ascii="Arial" w:hAnsi="Arial" w:cs="Arial"/>
          <w:sz w:val="24"/>
          <w:szCs w:val="24"/>
        </w:rPr>
        <w:t xml:space="preserve"> in Str</w:t>
      </w:r>
      <w:r w:rsidR="007523A0">
        <w:rPr>
          <w:rFonts w:ascii="Arial" w:hAnsi="Arial" w:cs="Arial"/>
          <w:sz w:val="24"/>
          <w:szCs w:val="24"/>
        </w:rPr>
        <w:t xml:space="preserve">asbourg, so the Government decided that the UK </w:t>
      </w:r>
      <w:r w:rsidR="008707BA">
        <w:rPr>
          <w:rFonts w:ascii="Arial" w:hAnsi="Arial" w:cs="Arial"/>
          <w:sz w:val="24"/>
          <w:szCs w:val="24"/>
        </w:rPr>
        <w:t xml:space="preserve">needed to bring it home.  As of 1998 </w:t>
      </w:r>
      <w:r w:rsidR="005A3CA5">
        <w:rPr>
          <w:rFonts w:ascii="Arial" w:hAnsi="Arial" w:cs="Arial"/>
          <w:sz w:val="24"/>
          <w:szCs w:val="24"/>
        </w:rPr>
        <w:t xml:space="preserve">the HRA was created thus making the UK able to enforce </w:t>
      </w:r>
      <w:r w:rsidR="00631B10">
        <w:rPr>
          <w:rFonts w:ascii="Arial" w:hAnsi="Arial" w:cs="Arial"/>
          <w:sz w:val="24"/>
          <w:szCs w:val="24"/>
        </w:rPr>
        <w:t>our rights in the courts within the United Kingdom (Star</w:t>
      </w:r>
      <w:r w:rsidR="00473B81">
        <w:rPr>
          <w:rFonts w:ascii="Arial" w:hAnsi="Arial" w:cs="Arial"/>
          <w:sz w:val="24"/>
          <w:szCs w:val="24"/>
        </w:rPr>
        <w:t xml:space="preserve">mer et al 2001). The UK does not have to follow </w:t>
      </w:r>
      <w:r w:rsidR="00E567FE">
        <w:rPr>
          <w:rFonts w:ascii="Arial" w:hAnsi="Arial" w:cs="Arial"/>
          <w:sz w:val="24"/>
          <w:szCs w:val="24"/>
        </w:rPr>
        <w:t>suggestions from the ECtHR, but they are known to be very persuasive</w:t>
      </w:r>
      <w:r w:rsidR="006A185B">
        <w:rPr>
          <w:rFonts w:ascii="Arial" w:hAnsi="Arial" w:cs="Arial"/>
          <w:sz w:val="24"/>
          <w:szCs w:val="24"/>
        </w:rPr>
        <w:t xml:space="preserve">.  Section 2-interpretation of </w:t>
      </w:r>
      <w:r w:rsidR="00902121">
        <w:rPr>
          <w:rFonts w:ascii="Arial" w:hAnsi="Arial" w:cs="Arial"/>
          <w:sz w:val="24"/>
          <w:szCs w:val="24"/>
        </w:rPr>
        <w:t>convention rights</w:t>
      </w:r>
      <w:r w:rsidR="00FA3A5D">
        <w:rPr>
          <w:rFonts w:ascii="Arial" w:hAnsi="Arial" w:cs="Arial"/>
          <w:sz w:val="24"/>
          <w:szCs w:val="24"/>
        </w:rPr>
        <w:t xml:space="preserve"> says that courts within the UK must “take into </w:t>
      </w:r>
      <w:r w:rsidR="005A5A22">
        <w:rPr>
          <w:rFonts w:ascii="Arial" w:hAnsi="Arial" w:cs="Arial"/>
          <w:sz w:val="24"/>
          <w:szCs w:val="24"/>
        </w:rPr>
        <w:t xml:space="preserve">account” any important cases within the ECtHR. R </w:t>
      </w:r>
      <w:r w:rsidR="000C1471">
        <w:rPr>
          <w:rFonts w:ascii="Arial" w:hAnsi="Arial" w:cs="Arial"/>
          <w:sz w:val="24"/>
          <w:szCs w:val="24"/>
        </w:rPr>
        <w:t xml:space="preserve">v Special Adjudicator (2004) explains and </w:t>
      </w:r>
      <w:r w:rsidR="00902121">
        <w:rPr>
          <w:rFonts w:ascii="Arial" w:hAnsi="Arial" w:cs="Arial"/>
          <w:sz w:val="24"/>
          <w:szCs w:val="24"/>
        </w:rPr>
        <w:t>lays out all the above.</w:t>
      </w:r>
      <w:r w:rsidR="002D7905">
        <w:rPr>
          <w:rFonts w:ascii="Arial" w:hAnsi="Arial" w:cs="Arial"/>
          <w:sz w:val="24"/>
          <w:szCs w:val="24"/>
        </w:rPr>
        <w:t xml:space="preserve"> It become evident that there was a large problem with the HRA</w:t>
      </w:r>
      <w:r w:rsidR="00EE7D99">
        <w:rPr>
          <w:rFonts w:ascii="Arial" w:hAnsi="Arial" w:cs="Arial"/>
          <w:sz w:val="24"/>
          <w:szCs w:val="24"/>
        </w:rPr>
        <w:t xml:space="preserve"> and that was that it did not offer protection for certain </w:t>
      </w:r>
      <w:r w:rsidR="001F6562">
        <w:rPr>
          <w:rFonts w:ascii="Arial" w:hAnsi="Arial" w:cs="Arial"/>
          <w:sz w:val="24"/>
          <w:szCs w:val="24"/>
        </w:rPr>
        <w:t>individuals</w:t>
      </w:r>
      <w:r w:rsidR="00EE7D99">
        <w:rPr>
          <w:rFonts w:ascii="Arial" w:hAnsi="Arial" w:cs="Arial"/>
          <w:sz w:val="24"/>
          <w:szCs w:val="24"/>
        </w:rPr>
        <w:t xml:space="preserve"> so in 2019 the government created the </w:t>
      </w:r>
      <w:r w:rsidR="001F6562">
        <w:rPr>
          <w:rFonts w:ascii="Arial" w:hAnsi="Arial" w:cs="Arial"/>
          <w:sz w:val="24"/>
          <w:szCs w:val="24"/>
        </w:rPr>
        <w:lastRenderedPageBreak/>
        <w:t xml:space="preserve">Equality Act 2010.  This act replaced a lot of legislation </w:t>
      </w:r>
      <w:r w:rsidR="00786D68">
        <w:rPr>
          <w:rFonts w:ascii="Arial" w:hAnsi="Arial" w:cs="Arial"/>
          <w:sz w:val="24"/>
          <w:szCs w:val="24"/>
        </w:rPr>
        <w:t xml:space="preserve">and brought it together </w:t>
      </w:r>
      <w:r w:rsidR="00CB7C67">
        <w:rPr>
          <w:rFonts w:ascii="Arial" w:hAnsi="Arial" w:cs="Arial"/>
          <w:sz w:val="24"/>
          <w:szCs w:val="24"/>
        </w:rPr>
        <w:t xml:space="preserve">into one (Hussail, Revzvi and sheikh </w:t>
      </w:r>
      <w:r w:rsidR="00B075D8">
        <w:rPr>
          <w:rFonts w:ascii="Arial" w:hAnsi="Arial" w:cs="Arial"/>
          <w:sz w:val="24"/>
          <w:szCs w:val="24"/>
        </w:rPr>
        <w:t>2022).</w:t>
      </w:r>
      <w:r w:rsidR="00897BC2">
        <w:rPr>
          <w:rFonts w:ascii="Arial" w:hAnsi="Arial" w:cs="Arial"/>
          <w:sz w:val="24"/>
          <w:szCs w:val="24"/>
        </w:rPr>
        <w:t xml:space="preserve">  </w:t>
      </w:r>
      <w:r w:rsidR="00B075D8">
        <w:rPr>
          <w:rFonts w:ascii="Arial" w:hAnsi="Arial" w:cs="Arial"/>
          <w:sz w:val="24"/>
          <w:szCs w:val="24"/>
        </w:rPr>
        <w:t xml:space="preserve">Although there was </w:t>
      </w:r>
      <w:r w:rsidR="00897BC2">
        <w:rPr>
          <w:rFonts w:ascii="Arial" w:hAnsi="Arial" w:cs="Arial"/>
          <w:sz w:val="24"/>
          <w:szCs w:val="24"/>
        </w:rPr>
        <w:t xml:space="preserve">the HRA 1998 </w:t>
      </w:r>
      <w:r w:rsidR="00367338">
        <w:rPr>
          <w:rFonts w:ascii="Arial" w:hAnsi="Arial" w:cs="Arial"/>
          <w:sz w:val="24"/>
          <w:szCs w:val="24"/>
        </w:rPr>
        <w:t xml:space="preserve">and the ECtHR 1950, there was still many rights </w:t>
      </w:r>
      <w:r w:rsidR="001254EF">
        <w:rPr>
          <w:rFonts w:ascii="Arial" w:hAnsi="Arial" w:cs="Arial"/>
          <w:sz w:val="24"/>
          <w:szCs w:val="24"/>
        </w:rPr>
        <w:t xml:space="preserve">not protected </w:t>
      </w:r>
      <w:r w:rsidR="00E02719">
        <w:rPr>
          <w:rFonts w:ascii="Arial" w:hAnsi="Arial" w:cs="Arial"/>
          <w:sz w:val="24"/>
          <w:szCs w:val="24"/>
        </w:rPr>
        <w:t xml:space="preserve">that why the equality act 2010 was a key piece of legislation </w:t>
      </w:r>
      <w:r w:rsidR="00823B1B">
        <w:rPr>
          <w:rFonts w:ascii="Arial" w:hAnsi="Arial" w:cs="Arial"/>
          <w:sz w:val="24"/>
          <w:szCs w:val="24"/>
        </w:rPr>
        <w:t>brought in</w:t>
      </w:r>
      <w:r w:rsidR="008A19C9">
        <w:rPr>
          <w:rFonts w:ascii="Arial" w:hAnsi="Arial" w:cs="Arial"/>
          <w:sz w:val="24"/>
          <w:szCs w:val="24"/>
        </w:rPr>
        <w:t xml:space="preserve"> by</w:t>
      </w:r>
      <w:r w:rsidR="00823B1B">
        <w:rPr>
          <w:rFonts w:ascii="Arial" w:hAnsi="Arial" w:cs="Arial"/>
          <w:sz w:val="24"/>
          <w:szCs w:val="24"/>
        </w:rPr>
        <w:t xml:space="preserve"> </w:t>
      </w:r>
      <w:r w:rsidR="008A19C9">
        <w:rPr>
          <w:rFonts w:ascii="Arial" w:hAnsi="Arial" w:cs="Arial"/>
          <w:sz w:val="24"/>
          <w:szCs w:val="24"/>
        </w:rPr>
        <w:t>the</w:t>
      </w:r>
      <w:r w:rsidR="00823B1B">
        <w:rPr>
          <w:rFonts w:ascii="Arial" w:hAnsi="Arial" w:cs="Arial"/>
          <w:sz w:val="24"/>
          <w:szCs w:val="24"/>
        </w:rPr>
        <w:t xml:space="preserve"> government, this was agreed by both</w:t>
      </w:r>
      <w:r w:rsidR="00EA281E">
        <w:rPr>
          <w:rFonts w:ascii="Arial" w:hAnsi="Arial" w:cs="Arial"/>
          <w:sz w:val="24"/>
          <w:szCs w:val="24"/>
        </w:rPr>
        <w:t xml:space="preserve"> the Data Service (2010) and Wadham et al (2012).  The key article </w:t>
      </w:r>
      <w:r w:rsidR="00673684">
        <w:rPr>
          <w:rFonts w:ascii="Arial" w:hAnsi="Arial" w:cs="Arial"/>
          <w:sz w:val="24"/>
          <w:szCs w:val="24"/>
        </w:rPr>
        <w:t xml:space="preserve">of the HRA is article </w:t>
      </w:r>
      <w:r w:rsidR="008C5BCA">
        <w:rPr>
          <w:rFonts w:ascii="Arial" w:hAnsi="Arial" w:cs="Arial"/>
          <w:sz w:val="24"/>
          <w:szCs w:val="24"/>
        </w:rPr>
        <w:t>2 and that is the right to life</w:t>
      </w:r>
      <w:r w:rsidR="007C01E9">
        <w:rPr>
          <w:rFonts w:ascii="Arial" w:hAnsi="Arial" w:cs="Arial"/>
          <w:sz w:val="24"/>
          <w:szCs w:val="24"/>
        </w:rPr>
        <w:t xml:space="preserve">.  The absolute right of an individuals right to life </w:t>
      </w:r>
      <w:r w:rsidR="00CF73D1">
        <w:rPr>
          <w:rFonts w:ascii="Arial" w:hAnsi="Arial" w:cs="Arial"/>
          <w:sz w:val="24"/>
          <w:szCs w:val="24"/>
        </w:rPr>
        <w:t>cannot</w:t>
      </w:r>
      <w:r w:rsidR="007C01E9">
        <w:rPr>
          <w:rFonts w:ascii="Arial" w:hAnsi="Arial" w:cs="Arial"/>
          <w:sz w:val="24"/>
          <w:szCs w:val="24"/>
        </w:rPr>
        <w:t xml:space="preserve"> </w:t>
      </w:r>
      <w:r w:rsidR="0074565C">
        <w:rPr>
          <w:rFonts w:ascii="Arial" w:hAnsi="Arial" w:cs="Arial"/>
          <w:sz w:val="24"/>
          <w:szCs w:val="24"/>
        </w:rPr>
        <w:t>be restricted</w:t>
      </w:r>
      <w:r w:rsidR="00CF73D1">
        <w:rPr>
          <w:rFonts w:ascii="Arial" w:hAnsi="Arial" w:cs="Arial"/>
          <w:sz w:val="24"/>
          <w:szCs w:val="24"/>
        </w:rPr>
        <w:t xml:space="preserve"> and a</w:t>
      </w:r>
      <w:r w:rsidR="0074565C">
        <w:rPr>
          <w:rFonts w:ascii="Arial" w:hAnsi="Arial" w:cs="Arial"/>
          <w:sz w:val="24"/>
          <w:szCs w:val="24"/>
        </w:rPr>
        <w:t xml:space="preserve">ll new </w:t>
      </w:r>
      <w:r w:rsidR="009D0144">
        <w:rPr>
          <w:rFonts w:ascii="Arial" w:hAnsi="Arial" w:cs="Arial"/>
          <w:sz w:val="24"/>
          <w:szCs w:val="24"/>
        </w:rPr>
        <w:t xml:space="preserve">statues </w:t>
      </w:r>
      <w:r w:rsidR="001C5213">
        <w:rPr>
          <w:rFonts w:ascii="Arial" w:hAnsi="Arial" w:cs="Arial"/>
          <w:sz w:val="24"/>
          <w:szCs w:val="24"/>
        </w:rPr>
        <w:t>passed by government must be compatible with the HRA</w:t>
      </w:r>
      <w:r w:rsidR="00C42DDB">
        <w:rPr>
          <w:rFonts w:ascii="Arial" w:hAnsi="Arial" w:cs="Arial"/>
          <w:sz w:val="24"/>
          <w:szCs w:val="24"/>
        </w:rPr>
        <w:t xml:space="preserve"> this is </w:t>
      </w:r>
      <w:r w:rsidR="00DE1E16">
        <w:rPr>
          <w:rFonts w:ascii="Arial" w:hAnsi="Arial" w:cs="Arial"/>
          <w:sz w:val="24"/>
          <w:szCs w:val="24"/>
        </w:rPr>
        <w:t>known as the declaration of incompatibility</w:t>
      </w:r>
      <w:r w:rsidR="000B7F99">
        <w:rPr>
          <w:rFonts w:ascii="Arial" w:hAnsi="Arial" w:cs="Arial"/>
          <w:sz w:val="24"/>
          <w:szCs w:val="24"/>
        </w:rPr>
        <w:t xml:space="preserve"> this doesn’t change the </w:t>
      </w:r>
      <w:r w:rsidR="00412FCC">
        <w:rPr>
          <w:rFonts w:ascii="Arial" w:hAnsi="Arial" w:cs="Arial"/>
          <w:sz w:val="24"/>
          <w:szCs w:val="24"/>
        </w:rPr>
        <w:t xml:space="preserve">way the courts deal with a </w:t>
      </w:r>
      <w:r w:rsidR="00AF6649">
        <w:rPr>
          <w:rFonts w:ascii="Arial" w:hAnsi="Arial" w:cs="Arial"/>
          <w:sz w:val="24"/>
          <w:szCs w:val="24"/>
        </w:rPr>
        <w:t>case,</w:t>
      </w:r>
      <w:r w:rsidR="00412FCC">
        <w:rPr>
          <w:rFonts w:ascii="Arial" w:hAnsi="Arial" w:cs="Arial"/>
          <w:sz w:val="24"/>
          <w:szCs w:val="24"/>
        </w:rPr>
        <w:t xml:space="preserve"> but it may mean hat the law is changed in the future to comply with the HRA. </w:t>
      </w:r>
    </w:p>
    <w:p w14:paraId="4E744659" w14:textId="77777777" w:rsidR="00935A89" w:rsidRDefault="002954EF" w:rsidP="00661D0D">
      <w:pPr>
        <w:spacing w:line="360" w:lineRule="auto"/>
        <w:rPr>
          <w:rFonts w:ascii="Arial" w:hAnsi="Arial" w:cs="Arial"/>
          <w:sz w:val="24"/>
          <w:szCs w:val="24"/>
        </w:rPr>
      </w:pPr>
      <w:r>
        <w:rPr>
          <w:rFonts w:ascii="Arial" w:hAnsi="Arial" w:cs="Arial"/>
          <w:sz w:val="24"/>
          <w:szCs w:val="24"/>
        </w:rPr>
        <w:t xml:space="preserve">  </w:t>
      </w:r>
      <w:r w:rsidR="00921C92">
        <w:rPr>
          <w:rFonts w:ascii="Arial" w:hAnsi="Arial" w:cs="Arial"/>
          <w:sz w:val="24"/>
          <w:szCs w:val="24"/>
        </w:rPr>
        <w:t xml:space="preserve">England and Wales criminal-justice system is in a cycle of decline. Although </w:t>
      </w:r>
      <w:r w:rsidR="00A1333F">
        <w:rPr>
          <w:rFonts w:ascii="Arial" w:hAnsi="Arial" w:cs="Arial"/>
          <w:sz w:val="24"/>
          <w:szCs w:val="24"/>
        </w:rPr>
        <w:t xml:space="preserve">the rate of crime charges has risen to </w:t>
      </w:r>
      <w:r w:rsidR="00DD726A">
        <w:rPr>
          <w:rFonts w:ascii="Arial" w:hAnsi="Arial" w:cs="Arial"/>
          <w:sz w:val="24"/>
          <w:szCs w:val="24"/>
        </w:rPr>
        <w:t xml:space="preserve">78.8% its still at an </w:t>
      </w:r>
      <w:r w:rsidR="00AF6649">
        <w:rPr>
          <w:rFonts w:ascii="Arial" w:hAnsi="Arial" w:cs="Arial"/>
          <w:sz w:val="24"/>
          <w:szCs w:val="24"/>
        </w:rPr>
        <w:t>all-time</w:t>
      </w:r>
      <w:r w:rsidR="00DD726A">
        <w:rPr>
          <w:rFonts w:ascii="Arial" w:hAnsi="Arial" w:cs="Arial"/>
          <w:sz w:val="24"/>
          <w:szCs w:val="24"/>
        </w:rPr>
        <w:t xml:space="preserve"> low (CPS 2023)</w:t>
      </w:r>
      <w:r w:rsidR="007D5538">
        <w:rPr>
          <w:rFonts w:ascii="Arial" w:hAnsi="Arial" w:cs="Arial"/>
          <w:sz w:val="24"/>
          <w:szCs w:val="24"/>
        </w:rPr>
        <w:t xml:space="preserve">. It is evident that an improvement in these numbers </w:t>
      </w:r>
      <w:r w:rsidR="00383299">
        <w:rPr>
          <w:rFonts w:ascii="Arial" w:hAnsi="Arial" w:cs="Arial"/>
          <w:sz w:val="24"/>
          <w:szCs w:val="24"/>
        </w:rPr>
        <w:t>is</w:t>
      </w:r>
      <w:r w:rsidR="007D5538">
        <w:rPr>
          <w:rFonts w:ascii="Arial" w:hAnsi="Arial" w:cs="Arial"/>
          <w:sz w:val="24"/>
          <w:szCs w:val="24"/>
        </w:rPr>
        <w:t xml:space="preserve"> critical to </w:t>
      </w:r>
      <w:r w:rsidR="00B71AC8">
        <w:rPr>
          <w:rFonts w:ascii="Arial" w:hAnsi="Arial" w:cs="Arial"/>
          <w:sz w:val="24"/>
          <w:szCs w:val="24"/>
        </w:rPr>
        <w:t xml:space="preserve">build public relations and rebuild the publics trust.  Despite the drop in numbers </w:t>
      </w:r>
      <w:r w:rsidR="00AF6649">
        <w:rPr>
          <w:rFonts w:ascii="Arial" w:hAnsi="Arial" w:cs="Arial"/>
          <w:sz w:val="24"/>
          <w:szCs w:val="24"/>
        </w:rPr>
        <w:t>the court system is still struggling</w:t>
      </w:r>
      <w:r w:rsidR="00383299">
        <w:rPr>
          <w:rFonts w:ascii="Arial" w:hAnsi="Arial" w:cs="Arial"/>
          <w:sz w:val="24"/>
          <w:szCs w:val="24"/>
        </w:rPr>
        <w:t xml:space="preserve"> to cope, so if numbers were to raise </w:t>
      </w:r>
      <w:r w:rsidR="009929BC">
        <w:rPr>
          <w:rFonts w:ascii="Arial" w:hAnsi="Arial" w:cs="Arial"/>
          <w:sz w:val="24"/>
          <w:szCs w:val="24"/>
        </w:rPr>
        <w:t xml:space="preserve">again </w:t>
      </w:r>
      <w:r w:rsidR="009B30CE">
        <w:rPr>
          <w:rFonts w:ascii="Arial" w:hAnsi="Arial" w:cs="Arial"/>
          <w:sz w:val="24"/>
          <w:szCs w:val="24"/>
        </w:rPr>
        <w:t xml:space="preserve">this will throw the criminal-justice system into </w:t>
      </w:r>
      <w:r w:rsidR="00C3076E">
        <w:rPr>
          <w:rFonts w:ascii="Arial" w:hAnsi="Arial" w:cs="Arial"/>
          <w:sz w:val="24"/>
          <w:szCs w:val="24"/>
        </w:rPr>
        <w:t xml:space="preserve">chaos.  Due to the </w:t>
      </w:r>
      <w:r w:rsidR="001D2AD6">
        <w:rPr>
          <w:rFonts w:ascii="Arial" w:hAnsi="Arial" w:cs="Arial"/>
          <w:sz w:val="24"/>
          <w:szCs w:val="24"/>
        </w:rPr>
        <w:t>breakdown</w:t>
      </w:r>
      <w:r w:rsidR="00C3076E">
        <w:rPr>
          <w:rFonts w:ascii="Arial" w:hAnsi="Arial" w:cs="Arial"/>
          <w:sz w:val="24"/>
          <w:szCs w:val="24"/>
        </w:rPr>
        <w:t xml:space="preserve"> of the</w:t>
      </w:r>
      <w:r w:rsidR="001D2AD6">
        <w:rPr>
          <w:rFonts w:ascii="Arial" w:hAnsi="Arial" w:cs="Arial"/>
          <w:sz w:val="24"/>
          <w:szCs w:val="24"/>
        </w:rPr>
        <w:t xml:space="preserve"> system the government has become know for </w:t>
      </w:r>
      <w:r w:rsidR="00514780">
        <w:rPr>
          <w:rFonts w:ascii="Arial" w:hAnsi="Arial" w:cs="Arial"/>
          <w:sz w:val="24"/>
          <w:szCs w:val="24"/>
        </w:rPr>
        <w:t xml:space="preserve">punishing people but not for rehabilitating, thus making </w:t>
      </w:r>
      <w:r w:rsidR="00187BB5">
        <w:rPr>
          <w:rFonts w:ascii="Arial" w:hAnsi="Arial" w:cs="Arial"/>
          <w:sz w:val="24"/>
          <w:szCs w:val="24"/>
        </w:rPr>
        <w:t xml:space="preserve">sentencing </w:t>
      </w:r>
      <w:r w:rsidR="001B5932">
        <w:rPr>
          <w:rFonts w:ascii="Arial" w:hAnsi="Arial" w:cs="Arial"/>
          <w:sz w:val="24"/>
          <w:szCs w:val="24"/>
        </w:rPr>
        <w:t xml:space="preserve">more expensive and largely ineffective </w:t>
      </w:r>
      <w:r w:rsidR="009E3A3A">
        <w:rPr>
          <w:rFonts w:ascii="Arial" w:hAnsi="Arial" w:cs="Arial"/>
          <w:sz w:val="24"/>
          <w:szCs w:val="24"/>
        </w:rPr>
        <w:t xml:space="preserve">in reducing reoffending </w:t>
      </w:r>
      <w:r w:rsidR="004513D9">
        <w:rPr>
          <w:rFonts w:ascii="Arial" w:hAnsi="Arial" w:cs="Arial"/>
          <w:sz w:val="24"/>
          <w:szCs w:val="24"/>
        </w:rPr>
        <w:t xml:space="preserve">(ministry of justice 2022).  </w:t>
      </w:r>
      <w:r w:rsidR="00D50E79">
        <w:rPr>
          <w:rFonts w:ascii="Arial" w:hAnsi="Arial" w:cs="Arial"/>
          <w:sz w:val="24"/>
          <w:szCs w:val="24"/>
        </w:rPr>
        <w:t xml:space="preserve">The first reform will be swift and sure justice, </w:t>
      </w:r>
      <w:r w:rsidR="007170C1">
        <w:rPr>
          <w:rFonts w:ascii="Arial" w:hAnsi="Arial" w:cs="Arial"/>
          <w:sz w:val="24"/>
          <w:szCs w:val="24"/>
        </w:rPr>
        <w:t>ensuring</w:t>
      </w:r>
      <w:r w:rsidR="00D50E79">
        <w:rPr>
          <w:rFonts w:ascii="Arial" w:hAnsi="Arial" w:cs="Arial"/>
          <w:sz w:val="24"/>
          <w:szCs w:val="24"/>
        </w:rPr>
        <w:t xml:space="preserve"> the raise in numbers meaning more criminals being </w:t>
      </w:r>
      <w:r w:rsidR="009C0CC4">
        <w:rPr>
          <w:rFonts w:ascii="Arial" w:hAnsi="Arial" w:cs="Arial"/>
          <w:sz w:val="24"/>
          <w:szCs w:val="24"/>
        </w:rPr>
        <w:t xml:space="preserve">caught, but its also planned </w:t>
      </w:r>
      <w:r w:rsidR="00C5333D">
        <w:rPr>
          <w:rFonts w:ascii="Arial" w:hAnsi="Arial" w:cs="Arial"/>
          <w:sz w:val="24"/>
          <w:szCs w:val="24"/>
        </w:rPr>
        <w:t xml:space="preserve">to allow the </w:t>
      </w:r>
      <w:r w:rsidR="00542B77">
        <w:rPr>
          <w:rFonts w:ascii="Arial" w:hAnsi="Arial" w:cs="Arial"/>
          <w:sz w:val="24"/>
          <w:szCs w:val="24"/>
        </w:rPr>
        <w:t>magistrates to</w:t>
      </w:r>
      <w:r w:rsidR="00C5333D">
        <w:rPr>
          <w:rFonts w:ascii="Arial" w:hAnsi="Arial" w:cs="Arial"/>
          <w:sz w:val="24"/>
          <w:szCs w:val="24"/>
        </w:rPr>
        <w:t xml:space="preserve"> have the power to deal with </w:t>
      </w:r>
      <w:r w:rsidR="00FC3BF9">
        <w:rPr>
          <w:rFonts w:ascii="Arial" w:hAnsi="Arial" w:cs="Arial"/>
          <w:sz w:val="24"/>
          <w:szCs w:val="24"/>
        </w:rPr>
        <w:t>low level cases taking some pressure off the crown</w:t>
      </w:r>
      <w:r w:rsidR="009534FA">
        <w:rPr>
          <w:rFonts w:ascii="Arial" w:hAnsi="Arial" w:cs="Arial"/>
          <w:sz w:val="24"/>
          <w:szCs w:val="24"/>
        </w:rPr>
        <w:t xml:space="preserve"> court. </w:t>
      </w:r>
      <w:r w:rsidR="0000206C">
        <w:rPr>
          <w:rFonts w:ascii="Arial" w:hAnsi="Arial" w:cs="Arial"/>
          <w:sz w:val="24"/>
          <w:szCs w:val="24"/>
        </w:rPr>
        <w:t xml:space="preserve"> It also allows more time to put </w:t>
      </w:r>
      <w:r w:rsidR="00542B77">
        <w:rPr>
          <w:rFonts w:ascii="Arial" w:hAnsi="Arial" w:cs="Arial"/>
          <w:sz w:val="24"/>
          <w:szCs w:val="24"/>
        </w:rPr>
        <w:t xml:space="preserve">more effort into rehabilitating the offenders already within the judicial </w:t>
      </w:r>
      <w:r w:rsidR="009C6F5A">
        <w:rPr>
          <w:rFonts w:ascii="Arial" w:hAnsi="Arial" w:cs="Arial"/>
          <w:sz w:val="24"/>
          <w:szCs w:val="24"/>
        </w:rPr>
        <w:t>system.  The idea of the reform is to prevent and protect, it aims to be more res</w:t>
      </w:r>
      <w:r w:rsidR="007170C1">
        <w:rPr>
          <w:rFonts w:ascii="Arial" w:hAnsi="Arial" w:cs="Arial"/>
          <w:sz w:val="24"/>
          <w:szCs w:val="24"/>
        </w:rPr>
        <w:t xml:space="preserve">ponsive responding swiftly and effectively. But most importantly </w:t>
      </w:r>
      <w:r w:rsidR="009F6876">
        <w:rPr>
          <w:rFonts w:ascii="Arial" w:hAnsi="Arial" w:cs="Arial"/>
          <w:sz w:val="24"/>
          <w:szCs w:val="24"/>
        </w:rPr>
        <w:t xml:space="preserve">it will punish and reform, making sure that the right offenders are punished but it also gives the system </w:t>
      </w:r>
      <w:r w:rsidR="00303721">
        <w:rPr>
          <w:rFonts w:ascii="Arial" w:hAnsi="Arial" w:cs="Arial"/>
          <w:sz w:val="24"/>
          <w:szCs w:val="24"/>
        </w:rPr>
        <w:t xml:space="preserve">the chance to support and reform the criminal correctly (Institute of global </w:t>
      </w:r>
      <w:r w:rsidR="00CF28F9">
        <w:rPr>
          <w:rFonts w:ascii="Arial" w:hAnsi="Arial" w:cs="Arial"/>
          <w:sz w:val="24"/>
          <w:szCs w:val="24"/>
        </w:rPr>
        <w:t>change (2022)</w:t>
      </w:r>
      <w:r w:rsidR="00E652A7">
        <w:rPr>
          <w:rFonts w:ascii="Arial" w:hAnsi="Arial" w:cs="Arial"/>
          <w:sz w:val="24"/>
          <w:szCs w:val="24"/>
        </w:rPr>
        <w:t>.</w:t>
      </w:r>
    </w:p>
    <w:p w14:paraId="7F1F2FE3" w14:textId="46806045" w:rsidR="008A19C9" w:rsidRDefault="008A19C9" w:rsidP="00661D0D">
      <w:pPr>
        <w:spacing w:line="360" w:lineRule="auto"/>
        <w:rPr>
          <w:rFonts w:ascii="Arial" w:hAnsi="Arial" w:cs="Arial"/>
          <w:sz w:val="24"/>
          <w:szCs w:val="24"/>
        </w:rPr>
      </w:pPr>
      <w:r>
        <w:rPr>
          <w:rFonts w:ascii="Arial" w:hAnsi="Arial" w:cs="Arial"/>
          <w:sz w:val="24"/>
          <w:szCs w:val="24"/>
        </w:rPr>
        <w:t xml:space="preserve">  The </w:t>
      </w:r>
      <w:r w:rsidR="004B62B2">
        <w:rPr>
          <w:rFonts w:ascii="Arial" w:hAnsi="Arial" w:cs="Arial"/>
          <w:sz w:val="24"/>
          <w:szCs w:val="24"/>
        </w:rPr>
        <w:t>conclusion</w:t>
      </w:r>
      <w:r>
        <w:rPr>
          <w:rFonts w:ascii="Arial" w:hAnsi="Arial" w:cs="Arial"/>
          <w:sz w:val="24"/>
          <w:szCs w:val="24"/>
        </w:rPr>
        <w:t xml:space="preserve"> is that it is evident that police play a key role in the justice system</w:t>
      </w:r>
      <w:r w:rsidR="004B62B2">
        <w:rPr>
          <w:rFonts w:ascii="Arial" w:hAnsi="Arial" w:cs="Arial"/>
          <w:sz w:val="24"/>
          <w:szCs w:val="24"/>
        </w:rPr>
        <w:t>,</w:t>
      </w:r>
      <w:r>
        <w:rPr>
          <w:rFonts w:ascii="Arial" w:hAnsi="Arial" w:cs="Arial"/>
          <w:sz w:val="24"/>
          <w:szCs w:val="24"/>
        </w:rPr>
        <w:t xml:space="preserve"> </w:t>
      </w:r>
      <w:r w:rsidR="004B62B2">
        <w:rPr>
          <w:rFonts w:ascii="Arial" w:hAnsi="Arial" w:cs="Arial"/>
          <w:sz w:val="24"/>
          <w:szCs w:val="24"/>
        </w:rPr>
        <w:t xml:space="preserve">with the new reform suggestions mentioned </w:t>
      </w:r>
      <w:r w:rsidR="00A04FE5">
        <w:rPr>
          <w:rFonts w:ascii="Arial" w:hAnsi="Arial" w:cs="Arial"/>
          <w:sz w:val="24"/>
          <w:szCs w:val="24"/>
        </w:rPr>
        <w:t>within this paper police will play a key role in</w:t>
      </w:r>
      <w:r w:rsidR="007C5380">
        <w:rPr>
          <w:rFonts w:ascii="Arial" w:hAnsi="Arial" w:cs="Arial"/>
          <w:sz w:val="24"/>
          <w:szCs w:val="24"/>
        </w:rPr>
        <w:t xml:space="preserve"> raising numbers and awareness battling crime.  As shown </w:t>
      </w:r>
      <w:r w:rsidR="0045420F">
        <w:rPr>
          <w:rFonts w:ascii="Arial" w:hAnsi="Arial" w:cs="Arial"/>
          <w:sz w:val="24"/>
          <w:szCs w:val="24"/>
        </w:rPr>
        <w:t>in</w:t>
      </w:r>
      <w:r w:rsidR="007C5380">
        <w:rPr>
          <w:rFonts w:ascii="Arial" w:hAnsi="Arial" w:cs="Arial"/>
          <w:sz w:val="24"/>
          <w:szCs w:val="24"/>
        </w:rPr>
        <w:t xml:space="preserve"> this paper one part of </w:t>
      </w:r>
      <w:r w:rsidR="0045420F">
        <w:rPr>
          <w:rFonts w:ascii="Arial" w:hAnsi="Arial" w:cs="Arial"/>
          <w:sz w:val="24"/>
          <w:szCs w:val="24"/>
        </w:rPr>
        <w:t xml:space="preserve">the judicial system </w:t>
      </w:r>
      <w:r w:rsidR="00825153">
        <w:rPr>
          <w:rFonts w:ascii="Arial" w:hAnsi="Arial" w:cs="Arial"/>
          <w:sz w:val="24"/>
          <w:szCs w:val="24"/>
        </w:rPr>
        <w:t xml:space="preserve">does not work without the other, and the HRA 1988 and the PACE 1984 </w:t>
      </w:r>
      <w:r w:rsidR="00B7411F">
        <w:rPr>
          <w:rFonts w:ascii="Arial" w:hAnsi="Arial" w:cs="Arial"/>
          <w:sz w:val="24"/>
          <w:szCs w:val="24"/>
        </w:rPr>
        <w:t xml:space="preserve">play a significant role but given all that none of this would be made </w:t>
      </w:r>
      <w:r w:rsidR="00B7411F">
        <w:rPr>
          <w:rFonts w:ascii="Arial" w:hAnsi="Arial" w:cs="Arial"/>
          <w:sz w:val="24"/>
          <w:szCs w:val="24"/>
        </w:rPr>
        <w:lastRenderedPageBreak/>
        <w:t xml:space="preserve">possible without the police </w:t>
      </w:r>
      <w:r w:rsidR="00D35B58">
        <w:rPr>
          <w:rFonts w:ascii="Arial" w:hAnsi="Arial" w:cs="Arial"/>
          <w:sz w:val="24"/>
          <w:szCs w:val="24"/>
        </w:rPr>
        <w:t xml:space="preserve">force, thus giving the police an active and key role </w:t>
      </w:r>
      <w:r w:rsidR="00166087">
        <w:rPr>
          <w:rFonts w:ascii="Arial" w:hAnsi="Arial" w:cs="Arial"/>
          <w:sz w:val="24"/>
          <w:szCs w:val="24"/>
        </w:rPr>
        <w:t xml:space="preserve">within the English and Welsh </w:t>
      </w:r>
      <w:proofErr w:type="gramStart"/>
      <w:r w:rsidR="001B242E">
        <w:rPr>
          <w:rFonts w:ascii="Arial" w:hAnsi="Arial" w:cs="Arial"/>
          <w:sz w:val="24"/>
          <w:szCs w:val="24"/>
        </w:rPr>
        <w:t>judicial</w:t>
      </w:r>
      <w:r w:rsidR="00166087">
        <w:rPr>
          <w:rFonts w:ascii="Arial" w:hAnsi="Arial" w:cs="Arial"/>
          <w:sz w:val="24"/>
          <w:szCs w:val="24"/>
        </w:rPr>
        <w:t>-system</w:t>
      </w:r>
      <w:proofErr w:type="gramEnd"/>
      <w:r w:rsidR="00166087">
        <w:rPr>
          <w:rFonts w:ascii="Arial" w:hAnsi="Arial" w:cs="Arial"/>
          <w:sz w:val="24"/>
          <w:szCs w:val="24"/>
        </w:rPr>
        <w:t xml:space="preserve">. </w:t>
      </w:r>
    </w:p>
    <w:p w14:paraId="24D7AC6C" w14:textId="77777777" w:rsidR="001B242E" w:rsidRDefault="001B242E" w:rsidP="00661D0D">
      <w:pPr>
        <w:spacing w:line="360" w:lineRule="auto"/>
        <w:rPr>
          <w:rFonts w:ascii="Arial" w:hAnsi="Arial" w:cs="Arial"/>
          <w:sz w:val="24"/>
          <w:szCs w:val="24"/>
        </w:rPr>
      </w:pPr>
    </w:p>
    <w:p w14:paraId="3B9525FE" w14:textId="77777777" w:rsidR="001B242E" w:rsidRDefault="001B242E" w:rsidP="00661D0D">
      <w:pPr>
        <w:spacing w:line="360" w:lineRule="auto"/>
        <w:rPr>
          <w:rFonts w:ascii="Arial" w:hAnsi="Arial" w:cs="Arial"/>
          <w:sz w:val="24"/>
          <w:szCs w:val="24"/>
        </w:rPr>
      </w:pPr>
    </w:p>
    <w:p w14:paraId="0BFEF5EE" w14:textId="77777777" w:rsidR="001B242E" w:rsidRDefault="001B242E" w:rsidP="00661D0D">
      <w:pPr>
        <w:spacing w:line="360" w:lineRule="auto"/>
        <w:rPr>
          <w:rFonts w:ascii="Arial" w:hAnsi="Arial" w:cs="Arial"/>
          <w:sz w:val="24"/>
          <w:szCs w:val="24"/>
        </w:rPr>
      </w:pPr>
    </w:p>
    <w:p w14:paraId="1DB0AB8E" w14:textId="77777777" w:rsidR="001B242E" w:rsidRDefault="001B242E" w:rsidP="00661D0D">
      <w:pPr>
        <w:spacing w:line="360" w:lineRule="auto"/>
        <w:rPr>
          <w:rFonts w:ascii="Arial" w:hAnsi="Arial" w:cs="Arial"/>
          <w:sz w:val="24"/>
          <w:szCs w:val="24"/>
        </w:rPr>
      </w:pPr>
    </w:p>
    <w:p w14:paraId="586D1DA4" w14:textId="77777777" w:rsidR="001B242E" w:rsidRDefault="001B242E" w:rsidP="00661D0D">
      <w:pPr>
        <w:spacing w:line="360" w:lineRule="auto"/>
        <w:rPr>
          <w:rFonts w:ascii="Arial" w:hAnsi="Arial" w:cs="Arial"/>
          <w:sz w:val="24"/>
          <w:szCs w:val="24"/>
        </w:rPr>
      </w:pPr>
    </w:p>
    <w:p w14:paraId="284272A7" w14:textId="77777777" w:rsidR="001B242E" w:rsidRDefault="001B242E" w:rsidP="00661D0D">
      <w:pPr>
        <w:spacing w:line="360" w:lineRule="auto"/>
        <w:rPr>
          <w:rFonts w:ascii="Arial" w:hAnsi="Arial" w:cs="Arial"/>
          <w:sz w:val="24"/>
          <w:szCs w:val="24"/>
        </w:rPr>
      </w:pPr>
    </w:p>
    <w:p w14:paraId="4CAF4EF9" w14:textId="77777777" w:rsidR="001B242E" w:rsidRDefault="001B242E" w:rsidP="00661D0D">
      <w:pPr>
        <w:spacing w:line="360" w:lineRule="auto"/>
        <w:rPr>
          <w:rFonts w:ascii="Arial" w:hAnsi="Arial" w:cs="Arial"/>
          <w:sz w:val="24"/>
          <w:szCs w:val="24"/>
        </w:rPr>
      </w:pPr>
    </w:p>
    <w:p w14:paraId="40A58DDA" w14:textId="77777777" w:rsidR="001B242E" w:rsidRDefault="001B242E" w:rsidP="00661D0D">
      <w:pPr>
        <w:spacing w:line="360" w:lineRule="auto"/>
        <w:rPr>
          <w:rFonts w:ascii="Arial" w:hAnsi="Arial" w:cs="Arial"/>
          <w:sz w:val="24"/>
          <w:szCs w:val="24"/>
        </w:rPr>
      </w:pPr>
    </w:p>
    <w:p w14:paraId="6CB4968E" w14:textId="77777777" w:rsidR="001B242E" w:rsidRDefault="001B242E" w:rsidP="00661D0D">
      <w:pPr>
        <w:spacing w:line="360" w:lineRule="auto"/>
        <w:rPr>
          <w:rFonts w:ascii="Arial" w:hAnsi="Arial" w:cs="Arial"/>
          <w:sz w:val="24"/>
          <w:szCs w:val="24"/>
        </w:rPr>
      </w:pPr>
    </w:p>
    <w:p w14:paraId="241DE338" w14:textId="77777777" w:rsidR="001B242E" w:rsidRDefault="001B242E" w:rsidP="00661D0D">
      <w:pPr>
        <w:spacing w:line="360" w:lineRule="auto"/>
        <w:rPr>
          <w:rFonts w:ascii="Arial" w:hAnsi="Arial" w:cs="Arial"/>
          <w:sz w:val="24"/>
          <w:szCs w:val="24"/>
        </w:rPr>
      </w:pPr>
    </w:p>
    <w:p w14:paraId="5CCF3A24" w14:textId="77777777" w:rsidR="001B242E" w:rsidRDefault="001B242E" w:rsidP="00661D0D">
      <w:pPr>
        <w:spacing w:line="360" w:lineRule="auto"/>
        <w:rPr>
          <w:rFonts w:ascii="Arial" w:hAnsi="Arial" w:cs="Arial"/>
          <w:sz w:val="24"/>
          <w:szCs w:val="24"/>
        </w:rPr>
      </w:pPr>
    </w:p>
    <w:p w14:paraId="496E2ED3" w14:textId="77777777" w:rsidR="001B242E" w:rsidRDefault="001B242E" w:rsidP="00661D0D">
      <w:pPr>
        <w:spacing w:line="360" w:lineRule="auto"/>
        <w:rPr>
          <w:rFonts w:ascii="Arial" w:hAnsi="Arial" w:cs="Arial"/>
          <w:sz w:val="24"/>
          <w:szCs w:val="24"/>
        </w:rPr>
      </w:pPr>
    </w:p>
    <w:p w14:paraId="68722835" w14:textId="77777777" w:rsidR="001B242E" w:rsidRDefault="001B242E" w:rsidP="00661D0D">
      <w:pPr>
        <w:spacing w:line="360" w:lineRule="auto"/>
        <w:rPr>
          <w:rFonts w:ascii="Arial" w:hAnsi="Arial" w:cs="Arial"/>
          <w:sz w:val="24"/>
          <w:szCs w:val="24"/>
        </w:rPr>
      </w:pPr>
    </w:p>
    <w:p w14:paraId="2B1A182C" w14:textId="77777777" w:rsidR="001B242E" w:rsidRDefault="001B242E" w:rsidP="00661D0D">
      <w:pPr>
        <w:spacing w:line="360" w:lineRule="auto"/>
        <w:rPr>
          <w:rFonts w:ascii="Arial" w:hAnsi="Arial" w:cs="Arial"/>
          <w:sz w:val="24"/>
          <w:szCs w:val="24"/>
        </w:rPr>
      </w:pPr>
    </w:p>
    <w:p w14:paraId="5776927A" w14:textId="77777777" w:rsidR="001B242E" w:rsidRDefault="001B242E" w:rsidP="00661D0D">
      <w:pPr>
        <w:spacing w:line="360" w:lineRule="auto"/>
        <w:rPr>
          <w:rFonts w:ascii="Arial" w:hAnsi="Arial" w:cs="Arial"/>
          <w:sz w:val="24"/>
          <w:szCs w:val="24"/>
        </w:rPr>
      </w:pPr>
    </w:p>
    <w:p w14:paraId="3BE8C92F" w14:textId="77777777" w:rsidR="001B242E" w:rsidRDefault="001B242E" w:rsidP="00661D0D">
      <w:pPr>
        <w:spacing w:line="360" w:lineRule="auto"/>
        <w:rPr>
          <w:rFonts w:ascii="Arial" w:hAnsi="Arial" w:cs="Arial"/>
          <w:sz w:val="24"/>
          <w:szCs w:val="24"/>
        </w:rPr>
      </w:pPr>
    </w:p>
    <w:p w14:paraId="40392107" w14:textId="77777777" w:rsidR="001B242E" w:rsidRDefault="001B242E" w:rsidP="00661D0D">
      <w:pPr>
        <w:spacing w:line="360" w:lineRule="auto"/>
        <w:rPr>
          <w:rFonts w:ascii="Arial" w:hAnsi="Arial" w:cs="Arial"/>
          <w:sz w:val="24"/>
          <w:szCs w:val="24"/>
        </w:rPr>
      </w:pPr>
    </w:p>
    <w:p w14:paraId="38C8F52C" w14:textId="77777777" w:rsidR="001B242E" w:rsidRDefault="001B242E" w:rsidP="00661D0D">
      <w:pPr>
        <w:spacing w:line="360" w:lineRule="auto"/>
        <w:rPr>
          <w:rFonts w:ascii="Arial" w:hAnsi="Arial" w:cs="Arial"/>
          <w:sz w:val="24"/>
          <w:szCs w:val="24"/>
        </w:rPr>
      </w:pPr>
    </w:p>
    <w:p w14:paraId="0E47C162" w14:textId="77777777" w:rsidR="001B242E" w:rsidRDefault="001B242E" w:rsidP="00661D0D">
      <w:pPr>
        <w:spacing w:line="360" w:lineRule="auto"/>
        <w:rPr>
          <w:rFonts w:ascii="Arial" w:hAnsi="Arial" w:cs="Arial"/>
          <w:sz w:val="24"/>
          <w:szCs w:val="24"/>
        </w:rPr>
      </w:pPr>
    </w:p>
    <w:p w14:paraId="3600B47D" w14:textId="77777777" w:rsidR="001B242E" w:rsidRDefault="001B242E" w:rsidP="00661D0D">
      <w:pPr>
        <w:spacing w:line="360" w:lineRule="auto"/>
        <w:rPr>
          <w:rFonts w:ascii="Arial" w:hAnsi="Arial" w:cs="Arial"/>
          <w:sz w:val="24"/>
          <w:szCs w:val="24"/>
        </w:rPr>
      </w:pPr>
    </w:p>
    <w:p w14:paraId="59700857" w14:textId="77777777" w:rsidR="001B242E" w:rsidRDefault="001B242E" w:rsidP="00661D0D">
      <w:pPr>
        <w:spacing w:line="360" w:lineRule="auto"/>
        <w:rPr>
          <w:rFonts w:ascii="Arial" w:hAnsi="Arial" w:cs="Arial"/>
          <w:sz w:val="24"/>
          <w:szCs w:val="24"/>
        </w:rPr>
      </w:pPr>
    </w:p>
    <w:p w14:paraId="335D5758" w14:textId="77777777" w:rsidR="001B242E" w:rsidRDefault="001B242E" w:rsidP="00661D0D">
      <w:pPr>
        <w:spacing w:line="360" w:lineRule="auto"/>
        <w:rPr>
          <w:rFonts w:ascii="Arial" w:hAnsi="Arial" w:cs="Arial"/>
          <w:sz w:val="24"/>
          <w:szCs w:val="24"/>
        </w:rPr>
      </w:pPr>
    </w:p>
    <w:p w14:paraId="75FFFBF0" w14:textId="77777777" w:rsidR="001B242E" w:rsidRDefault="001B242E" w:rsidP="00661D0D">
      <w:pPr>
        <w:spacing w:line="360" w:lineRule="auto"/>
        <w:rPr>
          <w:rFonts w:ascii="Arial" w:hAnsi="Arial" w:cs="Arial"/>
          <w:sz w:val="24"/>
          <w:szCs w:val="24"/>
        </w:rPr>
      </w:pPr>
    </w:p>
    <w:p w14:paraId="28D1D0F4" w14:textId="77777777" w:rsidR="001B242E" w:rsidRDefault="001B242E" w:rsidP="00661D0D">
      <w:pPr>
        <w:spacing w:line="360" w:lineRule="auto"/>
        <w:rPr>
          <w:rFonts w:ascii="Arial" w:hAnsi="Arial" w:cs="Arial"/>
          <w:sz w:val="24"/>
          <w:szCs w:val="24"/>
        </w:rPr>
      </w:pPr>
    </w:p>
    <w:p w14:paraId="792BACB7" w14:textId="77777777" w:rsidR="00161302" w:rsidRDefault="00161302" w:rsidP="00161302">
      <w:pPr>
        <w:rPr>
          <w:rFonts w:ascii="Source Sans Pro" w:hAnsi="Source Sans Pro"/>
          <w:b/>
          <w:bCs/>
          <w:color w:val="3A3A3A"/>
          <w:sz w:val="23"/>
          <w:szCs w:val="23"/>
          <w:u w:val="single"/>
          <w:shd w:val="clear" w:color="auto" w:fill="FFFFFF"/>
        </w:rPr>
      </w:pPr>
      <w:r w:rsidRPr="002D232A">
        <w:rPr>
          <w:rFonts w:ascii="Source Sans Pro" w:hAnsi="Source Sans Pro"/>
          <w:b/>
          <w:bCs/>
          <w:color w:val="3A3A3A"/>
          <w:sz w:val="23"/>
          <w:szCs w:val="23"/>
          <w:u w:val="single"/>
          <w:shd w:val="clear" w:color="auto" w:fill="FFFFFF"/>
        </w:rPr>
        <w:t>Case Law</w:t>
      </w:r>
    </w:p>
    <w:p w14:paraId="1B8DE23E" w14:textId="77777777" w:rsidR="00161302" w:rsidRPr="00EB2B48" w:rsidRDefault="00161302" w:rsidP="00161302">
      <w:pPr>
        <w:rPr>
          <w:shd w:val="clear" w:color="auto" w:fill="FFFFFF"/>
        </w:rPr>
      </w:pPr>
      <w:r w:rsidRPr="00EB2B48">
        <w:rPr>
          <w:rStyle w:val="Emphasis"/>
          <w:rFonts w:ascii="Arial" w:hAnsi="Arial" w:cs="Arial"/>
          <w:shd w:val="clear" w:color="auto" w:fill="FFFFFF"/>
        </w:rPr>
        <w:t xml:space="preserve">R v </w:t>
      </w:r>
      <w:proofErr w:type="spellStart"/>
      <w:r w:rsidRPr="00EB2B48">
        <w:rPr>
          <w:rStyle w:val="Emphasis"/>
          <w:rFonts w:ascii="Arial" w:hAnsi="Arial" w:cs="Arial"/>
          <w:shd w:val="clear" w:color="auto" w:fill="FFFFFF"/>
        </w:rPr>
        <w:t>McIlkenny</w:t>
      </w:r>
      <w:proofErr w:type="spellEnd"/>
      <w:r w:rsidRPr="00EB2B48">
        <w:rPr>
          <w:rStyle w:val="Emphasis"/>
          <w:rFonts w:ascii="Arial" w:hAnsi="Arial" w:cs="Arial"/>
          <w:shd w:val="clear" w:color="auto" w:fill="FFFFFF"/>
        </w:rPr>
        <w:t xml:space="preserve"> et al</w:t>
      </w:r>
      <w:r w:rsidRPr="00EB2B48">
        <w:rPr>
          <w:shd w:val="clear" w:color="auto" w:fill="FFFFFF"/>
        </w:rPr>
        <w:t> [1991] 93 Cr App R 287</w:t>
      </w:r>
    </w:p>
    <w:p w14:paraId="2D2D1E72" w14:textId="77777777" w:rsidR="00161302" w:rsidRPr="00EB2B48" w:rsidRDefault="00161302" w:rsidP="00161302">
      <w:pPr>
        <w:rPr>
          <w:shd w:val="clear" w:color="auto" w:fill="FFFFFF"/>
        </w:rPr>
      </w:pPr>
      <w:r w:rsidRPr="00EB2B48">
        <w:rPr>
          <w:rStyle w:val="Emphasis"/>
          <w:rFonts w:ascii="Arial" w:hAnsi="Arial" w:cs="Arial"/>
          <w:shd w:val="clear" w:color="auto" w:fill="FFFFFF"/>
        </w:rPr>
        <w:t>R v Richardson et al</w:t>
      </w:r>
      <w:r w:rsidRPr="00EB2B48">
        <w:rPr>
          <w:shd w:val="clear" w:color="auto" w:fill="FFFFFF"/>
        </w:rPr>
        <w:t xml:space="preserve"> [1989] </w:t>
      </w:r>
    </w:p>
    <w:p w14:paraId="36F5BE8D" w14:textId="77777777" w:rsidR="00161302" w:rsidRPr="00EB2B48" w:rsidRDefault="00161302" w:rsidP="00161302">
      <w:pPr>
        <w:rPr>
          <w:shd w:val="clear" w:color="auto" w:fill="FFFFFF"/>
        </w:rPr>
      </w:pPr>
      <w:r w:rsidRPr="00EB2B48">
        <w:rPr>
          <w:rStyle w:val="Emphasis"/>
          <w:rFonts w:ascii="Arial" w:hAnsi="Arial" w:cs="Arial"/>
          <w:shd w:val="clear" w:color="auto" w:fill="FFFFFF"/>
        </w:rPr>
        <w:t>R v Ward</w:t>
      </w:r>
      <w:r w:rsidRPr="00EB2B48">
        <w:rPr>
          <w:shd w:val="clear" w:color="auto" w:fill="FFFFFF"/>
        </w:rPr>
        <w:t> (1993) 98 Cr App R 337</w:t>
      </w:r>
    </w:p>
    <w:p w14:paraId="0C9BF779" w14:textId="77777777" w:rsidR="00161302" w:rsidRPr="00EB2B48" w:rsidRDefault="00161302" w:rsidP="00161302">
      <w:r w:rsidRPr="00EB2B48">
        <w:t xml:space="preserve">R v Commissioner of Police of the Metropolis and another [2015] EWCA </w:t>
      </w:r>
      <w:proofErr w:type="spellStart"/>
      <w:r w:rsidRPr="00EB2B48">
        <w:t>Civ</w:t>
      </w:r>
      <w:proofErr w:type="spellEnd"/>
      <w:r w:rsidRPr="00EB2B48">
        <w:t xml:space="preserve"> 69</w:t>
      </w:r>
    </w:p>
    <w:p w14:paraId="5671A509" w14:textId="77777777" w:rsidR="00161302" w:rsidRPr="00EB2B48" w:rsidRDefault="00161302" w:rsidP="00161302">
      <w:pPr>
        <w:rPr>
          <w:b/>
          <w:bCs/>
          <w:u w:val="single"/>
          <w:shd w:val="clear" w:color="auto" w:fill="FFFFFF"/>
        </w:rPr>
      </w:pPr>
      <w:r w:rsidRPr="00EB2B48">
        <w:t xml:space="preserve">R V Special adjudicator </w:t>
      </w:r>
    </w:p>
    <w:p w14:paraId="60D5406E" w14:textId="77777777" w:rsidR="00161302" w:rsidRPr="00EB2B48" w:rsidRDefault="00161302" w:rsidP="00161302">
      <w:pPr>
        <w:rPr>
          <w:shd w:val="clear" w:color="auto" w:fill="FFFFFF"/>
        </w:rPr>
      </w:pPr>
    </w:p>
    <w:p w14:paraId="7015A6F5" w14:textId="77777777" w:rsidR="00161302" w:rsidRPr="00C3532F" w:rsidRDefault="00161302" w:rsidP="00161302">
      <w:pPr>
        <w:rPr>
          <w:b/>
          <w:bCs/>
          <w:u w:val="single"/>
          <w:shd w:val="clear" w:color="auto" w:fill="FFFFFF"/>
        </w:rPr>
      </w:pPr>
      <w:r w:rsidRPr="00C3532F">
        <w:rPr>
          <w:b/>
          <w:bCs/>
          <w:u w:val="single"/>
          <w:shd w:val="clear" w:color="auto" w:fill="FFFFFF"/>
        </w:rPr>
        <w:t xml:space="preserve">Ref List </w:t>
      </w:r>
    </w:p>
    <w:p w14:paraId="09B2ED88" w14:textId="77777777" w:rsidR="00161302" w:rsidRPr="00EB2B48" w:rsidRDefault="00161302" w:rsidP="00161302">
      <w:pPr>
        <w:rPr>
          <w:shd w:val="clear" w:color="auto" w:fill="FFFFFF"/>
        </w:rPr>
      </w:pPr>
      <w:r w:rsidRPr="00EB2B48">
        <w:rPr>
          <w:shd w:val="clear" w:color="auto" w:fill="FFFFFF"/>
        </w:rPr>
        <w:t>Wood, D., Bradshaw, S., Dickes, T., Parker-McLeod, J., Simpson, F., Weaver, G.  (2022) </w:t>
      </w:r>
      <w:r w:rsidRPr="00EB2B48">
        <w:rPr>
          <w:i/>
          <w:iCs/>
          <w:shd w:val="clear" w:color="auto" w:fill="FFFFFF"/>
        </w:rPr>
        <w:t>Blackstone’s handbook for policing students</w:t>
      </w:r>
      <w:r w:rsidRPr="00EB2B48">
        <w:rPr>
          <w:shd w:val="clear" w:color="auto" w:fill="FFFFFF"/>
        </w:rPr>
        <w:t>.17</w:t>
      </w:r>
      <w:r w:rsidRPr="00EB2B48">
        <w:rPr>
          <w:shd w:val="clear" w:color="auto" w:fill="FFFFFF"/>
          <w:vertAlign w:val="superscript"/>
        </w:rPr>
        <w:t>th</w:t>
      </w:r>
      <w:r w:rsidRPr="00EB2B48">
        <w:rPr>
          <w:shd w:val="clear" w:color="auto" w:fill="FFFFFF"/>
        </w:rPr>
        <w:t xml:space="preserve"> edn. Oxford: Oxford University Press</w:t>
      </w:r>
    </w:p>
    <w:p w14:paraId="304F3CDE" w14:textId="77777777" w:rsidR="00161302" w:rsidRPr="00EB2B48" w:rsidRDefault="00161302" w:rsidP="00161302">
      <w:pPr>
        <w:rPr>
          <w:shd w:val="clear" w:color="auto" w:fill="FFFFFF"/>
        </w:rPr>
      </w:pPr>
      <w:r w:rsidRPr="00EB2B48">
        <w:rPr>
          <w:shd w:val="clear" w:color="auto" w:fill="FFFFFF"/>
        </w:rPr>
        <w:t>Zander, M. (1995) </w:t>
      </w:r>
      <w:r w:rsidRPr="00EB2B48">
        <w:rPr>
          <w:i/>
          <w:iCs/>
          <w:shd w:val="clear" w:color="auto" w:fill="FFFFFF"/>
        </w:rPr>
        <w:t>The Police and Criminal Evidence Act 1984</w:t>
      </w:r>
      <w:r w:rsidRPr="00EB2B48">
        <w:rPr>
          <w:shd w:val="clear" w:color="auto" w:fill="FFFFFF"/>
        </w:rPr>
        <w:t>. 3</w:t>
      </w:r>
      <w:r w:rsidRPr="00EB2B48">
        <w:rPr>
          <w:shd w:val="clear" w:color="auto" w:fill="FFFFFF"/>
          <w:vertAlign w:val="superscript"/>
        </w:rPr>
        <w:t>rd</w:t>
      </w:r>
      <w:r w:rsidRPr="00EB2B48">
        <w:rPr>
          <w:shd w:val="clear" w:color="auto" w:fill="FFFFFF"/>
        </w:rPr>
        <w:t xml:space="preserve"> edn. London: Sweet &amp; Maxwell</w:t>
      </w:r>
    </w:p>
    <w:p w14:paraId="6ADEEEE8" w14:textId="77777777" w:rsidR="00161302" w:rsidRPr="00EB2B48" w:rsidRDefault="00161302" w:rsidP="00161302">
      <w:pPr>
        <w:rPr>
          <w:shd w:val="clear" w:color="auto" w:fill="FFFFFF"/>
        </w:rPr>
      </w:pPr>
      <w:r w:rsidRPr="00EB2B48">
        <w:rPr>
          <w:shd w:val="clear" w:color="auto" w:fill="FFFFFF"/>
        </w:rPr>
        <w:t xml:space="preserve">Cane, P. (2008) ‘Police and Criminal Evidence Act 1984’ </w:t>
      </w:r>
      <w:r w:rsidRPr="00EB2B48">
        <w:rPr>
          <w:i/>
          <w:iCs/>
          <w:shd w:val="clear" w:color="auto" w:fill="FFFFFF"/>
        </w:rPr>
        <w:t>The New Oxford Companion to Law</w:t>
      </w:r>
      <w:r w:rsidRPr="00EB2B48">
        <w:rPr>
          <w:shd w:val="clear" w:color="auto" w:fill="FFFFFF"/>
        </w:rPr>
        <w:t>. 1 ed. Oxford University Press.</w:t>
      </w:r>
    </w:p>
    <w:p w14:paraId="05802775" w14:textId="77777777" w:rsidR="00161302" w:rsidRPr="00EB2B48" w:rsidRDefault="00161302" w:rsidP="00161302">
      <w:pPr>
        <w:rPr>
          <w:shd w:val="clear" w:color="auto" w:fill="FFFFFF"/>
        </w:rPr>
      </w:pPr>
      <w:r w:rsidRPr="00EB2B48">
        <w:rPr>
          <w:shd w:val="clear" w:color="auto" w:fill="FFFFFF"/>
        </w:rPr>
        <w:t>Dennis, I., (1993) ‘Miscarriages of Justice and the law of confessions: evidentiary issues and solutions. London</w:t>
      </w:r>
    </w:p>
    <w:p w14:paraId="207659A5" w14:textId="77777777" w:rsidR="00161302" w:rsidRPr="00EB2B48" w:rsidRDefault="00161302" w:rsidP="00161302">
      <w:pPr>
        <w:rPr>
          <w:shd w:val="clear" w:color="auto" w:fill="FFFFFF"/>
        </w:rPr>
      </w:pPr>
      <w:r w:rsidRPr="00EB2B48">
        <w:rPr>
          <w:shd w:val="clear" w:color="auto" w:fill="FFFFFF"/>
        </w:rPr>
        <w:t>Walters, T.C. and OConnell, M.A. (1985) </w:t>
      </w:r>
      <w:r w:rsidRPr="00EB2B48">
        <w:rPr>
          <w:i/>
          <w:iCs/>
          <w:shd w:val="clear" w:color="auto" w:fill="FFFFFF"/>
        </w:rPr>
        <w:t>A guide to the Police and Criminal Evidence Act 1984</w:t>
      </w:r>
      <w:r w:rsidRPr="00EB2B48">
        <w:rPr>
          <w:shd w:val="clear" w:color="auto" w:fill="FFFFFF"/>
        </w:rPr>
        <w:t>. London: Financial Training.</w:t>
      </w:r>
    </w:p>
    <w:p w14:paraId="7759D3DF" w14:textId="77777777" w:rsidR="00161302" w:rsidRPr="00EB2B48" w:rsidRDefault="00161302" w:rsidP="00161302">
      <w:pPr>
        <w:rPr>
          <w:shd w:val="clear" w:color="auto" w:fill="FFFFFF"/>
        </w:rPr>
      </w:pPr>
      <w:r w:rsidRPr="00EB2B48">
        <w:rPr>
          <w:shd w:val="clear" w:color="auto" w:fill="FFFFFF"/>
        </w:rPr>
        <w:t>Tiratelli, M., Quinton, P. and Bradford, B. (2018) ‘Does Stop and Search Deter Crime? Evidence From Ten Years of London-wide Data’, </w:t>
      </w:r>
      <w:r w:rsidRPr="00EB2B48">
        <w:rPr>
          <w:i/>
          <w:iCs/>
          <w:shd w:val="clear" w:color="auto" w:fill="FFFFFF"/>
        </w:rPr>
        <w:t>British journal of criminology</w:t>
      </w:r>
      <w:r w:rsidRPr="00EB2B48">
        <w:rPr>
          <w:shd w:val="clear" w:color="auto" w:fill="FFFFFF"/>
        </w:rPr>
        <w:t xml:space="preserve">, 58(5), pp. 1212–1231. Available at: </w:t>
      </w:r>
      <w:hyperlink r:id="rId8" w:history="1">
        <w:r w:rsidRPr="00EB2B48">
          <w:rPr>
            <w:rStyle w:val="Hyperlink"/>
            <w:rFonts w:ascii="Arial" w:hAnsi="Arial" w:cs="Arial"/>
            <w:color w:val="auto"/>
            <w:shd w:val="clear" w:color="auto" w:fill="FFFFFF"/>
          </w:rPr>
          <w:t>https://doi.org/10.1093/bjc/azx085</w:t>
        </w:r>
      </w:hyperlink>
      <w:r w:rsidRPr="00EB2B48">
        <w:rPr>
          <w:shd w:val="clear" w:color="auto" w:fill="FFFFFF"/>
        </w:rPr>
        <w:t>.</w:t>
      </w:r>
    </w:p>
    <w:p w14:paraId="4C221669" w14:textId="77777777" w:rsidR="00161302" w:rsidRPr="00EB2B48" w:rsidRDefault="00161302" w:rsidP="00161302">
      <w:pPr>
        <w:rPr>
          <w:rStyle w:val="fn"/>
          <w:rFonts w:ascii="Arial" w:hAnsi="Arial" w:cs="Arial"/>
        </w:rPr>
      </w:pPr>
      <w:r w:rsidRPr="00EB2B48">
        <w:rPr>
          <w:shd w:val="clear" w:color="auto" w:fill="FFFFFF"/>
        </w:rPr>
        <w:t xml:space="preserve">Bradford, B and Loade, B. (2016) </w:t>
      </w:r>
      <w:r w:rsidRPr="00EB2B48">
        <w:rPr>
          <w:rStyle w:val="fn"/>
          <w:rFonts w:ascii="Arial" w:hAnsi="Arial" w:cs="Arial"/>
          <w:i/>
          <w:iCs/>
        </w:rPr>
        <w:t xml:space="preserve">The SAGE Handbook of Global Policing. </w:t>
      </w:r>
      <w:r w:rsidRPr="00EB2B48">
        <w:rPr>
          <w:rStyle w:val="fn"/>
          <w:rFonts w:ascii="Arial" w:hAnsi="Arial" w:cs="Arial"/>
        </w:rPr>
        <w:t>London, SAGE</w:t>
      </w:r>
    </w:p>
    <w:p w14:paraId="52C2927C" w14:textId="77777777" w:rsidR="00161302" w:rsidRPr="00EB2B48" w:rsidRDefault="00161302" w:rsidP="00161302">
      <w:pPr>
        <w:rPr>
          <w:shd w:val="clear" w:color="auto" w:fill="FFFFFF"/>
        </w:rPr>
      </w:pPr>
      <w:r w:rsidRPr="00EB2B48">
        <w:rPr>
          <w:shd w:val="clear" w:color="auto" w:fill="FFFFFF"/>
        </w:rPr>
        <w:t>Waddington, P.A.J., Stenson, K. and Don, D. (2004) ‘IN PROPORTION: Race, and Police Stop and Search’, </w:t>
      </w:r>
      <w:r w:rsidRPr="00EB2B48">
        <w:rPr>
          <w:i/>
          <w:iCs/>
          <w:shd w:val="clear" w:color="auto" w:fill="FFFFFF"/>
        </w:rPr>
        <w:t>British journal of criminology</w:t>
      </w:r>
      <w:r w:rsidRPr="00EB2B48">
        <w:rPr>
          <w:shd w:val="clear" w:color="auto" w:fill="FFFFFF"/>
        </w:rPr>
        <w:t xml:space="preserve">, 44(6), pp. 889–914. Available at: </w:t>
      </w:r>
      <w:hyperlink r:id="rId9" w:history="1">
        <w:r w:rsidRPr="00EB2B48">
          <w:rPr>
            <w:rStyle w:val="Hyperlink"/>
            <w:rFonts w:ascii="Arial" w:hAnsi="Arial" w:cs="Arial"/>
            <w:color w:val="auto"/>
            <w:shd w:val="clear" w:color="auto" w:fill="FFFFFF"/>
          </w:rPr>
          <w:t>https://doi.org/10.1093/bjc/azh042</w:t>
        </w:r>
      </w:hyperlink>
      <w:r w:rsidRPr="00EB2B48">
        <w:rPr>
          <w:shd w:val="clear" w:color="auto" w:fill="FFFFFF"/>
        </w:rPr>
        <w:t>.</w:t>
      </w:r>
    </w:p>
    <w:p w14:paraId="0D7A7ECF" w14:textId="77777777" w:rsidR="00161302" w:rsidRPr="00EB2B48" w:rsidRDefault="00161302" w:rsidP="00161302">
      <w:pPr>
        <w:rPr>
          <w:shd w:val="clear" w:color="auto" w:fill="FFFFFF"/>
        </w:rPr>
      </w:pPr>
      <w:r w:rsidRPr="00EB2B48">
        <w:rPr>
          <w:shd w:val="clear" w:color="auto" w:fill="FFFFFF"/>
        </w:rPr>
        <w:t xml:space="preserve">Gov.UK (2023) </w:t>
      </w:r>
      <w:r w:rsidRPr="00EB2B48">
        <w:rPr>
          <w:i/>
          <w:iCs/>
          <w:shd w:val="clear" w:color="auto" w:fill="FFFFFF"/>
        </w:rPr>
        <w:t>Stop and search</w:t>
      </w:r>
      <w:r w:rsidRPr="00EB2B48">
        <w:rPr>
          <w:shd w:val="clear" w:color="auto" w:fill="FFFFFF"/>
        </w:rPr>
        <w:t xml:space="preserve">: Main facts and figures, Available at: </w:t>
      </w:r>
      <w:hyperlink r:id="rId10" w:history="1">
        <w:r w:rsidRPr="00EB2B48">
          <w:rPr>
            <w:rStyle w:val="Hyperlink"/>
            <w:rFonts w:ascii="Arial" w:hAnsi="Arial" w:cs="Arial"/>
            <w:color w:val="auto"/>
            <w:shd w:val="clear" w:color="auto" w:fill="FFFFFF"/>
          </w:rPr>
          <w:t>www.ethnicity-facts-figures.service.gov.uk/crime-justice-and-the-law/policing/stop-and-search/latest/</w:t>
        </w:r>
      </w:hyperlink>
      <w:r w:rsidRPr="00EB2B48">
        <w:rPr>
          <w:shd w:val="clear" w:color="auto" w:fill="FFFFFF"/>
        </w:rPr>
        <w:t xml:space="preserve"> (Accessed 22</w:t>
      </w:r>
      <w:r w:rsidRPr="00EB2B48">
        <w:rPr>
          <w:shd w:val="clear" w:color="auto" w:fill="FFFFFF"/>
          <w:vertAlign w:val="superscript"/>
        </w:rPr>
        <w:t>nd</w:t>
      </w:r>
      <w:r w:rsidRPr="00EB2B48">
        <w:rPr>
          <w:shd w:val="clear" w:color="auto" w:fill="FFFFFF"/>
        </w:rPr>
        <w:t xml:space="preserve"> December 2023) </w:t>
      </w:r>
    </w:p>
    <w:p w14:paraId="2F5F83EC" w14:textId="77777777" w:rsidR="00161302" w:rsidRPr="00EB2B48" w:rsidRDefault="00161302" w:rsidP="00161302">
      <w:pPr>
        <w:rPr>
          <w:shd w:val="clear" w:color="auto" w:fill="FFFFFF"/>
        </w:rPr>
      </w:pPr>
      <w:r w:rsidRPr="00EB2B48">
        <w:rPr>
          <w:shd w:val="clear" w:color="auto" w:fill="FFFFFF"/>
        </w:rPr>
        <w:t>Starmer, K., Strange, M., Whitaker, Q., Jennings, A., Owen, T. (2001) </w:t>
      </w:r>
      <w:r w:rsidRPr="00EB2B48">
        <w:rPr>
          <w:i/>
          <w:iCs/>
          <w:shd w:val="clear" w:color="auto" w:fill="FFFFFF"/>
        </w:rPr>
        <w:t>Criminal justice, police powers and human rights</w:t>
      </w:r>
      <w:r w:rsidRPr="00EB2B48">
        <w:rPr>
          <w:shd w:val="clear" w:color="auto" w:fill="FFFFFF"/>
        </w:rPr>
        <w:t>. London: Blackstone.</w:t>
      </w:r>
    </w:p>
    <w:p w14:paraId="7E54BB77" w14:textId="77777777" w:rsidR="00161302" w:rsidRPr="00EB2B48" w:rsidRDefault="00161302" w:rsidP="00161302">
      <w:pPr>
        <w:rPr>
          <w:rStyle w:val="fn"/>
          <w:rFonts w:ascii="Arial" w:hAnsi="Arial" w:cs="Arial"/>
        </w:rPr>
      </w:pPr>
      <w:r w:rsidRPr="00EB2B48">
        <w:rPr>
          <w:shd w:val="clear" w:color="auto" w:fill="FFFFFF"/>
        </w:rPr>
        <w:t>Hussain, Z., Rizvi, L.J. and Sheikh, H. (2022) ‘The Equality Act (2010)-pre- and post-pandemic historic development on equality and discrimination issues for employers: review of literature’, </w:t>
      </w:r>
      <w:r w:rsidRPr="00EB2B48">
        <w:rPr>
          <w:i/>
          <w:iCs/>
          <w:shd w:val="clear" w:color="auto" w:fill="FFFFFF"/>
        </w:rPr>
        <w:t>International journal of law and management</w:t>
      </w:r>
      <w:r w:rsidRPr="00EB2B48">
        <w:rPr>
          <w:shd w:val="clear" w:color="auto" w:fill="FFFFFF"/>
        </w:rPr>
        <w:t>, 64(2), pp. 168–183. Available at: https://doi.org/10.1108/IJLMA-03-2021-0067.</w:t>
      </w:r>
      <w:r w:rsidRPr="00EB2B48">
        <w:rPr>
          <w:rStyle w:val="fn"/>
          <w:rFonts w:ascii="Arial" w:hAnsi="Arial" w:cs="Arial"/>
        </w:rPr>
        <w:t xml:space="preserve"> </w:t>
      </w:r>
    </w:p>
    <w:p w14:paraId="13A8B00E" w14:textId="77777777" w:rsidR="00161302" w:rsidRPr="00EB2B48" w:rsidRDefault="00161302" w:rsidP="00161302">
      <w:pPr>
        <w:rPr>
          <w:shd w:val="clear" w:color="auto" w:fill="FFFFFF"/>
        </w:rPr>
      </w:pPr>
      <w:r w:rsidRPr="00EB2B48">
        <w:rPr>
          <w:shd w:val="clear" w:color="auto" w:fill="FFFFFF"/>
        </w:rPr>
        <w:t xml:space="preserve">Data services (2010) The Equality Act </w:t>
      </w:r>
      <w:proofErr w:type="gramStart"/>
      <w:r w:rsidRPr="00EB2B48">
        <w:rPr>
          <w:shd w:val="clear" w:color="auto" w:fill="FFFFFF"/>
        </w:rPr>
        <w:t>2010 :</w:t>
      </w:r>
      <w:proofErr w:type="gramEnd"/>
      <w:r w:rsidRPr="00EB2B48">
        <w:rPr>
          <w:shd w:val="clear" w:color="auto" w:fill="FFFFFF"/>
        </w:rPr>
        <w:t xml:space="preserve"> employment law guide, November 2010.London: Incomes Data Services.</w:t>
      </w:r>
    </w:p>
    <w:p w14:paraId="4976CB3F" w14:textId="77777777" w:rsidR="00161302" w:rsidRDefault="00161302" w:rsidP="00161302">
      <w:pPr>
        <w:rPr>
          <w:shd w:val="clear" w:color="auto" w:fill="FFFFFF"/>
        </w:rPr>
      </w:pPr>
      <w:r w:rsidRPr="00EB2B48">
        <w:rPr>
          <w:shd w:val="clear" w:color="auto" w:fill="FFFFFF"/>
        </w:rPr>
        <w:lastRenderedPageBreak/>
        <w:t xml:space="preserve">Wadham, J., </w:t>
      </w:r>
      <w:hyperlink r:id="rId11" w:history="1">
        <w:r w:rsidRPr="00EB2B48">
          <w:rPr>
            <w:rStyle w:val="Hyperlink"/>
            <w:rFonts w:ascii="Arial" w:hAnsi="Arial" w:cs="Arial"/>
            <w:color w:val="auto"/>
            <w:u w:val="none"/>
          </w:rPr>
          <w:t>Robinson, A., </w:t>
        </w:r>
        <w:proofErr w:type="spellStart"/>
      </w:hyperlink>
      <w:hyperlink r:id="rId12" w:history="1">
        <w:r w:rsidRPr="00EB2B48">
          <w:rPr>
            <w:rStyle w:val="Hyperlink"/>
            <w:rFonts w:ascii="Arial" w:hAnsi="Arial" w:cs="Arial"/>
            <w:color w:val="auto"/>
            <w:u w:val="none"/>
          </w:rPr>
          <w:t>Ruebain</w:t>
        </w:r>
        <w:proofErr w:type="spellEnd"/>
        <w:r w:rsidRPr="00EB2B48">
          <w:rPr>
            <w:rStyle w:val="Hyperlink"/>
            <w:rFonts w:ascii="Arial" w:hAnsi="Arial" w:cs="Arial"/>
            <w:color w:val="auto"/>
            <w:u w:val="none"/>
          </w:rPr>
          <w:t>, D., </w:t>
        </w:r>
      </w:hyperlink>
      <w:hyperlink r:id="rId13" w:history="1">
        <w:r w:rsidRPr="00EB2B48">
          <w:rPr>
            <w:rStyle w:val="Hyperlink"/>
            <w:rFonts w:ascii="Arial" w:hAnsi="Arial" w:cs="Arial"/>
            <w:color w:val="auto"/>
            <w:u w:val="none"/>
          </w:rPr>
          <w:t>Uppal, S. </w:t>
        </w:r>
      </w:hyperlink>
      <w:r w:rsidRPr="00EB2B48">
        <w:rPr>
          <w:shd w:val="clear" w:color="auto" w:fill="FFFFFF"/>
        </w:rPr>
        <w:t>(2012) Blackstone’s guide to the Equality Act 2010. 2nd ed. Oxford: Oxford University Press.</w:t>
      </w:r>
    </w:p>
    <w:p w14:paraId="6D6018A2" w14:textId="77777777" w:rsidR="00161302" w:rsidRDefault="00161302" w:rsidP="00161302">
      <w:r>
        <w:t xml:space="preserve">CPS (2022) Charge rates show steady increase across all crime types as CPS publishes latest statistics, Available at: </w:t>
      </w:r>
      <w:hyperlink r:id="rId14" w:history="1">
        <w:r w:rsidRPr="00AE3CE6">
          <w:rPr>
            <w:rStyle w:val="Hyperlink"/>
          </w:rPr>
          <w:t>www.cps.gov.uk/cps/news/charge-rates-show-steady-increase-across-all-crime-types-cps-publishes-latest-statistics</w:t>
        </w:r>
      </w:hyperlink>
      <w:r>
        <w:t xml:space="preserve"> (Accessed 22nd December 2023)</w:t>
      </w:r>
    </w:p>
    <w:p w14:paraId="1A9DFC82" w14:textId="77777777" w:rsidR="00161302" w:rsidRDefault="00161302" w:rsidP="00161302">
      <w:r>
        <w:t xml:space="preserve">institute of global Change (2022) public services: A plan to reform the Criminal justice system. Available at </w:t>
      </w:r>
      <w:hyperlink r:id="rId15" w:history="1">
        <w:r w:rsidRPr="00AE3CE6">
          <w:rPr>
            <w:rStyle w:val="Hyperlink"/>
          </w:rPr>
          <w:t>https://www.institute.global/</w:t>
        </w:r>
      </w:hyperlink>
      <w:r>
        <w:t xml:space="preserve"> (Accessed 22</w:t>
      </w:r>
      <w:r w:rsidRPr="00786D41">
        <w:rPr>
          <w:vertAlign w:val="superscript"/>
        </w:rPr>
        <w:t>nd</w:t>
      </w:r>
      <w:r>
        <w:t xml:space="preserve"> December 2023)</w:t>
      </w:r>
    </w:p>
    <w:p w14:paraId="39ECD23B" w14:textId="77777777" w:rsidR="00161302" w:rsidRDefault="00161302" w:rsidP="00161302">
      <w:r>
        <w:t xml:space="preserve">Ministry of justice (2022) Swift and Sure Justice: The Government’s Plans for Reform of the Criminal Justice System, Available at: </w:t>
      </w:r>
      <w:r w:rsidRPr="004774EC">
        <w:t>assets.publishing.service.gov.uk/media/5a7ca43a40f0b65b3de0a38e/swift-and-sure-justice.pdf</w:t>
      </w:r>
      <w:r>
        <w:t xml:space="preserve"> (Accessed 22</w:t>
      </w:r>
      <w:r w:rsidRPr="004774EC">
        <w:rPr>
          <w:vertAlign w:val="superscript"/>
        </w:rPr>
        <w:t>nd</w:t>
      </w:r>
      <w:r>
        <w:t xml:space="preserve"> December2023) </w:t>
      </w:r>
    </w:p>
    <w:p w14:paraId="74B956C0" w14:textId="77777777" w:rsidR="001B242E" w:rsidRDefault="001B242E" w:rsidP="00661D0D">
      <w:pPr>
        <w:spacing w:line="360" w:lineRule="auto"/>
        <w:rPr>
          <w:rFonts w:ascii="Arial" w:hAnsi="Arial" w:cs="Arial"/>
          <w:sz w:val="24"/>
          <w:szCs w:val="24"/>
        </w:rPr>
      </w:pPr>
    </w:p>
    <w:p w14:paraId="38690CE0" w14:textId="02CC62DB" w:rsidR="00EE1804" w:rsidRPr="00661D0D" w:rsidRDefault="00935A89" w:rsidP="00661D0D">
      <w:pPr>
        <w:spacing w:line="360" w:lineRule="auto"/>
        <w:rPr>
          <w:rFonts w:ascii="Arial" w:hAnsi="Arial" w:cs="Arial"/>
          <w:sz w:val="24"/>
          <w:szCs w:val="24"/>
        </w:rPr>
      </w:pPr>
      <w:r>
        <w:rPr>
          <w:rFonts w:ascii="Arial" w:hAnsi="Arial" w:cs="Arial"/>
          <w:sz w:val="24"/>
          <w:szCs w:val="24"/>
        </w:rPr>
        <w:t xml:space="preserve">  </w:t>
      </w:r>
      <w:r w:rsidR="00187BB5">
        <w:rPr>
          <w:rFonts w:ascii="Arial" w:hAnsi="Arial" w:cs="Arial"/>
          <w:sz w:val="24"/>
          <w:szCs w:val="24"/>
        </w:rPr>
        <w:t xml:space="preserve"> </w:t>
      </w:r>
      <w:r w:rsidR="001D2AD6">
        <w:rPr>
          <w:rFonts w:ascii="Arial" w:hAnsi="Arial" w:cs="Arial"/>
          <w:sz w:val="24"/>
          <w:szCs w:val="24"/>
        </w:rPr>
        <w:t xml:space="preserve"> </w:t>
      </w:r>
      <w:r w:rsidR="00C3076E">
        <w:rPr>
          <w:rFonts w:ascii="Arial" w:hAnsi="Arial" w:cs="Arial"/>
          <w:sz w:val="24"/>
          <w:szCs w:val="24"/>
        </w:rPr>
        <w:t xml:space="preserve"> </w:t>
      </w:r>
      <w:r w:rsidR="00383299">
        <w:rPr>
          <w:rFonts w:ascii="Arial" w:hAnsi="Arial" w:cs="Arial"/>
          <w:sz w:val="24"/>
          <w:szCs w:val="24"/>
        </w:rPr>
        <w:t xml:space="preserve"> </w:t>
      </w:r>
      <w:r w:rsidR="00AF6649">
        <w:rPr>
          <w:rFonts w:ascii="Arial" w:hAnsi="Arial" w:cs="Arial"/>
          <w:sz w:val="24"/>
          <w:szCs w:val="24"/>
        </w:rPr>
        <w:t xml:space="preserve"> </w:t>
      </w:r>
      <w:r w:rsidR="00DD726A">
        <w:rPr>
          <w:rFonts w:ascii="Arial" w:hAnsi="Arial" w:cs="Arial"/>
          <w:sz w:val="24"/>
          <w:szCs w:val="24"/>
        </w:rPr>
        <w:t xml:space="preserve"> </w:t>
      </w:r>
      <w:r w:rsidR="00A1333F">
        <w:rPr>
          <w:rFonts w:ascii="Arial" w:hAnsi="Arial" w:cs="Arial"/>
          <w:sz w:val="24"/>
          <w:szCs w:val="24"/>
        </w:rPr>
        <w:t xml:space="preserve"> </w:t>
      </w:r>
      <w:r w:rsidR="003357AB">
        <w:rPr>
          <w:rFonts w:ascii="Arial" w:hAnsi="Arial" w:cs="Arial"/>
          <w:sz w:val="24"/>
          <w:szCs w:val="24"/>
        </w:rPr>
        <w:t xml:space="preserve"> </w:t>
      </w:r>
      <w:r w:rsidR="00823B1B">
        <w:rPr>
          <w:rFonts w:ascii="Arial" w:hAnsi="Arial" w:cs="Arial"/>
          <w:sz w:val="24"/>
          <w:szCs w:val="24"/>
        </w:rPr>
        <w:t xml:space="preserve"> </w:t>
      </w:r>
      <w:r w:rsidR="001F6562">
        <w:rPr>
          <w:rFonts w:ascii="Arial" w:hAnsi="Arial" w:cs="Arial"/>
          <w:sz w:val="24"/>
          <w:szCs w:val="24"/>
        </w:rPr>
        <w:t xml:space="preserve"> </w:t>
      </w:r>
      <w:r w:rsidR="002D7905">
        <w:rPr>
          <w:rFonts w:ascii="Arial" w:hAnsi="Arial" w:cs="Arial"/>
          <w:sz w:val="24"/>
          <w:szCs w:val="24"/>
        </w:rPr>
        <w:t xml:space="preserve"> </w:t>
      </w:r>
      <w:r w:rsidR="00902121">
        <w:rPr>
          <w:rFonts w:ascii="Arial" w:hAnsi="Arial" w:cs="Arial"/>
          <w:sz w:val="24"/>
          <w:szCs w:val="24"/>
        </w:rPr>
        <w:t xml:space="preserve"> </w:t>
      </w:r>
      <w:r w:rsidR="000C1471">
        <w:rPr>
          <w:rFonts w:ascii="Arial" w:hAnsi="Arial" w:cs="Arial"/>
          <w:sz w:val="24"/>
          <w:szCs w:val="24"/>
        </w:rPr>
        <w:t xml:space="preserve"> </w:t>
      </w:r>
      <w:r w:rsidR="006A185B">
        <w:rPr>
          <w:rFonts w:ascii="Arial" w:hAnsi="Arial" w:cs="Arial"/>
          <w:sz w:val="24"/>
          <w:szCs w:val="24"/>
        </w:rPr>
        <w:t xml:space="preserve"> </w:t>
      </w:r>
      <w:r w:rsidR="008707BA">
        <w:rPr>
          <w:rFonts w:ascii="Arial" w:hAnsi="Arial" w:cs="Arial"/>
          <w:sz w:val="24"/>
          <w:szCs w:val="24"/>
        </w:rPr>
        <w:t xml:space="preserve"> </w:t>
      </w:r>
      <w:r w:rsidR="00B91E21">
        <w:rPr>
          <w:rFonts w:ascii="Arial" w:hAnsi="Arial" w:cs="Arial"/>
          <w:sz w:val="24"/>
          <w:szCs w:val="24"/>
        </w:rPr>
        <w:t xml:space="preserve"> </w:t>
      </w:r>
      <w:r w:rsidR="00474772">
        <w:rPr>
          <w:rFonts w:ascii="Arial" w:hAnsi="Arial" w:cs="Arial"/>
          <w:sz w:val="24"/>
          <w:szCs w:val="24"/>
        </w:rPr>
        <w:t xml:space="preserve"> </w:t>
      </w:r>
      <w:r w:rsidR="00A40D91">
        <w:rPr>
          <w:rFonts w:ascii="Arial" w:hAnsi="Arial" w:cs="Arial"/>
          <w:sz w:val="24"/>
          <w:szCs w:val="24"/>
        </w:rPr>
        <w:t xml:space="preserve"> </w:t>
      </w:r>
      <w:r w:rsidR="00005E47">
        <w:rPr>
          <w:rFonts w:ascii="Arial" w:hAnsi="Arial" w:cs="Arial"/>
          <w:sz w:val="24"/>
          <w:szCs w:val="24"/>
        </w:rPr>
        <w:t xml:space="preserve">  </w:t>
      </w:r>
      <w:r w:rsidR="00CB79F3">
        <w:rPr>
          <w:rFonts w:ascii="Arial" w:hAnsi="Arial" w:cs="Arial"/>
          <w:sz w:val="24"/>
          <w:szCs w:val="24"/>
        </w:rPr>
        <w:t xml:space="preserve">     </w:t>
      </w:r>
      <w:r w:rsidR="00A440F7">
        <w:rPr>
          <w:rFonts w:ascii="Arial" w:hAnsi="Arial" w:cs="Arial"/>
          <w:sz w:val="24"/>
          <w:szCs w:val="24"/>
        </w:rPr>
        <w:t xml:space="preserve">     </w:t>
      </w:r>
    </w:p>
    <w:sectPr w:rsidR="00EE1804" w:rsidRPr="00661D0D" w:rsidSect="002C44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0D"/>
    <w:rsid w:val="0000206C"/>
    <w:rsid w:val="00005E47"/>
    <w:rsid w:val="00041215"/>
    <w:rsid w:val="000821CA"/>
    <w:rsid w:val="000B7F99"/>
    <w:rsid w:val="000C1471"/>
    <w:rsid w:val="001254EF"/>
    <w:rsid w:val="00161302"/>
    <w:rsid w:val="00166087"/>
    <w:rsid w:val="00187BB5"/>
    <w:rsid w:val="001B242E"/>
    <w:rsid w:val="001B57FE"/>
    <w:rsid w:val="001B5932"/>
    <w:rsid w:val="001C4410"/>
    <w:rsid w:val="001C5213"/>
    <w:rsid w:val="001D2AD6"/>
    <w:rsid w:val="001F6562"/>
    <w:rsid w:val="00223F56"/>
    <w:rsid w:val="00230A70"/>
    <w:rsid w:val="00241884"/>
    <w:rsid w:val="002954EF"/>
    <w:rsid w:val="002C444B"/>
    <w:rsid w:val="002D7905"/>
    <w:rsid w:val="00303721"/>
    <w:rsid w:val="003357AB"/>
    <w:rsid w:val="00367338"/>
    <w:rsid w:val="00383299"/>
    <w:rsid w:val="003975B6"/>
    <w:rsid w:val="00412FCC"/>
    <w:rsid w:val="004513D9"/>
    <w:rsid w:val="00451D40"/>
    <w:rsid w:val="0045420F"/>
    <w:rsid w:val="00473B81"/>
    <w:rsid w:val="00474772"/>
    <w:rsid w:val="004A0796"/>
    <w:rsid w:val="004B62B2"/>
    <w:rsid w:val="00514780"/>
    <w:rsid w:val="00524EB6"/>
    <w:rsid w:val="00542B77"/>
    <w:rsid w:val="005A3CA5"/>
    <w:rsid w:val="005A5A22"/>
    <w:rsid w:val="00631B10"/>
    <w:rsid w:val="00661D0D"/>
    <w:rsid w:val="00673684"/>
    <w:rsid w:val="006A185B"/>
    <w:rsid w:val="006E6B09"/>
    <w:rsid w:val="007170C1"/>
    <w:rsid w:val="0074565C"/>
    <w:rsid w:val="007523A0"/>
    <w:rsid w:val="00786D68"/>
    <w:rsid w:val="007C01E9"/>
    <w:rsid w:val="007C5380"/>
    <w:rsid w:val="007D5538"/>
    <w:rsid w:val="00820F6B"/>
    <w:rsid w:val="00823B1B"/>
    <w:rsid w:val="00825153"/>
    <w:rsid w:val="008707BA"/>
    <w:rsid w:val="00897BC2"/>
    <w:rsid w:val="008A01F7"/>
    <w:rsid w:val="008A19C9"/>
    <w:rsid w:val="008C5BCA"/>
    <w:rsid w:val="008D3947"/>
    <w:rsid w:val="00902121"/>
    <w:rsid w:val="00921C92"/>
    <w:rsid w:val="00935A89"/>
    <w:rsid w:val="009534FA"/>
    <w:rsid w:val="009929BC"/>
    <w:rsid w:val="009B30CE"/>
    <w:rsid w:val="009C0CC4"/>
    <w:rsid w:val="009C6F5A"/>
    <w:rsid w:val="009D0144"/>
    <w:rsid w:val="009E3A3A"/>
    <w:rsid w:val="009F6876"/>
    <w:rsid w:val="00A04FE5"/>
    <w:rsid w:val="00A1333F"/>
    <w:rsid w:val="00A40D91"/>
    <w:rsid w:val="00A440F7"/>
    <w:rsid w:val="00AF6649"/>
    <w:rsid w:val="00B075D8"/>
    <w:rsid w:val="00B71AC8"/>
    <w:rsid w:val="00B7411F"/>
    <w:rsid w:val="00B91E21"/>
    <w:rsid w:val="00C3076E"/>
    <w:rsid w:val="00C42DDB"/>
    <w:rsid w:val="00C5333D"/>
    <w:rsid w:val="00CB79F3"/>
    <w:rsid w:val="00CB7C67"/>
    <w:rsid w:val="00CE03A6"/>
    <w:rsid w:val="00CF1C03"/>
    <w:rsid w:val="00CF28F9"/>
    <w:rsid w:val="00CF73D1"/>
    <w:rsid w:val="00D32874"/>
    <w:rsid w:val="00D35B58"/>
    <w:rsid w:val="00D50E79"/>
    <w:rsid w:val="00D6588F"/>
    <w:rsid w:val="00DA3893"/>
    <w:rsid w:val="00DD726A"/>
    <w:rsid w:val="00DE1E16"/>
    <w:rsid w:val="00E02719"/>
    <w:rsid w:val="00E567FE"/>
    <w:rsid w:val="00E652A7"/>
    <w:rsid w:val="00E92FE5"/>
    <w:rsid w:val="00EA281E"/>
    <w:rsid w:val="00EE1804"/>
    <w:rsid w:val="00EE7D99"/>
    <w:rsid w:val="00FA3A5D"/>
    <w:rsid w:val="00FC3BF9"/>
    <w:rsid w:val="00FC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5FFC"/>
  <w15:chartTrackingRefBased/>
  <w15:docId w15:val="{3D1F8312-205F-4B8E-B28A-DDE38966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61302"/>
    <w:rPr>
      <w:i/>
      <w:iCs/>
    </w:rPr>
  </w:style>
  <w:style w:type="character" w:styleId="Hyperlink">
    <w:name w:val="Hyperlink"/>
    <w:basedOn w:val="DefaultParagraphFont"/>
    <w:uiPriority w:val="99"/>
    <w:unhideWhenUsed/>
    <w:rsid w:val="00161302"/>
    <w:rPr>
      <w:color w:val="0563C1" w:themeColor="hyperlink"/>
      <w:u w:val="single"/>
    </w:rPr>
  </w:style>
  <w:style w:type="character" w:customStyle="1" w:styleId="fn">
    <w:name w:val="fn"/>
    <w:basedOn w:val="DefaultParagraphFont"/>
    <w:rsid w:val="00161302"/>
  </w:style>
  <w:style w:type="paragraph" w:styleId="NoSpacing">
    <w:name w:val="No Spacing"/>
    <w:link w:val="NoSpacingChar"/>
    <w:uiPriority w:val="1"/>
    <w:qFormat/>
    <w:rsid w:val="002C44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44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c/azx085" TargetMode="External"/><Relationship Id="rId13" Type="http://schemas.openxmlformats.org/officeDocument/2006/relationships/hyperlink" Target="https://librarysearch.uwtsd.ac.uk/discovery/search?query=creator%2Cexact%2CUppal%20Susie&amp;tab=Everything&amp;search_scope=MyInst_and_CI&amp;vid=44WHELF_UWTSD%3A44WHELF_UWTSD_VU1&amp;facet=creator%2Cexact%2CUppal%20Susie&amp;lang=en&amp;offset=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rarysearch.uwtsd.ac.uk/discovery/search?query=creator%2Cexact%2CRuebain%20David&amp;tab=Everything&amp;search_scope=MyInst_and_CI&amp;vid=44WHELF_UWTSD%3A44WHELF_UWTSD_VU1&amp;facet=creator%2Cexact%2CRuebain%20David&amp;lang=en&amp;offset=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search.uwtsd.ac.uk/discovery/search?query=creator%2Cexact%2CRobinson%20Anthony&amp;tab=Everything&amp;search_scope=MyInst_and_CI&amp;vid=44WHELF_UWTSD%3A44WHELF_UWTSD_VU1&amp;facet=creator%2Cexact%2CRobinson%20Anthony&amp;lang=en&amp;offset=0" TargetMode="External"/><Relationship Id="rId5" Type="http://schemas.openxmlformats.org/officeDocument/2006/relationships/styles" Target="styles.xml"/><Relationship Id="rId15" Type="http://schemas.openxmlformats.org/officeDocument/2006/relationships/hyperlink" Target="https://www.institute.global/" TargetMode="External"/><Relationship Id="rId10" Type="http://schemas.openxmlformats.org/officeDocument/2006/relationships/hyperlink" Target="http://www.ethnicity-facts-figures.service.gov.uk/crime-justice-and-the-law/policing/stop-and-search/latest/" TargetMode="External"/><Relationship Id="rId4" Type="http://schemas.openxmlformats.org/officeDocument/2006/relationships/customXml" Target="../customXml/item4.xml"/><Relationship Id="rId9" Type="http://schemas.openxmlformats.org/officeDocument/2006/relationships/hyperlink" Target="https://doi.org/10.1093/bjc/azh042" TargetMode="External"/><Relationship Id="rId14" Type="http://schemas.openxmlformats.org/officeDocument/2006/relationships/hyperlink" Target="http://www.cps.gov.uk/cps/news/charge-rates-show-steady-increase-across-all-crime-types-cps-publishes-latest-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BMPL4011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ccea089db30944052b64aa33a9a458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0cf8d61a5fc631527ace101bd4cd9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13243-F5C4-4894-87BA-5F210A059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147206-40F7-4EA6-AEDE-237BECA59806}">
  <ds:schemaRefs>
    <ds:schemaRef ds:uri="http://schemas.microsoft.com/sharepoint/v3/contenttype/forms"/>
  </ds:schemaRefs>
</ds:datastoreItem>
</file>

<file path=customXml/itemProps4.xml><?xml version="1.0" encoding="utf-8"?>
<ds:datastoreItem xmlns:ds="http://schemas.openxmlformats.org/officeDocument/2006/customXml" ds:itemID="{9A54265B-AB35-4CAB-8430-4A78BBC743D2}">
  <ds:schemaRefs>
    <ds:schemaRef ds:uri="http://schemas.microsoft.com/office/2006/documentManagement/types"/>
    <ds:schemaRef ds:uri="7b23fa32-4003-4364-bee1-595462966394"/>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f54e4810-f1f5-4bce-aa8e-e4722dc561b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Zita Draper</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the police within the justice system</dc:title>
  <dc:subject>Professional practice policing (Level 4)                                                                           Legal Process</dc:subject>
  <dc:creator>Chelsey Poulton (2007838)</dc:creator>
  <cp:keywords/>
  <dc:description/>
  <cp:lastModifiedBy>Chelsey Poulton (2007838)</cp:lastModifiedBy>
  <cp:revision>2</cp:revision>
  <dcterms:created xsi:type="dcterms:W3CDTF">2023-12-22T15:32:00Z</dcterms:created>
  <dcterms:modified xsi:type="dcterms:W3CDTF">2023-12-22T15:32:00Z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