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E1541" w14:textId="77777777" w:rsidR="009A3CEE" w:rsidRPr="001568D1" w:rsidRDefault="009A3CEE" w:rsidP="001568D1">
      <w:pPr>
        <w:spacing w:before="120" w:after="120" w:line="360" w:lineRule="auto"/>
        <w:jc w:val="center"/>
        <w:rPr>
          <w:rFonts w:ascii="Arial" w:eastAsia="Times New Roman" w:hAnsi="Arial" w:cs="Arial"/>
          <w:b/>
          <w:sz w:val="22"/>
          <w:szCs w:val="22"/>
          <w:lang w:val="en-GB" w:eastAsia="en-US"/>
        </w:rPr>
      </w:pPr>
      <w:r w:rsidRPr="001568D1">
        <w:rPr>
          <w:rFonts w:ascii="Arial" w:eastAsiaTheme="majorEastAsia" w:hAnsi="Arial" w:cs="Arial"/>
          <w:color w:val="000000" w:themeColor="text1"/>
          <w:kern w:val="24"/>
          <w:sz w:val="22"/>
          <w:szCs w:val="22"/>
        </w:rPr>
        <w:t>Adele McCann – 2416685</w:t>
      </w:r>
      <w:r w:rsidRPr="001568D1">
        <w:rPr>
          <w:rFonts w:ascii="Arial" w:eastAsiaTheme="majorEastAsia" w:hAnsi="Arial" w:cs="Arial"/>
          <w:color w:val="000000" w:themeColor="text1"/>
          <w:kern w:val="24"/>
          <w:sz w:val="22"/>
          <w:szCs w:val="22"/>
        </w:rPr>
        <w:br/>
      </w:r>
      <w:r w:rsidRPr="001568D1">
        <w:rPr>
          <w:rFonts w:ascii="Arial" w:hAnsi="Arial" w:cs="Arial"/>
          <w:b/>
          <w:sz w:val="22"/>
          <w:szCs w:val="22"/>
          <w:lang w:eastAsia="en-US"/>
        </w:rPr>
        <w:t>Introduction to Independent Research Skills</w:t>
      </w:r>
    </w:p>
    <w:p w14:paraId="77B70D08" w14:textId="22B20387" w:rsidR="009A3CEE" w:rsidRPr="001568D1" w:rsidRDefault="009A3CEE" w:rsidP="001568D1">
      <w:pPr>
        <w:spacing w:before="120" w:after="120" w:line="360" w:lineRule="auto"/>
        <w:jc w:val="center"/>
        <w:rPr>
          <w:rFonts w:ascii="Arial" w:eastAsia="Times New Roman" w:hAnsi="Arial" w:cs="Arial"/>
          <w:b/>
          <w:sz w:val="22"/>
          <w:szCs w:val="22"/>
          <w:lang w:val="en-GB" w:eastAsia="en-US"/>
        </w:rPr>
      </w:pPr>
      <w:r w:rsidRPr="001568D1">
        <w:rPr>
          <w:rFonts w:ascii="Arial" w:hAnsi="Arial" w:cs="Arial"/>
          <w:bCs/>
          <w:sz w:val="22"/>
          <w:szCs w:val="22"/>
        </w:rPr>
        <w:t>(</w:t>
      </w:r>
      <w:r w:rsidRPr="001568D1">
        <w:rPr>
          <w:rFonts w:ascii="Arial" w:hAnsi="Arial" w:cs="Arial"/>
          <w:bCs/>
          <w:sz w:val="22"/>
          <w:szCs w:val="22"/>
        </w:rPr>
        <w:t>BMHP5019</w:t>
      </w:r>
      <w:r w:rsidRPr="001568D1">
        <w:rPr>
          <w:rFonts w:ascii="Arial" w:eastAsiaTheme="majorEastAsia" w:hAnsi="Arial" w:cs="Arial"/>
          <w:b/>
          <w:bCs/>
          <w:color w:val="000000" w:themeColor="text1"/>
          <w:kern w:val="24"/>
          <w:sz w:val="22"/>
          <w:szCs w:val="22"/>
        </w:rPr>
        <w:t>_</w:t>
      </w:r>
      <w:r w:rsidRPr="001568D1">
        <w:rPr>
          <w:rFonts w:ascii="Arial" w:eastAsiaTheme="majorEastAsia" w:hAnsi="Arial" w:cs="Arial"/>
          <w:color w:val="000000" w:themeColor="text1"/>
          <w:kern w:val="24"/>
          <w:sz w:val="22"/>
          <w:szCs w:val="22"/>
        </w:rPr>
        <w:t>BIRM)</w:t>
      </w:r>
      <w:r w:rsidRPr="001568D1">
        <w:rPr>
          <w:rFonts w:ascii="Arial" w:eastAsiaTheme="majorEastAsia" w:hAnsi="Arial" w:cs="Arial"/>
          <w:color w:val="000000" w:themeColor="text1"/>
          <w:kern w:val="24"/>
          <w:sz w:val="22"/>
          <w:szCs w:val="22"/>
        </w:rPr>
        <w:br/>
        <w:t>Category: Birmingham Campus</w:t>
      </w:r>
      <w:r w:rsidRPr="001568D1">
        <w:rPr>
          <w:rFonts w:ascii="Arial" w:eastAsiaTheme="majorEastAsia" w:hAnsi="Arial" w:cs="Arial"/>
          <w:color w:val="000000" w:themeColor="text1"/>
          <w:kern w:val="24"/>
          <w:sz w:val="22"/>
          <w:szCs w:val="22"/>
        </w:rPr>
        <w:br/>
        <w:t xml:space="preserve">Lecturer – </w:t>
      </w:r>
      <w:r w:rsidRPr="001568D1">
        <w:rPr>
          <w:rFonts w:ascii="Arial" w:eastAsiaTheme="majorEastAsia" w:hAnsi="Arial" w:cs="Arial"/>
          <w:color w:val="000000" w:themeColor="text1"/>
          <w:kern w:val="24"/>
          <w:sz w:val="22"/>
          <w:szCs w:val="22"/>
        </w:rPr>
        <w:t>Philip Jones</w:t>
      </w:r>
    </w:p>
    <w:p w14:paraId="32DE4192" w14:textId="0D38DEE4" w:rsidR="009A3CEE" w:rsidRPr="001568D1" w:rsidRDefault="009A3CEE" w:rsidP="001568D1">
      <w:pPr>
        <w:pStyle w:val="NormalWeb"/>
        <w:spacing w:line="360" w:lineRule="auto"/>
        <w:jc w:val="center"/>
        <w:rPr>
          <w:rStyle w:val="Strong"/>
          <w:rFonts w:ascii="Arial" w:hAnsi="Arial" w:cs="Arial"/>
          <w:color w:val="000000" w:themeColor="text1"/>
          <w:sz w:val="22"/>
          <w:szCs w:val="22"/>
        </w:rPr>
      </w:pPr>
      <w:r w:rsidRPr="001568D1">
        <w:rPr>
          <w:rFonts w:ascii="Arial" w:hAnsi="Arial" w:cs="Arial"/>
          <w:color w:val="000000" w:themeColor="text1"/>
          <w:sz w:val="22"/>
          <w:szCs w:val="22"/>
        </w:rPr>
        <w:t xml:space="preserve">Component </w:t>
      </w:r>
      <w:r w:rsidRPr="001568D1">
        <w:rPr>
          <w:rFonts w:ascii="Arial" w:hAnsi="Arial" w:cs="Arial"/>
          <w:color w:val="000000" w:themeColor="text1"/>
          <w:sz w:val="22"/>
          <w:szCs w:val="22"/>
        </w:rPr>
        <w:t>1</w:t>
      </w:r>
      <w:r w:rsidRPr="001568D1">
        <w:rPr>
          <w:rFonts w:ascii="Arial" w:hAnsi="Arial" w:cs="Arial"/>
          <w:color w:val="000000" w:themeColor="text1"/>
          <w:sz w:val="22"/>
          <w:szCs w:val="22"/>
        </w:rPr>
        <w:t xml:space="preserve">: </w:t>
      </w:r>
      <w:r w:rsidRPr="001568D1">
        <w:rPr>
          <w:rFonts w:ascii="Arial" w:hAnsi="Arial" w:cs="Arial"/>
          <w:b/>
          <w:bCs/>
          <w:sz w:val="22"/>
          <w:szCs w:val="22"/>
        </w:rPr>
        <w:t>Written Assignment (Research Proposal)</w:t>
      </w:r>
    </w:p>
    <w:p w14:paraId="49A6C2D3" w14:textId="77777777" w:rsidR="003A4E79" w:rsidRPr="001568D1" w:rsidRDefault="003A4E79" w:rsidP="001568D1">
      <w:pPr>
        <w:spacing w:line="360" w:lineRule="auto"/>
        <w:rPr>
          <w:rFonts w:ascii="Arial" w:hAnsi="Arial" w:cs="Arial"/>
          <w:sz w:val="22"/>
          <w:szCs w:val="22"/>
        </w:rPr>
      </w:pPr>
    </w:p>
    <w:p w14:paraId="64DB8C86" w14:textId="31D28264" w:rsidR="001568D1" w:rsidRPr="001568D1" w:rsidRDefault="001568D1" w:rsidP="001568D1">
      <w:pPr>
        <w:tabs>
          <w:tab w:val="left" w:pos="3550"/>
        </w:tabs>
        <w:spacing w:line="360" w:lineRule="auto"/>
        <w:jc w:val="center"/>
        <w:rPr>
          <w:rFonts w:ascii="Arial" w:hAnsi="Arial" w:cs="Arial"/>
          <w:b/>
          <w:bCs/>
          <w:sz w:val="22"/>
          <w:szCs w:val="22"/>
        </w:rPr>
      </w:pPr>
      <w:r w:rsidRPr="001568D1">
        <w:rPr>
          <w:rFonts w:ascii="Arial" w:hAnsi="Arial" w:cs="Arial"/>
          <w:b/>
          <w:bCs/>
          <w:sz w:val="22"/>
          <w:szCs w:val="22"/>
        </w:rPr>
        <w:t>A Scoping Review of Barriers to Accessing Mental Health Support Among Young People Aged 11–18 in the UK: Identifying Themes Using Aveyard’s Simplified Thematic Analysis</w:t>
      </w:r>
    </w:p>
    <w:p w14:paraId="19948387" w14:textId="77777777" w:rsidR="001568D1" w:rsidRPr="001568D1" w:rsidRDefault="001568D1" w:rsidP="001568D1">
      <w:pPr>
        <w:spacing w:line="360" w:lineRule="auto"/>
        <w:rPr>
          <w:rFonts w:ascii="Arial" w:hAnsi="Arial" w:cs="Arial"/>
          <w:sz w:val="22"/>
          <w:szCs w:val="22"/>
        </w:rPr>
      </w:pPr>
    </w:p>
    <w:p w14:paraId="51556A22" w14:textId="77777777" w:rsidR="001568D1" w:rsidRPr="001568D1" w:rsidRDefault="001568D1" w:rsidP="001568D1">
      <w:pPr>
        <w:spacing w:line="360" w:lineRule="auto"/>
        <w:rPr>
          <w:rFonts w:ascii="Arial" w:hAnsi="Arial" w:cs="Arial"/>
          <w:sz w:val="22"/>
          <w:szCs w:val="22"/>
        </w:rPr>
      </w:pPr>
    </w:p>
    <w:p w14:paraId="1D8C39D1" w14:textId="77777777" w:rsidR="001568D1" w:rsidRPr="001568D1" w:rsidRDefault="001568D1" w:rsidP="001568D1">
      <w:pPr>
        <w:spacing w:line="360" w:lineRule="auto"/>
        <w:rPr>
          <w:rFonts w:ascii="Arial" w:hAnsi="Arial" w:cs="Arial"/>
          <w:sz w:val="22"/>
          <w:szCs w:val="22"/>
        </w:rPr>
      </w:pPr>
    </w:p>
    <w:p w14:paraId="46D16761" w14:textId="77777777" w:rsidR="001568D1" w:rsidRPr="001568D1" w:rsidRDefault="001568D1" w:rsidP="001568D1">
      <w:pPr>
        <w:spacing w:line="360" w:lineRule="auto"/>
        <w:rPr>
          <w:rFonts w:ascii="Arial" w:hAnsi="Arial" w:cs="Arial"/>
          <w:sz w:val="22"/>
          <w:szCs w:val="22"/>
        </w:rPr>
      </w:pPr>
    </w:p>
    <w:p w14:paraId="0F523C26" w14:textId="77777777" w:rsidR="001568D1" w:rsidRPr="001568D1" w:rsidRDefault="001568D1" w:rsidP="001568D1">
      <w:pPr>
        <w:spacing w:line="360" w:lineRule="auto"/>
        <w:rPr>
          <w:rFonts w:ascii="Arial" w:hAnsi="Arial" w:cs="Arial"/>
          <w:sz w:val="22"/>
          <w:szCs w:val="22"/>
        </w:rPr>
      </w:pPr>
    </w:p>
    <w:p w14:paraId="311C80BD" w14:textId="77777777" w:rsidR="001568D1" w:rsidRPr="001568D1" w:rsidRDefault="001568D1" w:rsidP="001568D1">
      <w:pPr>
        <w:spacing w:line="360" w:lineRule="auto"/>
        <w:rPr>
          <w:rFonts w:ascii="Arial" w:hAnsi="Arial" w:cs="Arial"/>
          <w:sz w:val="22"/>
          <w:szCs w:val="22"/>
        </w:rPr>
      </w:pPr>
    </w:p>
    <w:p w14:paraId="2DB190DE" w14:textId="77777777" w:rsidR="001568D1" w:rsidRPr="001568D1" w:rsidRDefault="001568D1" w:rsidP="001568D1">
      <w:pPr>
        <w:spacing w:line="360" w:lineRule="auto"/>
        <w:rPr>
          <w:rFonts w:ascii="Arial" w:hAnsi="Arial" w:cs="Arial"/>
          <w:sz w:val="22"/>
          <w:szCs w:val="22"/>
        </w:rPr>
      </w:pPr>
    </w:p>
    <w:p w14:paraId="365179A9" w14:textId="77777777" w:rsidR="001568D1" w:rsidRPr="001568D1" w:rsidRDefault="001568D1" w:rsidP="001568D1">
      <w:pPr>
        <w:spacing w:line="360" w:lineRule="auto"/>
        <w:rPr>
          <w:rFonts w:ascii="Arial" w:hAnsi="Arial" w:cs="Arial"/>
          <w:sz w:val="22"/>
          <w:szCs w:val="22"/>
        </w:rPr>
      </w:pPr>
    </w:p>
    <w:p w14:paraId="3206D67A" w14:textId="77777777" w:rsidR="001568D1" w:rsidRPr="001568D1" w:rsidRDefault="001568D1" w:rsidP="001568D1">
      <w:pPr>
        <w:spacing w:line="360" w:lineRule="auto"/>
        <w:rPr>
          <w:rFonts w:ascii="Arial" w:hAnsi="Arial" w:cs="Arial"/>
          <w:sz w:val="22"/>
          <w:szCs w:val="22"/>
        </w:rPr>
      </w:pPr>
    </w:p>
    <w:p w14:paraId="0E327FF4" w14:textId="77777777" w:rsidR="001568D1" w:rsidRPr="001568D1" w:rsidRDefault="001568D1" w:rsidP="001568D1">
      <w:pPr>
        <w:spacing w:line="360" w:lineRule="auto"/>
        <w:rPr>
          <w:rFonts w:ascii="Arial" w:hAnsi="Arial" w:cs="Arial"/>
          <w:sz w:val="22"/>
          <w:szCs w:val="22"/>
        </w:rPr>
      </w:pPr>
    </w:p>
    <w:p w14:paraId="7C8E6383" w14:textId="77777777" w:rsidR="001568D1" w:rsidRPr="001568D1" w:rsidRDefault="001568D1" w:rsidP="001568D1">
      <w:pPr>
        <w:spacing w:line="360" w:lineRule="auto"/>
        <w:rPr>
          <w:rFonts w:ascii="Arial" w:hAnsi="Arial" w:cs="Arial"/>
          <w:sz w:val="22"/>
          <w:szCs w:val="22"/>
        </w:rPr>
      </w:pPr>
    </w:p>
    <w:p w14:paraId="15D9F4FA" w14:textId="77777777" w:rsidR="001568D1" w:rsidRPr="001568D1" w:rsidRDefault="001568D1" w:rsidP="001568D1">
      <w:pPr>
        <w:spacing w:line="360" w:lineRule="auto"/>
        <w:rPr>
          <w:rFonts w:ascii="Arial" w:hAnsi="Arial" w:cs="Arial"/>
          <w:sz w:val="22"/>
          <w:szCs w:val="22"/>
        </w:rPr>
      </w:pPr>
    </w:p>
    <w:p w14:paraId="10165A24" w14:textId="77777777" w:rsidR="001568D1" w:rsidRPr="001568D1" w:rsidRDefault="001568D1" w:rsidP="001568D1">
      <w:pPr>
        <w:spacing w:line="360" w:lineRule="auto"/>
        <w:rPr>
          <w:rFonts w:ascii="Arial" w:hAnsi="Arial" w:cs="Arial"/>
          <w:sz w:val="22"/>
          <w:szCs w:val="22"/>
        </w:rPr>
      </w:pPr>
    </w:p>
    <w:p w14:paraId="693AB022" w14:textId="77777777" w:rsidR="001568D1" w:rsidRPr="001568D1" w:rsidRDefault="001568D1" w:rsidP="001568D1">
      <w:pPr>
        <w:spacing w:line="360" w:lineRule="auto"/>
        <w:rPr>
          <w:rFonts w:ascii="Arial" w:hAnsi="Arial" w:cs="Arial"/>
          <w:sz w:val="22"/>
          <w:szCs w:val="22"/>
        </w:rPr>
      </w:pPr>
    </w:p>
    <w:p w14:paraId="61D911CF" w14:textId="77777777" w:rsidR="001568D1" w:rsidRPr="001568D1" w:rsidRDefault="001568D1" w:rsidP="001568D1">
      <w:pPr>
        <w:spacing w:line="360" w:lineRule="auto"/>
        <w:rPr>
          <w:rFonts w:ascii="Arial" w:hAnsi="Arial" w:cs="Arial"/>
          <w:sz w:val="22"/>
          <w:szCs w:val="22"/>
        </w:rPr>
      </w:pPr>
    </w:p>
    <w:p w14:paraId="45523C6B" w14:textId="77777777" w:rsidR="001568D1" w:rsidRPr="001568D1" w:rsidRDefault="001568D1" w:rsidP="001568D1">
      <w:pPr>
        <w:spacing w:line="360" w:lineRule="auto"/>
        <w:rPr>
          <w:rFonts w:ascii="Arial" w:hAnsi="Arial" w:cs="Arial"/>
          <w:sz w:val="22"/>
          <w:szCs w:val="22"/>
        </w:rPr>
      </w:pPr>
    </w:p>
    <w:p w14:paraId="2842B471" w14:textId="77777777" w:rsidR="001568D1" w:rsidRPr="001568D1" w:rsidRDefault="001568D1" w:rsidP="001568D1">
      <w:pPr>
        <w:spacing w:line="360" w:lineRule="auto"/>
        <w:rPr>
          <w:rFonts w:ascii="Arial" w:hAnsi="Arial" w:cs="Arial"/>
          <w:sz w:val="22"/>
          <w:szCs w:val="22"/>
        </w:rPr>
      </w:pPr>
    </w:p>
    <w:p w14:paraId="0797FCA4" w14:textId="77777777" w:rsidR="001568D1" w:rsidRPr="001568D1" w:rsidRDefault="001568D1" w:rsidP="001568D1">
      <w:pPr>
        <w:spacing w:line="360" w:lineRule="auto"/>
        <w:rPr>
          <w:rFonts w:ascii="Arial" w:hAnsi="Arial" w:cs="Arial"/>
          <w:sz w:val="22"/>
          <w:szCs w:val="22"/>
        </w:rPr>
      </w:pPr>
    </w:p>
    <w:p w14:paraId="31F73591" w14:textId="77777777" w:rsidR="001568D1" w:rsidRPr="001568D1" w:rsidRDefault="001568D1" w:rsidP="001568D1">
      <w:pPr>
        <w:spacing w:line="360" w:lineRule="auto"/>
        <w:rPr>
          <w:rFonts w:ascii="Arial" w:hAnsi="Arial" w:cs="Arial"/>
          <w:sz w:val="22"/>
          <w:szCs w:val="22"/>
        </w:rPr>
      </w:pPr>
    </w:p>
    <w:p w14:paraId="231F580B" w14:textId="77777777" w:rsidR="001568D1" w:rsidRPr="001568D1" w:rsidRDefault="001568D1" w:rsidP="001568D1">
      <w:pPr>
        <w:spacing w:line="360" w:lineRule="auto"/>
        <w:rPr>
          <w:rFonts w:ascii="Arial" w:hAnsi="Arial" w:cs="Arial"/>
          <w:sz w:val="22"/>
          <w:szCs w:val="22"/>
        </w:rPr>
      </w:pPr>
    </w:p>
    <w:p w14:paraId="106B8B04" w14:textId="77777777" w:rsidR="001568D1" w:rsidRPr="001568D1" w:rsidRDefault="001568D1" w:rsidP="001568D1">
      <w:pPr>
        <w:spacing w:before="100" w:beforeAutospacing="1" w:after="100" w:afterAutospacing="1" w:line="360" w:lineRule="auto"/>
        <w:outlineLvl w:val="2"/>
        <w:rPr>
          <w:rFonts w:ascii="Arial" w:eastAsia="Times New Roman" w:hAnsi="Arial" w:cs="Arial"/>
          <w:b/>
          <w:bCs/>
          <w:sz w:val="22"/>
          <w:szCs w:val="22"/>
          <w:lang w:val="en-GB" w:eastAsia="en-GB"/>
        </w:rPr>
      </w:pPr>
      <w:r w:rsidRPr="001568D1">
        <w:rPr>
          <w:rFonts w:ascii="Arial" w:eastAsia="Times New Roman" w:hAnsi="Arial" w:cs="Arial"/>
          <w:b/>
          <w:bCs/>
          <w:sz w:val="22"/>
          <w:szCs w:val="22"/>
          <w:lang w:val="en-GB" w:eastAsia="en-GB"/>
        </w:rPr>
        <w:t>Introduction</w:t>
      </w:r>
    </w:p>
    <w:p w14:paraId="08C0D3E0"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Mental health difficulties among children and young people remain a major concern for UK health and social care. This proposal will examine barriers that prevent young people aged 11–18 from seeking and accessing professional mental health support in the UK. The review question is: </w:t>
      </w:r>
      <w:r w:rsidRPr="001568D1">
        <w:rPr>
          <w:rFonts w:ascii="Arial" w:eastAsia="Times New Roman" w:hAnsi="Arial" w:cs="Arial"/>
          <w:b/>
          <w:bCs/>
          <w:sz w:val="22"/>
          <w:szCs w:val="22"/>
          <w:lang w:val="en-GB" w:eastAsia="en-GB"/>
        </w:rPr>
        <w:t>What barriers affect access to professional mental health support for young people aged 11–18 in the UK?</w:t>
      </w:r>
      <w:r w:rsidRPr="001568D1">
        <w:rPr>
          <w:rFonts w:ascii="Arial" w:eastAsia="Times New Roman" w:hAnsi="Arial" w:cs="Arial"/>
          <w:sz w:val="22"/>
          <w:szCs w:val="22"/>
          <w:lang w:val="en-GB" w:eastAsia="en-GB"/>
        </w:rPr>
        <w:t xml:space="preserve"> The aim is to map and synthesise current evidence. Objectives are to identify common barriers, explore how they affect help-seeking and access, and identify gaps that may inform health and social care practice.</w:t>
      </w:r>
    </w:p>
    <w:p w14:paraId="688CED6C" w14:textId="77777777" w:rsidR="001568D1" w:rsidRPr="001568D1" w:rsidRDefault="001568D1" w:rsidP="001568D1">
      <w:pPr>
        <w:spacing w:before="100" w:beforeAutospacing="1" w:after="100" w:afterAutospacing="1" w:line="360" w:lineRule="auto"/>
        <w:outlineLvl w:val="2"/>
        <w:rPr>
          <w:rFonts w:ascii="Arial" w:eastAsia="Times New Roman" w:hAnsi="Arial" w:cs="Arial"/>
          <w:b/>
          <w:bCs/>
          <w:sz w:val="22"/>
          <w:szCs w:val="22"/>
          <w:lang w:val="en-GB" w:eastAsia="en-GB"/>
        </w:rPr>
      </w:pPr>
      <w:r w:rsidRPr="001568D1">
        <w:rPr>
          <w:rFonts w:ascii="Arial" w:eastAsia="Times New Roman" w:hAnsi="Arial" w:cs="Arial"/>
          <w:b/>
          <w:bCs/>
          <w:sz w:val="22"/>
          <w:szCs w:val="22"/>
          <w:lang w:val="en-GB" w:eastAsia="en-GB"/>
        </w:rPr>
        <w:t>Rationale</w:t>
      </w:r>
    </w:p>
    <w:p w14:paraId="017D3928"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Research shows that young people can experience several obstacles when trying to obtain mental health support. A systematic review by </w:t>
      </w:r>
      <w:proofErr w:type="spellStart"/>
      <w:r w:rsidRPr="001568D1">
        <w:rPr>
          <w:rFonts w:ascii="Arial" w:eastAsia="Times New Roman" w:hAnsi="Arial" w:cs="Arial"/>
          <w:i/>
          <w:iCs/>
          <w:sz w:val="22"/>
          <w:szCs w:val="22"/>
          <w:lang w:val="en-GB" w:eastAsia="en-GB"/>
        </w:rPr>
        <w:t>Radez</w:t>
      </w:r>
      <w:proofErr w:type="spellEnd"/>
      <w:r w:rsidRPr="001568D1">
        <w:rPr>
          <w:rFonts w:ascii="Arial" w:eastAsia="Times New Roman" w:hAnsi="Arial" w:cs="Arial"/>
          <w:i/>
          <w:iCs/>
          <w:sz w:val="22"/>
          <w:szCs w:val="22"/>
          <w:lang w:val="en-GB" w:eastAsia="en-GB"/>
        </w:rPr>
        <w:t xml:space="preserve"> et al. (2021)</w:t>
      </w:r>
      <w:r w:rsidRPr="001568D1">
        <w:rPr>
          <w:rFonts w:ascii="Arial" w:eastAsia="Times New Roman" w:hAnsi="Arial" w:cs="Arial"/>
          <w:sz w:val="22"/>
          <w:szCs w:val="22"/>
          <w:lang w:val="en-GB" w:eastAsia="en-GB"/>
        </w:rPr>
        <w:t xml:space="preserve"> identified barriers including limited mental health knowledge, stigma, embarrassment, confidentiality concerns, difficulty trusting professionals and structural problems such as service availability. UK qualitative research has also reported unmet need and difficulty accessing support, particularly in disadvantaged communities </w:t>
      </w:r>
      <w:r w:rsidRPr="001568D1">
        <w:rPr>
          <w:rFonts w:ascii="Arial" w:eastAsia="Times New Roman" w:hAnsi="Arial" w:cs="Arial"/>
          <w:i/>
          <w:iCs/>
          <w:sz w:val="22"/>
          <w:szCs w:val="22"/>
          <w:lang w:val="en-GB" w:eastAsia="en-GB"/>
        </w:rPr>
        <w:t xml:space="preserve">(Holding et al., 2022). </w:t>
      </w:r>
      <w:proofErr w:type="spellStart"/>
      <w:r w:rsidRPr="001568D1">
        <w:rPr>
          <w:rFonts w:ascii="Arial" w:eastAsia="Times New Roman" w:hAnsi="Arial" w:cs="Arial"/>
          <w:i/>
          <w:iCs/>
          <w:sz w:val="22"/>
          <w:szCs w:val="22"/>
          <w:lang w:val="en-GB" w:eastAsia="en-GB"/>
        </w:rPr>
        <w:t>Radez</w:t>
      </w:r>
      <w:proofErr w:type="spellEnd"/>
      <w:r w:rsidRPr="001568D1">
        <w:rPr>
          <w:rFonts w:ascii="Arial" w:eastAsia="Times New Roman" w:hAnsi="Arial" w:cs="Arial"/>
          <w:i/>
          <w:iCs/>
          <w:sz w:val="22"/>
          <w:szCs w:val="22"/>
          <w:lang w:val="en-GB" w:eastAsia="en-GB"/>
        </w:rPr>
        <w:t xml:space="preserve"> et al. (2022)</w:t>
      </w:r>
      <w:r w:rsidRPr="001568D1">
        <w:rPr>
          <w:rFonts w:ascii="Arial" w:eastAsia="Times New Roman" w:hAnsi="Arial" w:cs="Arial"/>
          <w:sz w:val="22"/>
          <w:szCs w:val="22"/>
          <w:lang w:val="en-GB" w:eastAsia="en-GB"/>
        </w:rPr>
        <w:t xml:space="preserve"> found that adolescents with anxiety and depressive disorders described both personal and service-related barriers to professional help. More recent English evidence demonstrates continuing inequality in child mental health treatment access across demographic groups </w:t>
      </w:r>
      <w:r w:rsidRPr="001568D1">
        <w:rPr>
          <w:rFonts w:ascii="Arial" w:eastAsia="Times New Roman" w:hAnsi="Arial" w:cs="Arial"/>
          <w:i/>
          <w:iCs/>
          <w:sz w:val="22"/>
          <w:szCs w:val="22"/>
          <w:lang w:val="en-GB" w:eastAsia="en-GB"/>
        </w:rPr>
        <w:t>(Pape, Rixson</w:t>
      </w:r>
      <w:r w:rsidRPr="001568D1">
        <w:rPr>
          <w:rFonts w:ascii="Arial" w:eastAsia="Times New Roman" w:hAnsi="Arial" w:cs="Arial"/>
          <w:sz w:val="22"/>
          <w:szCs w:val="22"/>
          <w:lang w:val="en-GB" w:eastAsia="en-GB"/>
        </w:rPr>
        <w:t xml:space="preserve"> and </w:t>
      </w:r>
      <w:r w:rsidRPr="001568D1">
        <w:rPr>
          <w:rFonts w:ascii="Arial" w:eastAsia="Times New Roman" w:hAnsi="Arial" w:cs="Arial"/>
          <w:i/>
          <w:iCs/>
          <w:sz w:val="22"/>
          <w:szCs w:val="22"/>
          <w:lang w:val="en-GB" w:eastAsia="en-GB"/>
        </w:rPr>
        <w:t>Abdul Pari, 2026).</w:t>
      </w:r>
      <w:r w:rsidRPr="001568D1">
        <w:rPr>
          <w:rFonts w:ascii="Arial" w:eastAsia="Times New Roman" w:hAnsi="Arial" w:cs="Arial"/>
          <w:sz w:val="22"/>
          <w:szCs w:val="22"/>
          <w:lang w:val="en-GB" w:eastAsia="en-GB"/>
        </w:rPr>
        <w:t xml:space="preserve"> Waiting times are also important: </w:t>
      </w:r>
      <w:r w:rsidRPr="001568D1">
        <w:rPr>
          <w:rFonts w:ascii="Arial" w:eastAsia="Times New Roman" w:hAnsi="Arial" w:cs="Arial"/>
          <w:i/>
          <w:iCs/>
          <w:sz w:val="22"/>
          <w:szCs w:val="22"/>
          <w:lang w:val="en-GB" w:eastAsia="en-GB"/>
        </w:rPr>
        <w:t>Valentine et al. (2024)</w:t>
      </w:r>
      <w:r w:rsidRPr="001568D1">
        <w:rPr>
          <w:rFonts w:ascii="Arial" w:eastAsia="Times New Roman" w:hAnsi="Arial" w:cs="Arial"/>
          <w:sz w:val="22"/>
          <w:szCs w:val="22"/>
          <w:lang w:val="en-GB" w:eastAsia="en-GB"/>
        </w:rPr>
        <w:t xml:space="preserve"> identified ongoing delays in assessment and treatment within child and adolescent mental health services. Mapping this evidence is relevant because delayed or restricted access may prevent early intervention and contribute to unmet need.</w:t>
      </w:r>
    </w:p>
    <w:p w14:paraId="3C065CBE" w14:textId="77777777" w:rsidR="001568D1" w:rsidRPr="001568D1" w:rsidRDefault="001568D1" w:rsidP="001568D1">
      <w:pPr>
        <w:spacing w:before="100" w:beforeAutospacing="1" w:after="100" w:afterAutospacing="1" w:line="360" w:lineRule="auto"/>
        <w:outlineLvl w:val="2"/>
        <w:rPr>
          <w:rFonts w:ascii="Arial" w:eastAsia="Times New Roman" w:hAnsi="Arial" w:cs="Arial"/>
          <w:b/>
          <w:bCs/>
          <w:sz w:val="22"/>
          <w:szCs w:val="22"/>
          <w:lang w:val="en-GB" w:eastAsia="en-GB"/>
        </w:rPr>
      </w:pPr>
      <w:r w:rsidRPr="001568D1">
        <w:rPr>
          <w:rFonts w:ascii="Arial" w:eastAsia="Times New Roman" w:hAnsi="Arial" w:cs="Arial"/>
          <w:b/>
          <w:bCs/>
          <w:sz w:val="22"/>
          <w:szCs w:val="22"/>
          <w:lang w:val="en-GB" w:eastAsia="en-GB"/>
        </w:rPr>
        <w:t>Methodology</w:t>
      </w:r>
    </w:p>
    <w:p w14:paraId="5B20BB1E"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A scoping review of peer-reviewed primary and secondary studies will be conducted. PubMed, CINAHL, PsycINFO and the UWTSD Library will be searched using terms including </w:t>
      </w:r>
      <w:r w:rsidRPr="001568D1">
        <w:rPr>
          <w:rFonts w:ascii="Arial" w:eastAsia="Times New Roman" w:hAnsi="Arial" w:cs="Arial"/>
          <w:b/>
          <w:bCs/>
          <w:sz w:val="22"/>
          <w:szCs w:val="22"/>
          <w:lang w:val="en-GB" w:eastAsia="en-GB"/>
        </w:rPr>
        <w:t>“young people”, “adolescents”, “mental health”, “help-seeking”, “access”, “barriers”, “CAMHS” and “UK”</w:t>
      </w:r>
      <w:r w:rsidRPr="001568D1">
        <w:rPr>
          <w:rFonts w:ascii="Arial" w:eastAsia="Times New Roman" w:hAnsi="Arial" w:cs="Arial"/>
          <w:sz w:val="22"/>
          <w:szCs w:val="22"/>
          <w:lang w:val="en-GB" w:eastAsia="en-GB"/>
        </w:rPr>
        <w:t xml:space="preserve">. English-language studies published from 2016–2026 and relevant to UK young people aged 11–18 will be included. Non-peer-reviewed and unrelated </w:t>
      </w:r>
      <w:r w:rsidRPr="001568D1">
        <w:rPr>
          <w:rFonts w:ascii="Arial" w:eastAsia="Times New Roman" w:hAnsi="Arial" w:cs="Arial"/>
          <w:sz w:val="22"/>
          <w:szCs w:val="22"/>
          <w:lang w:val="en-GB" w:eastAsia="en-GB"/>
        </w:rPr>
        <w:lastRenderedPageBreak/>
        <w:t xml:space="preserve">studies will be excluded. Findings will be organised using </w:t>
      </w:r>
      <w:r w:rsidRPr="001568D1">
        <w:rPr>
          <w:rFonts w:ascii="Arial" w:eastAsia="Times New Roman" w:hAnsi="Arial" w:cs="Arial"/>
          <w:b/>
          <w:bCs/>
          <w:i/>
          <w:iCs/>
          <w:sz w:val="22"/>
          <w:szCs w:val="22"/>
          <w:lang w:val="en-GB" w:eastAsia="en-GB"/>
        </w:rPr>
        <w:t>Aveyard’s (2014</w:t>
      </w:r>
      <w:r w:rsidRPr="001568D1">
        <w:rPr>
          <w:rFonts w:ascii="Arial" w:eastAsia="Times New Roman" w:hAnsi="Arial" w:cs="Arial"/>
          <w:b/>
          <w:bCs/>
          <w:sz w:val="22"/>
          <w:szCs w:val="22"/>
          <w:lang w:val="en-GB" w:eastAsia="en-GB"/>
        </w:rPr>
        <w:t>) simplified thematic analysis</w:t>
      </w:r>
      <w:r w:rsidRPr="001568D1">
        <w:rPr>
          <w:rFonts w:ascii="Arial" w:eastAsia="Times New Roman" w:hAnsi="Arial" w:cs="Arial"/>
          <w:sz w:val="22"/>
          <w:szCs w:val="22"/>
          <w:lang w:val="en-GB" w:eastAsia="en-GB"/>
        </w:rPr>
        <w:t xml:space="preserve"> to identify recurring themes. Your template specifically directs you towards this analysis method. </w:t>
      </w:r>
    </w:p>
    <w:p w14:paraId="11B747E4" w14:textId="77777777" w:rsidR="001568D1" w:rsidRPr="001568D1" w:rsidRDefault="001568D1" w:rsidP="001568D1">
      <w:pPr>
        <w:spacing w:before="100" w:beforeAutospacing="1" w:after="100" w:afterAutospacing="1" w:line="360" w:lineRule="auto"/>
        <w:outlineLvl w:val="2"/>
        <w:rPr>
          <w:rFonts w:ascii="Arial" w:eastAsia="Times New Roman" w:hAnsi="Arial" w:cs="Arial"/>
          <w:b/>
          <w:bCs/>
          <w:sz w:val="22"/>
          <w:szCs w:val="22"/>
          <w:lang w:val="en-GB" w:eastAsia="en-GB"/>
        </w:rPr>
      </w:pPr>
      <w:r w:rsidRPr="001568D1">
        <w:rPr>
          <w:rFonts w:ascii="Arial" w:eastAsia="Times New Roman" w:hAnsi="Arial" w:cs="Arial"/>
          <w:b/>
          <w:bCs/>
          <w:sz w:val="22"/>
          <w:szCs w:val="22"/>
          <w:lang w:val="en-GB" w:eastAsia="en-GB"/>
        </w:rPr>
        <w:t>Expected Outcomes</w:t>
      </w:r>
    </w:p>
    <w:p w14:paraId="3F4DAF13"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The review is expected to produce a thematic map of key access barriers and identify evidence gaps relevant to improving health and social care services.</w:t>
      </w:r>
    </w:p>
    <w:p w14:paraId="22423D0D" w14:textId="77777777" w:rsidR="001568D1" w:rsidRPr="001568D1" w:rsidRDefault="001568D1" w:rsidP="001568D1">
      <w:pPr>
        <w:spacing w:before="100" w:beforeAutospacing="1" w:after="100" w:afterAutospacing="1" w:line="360" w:lineRule="auto"/>
        <w:outlineLvl w:val="2"/>
        <w:rPr>
          <w:rFonts w:ascii="Arial" w:eastAsia="Times New Roman" w:hAnsi="Arial" w:cs="Arial"/>
          <w:b/>
          <w:bCs/>
          <w:sz w:val="22"/>
          <w:szCs w:val="22"/>
          <w:lang w:val="en-GB" w:eastAsia="en-GB"/>
        </w:rPr>
      </w:pPr>
      <w:r w:rsidRPr="001568D1">
        <w:rPr>
          <w:rFonts w:ascii="Arial" w:eastAsia="Times New Roman" w:hAnsi="Arial" w:cs="Arial"/>
          <w:b/>
          <w:bCs/>
          <w:sz w:val="22"/>
          <w:szCs w:val="22"/>
          <w:lang w:val="en-GB" w:eastAsia="en-GB"/>
        </w:rPr>
        <w:t>Ethical Considerations</w:t>
      </w:r>
    </w:p>
    <w:p w14:paraId="622CEAB2"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As this is secondary research, no participants will be </w:t>
      </w:r>
      <w:proofErr w:type="gramStart"/>
      <w:r w:rsidRPr="001568D1">
        <w:rPr>
          <w:rFonts w:ascii="Arial" w:eastAsia="Times New Roman" w:hAnsi="Arial" w:cs="Arial"/>
          <w:sz w:val="22"/>
          <w:szCs w:val="22"/>
          <w:lang w:val="en-GB" w:eastAsia="en-GB"/>
        </w:rPr>
        <w:t>recruited</w:t>
      </w:r>
      <w:proofErr w:type="gramEnd"/>
      <w:r w:rsidRPr="001568D1">
        <w:rPr>
          <w:rFonts w:ascii="Arial" w:eastAsia="Times New Roman" w:hAnsi="Arial" w:cs="Arial"/>
          <w:sz w:val="22"/>
          <w:szCs w:val="22"/>
          <w:lang w:val="en-GB" w:eastAsia="en-GB"/>
        </w:rPr>
        <w:t xml:space="preserve"> and no identifiable personal data will be collected. Ethical practice will include accurate representation of findings, transparent reporting, correct Harvard referencing and avoidance of fabrication, falsification and plagiarism. Your teaching material specifically identifies fabrication, falsification and plagiarism as forms of research misconduct that must be avoided. </w:t>
      </w:r>
    </w:p>
    <w:p w14:paraId="703499BC" w14:textId="77777777" w:rsidR="001568D1" w:rsidRPr="001568D1" w:rsidRDefault="001568D1" w:rsidP="001568D1">
      <w:pPr>
        <w:spacing w:before="100" w:beforeAutospacing="1" w:after="100" w:afterAutospacing="1" w:line="360" w:lineRule="auto"/>
        <w:outlineLvl w:val="2"/>
        <w:rPr>
          <w:rFonts w:ascii="Arial" w:eastAsia="Times New Roman" w:hAnsi="Arial" w:cs="Arial"/>
          <w:b/>
          <w:bCs/>
          <w:sz w:val="22"/>
          <w:szCs w:val="22"/>
          <w:lang w:val="en-GB" w:eastAsia="en-GB"/>
        </w:rPr>
      </w:pPr>
      <w:r w:rsidRPr="001568D1">
        <w:rPr>
          <w:rFonts w:ascii="Arial" w:eastAsia="Times New Roman" w:hAnsi="Arial" w:cs="Arial"/>
          <w:b/>
          <w:bCs/>
          <w:sz w:val="22"/>
          <w:szCs w:val="22"/>
          <w:lang w:val="en-GB" w:eastAsia="en-GB"/>
        </w:rPr>
        <w:t>References</w:t>
      </w:r>
    </w:p>
    <w:p w14:paraId="2CFAB0CB"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Aveyard, H. (2014) </w:t>
      </w:r>
      <w:r w:rsidRPr="001568D1">
        <w:rPr>
          <w:rFonts w:ascii="Arial" w:eastAsia="Times New Roman" w:hAnsi="Arial" w:cs="Arial"/>
          <w:i/>
          <w:iCs/>
          <w:sz w:val="22"/>
          <w:szCs w:val="22"/>
          <w:lang w:val="en-GB" w:eastAsia="en-GB"/>
        </w:rPr>
        <w:t>Doing a Literature Review in Health and Social Care: A Practical Guide</w:t>
      </w:r>
      <w:r w:rsidRPr="001568D1">
        <w:rPr>
          <w:rFonts w:ascii="Arial" w:eastAsia="Times New Roman" w:hAnsi="Arial" w:cs="Arial"/>
          <w:sz w:val="22"/>
          <w:szCs w:val="22"/>
          <w:lang w:val="en-GB" w:eastAsia="en-GB"/>
        </w:rPr>
        <w:t>. Maidenhead: Open University Press.</w:t>
      </w:r>
    </w:p>
    <w:p w14:paraId="285D1A03"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Holding, E., Crowder, M., Woodrow, N. </w:t>
      </w:r>
      <w:r w:rsidRPr="001568D1">
        <w:rPr>
          <w:rFonts w:ascii="Arial" w:eastAsia="Times New Roman" w:hAnsi="Arial" w:cs="Arial"/>
          <w:i/>
          <w:iCs/>
          <w:sz w:val="22"/>
          <w:szCs w:val="22"/>
          <w:lang w:val="en-GB" w:eastAsia="en-GB"/>
        </w:rPr>
        <w:t>et al.</w:t>
      </w:r>
      <w:r w:rsidRPr="001568D1">
        <w:rPr>
          <w:rFonts w:ascii="Arial" w:eastAsia="Times New Roman" w:hAnsi="Arial" w:cs="Arial"/>
          <w:sz w:val="22"/>
          <w:szCs w:val="22"/>
          <w:lang w:val="en-GB" w:eastAsia="en-GB"/>
        </w:rPr>
        <w:t xml:space="preserve"> (2022) ‘Exploring young people’s perspectives on mental health support: A qualitative study across three geographical areas in England, UK’, </w:t>
      </w:r>
      <w:r w:rsidRPr="001568D1">
        <w:rPr>
          <w:rFonts w:ascii="Arial" w:eastAsia="Times New Roman" w:hAnsi="Arial" w:cs="Arial"/>
          <w:i/>
          <w:iCs/>
          <w:sz w:val="22"/>
          <w:szCs w:val="22"/>
          <w:lang w:val="en-GB" w:eastAsia="en-GB"/>
        </w:rPr>
        <w:t>Health and Social Care in the Community</w:t>
      </w:r>
      <w:r w:rsidRPr="001568D1">
        <w:rPr>
          <w:rFonts w:ascii="Arial" w:eastAsia="Times New Roman" w:hAnsi="Arial" w:cs="Arial"/>
          <w:sz w:val="22"/>
          <w:szCs w:val="22"/>
          <w:lang w:val="en-GB" w:eastAsia="en-GB"/>
        </w:rPr>
        <w:t xml:space="preserve">, 30(6), pp. e6366–e6375. doi:10.1111/hsc.14078. </w:t>
      </w:r>
    </w:p>
    <w:p w14:paraId="16BBBCC2"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Pape, T., Rixson, L. and Abdul Pari, A.A. (2026) ‘Inequity in treatment access for child mental health services in England: analysis of administrative national data for 2021–2022’, </w:t>
      </w:r>
      <w:proofErr w:type="spellStart"/>
      <w:r w:rsidRPr="001568D1">
        <w:rPr>
          <w:rFonts w:ascii="Arial" w:eastAsia="Times New Roman" w:hAnsi="Arial" w:cs="Arial"/>
          <w:i/>
          <w:iCs/>
          <w:sz w:val="22"/>
          <w:szCs w:val="22"/>
          <w:lang w:val="en-GB" w:eastAsia="en-GB"/>
        </w:rPr>
        <w:t>BJPsych</w:t>
      </w:r>
      <w:proofErr w:type="spellEnd"/>
      <w:r w:rsidRPr="001568D1">
        <w:rPr>
          <w:rFonts w:ascii="Arial" w:eastAsia="Times New Roman" w:hAnsi="Arial" w:cs="Arial"/>
          <w:i/>
          <w:iCs/>
          <w:sz w:val="22"/>
          <w:szCs w:val="22"/>
          <w:lang w:val="en-GB" w:eastAsia="en-GB"/>
        </w:rPr>
        <w:t xml:space="preserve"> Bulletin</w:t>
      </w:r>
      <w:r w:rsidRPr="001568D1">
        <w:rPr>
          <w:rFonts w:ascii="Arial" w:eastAsia="Times New Roman" w:hAnsi="Arial" w:cs="Arial"/>
          <w:sz w:val="22"/>
          <w:szCs w:val="22"/>
          <w:lang w:val="en-GB" w:eastAsia="en-GB"/>
        </w:rPr>
        <w:t xml:space="preserve">, 50(1), pp. 13–19. doi:10.1192/bjb.2024.114. </w:t>
      </w:r>
    </w:p>
    <w:p w14:paraId="3B4525E2"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Radez, J., Reardon, T., Creswell, C. </w:t>
      </w:r>
      <w:r w:rsidRPr="001568D1">
        <w:rPr>
          <w:rFonts w:ascii="Arial" w:eastAsia="Times New Roman" w:hAnsi="Arial" w:cs="Arial"/>
          <w:i/>
          <w:iCs/>
          <w:sz w:val="22"/>
          <w:szCs w:val="22"/>
          <w:lang w:val="en-GB" w:eastAsia="en-GB"/>
        </w:rPr>
        <w:t>et al.</w:t>
      </w:r>
      <w:r w:rsidRPr="001568D1">
        <w:rPr>
          <w:rFonts w:ascii="Arial" w:eastAsia="Times New Roman" w:hAnsi="Arial" w:cs="Arial"/>
          <w:sz w:val="22"/>
          <w:szCs w:val="22"/>
          <w:lang w:val="en-GB" w:eastAsia="en-GB"/>
        </w:rPr>
        <w:t xml:space="preserve"> (2021) ‘Why do children and adolescents (not) seek and access professional help for their mental health problems? A systematic review of quantitative and qualitative studies’, </w:t>
      </w:r>
      <w:r w:rsidRPr="001568D1">
        <w:rPr>
          <w:rFonts w:ascii="Arial" w:eastAsia="Times New Roman" w:hAnsi="Arial" w:cs="Arial"/>
          <w:i/>
          <w:iCs/>
          <w:sz w:val="22"/>
          <w:szCs w:val="22"/>
          <w:lang w:val="en-GB" w:eastAsia="en-GB"/>
        </w:rPr>
        <w:t>European Child &amp; Adolescent Psychiatry</w:t>
      </w:r>
      <w:r w:rsidRPr="001568D1">
        <w:rPr>
          <w:rFonts w:ascii="Arial" w:eastAsia="Times New Roman" w:hAnsi="Arial" w:cs="Arial"/>
          <w:sz w:val="22"/>
          <w:szCs w:val="22"/>
          <w:lang w:val="en-GB" w:eastAsia="en-GB"/>
        </w:rPr>
        <w:t xml:space="preserve">, 30(2), pp. 183–211. doi:10.1007/s00787-019-01469-4. </w:t>
      </w:r>
    </w:p>
    <w:p w14:paraId="66CB2CE9"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Radez, J., Reardon, T., Creswell, C., Orchard, F. and Waite, P. (2022) ‘Adolescents’ perceived barriers and facilitators to seeking and accessing professional help for anxiety and </w:t>
      </w:r>
      <w:r w:rsidRPr="001568D1">
        <w:rPr>
          <w:rFonts w:ascii="Arial" w:eastAsia="Times New Roman" w:hAnsi="Arial" w:cs="Arial"/>
          <w:sz w:val="22"/>
          <w:szCs w:val="22"/>
          <w:lang w:val="en-GB" w:eastAsia="en-GB"/>
        </w:rPr>
        <w:lastRenderedPageBreak/>
        <w:t xml:space="preserve">depressive disorders: a qualitative interview study’, </w:t>
      </w:r>
      <w:r w:rsidRPr="001568D1">
        <w:rPr>
          <w:rFonts w:ascii="Arial" w:eastAsia="Times New Roman" w:hAnsi="Arial" w:cs="Arial"/>
          <w:i/>
          <w:iCs/>
          <w:sz w:val="22"/>
          <w:szCs w:val="22"/>
          <w:lang w:val="en-GB" w:eastAsia="en-GB"/>
        </w:rPr>
        <w:t>European Child &amp; Adolescent Psychiatry</w:t>
      </w:r>
      <w:r w:rsidRPr="001568D1">
        <w:rPr>
          <w:rFonts w:ascii="Arial" w:eastAsia="Times New Roman" w:hAnsi="Arial" w:cs="Arial"/>
          <w:sz w:val="22"/>
          <w:szCs w:val="22"/>
          <w:lang w:val="en-GB" w:eastAsia="en-GB"/>
        </w:rPr>
        <w:t xml:space="preserve">, 31(6), pp. 891–907. doi:10.1007/s00787-020-01707-0. </w:t>
      </w:r>
    </w:p>
    <w:p w14:paraId="1B86D05F" w14:textId="77777777" w:rsidR="001568D1" w:rsidRPr="001568D1" w:rsidRDefault="001568D1" w:rsidP="001568D1">
      <w:pPr>
        <w:spacing w:before="100" w:beforeAutospacing="1" w:after="100" w:afterAutospacing="1" w:line="360" w:lineRule="auto"/>
        <w:rPr>
          <w:rFonts w:ascii="Arial" w:eastAsia="Times New Roman" w:hAnsi="Arial" w:cs="Arial"/>
          <w:sz w:val="22"/>
          <w:szCs w:val="22"/>
          <w:lang w:val="en-GB" w:eastAsia="en-GB"/>
        </w:rPr>
      </w:pPr>
      <w:r w:rsidRPr="001568D1">
        <w:rPr>
          <w:rFonts w:ascii="Arial" w:eastAsia="Times New Roman" w:hAnsi="Arial" w:cs="Arial"/>
          <w:sz w:val="22"/>
          <w:szCs w:val="22"/>
          <w:lang w:val="en-GB" w:eastAsia="en-GB"/>
        </w:rPr>
        <w:t xml:space="preserve">Valentine, A.Z., Hall, S.S., Sayal, K. and Hall, C.L. (2024) ‘Waiting-list interventions for children and young people using child and adolescent mental health services: a systematic review’, </w:t>
      </w:r>
      <w:r w:rsidRPr="001568D1">
        <w:rPr>
          <w:rFonts w:ascii="Arial" w:eastAsia="Times New Roman" w:hAnsi="Arial" w:cs="Arial"/>
          <w:i/>
          <w:iCs/>
          <w:sz w:val="22"/>
          <w:szCs w:val="22"/>
          <w:lang w:val="en-GB" w:eastAsia="en-GB"/>
        </w:rPr>
        <w:t>BMJ Mental Health</w:t>
      </w:r>
      <w:r w:rsidRPr="001568D1">
        <w:rPr>
          <w:rFonts w:ascii="Arial" w:eastAsia="Times New Roman" w:hAnsi="Arial" w:cs="Arial"/>
          <w:sz w:val="22"/>
          <w:szCs w:val="22"/>
          <w:lang w:val="en-GB" w:eastAsia="en-GB"/>
        </w:rPr>
        <w:t>, 27(1), e300844. doi:10.1136/bmjment-2023-300844.</w:t>
      </w:r>
    </w:p>
    <w:p w14:paraId="7013E125" w14:textId="77777777" w:rsidR="001568D1" w:rsidRDefault="001568D1"/>
    <w:sectPr w:rsidR="001568D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94E12" w14:textId="77777777" w:rsidR="00AA5C8F" w:rsidRDefault="00AA5C8F" w:rsidP="001568D1">
      <w:pPr>
        <w:spacing w:after="0" w:line="240" w:lineRule="auto"/>
      </w:pPr>
      <w:r>
        <w:separator/>
      </w:r>
    </w:p>
  </w:endnote>
  <w:endnote w:type="continuationSeparator" w:id="0">
    <w:p w14:paraId="295401E7" w14:textId="77777777" w:rsidR="00AA5C8F" w:rsidRDefault="00AA5C8F" w:rsidP="00156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495916"/>
      <w:docPartObj>
        <w:docPartGallery w:val="Page Numbers (Bottom of Page)"/>
        <w:docPartUnique/>
      </w:docPartObj>
    </w:sdtPr>
    <w:sdtContent>
      <w:p w14:paraId="7C0ACAD1" w14:textId="1E03BDFB" w:rsidR="001568D1" w:rsidRDefault="001568D1">
        <w:pPr>
          <w:pStyle w:val="Footer"/>
          <w:jc w:val="center"/>
        </w:pPr>
        <w:r>
          <w:fldChar w:fldCharType="begin"/>
        </w:r>
        <w:r>
          <w:instrText>PAGE   \* MERGEFORMAT</w:instrText>
        </w:r>
        <w:r>
          <w:fldChar w:fldCharType="separate"/>
        </w:r>
        <w:r>
          <w:rPr>
            <w:lang w:val="en-GB"/>
          </w:rPr>
          <w:t>2</w:t>
        </w:r>
        <w:r>
          <w:fldChar w:fldCharType="end"/>
        </w:r>
      </w:p>
    </w:sdtContent>
  </w:sdt>
  <w:p w14:paraId="7EE6389F" w14:textId="77777777" w:rsidR="001568D1" w:rsidRDefault="001568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716D5" w14:textId="77777777" w:rsidR="00AA5C8F" w:rsidRDefault="00AA5C8F" w:rsidP="001568D1">
      <w:pPr>
        <w:spacing w:after="0" w:line="240" w:lineRule="auto"/>
      </w:pPr>
      <w:r>
        <w:separator/>
      </w:r>
    </w:p>
  </w:footnote>
  <w:footnote w:type="continuationSeparator" w:id="0">
    <w:p w14:paraId="24CE4A1E" w14:textId="77777777" w:rsidR="00AA5C8F" w:rsidRDefault="00AA5C8F" w:rsidP="001568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CEE"/>
    <w:rsid w:val="001568D1"/>
    <w:rsid w:val="003A4E79"/>
    <w:rsid w:val="00710083"/>
    <w:rsid w:val="009A3CEE"/>
    <w:rsid w:val="00AA5C8F"/>
    <w:rsid w:val="00BA4DD8"/>
    <w:rsid w:val="00EC0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2FC1F"/>
  <w15:chartTrackingRefBased/>
  <w15:docId w15:val="{3790E65B-387A-4D6D-965B-15E9B0BE5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CEE"/>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9A3CE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9A3CE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9A3CEE"/>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9A3CEE"/>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9A3CEE"/>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9A3CEE"/>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9A3CEE"/>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9A3CEE"/>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9A3CEE"/>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C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C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C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C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C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CEE"/>
    <w:rPr>
      <w:rFonts w:eastAsiaTheme="majorEastAsia" w:cstheme="majorBidi"/>
      <w:color w:val="272727" w:themeColor="text1" w:themeTint="D8"/>
    </w:rPr>
  </w:style>
  <w:style w:type="paragraph" w:styleId="Title">
    <w:name w:val="Title"/>
    <w:basedOn w:val="Normal"/>
    <w:next w:val="Normal"/>
    <w:link w:val="TitleChar"/>
    <w:uiPriority w:val="10"/>
    <w:qFormat/>
    <w:rsid w:val="009A3CEE"/>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9A3C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CEE"/>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9A3C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CEE"/>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9A3CEE"/>
    <w:rPr>
      <w:i/>
      <w:iCs/>
      <w:color w:val="404040" w:themeColor="text1" w:themeTint="BF"/>
    </w:rPr>
  </w:style>
  <w:style w:type="paragraph" w:styleId="ListParagraph">
    <w:name w:val="List Paragraph"/>
    <w:basedOn w:val="Normal"/>
    <w:uiPriority w:val="34"/>
    <w:qFormat/>
    <w:rsid w:val="009A3CEE"/>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9A3CEE"/>
    <w:rPr>
      <w:i/>
      <w:iCs/>
      <w:color w:val="0F4761" w:themeColor="accent1" w:themeShade="BF"/>
    </w:rPr>
  </w:style>
  <w:style w:type="paragraph" w:styleId="IntenseQuote">
    <w:name w:val="Intense Quote"/>
    <w:basedOn w:val="Normal"/>
    <w:next w:val="Normal"/>
    <w:link w:val="IntenseQuoteChar"/>
    <w:uiPriority w:val="30"/>
    <w:qFormat/>
    <w:rsid w:val="009A3CE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9A3CEE"/>
    <w:rPr>
      <w:i/>
      <w:iCs/>
      <w:color w:val="0F4761" w:themeColor="accent1" w:themeShade="BF"/>
    </w:rPr>
  </w:style>
  <w:style w:type="character" w:styleId="IntenseReference">
    <w:name w:val="Intense Reference"/>
    <w:basedOn w:val="DefaultParagraphFont"/>
    <w:uiPriority w:val="32"/>
    <w:qFormat/>
    <w:rsid w:val="009A3CEE"/>
    <w:rPr>
      <w:b/>
      <w:bCs/>
      <w:smallCaps/>
      <w:color w:val="0F4761" w:themeColor="accent1" w:themeShade="BF"/>
      <w:spacing w:val="5"/>
    </w:rPr>
  </w:style>
  <w:style w:type="paragraph" w:styleId="NormalWeb">
    <w:name w:val="Normal (Web)"/>
    <w:basedOn w:val="Normal"/>
    <w:uiPriority w:val="99"/>
    <w:unhideWhenUsed/>
    <w:rsid w:val="009A3CEE"/>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9A3CEE"/>
    <w:rPr>
      <w:b/>
      <w:bCs/>
    </w:rPr>
  </w:style>
  <w:style w:type="paragraph" w:styleId="Header">
    <w:name w:val="header"/>
    <w:basedOn w:val="Normal"/>
    <w:link w:val="HeaderChar"/>
    <w:uiPriority w:val="99"/>
    <w:unhideWhenUsed/>
    <w:rsid w:val="001568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8D1"/>
    <w:rPr>
      <w:rFonts w:eastAsiaTheme="minorEastAsia"/>
      <w:kern w:val="0"/>
      <w:lang w:val="en-US" w:eastAsia="ja-JP"/>
      <w14:ligatures w14:val="none"/>
    </w:rPr>
  </w:style>
  <w:style w:type="paragraph" w:styleId="Footer">
    <w:name w:val="footer"/>
    <w:basedOn w:val="Normal"/>
    <w:link w:val="FooterChar"/>
    <w:uiPriority w:val="99"/>
    <w:unhideWhenUsed/>
    <w:rsid w:val="001568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8D1"/>
    <w:rPr>
      <w:rFonts w:eastAsiaTheme="minorEastAsia"/>
      <w:kern w:val="0"/>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738</Words>
  <Characters>4212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1</cp:revision>
  <dcterms:created xsi:type="dcterms:W3CDTF">2026-09-18T09:59:00Z</dcterms:created>
  <dcterms:modified xsi:type="dcterms:W3CDTF">2026-09-18T10:32:00Z</dcterms:modified>
</cp:coreProperties>
</file>