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57000" w14:textId="77777777" w:rsidR="00CE2CF2" w:rsidRPr="00CE2CF2" w:rsidRDefault="00CE2CF2" w:rsidP="00CE2CF2">
      <w:pPr>
        <w:spacing w:line="360" w:lineRule="auto"/>
        <w:jc w:val="both"/>
        <w:rPr>
          <w:rFonts w:ascii="Arial" w:hAnsi="Arial"/>
        </w:rPr>
      </w:pPr>
      <w:r w:rsidRPr="00CE2CF2">
        <w:rPr>
          <w:rFonts w:ascii="Arial" w:hAnsi="Arial"/>
        </w:rPr>
        <w:t>Data Security Governance and Compliance Framework</w:t>
      </w:r>
    </w:p>
    <w:p w14:paraId="53666A5E" w14:textId="77777777" w:rsidR="00CE2CF2" w:rsidRPr="00CE2CF2" w:rsidRDefault="00CE2CF2" w:rsidP="00CE2CF2">
      <w:pPr>
        <w:spacing w:line="360" w:lineRule="auto"/>
        <w:jc w:val="both"/>
        <w:rPr>
          <w:rFonts w:ascii="Arial" w:hAnsi="Arial"/>
        </w:rPr>
      </w:pPr>
      <w:r w:rsidRPr="00CE2CF2">
        <w:rPr>
          <w:rFonts w:ascii="Arial" w:hAnsi="Arial"/>
        </w:rPr>
        <w:t>Introduction</w:t>
      </w:r>
    </w:p>
    <w:p w14:paraId="1B0B8519" w14:textId="77777777" w:rsidR="00CE2CF2" w:rsidRPr="00CE2CF2" w:rsidRDefault="00CE2CF2" w:rsidP="00CE2CF2">
      <w:pPr>
        <w:spacing w:line="360" w:lineRule="auto"/>
        <w:jc w:val="both"/>
        <w:rPr>
          <w:rFonts w:ascii="Arial" w:hAnsi="Arial"/>
        </w:rPr>
      </w:pPr>
      <w:r w:rsidRPr="00CE2CF2">
        <w:rPr>
          <w:rFonts w:ascii="Arial" w:hAnsi="Arial"/>
        </w:rPr>
        <w:t xml:space="preserve">Financial companies handle sensitive information such as customer data and financial records. As the company expands into Europe, it must follow the General Data Protection Regulation (GDPR). However, the audit found problems with data classification, access control, incident response, and the use of unapproved cloud services. Therefore, the company must develop a strong data security governance and compliance framework. </w:t>
      </w:r>
    </w:p>
    <w:p w14:paraId="23FDC79B" w14:textId="77777777" w:rsidR="00CE2CF2" w:rsidRPr="00CE2CF2" w:rsidRDefault="00CE2CF2" w:rsidP="00CE2CF2">
      <w:pPr>
        <w:spacing w:line="360" w:lineRule="auto"/>
        <w:jc w:val="both"/>
        <w:rPr>
          <w:rFonts w:ascii="Arial" w:hAnsi="Arial"/>
        </w:rPr>
      </w:pPr>
      <w:r w:rsidRPr="00CE2CF2">
        <w:rPr>
          <w:rFonts w:ascii="Arial" w:hAnsi="Arial"/>
        </w:rPr>
        <w:t>Data Security Governance Principles</w:t>
      </w:r>
    </w:p>
    <w:p w14:paraId="59DF4FA3" w14:textId="77777777" w:rsidR="00CE2CF2" w:rsidRPr="00CE2CF2" w:rsidRDefault="00CE2CF2" w:rsidP="00CE2CF2">
      <w:pPr>
        <w:spacing w:line="360" w:lineRule="auto"/>
        <w:jc w:val="both"/>
        <w:rPr>
          <w:rFonts w:ascii="Arial" w:hAnsi="Arial"/>
        </w:rPr>
      </w:pPr>
      <w:r w:rsidRPr="00CE2CF2">
        <w:rPr>
          <w:rFonts w:ascii="Arial" w:hAnsi="Arial"/>
        </w:rPr>
        <w:t>Data security governance involves rules and processes to protect company data. A key principle is the CIA triad: confidentiality, integrity, and availability. Confidentiality ensures only authorised users access data, integrity keeps data accurate, and availability ensures data is accessible when needed.</w:t>
      </w:r>
    </w:p>
    <w:p w14:paraId="5FDFB057" w14:textId="77777777" w:rsidR="00CE2CF2" w:rsidRPr="00CE2CF2" w:rsidRDefault="00CE2CF2" w:rsidP="00CE2CF2">
      <w:pPr>
        <w:spacing w:line="360" w:lineRule="auto"/>
        <w:jc w:val="both"/>
        <w:rPr>
          <w:rFonts w:ascii="Arial" w:hAnsi="Arial"/>
        </w:rPr>
      </w:pPr>
      <w:r w:rsidRPr="00CE2CF2">
        <w:rPr>
          <w:rFonts w:ascii="Arial" w:hAnsi="Arial"/>
        </w:rPr>
        <w:t>GDPR Compliance</w:t>
      </w:r>
    </w:p>
    <w:p w14:paraId="237CED5F" w14:textId="77777777" w:rsidR="00CE2CF2" w:rsidRPr="00CE2CF2" w:rsidRDefault="00CE2CF2" w:rsidP="00CE2CF2">
      <w:pPr>
        <w:spacing w:line="360" w:lineRule="auto"/>
        <w:jc w:val="both"/>
        <w:rPr>
          <w:rFonts w:ascii="Arial" w:hAnsi="Arial"/>
        </w:rPr>
      </w:pPr>
      <w:r w:rsidRPr="00CE2CF2">
        <w:rPr>
          <w:rFonts w:ascii="Arial" w:hAnsi="Arial"/>
        </w:rPr>
        <w:t>To follow GDPR, the company must identify what personal data it collects and stores. It should only collect necessary data and protect it using strong access controls and encryption.</w:t>
      </w:r>
    </w:p>
    <w:p w14:paraId="0AAB2158" w14:textId="45F2754F" w:rsidR="00CE2CF2" w:rsidRPr="00CE2CF2" w:rsidRDefault="00CE2CF2" w:rsidP="00CE2CF2">
      <w:pPr>
        <w:spacing w:line="360" w:lineRule="auto"/>
        <w:jc w:val="both"/>
        <w:rPr>
          <w:rFonts w:ascii="Arial" w:hAnsi="Arial"/>
        </w:rPr>
      </w:pPr>
      <w:r w:rsidRPr="00CE2CF2">
        <w:rPr>
          <w:rFonts w:ascii="Arial" w:hAnsi="Arial"/>
        </w:rPr>
        <w:t xml:space="preserve">The company must also create a clear incident response plan because serious data breaches must be reported within </w:t>
      </w:r>
      <w:r>
        <w:rPr>
          <w:rFonts w:ascii="Arial" w:hAnsi="Arial"/>
        </w:rPr>
        <w:t>24</w:t>
      </w:r>
      <w:r w:rsidRPr="00CE2CF2">
        <w:rPr>
          <w:rFonts w:ascii="Arial" w:hAnsi="Arial"/>
        </w:rPr>
        <w:t xml:space="preserve"> hours</w:t>
      </w:r>
      <w:r>
        <w:rPr>
          <w:rFonts w:ascii="Arial" w:hAnsi="Arial"/>
        </w:rPr>
        <w:t xml:space="preserve">. </w:t>
      </w:r>
      <w:r w:rsidRPr="00CE2CF2">
        <w:rPr>
          <w:rFonts w:ascii="Arial" w:hAnsi="Arial"/>
        </w:rPr>
        <w:t>A Data Protection Officer (DPO) can help ensure the organisation follows privacy regulations.</w:t>
      </w:r>
    </w:p>
    <w:p w14:paraId="622AD98D" w14:textId="77777777" w:rsidR="00CE2CF2" w:rsidRPr="00CE2CF2" w:rsidRDefault="00CE2CF2" w:rsidP="00CE2CF2">
      <w:pPr>
        <w:spacing w:line="360" w:lineRule="auto"/>
        <w:jc w:val="both"/>
        <w:rPr>
          <w:rFonts w:ascii="Arial" w:hAnsi="Arial"/>
        </w:rPr>
      </w:pPr>
      <w:r w:rsidRPr="00CE2CF2">
        <w:rPr>
          <w:rFonts w:ascii="Arial" w:hAnsi="Arial"/>
        </w:rPr>
        <w:t>Risk Assessment and Data Classification</w:t>
      </w:r>
    </w:p>
    <w:p w14:paraId="20E8D2FC" w14:textId="29F540ED" w:rsidR="00CE2CF2" w:rsidRPr="00CE2CF2" w:rsidRDefault="00CE2CF2" w:rsidP="00CE2CF2">
      <w:pPr>
        <w:spacing w:line="360" w:lineRule="auto"/>
        <w:jc w:val="both"/>
        <w:rPr>
          <w:rFonts w:ascii="Arial" w:hAnsi="Arial"/>
        </w:rPr>
      </w:pPr>
      <w:r w:rsidRPr="00CE2CF2">
        <w:rPr>
          <w:rFonts w:ascii="Arial" w:hAnsi="Arial"/>
        </w:rPr>
        <w:t xml:space="preserve">Risk assessment helps identify security threats such as </w:t>
      </w:r>
      <w:proofErr w:type="spellStart"/>
      <w:r w:rsidRPr="00CE2CF2">
        <w:rPr>
          <w:rFonts w:ascii="Arial" w:hAnsi="Arial"/>
        </w:rPr>
        <w:t>cyber attacks</w:t>
      </w:r>
      <w:proofErr w:type="spellEnd"/>
      <w:r w:rsidRPr="00CE2CF2">
        <w:rPr>
          <w:rFonts w:ascii="Arial" w:hAnsi="Arial"/>
        </w:rPr>
        <w:t xml:space="preserve"> or data leaks. </w:t>
      </w:r>
    </w:p>
    <w:p w14:paraId="1EF2E271" w14:textId="6AF576A4" w:rsidR="00CE2CF2" w:rsidRPr="00CE2CF2" w:rsidRDefault="00CE2CF2" w:rsidP="00CE2CF2">
      <w:pPr>
        <w:spacing w:line="360" w:lineRule="auto"/>
        <w:jc w:val="both"/>
        <w:rPr>
          <w:rFonts w:ascii="Arial" w:hAnsi="Arial"/>
        </w:rPr>
      </w:pPr>
      <w:r w:rsidRPr="00CE2CF2">
        <w:rPr>
          <w:rFonts w:ascii="Arial" w:hAnsi="Arial"/>
        </w:rPr>
        <w:t>Sensitive data, such as customer financial information, should receive stronger protection.</w:t>
      </w:r>
    </w:p>
    <w:p w14:paraId="5024852B" w14:textId="77777777" w:rsidR="00CE2CF2" w:rsidRPr="00CE2CF2" w:rsidRDefault="00CE2CF2" w:rsidP="00CE2CF2">
      <w:pPr>
        <w:spacing w:line="360" w:lineRule="auto"/>
        <w:jc w:val="both"/>
        <w:rPr>
          <w:rFonts w:ascii="Arial" w:hAnsi="Arial"/>
        </w:rPr>
      </w:pPr>
      <w:r w:rsidRPr="00CE2CF2">
        <w:rPr>
          <w:rFonts w:ascii="Arial" w:hAnsi="Arial"/>
        </w:rPr>
        <w:t>Security Awareness Culture</w:t>
      </w:r>
    </w:p>
    <w:p w14:paraId="24159FD5" w14:textId="77777777" w:rsidR="00CE2CF2" w:rsidRPr="00CE2CF2" w:rsidRDefault="00CE2CF2" w:rsidP="00CE2CF2">
      <w:pPr>
        <w:spacing w:line="360" w:lineRule="auto"/>
        <w:jc w:val="both"/>
        <w:rPr>
          <w:rFonts w:ascii="Arial" w:hAnsi="Arial"/>
        </w:rPr>
      </w:pPr>
      <w:r w:rsidRPr="00CE2CF2">
        <w:rPr>
          <w:rFonts w:ascii="Arial" w:hAnsi="Arial"/>
        </w:rPr>
        <w:t>Employees must understand their role in protecting data. The company should provide regular security training on threats like phishing and safe data handling. Leadership support and awareness programmes can help create a strong security culture.</w:t>
      </w:r>
    </w:p>
    <w:p w14:paraId="7C7E5C84" w14:textId="77777777" w:rsidR="00CE2CF2" w:rsidRDefault="00CE2CF2">
      <w:pPr>
        <w:rPr>
          <w:rFonts w:ascii="Arial" w:hAnsi="Arial"/>
        </w:rPr>
      </w:pPr>
      <w:r>
        <w:rPr>
          <w:rFonts w:ascii="Arial" w:hAnsi="Arial"/>
        </w:rPr>
        <w:br w:type="page"/>
      </w:r>
    </w:p>
    <w:p w14:paraId="6CA186B8" w14:textId="075C56E6" w:rsidR="00CE2CF2" w:rsidRPr="00CE2CF2" w:rsidRDefault="00CE2CF2" w:rsidP="00CE2CF2">
      <w:pPr>
        <w:spacing w:line="360" w:lineRule="auto"/>
        <w:jc w:val="both"/>
        <w:rPr>
          <w:rFonts w:ascii="Arial" w:hAnsi="Arial"/>
        </w:rPr>
      </w:pPr>
      <w:r w:rsidRPr="00CE2CF2">
        <w:rPr>
          <w:rFonts w:ascii="Arial" w:hAnsi="Arial"/>
        </w:rPr>
        <w:lastRenderedPageBreak/>
        <w:t>Conclusion</w:t>
      </w:r>
    </w:p>
    <w:p w14:paraId="0BBA209B" w14:textId="474D3339" w:rsidR="00CE2CF2" w:rsidRPr="00CE2CF2" w:rsidRDefault="00CE2CF2" w:rsidP="00CE2CF2">
      <w:pPr>
        <w:spacing w:line="360" w:lineRule="auto"/>
        <w:jc w:val="both"/>
        <w:rPr>
          <w:rFonts w:ascii="Arial" w:hAnsi="Arial"/>
        </w:rPr>
      </w:pPr>
      <w:r w:rsidRPr="00CE2CF2">
        <w:rPr>
          <w:rFonts w:ascii="Arial" w:hAnsi="Arial"/>
        </w:rPr>
        <w:t xml:space="preserve">To protect sensitive information and comply with GDPR, the company must improve data governance, risk management, access control, and incident response. It must also manage shadow IT, monitor vendors, and train employees. </w:t>
      </w:r>
    </w:p>
    <w:p w14:paraId="6B765825" w14:textId="77777777" w:rsidR="00BA1F67" w:rsidRPr="00CE2CF2" w:rsidRDefault="00BA1F67" w:rsidP="00CE2CF2">
      <w:pPr>
        <w:spacing w:line="360" w:lineRule="auto"/>
        <w:jc w:val="both"/>
        <w:rPr>
          <w:rFonts w:ascii="Arial" w:hAnsi="Arial"/>
        </w:rPr>
      </w:pPr>
    </w:p>
    <w:sectPr w:rsidR="00BA1F67" w:rsidRPr="00CE2CF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D625A" w14:textId="77777777" w:rsidR="00143544" w:rsidRDefault="00143544" w:rsidP="00CE2CF2">
      <w:pPr>
        <w:spacing w:after="0" w:line="240" w:lineRule="auto"/>
      </w:pPr>
      <w:r>
        <w:separator/>
      </w:r>
    </w:p>
  </w:endnote>
  <w:endnote w:type="continuationSeparator" w:id="0">
    <w:p w14:paraId="454398E7" w14:textId="77777777" w:rsidR="00143544" w:rsidRDefault="00143544" w:rsidP="00CE2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641910"/>
      <w:docPartObj>
        <w:docPartGallery w:val="Page Numbers (Bottom of Page)"/>
        <w:docPartUnique/>
      </w:docPartObj>
    </w:sdtPr>
    <w:sdtEndPr>
      <w:rPr>
        <w:noProof/>
      </w:rPr>
    </w:sdtEndPr>
    <w:sdtContent>
      <w:p w14:paraId="4ABCD49B" w14:textId="1708A32B" w:rsidR="00CE2CF2" w:rsidRDefault="00CE2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4306C" w14:textId="77777777" w:rsidR="00CE2CF2" w:rsidRDefault="00CE2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D6C1A" w14:textId="77777777" w:rsidR="00143544" w:rsidRDefault="00143544" w:rsidP="00CE2CF2">
      <w:pPr>
        <w:spacing w:after="0" w:line="240" w:lineRule="auto"/>
      </w:pPr>
      <w:r>
        <w:separator/>
      </w:r>
    </w:p>
  </w:footnote>
  <w:footnote w:type="continuationSeparator" w:id="0">
    <w:p w14:paraId="31AC38C0" w14:textId="77777777" w:rsidR="00143544" w:rsidRDefault="00143544" w:rsidP="00CE2C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CF2"/>
    <w:rsid w:val="00143544"/>
    <w:rsid w:val="003076FD"/>
    <w:rsid w:val="009B61DE"/>
    <w:rsid w:val="00A44B30"/>
    <w:rsid w:val="00BA1F67"/>
    <w:rsid w:val="00CE2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6087"/>
  <w15:chartTrackingRefBased/>
  <w15:docId w15:val="{28894223-0585-454C-A214-BECCEB692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C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C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C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C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C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C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C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C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C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C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C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C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C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C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C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C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C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CF2"/>
    <w:rPr>
      <w:rFonts w:eastAsiaTheme="majorEastAsia" w:cstheme="majorBidi"/>
      <w:color w:val="272727" w:themeColor="text1" w:themeTint="D8"/>
    </w:rPr>
  </w:style>
  <w:style w:type="paragraph" w:styleId="Title">
    <w:name w:val="Title"/>
    <w:basedOn w:val="Normal"/>
    <w:next w:val="Normal"/>
    <w:link w:val="TitleChar"/>
    <w:uiPriority w:val="10"/>
    <w:qFormat/>
    <w:rsid w:val="00CE2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C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C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C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CF2"/>
    <w:pPr>
      <w:spacing w:before="160"/>
      <w:jc w:val="center"/>
    </w:pPr>
    <w:rPr>
      <w:i/>
      <w:iCs/>
      <w:color w:val="404040" w:themeColor="text1" w:themeTint="BF"/>
    </w:rPr>
  </w:style>
  <w:style w:type="character" w:customStyle="1" w:styleId="QuoteChar">
    <w:name w:val="Quote Char"/>
    <w:basedOn w:val="DefaultParagraphFont"/>
    <w:link w:val="Quote"/>
    <w:uiPriority w:val="29"/>
    <w:rsid w:val="00CE2CF2"/>
    <w:rPr>
      <w:i/>
      <w:iCs/>
      <w:color w:val="404040" w:themeColor="text1" w:themeTint="BF"/>
    </w:rPr>
  </w:style>
  <w:style w:type="paragraph" w:styleId="ListParagraph">
    <w:name w:val="List Paragraph"/>
    <w:basedOn w:val="Normal"/>
    <w:uiPriority w:val="34"/>
    <w:qFormat/>
    <w:rsid w:val="00CE2CF2"/>
    <w:pPr>
      <w:ind w:left="720"/>
      <w:contextualSpacing/>
    </w:pPr>
  </w:style>
  <w:style w:type="character" w:styleId="IntenseEmphasis">
    <w:name w:val="Intense Emphasis"/>
    <w:basedOn w:val="DefaultParagraphFont"/>
    <w:uiPriority w:val="21"/>
    <w:qFormat/>
    <w:rsid w:val="00CE2CF2"/>
    <w:rPr>
      <w:i/>
      <w:iCs/>
      <w:color w:val="0F4761" w:themeColor="accent1" w:themeShade="BF"/>
    </w:rPr>
  </w:style>
  <w:style w:type="paragraph" w:styleId="IntenseQuote">
    <w:name w:val="Intense Quote"/>
    <w:basedOn w:val="Normal"/>
    <w:next w:val="Normal"/>
    <w:link w:val="IntenseQuoteChar"/>
    <w:uiPriority w:val="30"/>
    <w:qFormat/>
    <w:rsid w:val="00CE2C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CF2"/>
    <w:rPr>
      <w:i/>
      <w:iCs/>
      <w:color w:val="0F4761" w:themeColor="accent1" w:themeShade="BF"/>
    </w:rPr>
  </w:style>
  <w:style w:type="character" w:styleId="IntenseReference">
    <w:name w:val="Intense Reference"/>
    <w:basedOn w:val="DefaultParagraphFont"/>
    <w:uiPriority w:val="32"/>
    <w:qFormat/>
    <w:rsid w:val="00CE2CF2"/>
    <w:rPr>
      <w:b/>
      <w:bCs/>
      <w:smallCaps/>
      <w:color w:val="0F4761" w:themeColor="accent1" w:themeShade="BF"/>
      <w:spacing w:val="5"/>
    </w:rPr>
  </w:style>
  <w:style w:type="paragraph" w:styleId="Header">
    <w:name w:val="header"/>
    <w:basedOn w:val="Normal"/>
    <w:link w:val="HeaderChar"/>
    <w:uiPriority w:val="99"/>
    <w:unhideWhenUsed/>
    <w:rsid w:val="00CE2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CF2"/>
  </w:style>
  <w:style w:type="paragraph" w:styleId="Footer">
    <w:name w:val="footer"/>
    <w:basedOn w:val="Normal"/>
    <w:link w:val="FooterChar"/>
    <w:uiPriority w:val="99"/>
    <w:unhideWhenUsed/>
    <w:rsid w:val="00CE2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5B4C021EE855E40A2CE13DBBF591806" ma:contentTypeVersion="11" ma:contentTypeDescription="Create a new document." ma:contentTypeScope="" ma:versionID="bb258f56e03716669a45ec9161abb798">
  <xsd:schema xmlns:xsd="http://www.w3.org/2001/XMLSchema" xmlns:xs="http://www.w3.org/2001/XMLSchema" xmlns:p="http://schemas.microsoft.com/office/2006/metadata/properties" xmlns:ns3="dfeef649-adda-44b3-8564-8b803fc2c284" targetNamespace="http://schemas.microsoft.com/office/2006/metadata/properties" ma:root="true" ma:fieldsID="b7d85791200e19e1f9b954cf0920337e" ns3:_="">
    <xsd:import namespace="dfeef649-adda-44b3-8564-8b803fc2c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eef649-adda-44b3-8564-8b803fc2c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feef649-adda-44b3-8564-8b803fc2c284" xsi:nil="true"/>
  </documentManagement>
</p:properties>
</file>

<file path=customXml/itemProps1.xml><?xml version="1.0" encoding="utf-8"?>
<ds:datastoreItem xmlns:ds="http://schemas.openxmlformats.org/officeDocument/2006/customXml" ds:itemID="{AB1201BA-C834-4CF4-825D-09F4EFF9F0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feef649-adda-44b3-8564-8b803fc2c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A383AD-77D0-4D23-86A6-EE1CA1E82946}">
  <ds:schemaRefs>
    <ds:schemaRef ds:uri="http://schemas.microsoft.com/sharepoint/v3/contenttype/forms"/>
  </ds:schemaRefs>
</ds:datastoreItem>
</file>

<file path=customXml/itemProps3.xml><?xml version="1.0" encoding="utf-8"?>
<ds:datastoreItem xmlns:ds="http://schemas.openxmlformats.org/officeDocument/2006/customXml" ds:itemID="{5E8754FA-2027-43FD-A341-A5A476863FB6}">
  <ds:schemaRefs>
    <ds:schemaRef ds:uri="http://schemas.microsoft.com/office/2006/metadata/properties"/>
    <ds:schemaRef ds:uri="http://schemas.microsoft.com/office/infopath/2007/PartnerControls"/>
    <ds:schemaRef ds:uri="dfeef649-adda-44b3-8564-8b803fc2c28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294</Words>
  <Characters>1682</Characters>
  <Application>Microsoft Office Word</Application>
  <DocSecurity>0</DocSecurity>
  <Lines>14</Lines>
  <Paragraphs>3</Paragraphs>
  <ScaleCrop>false</ScaleCrop>
  <Company/>
  <LinksUpToDate>false</LinksUpToDate>
  <CharactersWithSpaces>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Iftekhar Rashid</cp:lastModifiedBy>
  <cp:revision>2</cp:revision>
  <dcterms:created xsi:type="dcterms:W3CDTF">2026-03-17T17:43:00Z</dcterms:created>
  <dcterms:modified xsi:type="dcterms:W3CDTF">2026-03-17T17:43:00Z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0x01010095B4C021EE855E40A2CE13DBBF591806</vt:lpwstr>
  </property>
</Properties>
</file>