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E05D0BF">
      <w:pPr>
        <w:pStyle w:val="style0"/>
        <w:rPr/>
      </w:pPr>
      <w:r>
        <w:t xml:space="preserve"> </w:t>
      </w:r>
    </w:p>
    <w:p w14:paraId="6F429252">
      <w:pPr>
        <w:pStyle w:val="style0"/>
        <w:jc w:val="center"/>
        <w:rPr>
          <w:sz w:val="34"/>
          <w:szCs w:val="34"/>
        </w:rPr>
      </w:pPr>
      <w:r>
        <w:rPr>
          <w:noProof/>
        </w:rPr>
        <w:drawing>
          <wp:inline distL="0" distT="0" distB="0" distR="0">
            <wp:extent cx="2816225" cy="673100"/>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816225" cy="673100"/>
                    </a:xfrm>
                    <a:prstGeom prst="rect"/>
                    <a:ln>
                      <a:noFill/>
                    </a:ln>
                  </pic:spPr>
                </pic:pic>
              </a:graphicData>
            </a:graphic>
          </wp:inline>
        </w:drawing>
      </w:r>
    </w:p>
    <w:p w14:paraId="67F4483A">
      <w:pPr>
        <w:pStyle w:val="style0"/>
        <w:spacing w:lineRule="auto" w:line="240"/>
        <w:jc w:val="center"/>
        <w:rPr>
          <w:sz w:val="38"/>
          <w:szCs w:val="38"/>
        </w:rPr>
      </w:pPr>
      <w:r>
        <w:rPr>
          <w:sz w:val="38"/>
          <w:szCs w:val="38"/>
        </w:rPr>
        <w:t>Master of Business Administration</w:t>
      </w:r>
    </w:p>
    <w:p w14:paraId="2183BD67">
      <w:pPr>
        <w:pStyle w:val="style0"/>
        <w:spacing w:lineRule="auto" w:line="240"/>
        <w:jc w:val="center"/>
        <w:rPr>
          <w:sz w:val="32"/>
          <w:szCs w:val="32"/>
        </w:rPr>
      </w:pPr>
      <w:r>
        <w:rPr>
          <w:sz w:val="32"/>
          <w:szCs w:val="32"/>
        </w:rPr>
        <w:t>International Business pathway</w:t>
      </w:r>
    </w:p>
    <w:p w14:paraId="5605D436">
      <w:pPr>
        <w:pStyle w:val="style0"/>
        <w:jc w:val="center"/>
        <w:rPr>
          <w:sz w:val="28"/>
          <w:szCs w:val="28"/>
        </w:rPr>
      </w:pPr>
    </w:p>
    <w:p w14:paraId="38AAF382">
      <w:pPr>
        <w:pStyle w:val="style0"/>
        <w:jc w:val="center"/>
        <w:rPr>
          <w:sz w:val="28"/>
          <w:szCs w:val="28"/>
        </w:rPr>
      </w:pPr>
      <w:r>
        <w:rPr>
          <w:noProof/>
          <w:sz w:val="28"/>
          <w:szCs w:val="28"/>
        </w:rPr>
        <w:drawing>
          <wp:inline distL="0" distT="0" distB="0" distR="0">
            <wp:extent cx="2257425" cy="2257425"/>
            <wp:effectExtent l="0" t="0" r="9525" b="9525"/>
            <wp:docPr id="1027"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3" cstate="print"/>
                    <a:srcRect l="0" t="0" r="0" b="0"/>
                    <a:stretch/>
                  </pic:blipFill>
                  <pic:spPr>
                    <a:xfrm rot="0">
                      <a:off x="0" y="0"/>
                      <a:ext cx="2257425" cy="2257425"/>
                    </a:xfrm>
                    <a:prstGeom prst="rect"/>
                    <a:ln>
                      <a:noFill/>
                    </a:ln>
                  </pic:spPr>
                </pic:pic>
              </a:graphicData>
            </a:graphic>
          </wp:inline>
        </w:drawing>
      </w:r>
    </w:p>
    <w:p w14:paraId="114C9E8B">
      <w:pPr>
        <w:pStyle w:val="style0"/>
        <w:jc w:val="center"/>
        <w:rPr>
          <w:color w:val="ee0000"/>
          <w:sz w:val="32"/>
          <w:szCs w:val="32"/>
        </w:rPr>
      </w:pPr>
      <w:r>
        <w:rPr>
          <w:b/>
          <w:bCs/>
          <w:color w:val="ee0000"/>
          <w:sz w:val="48"/>
          <w:szCs w:val="48"/>
        </w:rPr>
        <w:t>Contemporary employability skills</w:t>
      </w:r>
    </w:p>
    <w:p w14:paraId="436AE594">
      <w:pPr>
        <w:pStyle w:val="style0"/>
        <w:jc w:val="center"/>
        <w:rPr>
          <w:sz w:val="28"/>
          <w:szCs w:val="28"/>
        </w:rPr>
      </w:pPr>
      <w:r>
        <w:rPr>
          <w:sz w:val="28"/>
          <w:szCs w:val="28"/>
        </w:rPr>
        <w:t xml:space="preserve">Assessment </w:t>
      </w:r>
      <w:r>
        <w:rPr>
          <w:color w:val="ee0000"/>
          <w:sz w:val="28"/>
          <w:szCs w:val="28"/>
        </w:rPr>
        <w:t>1: Individual report</w:t>
      </w:r>
      <w:r>
        <w:rPr>
          <w:sz w:val="28"/>
          <w:szCs w:val="28"/>
        </w:rPr>
        <w:t xml:space="preserve">. Weight: </w:t>
      </w:r>
      <w:r>
        <w:rPr>
          <w:color w:val="ee0000"/>
          <w:sz w:val="28"/>
          <w:szCs w:val="28"/>
        </w:rPr>
        <w:t>50</w:t>
      </w:r>
      <w:r>
        <w:rPr>
          <w:color w:val="ee0000"/>
          <w:sz w:val="28"/>
          <w:szCs w:val="28"/>
        </w:rPr>
        <w:t>%</w:t>
      </w:r>
    </w:p>
    <w:p w14:paraId="76F6499C">
      <w:pPr>
        <w:pStyle w:val="style0"/>
        <w:rPr>
          <w:sz w:val="28"/>
          <w:szCs w:val="28"/>
        </w:rPr>
      </w:pPr>
      <w:r>
        <w:rPr>
          <w:b/>
          <w:bCs/>
          <w:sz w:val="28"/>
          <w:szCs w:val="28"/>
        </w:rPr>
        <w:t>Module name:</w:t>
      </w:r>
      <w:r>
        <w:rPr>
          <w:b/>
          <w:bCs/>
          <w:sz w:val="28"/>
          <w:szCs w:val="28"/>
        </w:rPr>
        <w:t xml:space="preserve"> FINANCIAL MANAGEMENT </w:t>
      </w:r>
    </w:p>
    <w:p w14:paraId="6172E69F">
      <w:pPr>
        <w:pStyle w:val="style0"/>
        <w:rPr>
          <w:sz w:val="28"/>
          <w:szCs w:val="28"/>
        </w:rPr>
      </w:pPr>
      <w:r>
        <w:rPr>
          <w:b/>
          <w:bCs/>
          <w:sz w:val="28"/>
          <w:szCs w:val="28"/>
        </w:rPr>
        <w:t>Module code</w:t>
      </w:r>
      <w:r>
        <w:rPr>
          <w:sz w:val="28"/>
          <w:szCs w:val="28"/>
        </w:rPr>
        <w:t>:</w:t>
      </w:r>
      <w:r>
        <w:rPr>
          <w:sz w:val="28"/>
          <w:szCs w:val="28"/>
        </w:rPr>
        <w:t xml:space="preserve"> LCMB7002</w:t>
      </w:r>
    </w:p>
    <w:p w14:paraId="100652D5">
      <w:pPr>
        <w:pStyle w:val="style0"/>
        <w:rPr>
          <w:sz w:val="28"/>
          <w:szCs w:val="28"/>
        </w:rPr>
      </w:pPr>
      <w:r>
        <w:rPr>
          <w:b/>
          <w:bCs/>
          <w:sz w:val="28"/>
          <w:szCs w:val="28"/>
        </w:rPr>
        <w:t>Lecturer name</w:t>
      </w:r>
      <w:r>
        <w:rPr>
          <w:sz w:val="28"/>
          <w:szCs w:val="28"/>
        </w:rPr>
        <w:t xml:space="preserve">: </w:t>
      </w:r>
      <w:r>
        <w:rPr>
          <w:sz w:val="28"/>
          <w:szCs w:val="28"/>
        </w:rPr>
        <w:t xml:space="preserve"> SHENGFENG MEI</w:t>
      </w:r>
    </w:p>
    <w:p w14:paraId="5DA46C86">
      <w:pPr>
        <w:pStyle w:val="style0"/>
        <w:rPr>
          <w:sz w:val="28"/>
          <w:szCs w:val="28"/>
        </w:rPr>
      </w:pPr>
    </w:p>
    <w:p w14:paraId="07E444E6">
      <w:pPr>
        <w:pStyle w:val="style0"/>
        <w:rPr>
          <w:sz w:val="28"/>
          <w:szCs w:val="28"/>
        </w:rPr>
      </w:pPr>
      <w:r>
        <w:rPr>
          <w:b/>
          <w:bCs/>
          <w:sz w:val="28"/>
          <w:szCs w:val="28"/>
        </w:rPr>
        <w:t>Student name</w:t>
      </w:r>
      <w:r>
        <w:rPr>
          <w:sz w:val="28"/>
          <w:szCs w:val="28"/>
        </w:rPr>
        <w:t>:</w:t>
      </w:r>
      <w:r>
        <w:rPr>
          <w:sz w:val="28"/>
          <w:szCs w:val="28"/>
        </w:rPr>
        <w:t xml:space="preserve"> </w:t>
      </w:r>
      <w:r>
        <w:rPr>
          <w:b/>
          <w:bCs/>
          <w:sz w:val="28"/>
          <w:szCs w:val="28"/>
        </w:rPr>
        <w:t xml:space="preserve">Sharma </w:t>
      </w:r>
      <w:r>
        <w:rPr>
          <w:b/>
          <w:bCs/>
          <w:sz w:val="28"/>
          <w:szCs w:val="28"/>
        </w:rPr>
        <w:t>Alpitaben</w:t>
      </w:r>
      <w:r>
        <w:rPr>
          <w:b/>
          <w:bCs/>
          <w:sz w:val="28"/>
          <w:szCs w:val="28"/>
        </w:rPr>
        <w:t xml:space="preserve"> </w:t>
      </w:r>
      <w:r>
        <w:rPr>
          <w:b/>
          <w:bCs/>
          <w:sz w:val="28"/>
          <w:szCs w:val="28"/>
        </w:rPr>
        <w:t>jigneshkumar</w:t>
      </w:r>
    </w:p>
    <w:p w14:paraId="5B33D477">
      <w:pPr>
        <w:pStyle w:val="style0"/>
        <w:rPr>
          <w:sz w:val="28"/>
          <w:szCs w:val="28"/>
        </w:rPr>
      </w:pPr>
      <w:r>
        <w:rPr>
          <w:b/>
          <w:bCs/>
          <w:sz w:val="28"/>
          <w:szCs w:val="28"/>
        </w:rPr>
        <w:t>Student ID</w:t>
      </w:r>
      <w:r>
        <w:rPr>
          <w:sz w:val="28"/>
          <w:szCs w:val="28"/>
        </w:rPr>
        <w:t>:</w:t>
      </w:r>
      <w:r>
        <w:rPr>
          <w:sz w:val="28"/>
          <w:szCs w:val="28"/>
        </w:rPr>
        <w:t xml:space="preserve"> </w:t>
      </w:r>
      <w:r>
        <w:rPr>
          <w:sz w:val="28"/>
          <w:szCs w:val="28"/>
        </w:rPr>
        <w:t>2534431</w:t>
      </w:r>
    </w:p>
    <w:p w14:paraId="6E6AB9CF">
      <w:pPr>
        <w:pStyle w:val="style0"/>
        <w:rPr>
          <w:sz w:val="28"/>
          <w:szCs w:val="28"/>
        </w:rPr>
      </w:pPr>
    </w:p>
    <w:p w14:paraId="0F673F93">
      <w:pPr>
        <w:pStyle w:val="style0"/>
        <w:rPr>
          <w:sz w:val="28"/>
          <w:szCs w:val="28"/>
        </w:rPr>
      </w:pPr>
      <w:r>
        <w:rPr>
          <w:b/>
          <w:bCs/>
          <w:sz w:val="28"/>
          <w:szCs w:val="28"/>
        </w:rPr>
        <w:t>Word count</w:t>
      </w:r>
      <w:r>
        <w:rPr>
          <w:sz w:val="28"/>
          <w:szCs w:val="28"/>
        </w:rPr>
        <w:t>:</w:t>
      </w:r>
      <w:r>
        <w:rPr>
          <w:sz w:val="28"/>
          <w:szCs w:val="28"/>
        </w:rPr>
        <w:t xml:space="preserve"> 5000</w:t>
      </w:r>
    </w:p>
    <w:p w14:paraId="06FEAA2C">
      <w:pPr>
        <w:pStyle w:val="style0"/>
        <w:rPr>
          <w:sz w:val="28"/>
          <w:szCs w:val="28"/>
        </w:rPr>
      </w:pPr>
      <w:r>
        <w:rPr>
          <w:b/>
          <w:bCs/>
          <w:sz w:val="28"/>
          <w:szCs w:val="28"/>
        </w:rPr>
        <w:t>Submission date</w:t>
      </w:r>
      <w:r>
        <w:rPr>
          <w:sz w:val="28"/>
          <w:szCs w:val="28"/>
        </w:rPr>
        <w:t>:</w:t>
      </w:r>
      <w:r>
        <w:rPr>
          <w:sz w:val="28"/>
          <w:szCs w:val="28"/>
        </w:rPr>
        <w:t xml:space="preserve"> 13/08/2026</w:t>
      </w:r>
    </w:p>
    <w:p w14:paraId="6B06C8FD">
      <w:pPr>
        <w:pStyle w:val="style0"/>
        <w:rPr/>
      </w:pPr>
    </w:p>
    <w:p w14:paraId="4A7E545B">
      <w:pPr>
        <w:pStyle w:val="style0"/>
        <w:rPr/>
      </w:pPr>
    </w:p>
    <w:p w14:paraId="4E5655A4">
      <w:pPr>
        <w:pStyle w:val="style0"/>
        <w:rPr/>
      </w:pPr>
    </w:p>
    <w:p w14:paraId="312D9C5F">
      <w:pPr>
        <w:pStyle w:val="style0"/>
        <w:rPr/>
      </w:pPr>
    </w:p>
    <w:p w14:paraId="21C43B53">
      <w:pPr>
        <w:pStyle w:val="style0"/>
        <w:rPr/>
      </w:pPr>
    </w:p>
    <w:p w14:paraId="17E5E779">
      <w:pPr>
        <w:pStyle w:val="style0"/>
        <w:rPr/>
      </w:pPr>
    </w:p>
    <w:p w14:paraId="5FD70F8E">
      <w:pPr>
        <w:pStyle w:val="style0"/>
        <w:rPr/>
      </w:pPr>
    </w:p>
    <w:p w14:paraId="3E7C4997">
      <w:pPr>
        <w:pStyle w:val="style0"/>
        <w:rPr/>
      </w:pPr>
    </w:p>
    <w:p w14:paraId="07179165">
      <w:pPr>
        <w:pStyle w:val="style0"/>
        <w:rPr/>
      </w:pPr>
      <w:r>
        <w:t>T</w:t>
      </w:r>
      <w:r>
        <w:t>able of Contents</w:t>
      </w:r>
    </w:p>
    <w:p w14:paraId="2E31892A">
      <w:pPr>
        <w:pStyle w:val="style0"/>
        <w:rPr/>
      </w:pPr>
    </w:p>
    <w:p w14:paraId="3D67CFF3">
      <w:pPr>
        <w:pStyle w:val="style0"/>
        <w:rPr/>
      </w:pPr>
      <w:r>
        <w:t>1.</w:t>
      </w:r>
      <w:r>
        <w:rPr>
          <w:rFonts w:ascii="Segoe UI Symbol" w:cs="Segoe UI Symbol" w:hAnsi="Segoe UI Symbol"/>
        </w:rPr>
        <w:t>⁠</w:t>
      </w:r>
      <w:r>
        <w:t xml:space="preserve"> </w:t>
      </w:r>
      <w:r>
        <w:rPr>
          <w:rFonts w:ascii="Segoe UI Symbol" w:cs="Segoe UI Symbol" w:hAnsi="Segoe UI Symbol"/>
        </w:rPr>
        <w:t>⁠</w:t>
      </w:r>
      <w:r>
        <w:t>Introduction</w:t>
      </w:r>
    </w:p>
    <w:p w14:paraId="52A15FE3">
      <w:pPr>
        <w:pStyle w:val="style0"/>
        <w:rPr/>
      </w:pPr>
    </w:p>
    <w:p w14:paraId="13E873AA">
      <w:pPr>
        <w:pStyle w:val="style0"/>
        <w:rPr/>
      </w:pPr>
      <w:r>
        <w:t>2.</w:t>
      </w:r>
      <w:r>
        <w:rPr>
          <w:rFonts w:ascii="Segoe UI Symbol" w:cs="Segoe UI Symbol" w:hAnsi="Segoe UI Symbol"/>
        </w:rPr>
        <w:t>⁠</w:t>
      </w:r>
      <w:r>
        <w:t xml:space="preserve"> </w:t>
      </w:r>
      <w:r>
        <w:rPr>
          <w:rFonts w:ascii="Segoe UI Symbol" w:cs="Segoe UI Symbol" w:hAnsi="Segoe UI Symbol"/>
        </w:rPr>
        <w:t>⁠</w:t>
      </w:r>
      <w:r>
        <w:t>Financial Health Check</w:t>
      </w:r>
    </w:p>
    <w:p w14:paraId="57A9FF52">
      <w:pPr>
        <w:pStyle w:val="style0"/>
        <w:rPr/>
      </w:pPr>
      <w:r>
        <w:t xml:space="preserve">   2.1 Hilton’s financial statements</w:t>
      </w:r>
    </w:p>
    <w:p w14:paraId="2FB4E054">
      <w:pPr>
        <w:pStyle w:val="style0"/>
        <w:rPr/>
      </w:pPr>
      <w:r>
        <w:t xml:space="preserve">   2.2 Ratio Analysis</w:t>
      </w:r>
    </w:p>
    <w:p w14:paraId="490ED3CD">
      <w:pPr>
        <w:pStyle w:val="style0"/>
        <w:rPr/>
      </w:pPr>
      <w:r>
        <w:t xml:space="preserve">   2.3 Identification of Financial Health</w:t>
      </w:r>
    </w:p>
    <w:p w14:paraId="58E03EC8">
      <w:pPr>
        <w:pStyle w:val="style0"/>
        <w:rPr/>
      </w:pPr>
    </w:p>
    <w:p w14:paraId="2DD55A4C">
      <w:pPr>
        <w:pStyle w:val="style0"/>
        <w:rPr/>
      </w:pPr>
      <w:r>
        <w:t>3.</w:t>
      </w:r>
      <w:r>
        <w:rPr>
          <w:rFonts w:ascii="Segoe UI Symbol" w:cs="Segoe UI Symbol" w:hAnsi="Segoe UI Symbol"/>
        </w:rPr>
        <w:t>⁠</w:t>
      </w:r>
      <w:r>
        <w:t xml:space="preserve"> </w:t>
      </w:r>
      <w:r>
        <w:rPr>
          <w:rFonts w:ascii="Segoe UI Symbol" w:cs="Segoe UI Symbol" w:hAnsi="Segoe UI Symbol"/>
        </w:rPr>
        <w:t>⁠</w:t>
      </w:r>
      <w:r>
        <w:t>Working Capital Management Analysis</w:t>
      </w:r>
    </w:p>
    <w:p w14:paraId="6CF5CEB4">
      <w:pPr>
        <w:pStyle w:val="style0"/>
        <w:rPr/>
      </w:pPr>
      <w:r>
        <w:t xml:space="preserve">   3.1 Cash operating cycle</w:t>
      </w:r>
    </w:p>
    <w:p w14:paraId="2D07B8F7">
      <w:pPr>
        <w:pStyle w:val="style0"/>
        <w:rPr/>
      </w:pPr>
      <w:r>
        <w:t xml:space="preserve">   3.2 Recommended strategies to improve liquidity through working capital reforms</w:t>
      </w:r>
    </w:p>
    <w:p w14:paraId="1C4FB306">
      <w:pPr>
        <w:pStyle w:val="style0"/>
        <w:rPr/>
      </w:pPr>
      <w:r>
        <w:t xml:space="preserve">   3.3 Comparing short-term vs long-term financing options</w:t>
      </w:r>
    </w:p>
    <w:p w14:paraId="3893B81C">
      <w:pPr>
        <w:pStyle w:val="style0"/>
        <w:rPr/>
      </w:pPr>
    </w:p>
    <w:p w14:paraId="160AD63A">
      <w:pPr>
        <w:pStyle w:val="style0"/>
        <w:rPr/>
      </w:pPr>
      <w:r>
        <w:t>4.</w:t>
      </w:r>
      <w:r>
        <w:rPr>
          <w:rFonts w:ascii="Segoe UI Symbol" w:cs="Segoe UI Symbol" w:hAnsi="Segoe UI Symbol"/>
        </w:rPr>
        <w:t>⁠</w:t>
      </w:r>
      <w:r>
        <w:t xml:space="preserve"> </w:t>
      </w:r>
      <w:r>
        <w:rPr>
          <w:rFonts w:ascii="Segoe UI Symbol" w:cs="Segoe UI Symbol" w:hAnsi="Segoe UI Symbol"/>
        </w:rPr>
        <w:t>⁠</w:t>
      </w:r>
      <w:r>
        <w:t>Strategic Financial Restructuring Plan</w:t>
      </w:r>
    </w:p>
    <w:p w14:paraId="38C9308F">
      <w:pPr>
        <w:pStyle w:val="style0"/>
        <w:rPr/>
      </w:pPr>
      <w:r>
        <w:t xml:space="preserve">   4.1 Recommend financial restructuring options</w:t>
      </w:r>
    </w:p>
    <w:p w14:paraId="1958AE5A">
      <w:pPr>
        <w:pStyle w:val="style0"/>
        <w:rPr/>
      </w:pPr>
      <w:r>
        <w:t xml:space="preserve">   4.2 Evaluating impact on shareholder value, debt structure, and operational flexibility</w:t>
      </w:r>
    </w:p>
    <w:p w14:paraId="7A256259">
      <w:pPr>
        <w:pStyle w:val="style0"/>
        <w:rPr/>
      </w:pPr>
      <w:r>
        <w:t xml:space="preserve">   4.3 International and ethical considerations</w:t>
      </w:r>
    </w:p>
    <w:p w14:paraId="073ADE41">
      <w:pPr>
        <w:pStyle w:val="style0"/>
        <w:rPr/>
      </w:pPr>
    </w:p>
    <w:p w14:paraId="786D2912">
      <w:pPr>
        <w:pStyle w:val="style0"/>
        <w:rPr/>
      </w:pPr>
      <w:r>
        <w:t>5.</w:t>
      </w:r>
      <w:r>
        <w:rPr>
          <w:rFonts w:ascii="Segoe UI Symbol" w:cs="Segoe UI Symbol" w:hAnsi="Segoe UI Symbol"/>
        </w:rPr>
        <w:t>⁠</w:t>
      </w:r>
      <w:r>
        <w:t xml:space="preserve"> </w:t>
      </w:r>
      <w:r>
        <w:rPr>
          <w:rFonts w:ascii="Segoe UI Symbol" w:cs="Segoe UI Symbol" w:hAnsi="Segoe UI Symbol"/>
        </w:rPr>
        <w:t>⁠</w:t>
      </w:r>
      <w:r>
        <w:t>Investment Appraisal and Capital Budgeting</w:t>
      </w:r>
    </w:p>
    <w:p w14:paraId="0ECD7FFE">
      <w:pPr>
        <w:pStyle w:val="style0"/>
        <w:rPr/>
      </w:pPr>
      <w:r>
        <w:t xml:space="preserve">   5.1 Investment Projects</w:t>
      </w:r>
    </w:p>
    <w:p w14:paraId="7CB3EED7">
      <w:pPr>
        <w:pStyle w:val="style0"/>
        <w:rPr/>
      </w:pPr>
      <w:r>
        <w:t xml:space="preserve">   5.2 Recommendation which is best choice</w:t>
      </w:r>
    </w:p>
    <w:p w14:paraId="1DDE9775">
      <w:pPr>
        <w:pStyle w:val="style0"/>
        <w:rPr/>
      </w:pPr>
      <w:r>
        <w:t xml:space="preserve">   5.3 Capital Rationing Recommendation</w:t>
      </w:r>
    </w:p>
    <w:p w14:paraId="7F6525F6">
      <w:pPr>
        <w:pStyle w:val="style0"/>
        <w:rPr/>
      </w:pPr>
    </w:p>
    <w:p w14:paraId="666E52FD">
      <w:pPr>
        <w:pStyle w:val="style0"/>
        <w:rPr/>
      </w:pPr>
      <w:r>
        <w:t>6.</w:t>
      </w:r>
      <w:r>
        <w:rPr>
          <w:rFonts w:ascii="Segoe UI Symbol" w:cs="Segoe UI Symbol" w:hAnsi="Segoe UI Symbol"/>
        </w:rPr>
        <w:t>⁠</w:t>
      </w:r>
      <w:r>
        <w:t xml:space="preserve"> </w:t>
      </w:r>
      <w:r>
        <w:rPr>
          <w:rFonts w:ascii="Segoe UI Symbol" w:cs="Segoe UI Symbol" w:hAnsi="Segoe UI Symbol"/>
        </w:rPr>
        <w:t>⁠</w:t>
      </w:r>
      <w:r>
        <w:t>Critical Reflection on AI Usage</w:t>
      </w:r>
    </w:p>
    <w:p w14:paraId="3172A13B">
      <w:pPr>
        <w:pStyle w:val="style0"/>
        <w:rPr/>
      </w:pPr>
      <w:r>
        <w:t xml:space="preserve">   6.1 Tool Disclosure</w:t>
      </w:r>
    </w:p>
    <w:p w14:paraId="15A02ECD">
      <w:pPr>
        <w:pStyle w:val="style0"/>
        <w:rPr/>
      </w:pPr>
      <w:r>
        <w:t xml:space="preserve">   6.2 Critical Evaluation of AI Output</w:t>
      </w:r>
    </w:p>
    <w:p w14:paraId="3D302432">
      <w:pPr>
        <w:pStyle w:val="style0"/>
        <w:rPr/>
      </w:pPr>
      <w:r>
        <w:t xml:space="preserve">   6.3 Contribution Analysis</w:t>
      </w:r>
    </w:p>
    <w:p w14:paraId="7AE97511">
      <w:pPr>
        <w:pStyle w:val="style0"/>
        <w:rPr/>
      </w:pPr>
      <w:r>
        <w:t xml:space="preserve">   6.4 Ethical &amp; Professional Reflection</w:t>
      </w:r>
    </w:p>
    <w:p w14:paraId="693D0462">
      <w:pPr>
        <w:pStyle w:val="style0"/>
        <w:rPr/>
      </w:pPr>
    </w:p>
    <w:p w14:paraId="64DE2381">
      <w:pPr>
        <w:pStyle w:val="style0"/>
        <w:rPr/>
      </w:pPr>
      <w:r>
        <w:t>7.</w:t>
      </w:r>
      <w:r>
        <w:rPr>
          <w:rFonts w:ascii="Segoe UI Symbol" w:cs="Segoe UI Symbol" w:hAnsi="Segoe UI Symbol"/>
        </w:rPr>
        <w:t>⁠</w:t>
      </w:r>
      <w:r>
        <w:t xml:space="preserve"> </w:t>
      </w:r>
      <w:r>
        <w:rPr>
          <w:rFonts w:ascii="Segoe UI Symbol" w:cs="Segoe UI Symbol" w:hAnsi="Segoe UI Symbol"/>
        </w:rPr>
        <w:t>⁠</w:t>
      </w:r>
      <w:r>
        <w:t>Conclusion</w:t>
      </w:r>
    </w:p>
    <w:p w14:paraId="3904E807">
      <w:pPr>
        <w:pStyle w:val="style0"/>
        <w:rPr/>
      </w:pPr>
    </w:p>
    <w:p w14:paraId="0C46180F">
      <w:pPr>
        <w:pStyle w:val="style0"/>
        <w:rPr/>
      </w:pPr>
      <w:r>
        <w:t>References</w:t>
      </w:r>
    </w:p>
    <w:p w14:paraId="78159DCF">
      <w:pPr>
        <w:pStyle w:val="style0"/>
        <w:rPr/>
      </w:pPr>
    </w:p>
    <w:p w14:paraId="70540E66">
      <w:pPr>
        <w:pStyle w:val="style0"/>
        <w:rPr/>
      </w:pPr>
      <w:r>
        <w:t>Appendices</w:t>
      </w:r>
    </w:p>
    <w:p w14:paraId="63B9572A">
      <w:pPr>
        <w:pStyle w:val="style0"/>
        <w:rPr/>
      </w:pPr>
      <w:r>
        <w:t xml:space="preserve">   Appendix A: Ratio tables</w:t>
      </w:r>
    </w:p>
    <w:p w14:paraId="5D653171">
      <w:pPr>
        <w:pStyle w:val="style0"/>
        <w:rPr/>
      </w:pPr>
      <w:r>
        <w:t xml:space="preserve">   Appendix B: Investment appraisal calculations</w:t>
      </w:r>
    </w:p>
    <w:p w14:paraId="79933A86">
      <w:pPr>
        <w:pStyle w:val="style0"/>
        <w:rPr/>
      </w:pPr>
    </w:p>
    <w:p w14:paraId="48CF7DB7">
      <w:pPr>
        <w:pStyle w:val="style0"/>
        <w:rPr/>
      </w:pPr>
    </w:p>
    <w:p w14:paraId="13502BEF">
      <w:pPr>
        <w:pStyle w:val="style0"/>
        <w:rPr/>
      </w:pPr>
    </w:p>
    <w:p w14:paraId="1FC45E58">
      <w:pPr>
        <w:pStyle w:val="style0"/>
        <w:rPr/>
      </w:pPr>
    </w:p>
    <w:p w14:paraId="588043F0">
      <w:pPr>
        <w:pStyle w:val="style0"/>
        <w:rPr/>
      </w:pPr>
    </w:p>
    <w:p w14:paraId="67403799">
      <w:pPr>
        <w:pStyle w:val="style0"/>
        <w:rPr/>
      </w:pPr>
    </w:p>
    <w:p w14:paraId="4E8EE2A6">
      <w:pPr>
        <w:pStyle w:val="style0"/>
        <w:rPr/>
      </w:pPr>
    </w:p>
    <w:p w14:paraId="5BEAAFE9">
      <w:pPr>
        <w:pStyle w:val="style0"/>
        <w:rPr/>
      </w:pPr>
    </w:p>
    <w:p w14:paraId="160FF34B">
      <w:pPr>
        <w:pStyle w:val="style0"/>
        <w:rPr/>
      </w:pPr>
    </w:p>
    <w:p w14:paraId="68D749D0">
      <w:pPr>
        <w:pStyle w:val="style0"/>
        <w:rPr/>
      </w:pPr>
    </w:p>
    <w:p w14:paraId="3FADB616">
      <w:pPr>
        <w:pStyle w:val="style0"/>
        <w:rPr/>
      </w:pPr>
    </w:p>
    <w:p w14:paraId="5C056E2C">
      <w:pPr>
        <w:pStyle w:val="style0"/>
        <w:rPr/>
      </w:pPr>
    </w:p>
    <w:p w14:paraId="2C6FADCE">
      <w:pPr>
        <w:pStyle w:val="style0"/>
        <w:rPr/>
      </w:pPr>
    </w:p>
    <w:p w14:paraId="5C036218">
      <w:pPr>
        <w:pStyle w:val="style0"/>
        <w:rPr/>
      </w:pPr>
    </w:p>
    <w:p w14:paraId="3EE10669">
      <w:pPr>
        <w:pStyle w:val="style0"/>
        <w:rPr/>
      </w:pPr>
    </w:p>
    <w:p w14:paraId="2EF093A6">
      <w:pPr>
        <w:pStyle w:val="style0"/>
        <w:rPr/>
      </w:pPr>
    </w:p>
    <w:p w14:paraId="3360760C">
      <w:pPr>
        <w:pStyle w:val="style0"/>
        <w:rPr/>
      </w:pPr>
    </w:p>
    <w:p w14:paraId="34FF1D87">
      <w:pPr>
        <w:pStyle w:val="style0"/>
        <w:rPr/>
      </w:pPr>
    </w:p>
    <w:p w14:paraId="73C85C77">
      <w:pPr>
        <w:pStyle w:val="style0"/>
        <w:rPr/>
      </w:pPr>
    </w:p>
    <w:p w14:paraId="7F14691F">
      <w:pPr>
        <w:pStyle w:val="style0"/>
        <w:rPr/>
      </w:pPr>
    </w:p>
    <w:p w14:paraId="3F6E5EF2">
      <w:pPr>
        <w:pStyle w:val="style0"/>
        <w:rPr/>
      </w:pPr>
    </w:p>
    <w:p w14:paraId="352502D1">
      <w:pPr>
        <w:pStyle w:val="style0"/>
        <w:rPr/>
      </w:pPr>
      <w:r>
        <w:t>1.</w:t>
      </w:r>
      <w:r>
        <w:rPr>
          <w:rFonts w:ascii="Segoe UI Symbol" w:cs="Segoe UI Symbol" w:hAnsi="Segoe UI Symbol"/>
        </w:rPr>
        <w:t>⁠</w:t>
      </w:r>
      <w:r>
        <w:t xml:space="preserve"> </w:t>
      </w:r>
      <w:r>
        <w:rPr>
          <w:rFonts w:ascii="Segoe UI Symbol" w:cs="Segoe UI Symbol" w:hAnsi="Segoe UI Symbol"/>
        </w:rPr>
        <w:t>⁠</w:t>
      </w:r>
      <w:r>
        <w:t>Introduction</w:t>
      </w:r>
    </w:p>
    <w:p w14:paraId="67E9CCF6">
      <w:pPr>
        <w:pStyle w:val="style0"/>
        <w:rPr/>
      </w:pPr>
    </w:p>
    <w:p w14:paraId="0F68ECAF">
      <w:pPr>
        <w:pStyle w:val="style0"/>
        <w:rPr/>
      </w:pPr>
      <w:r>
        <w:t>Ryman Hospitality Properties, Inc. is a publicly listed hospitality real estate investment trust (REIT) that owns and operates a distinctive portfolio of upscale hotels, resorts and entertainment-related properties across the United States. The company has established a strong position in the hospitality and leisure industry through its high-quality properties and well-known destinations. Integrating a guest-focused approach, Ryman Hospitality Properties has built a reputation for delivering memorable hospitality and entertainment experiences. Besides that, it maintains a strong focus on operational performance, strategic growth and creating long-term value for its shareholders (Ryman Hospitality Properties, 2026). In the hospitality and tourism industry, the influence of Ryman Hospitality Properties is prominent due to its distinctive portfolio and strong presence in the premium hospitality market.</w:t>
      </w:r>
    </w:p>
    <w:p w14:paraId="474CBDF4">
      <w:pPr>
        <w:pStyle w:val="style0"/>
        <w:rPr/>
      </w:pPr>
    </w:p>
    <w:p w14:paraId="66202550">
      <w:pPr>
        <w:pStyle w:val="style0"/>
        <w:rPr/>
      </w:pPr>
      <w:r>
        <w:t>The purpose of this report is to critically examine the financial performance of Ryman Hospitality Properties over five years. With this purpose, there is a focus on comprehensive financial ratio analysis, working capital assessment, strategic financial restructuring, and investment appraisal. Considering key financial issues in its business, the report provides strategic recommendations that can enable Ryman Hospitality Properties to strengthen its financial position, create strong shareholder value and sustain long-term growth.</w:t>
      </w:r>
    </w:p>
    <w:p w14:paraId="7A444893">
      <w:pPr>
        <w:pStyle w:val="style0"/>
        <w:rPr/>
      </w:pPr>
      <w:r>
        <w:t>2.1 Ryman Hospitality Properties’ Financial Statements</w:t>
      </w:r>
    </w:p>
    <w:p w14:paraId="28A1196D">
      <w:pPr>
        <w:pStyle w:val="style0"/>
        <w:rPr/>
      </w:pPr>
      <w:r>
        <w:t xml:space="preserve">Over the last five years, Ryman Hospitality Properties has experienced a strong financial recovery following the severe disruption caused by the COVID-19 pandemic. The company’s total revenue increased substantially from approximately US$524.5 million in 2020 to US$2.34 billion in 2024, as travel demand, hotel occupancy, group meetings and entertainment activities recovered. Ryman’s Hospitality and Entertainment operations both benefited from the return of customers and increased business activity. </w:t>
      </w:r>
    </w:p>
    <w:p w14:paraId="47594556">
      <w:pPr>
        <w:pStyle w:val="style0"/>
        <w:rPr/>
      </w:pPr>
    </w:p>
    <w:p w14:paraId="46C5CCCF">
      <w:pPr>
        <w:pStyle w:val="style0"/>
        <w:rPr/>
      </w:pPr>
      <w:r>
        <w:t xml:space="preserve">The company’s profitability also improved significantly during the period. Ryman reported a net loss of approximately US$460.8 million in 2020, which reduced to a loss of approximately US$194.8 million in 2021. However, the company returned to profitability in 2022, generating net income of approximately US$134.9 million, which increased to US$341.8 million in 2023. In 2024, net income decreased to approximately US$280.2 million, despite revenue increasing further, reflecting higher financial and operating costs. </w:t>
      </w:r>
    </w:p>
    <w:p w14:paraId="2D4EEF80">
      <w:pPr>
        <w:pStyle w:val="style0"/>
        <w:rPr/>
      </w:pPr>
    </w:p>
    <w:p w14:paraId="4846D438">
      <w:pPr>
        <w:pStyle w:val="style0"/>
        <w:rPr/>
      </w:pPr>
      <w:r>
        <w:t xml:space="preserve">Operating performance showed a similar recovery. Operating income improved from a loss of approximately US$58.7 million in 2021 to US$327.2 million in 2022, followed by US$453.7 million in 2023 and approximately US$490.8 million in 2024. This indicates that Ryman successfully restored its core operating performance after the pandemic. However, increasing interest expenses remain an important financial concern because they can reduce the amount of operating profit converted into net income. </w:t>
      </w:r>
    </w:p>
    <w:p w14:paraId="60485690">
      <w:pPr>
        <w:pStyle w:val="style0"/>
        <w:rPr/>
      </w:pPr>
    </w:p>
    <w:p w14:paraId="522DB392">
      <w:pPr>
        <w:pStyle w:val="style0"/>
        <w:rPr/>
      </w:pPr>
      <w:r>
        <w:t xml:space="preserve">Cash generation also strengthened as hotel and entertainment operations recovered, supporting investment in properties and shareholder distributions. Nevertheless, Ryman remains a capital-intensive hospitality REIT and therefore requires substantial debt and financing to acquire, renovate and expand its properties. The company’s financial position therefore demonstrates both strong post-pandemic recovery and continued exposure to interest-rate, debt and operating-cost risks. Overall, the five-year financial statements indicate that Ryman has moved from significant pandemic-related losses towards stronger revenue generation and operating profitability, although effective financial management remains essential for sustaining future growth. </w:t>
      </w:r>
    </w:p>
    <w:p w14:paraId="3E4EB909">
      <w:pPr>
        <w:pStyle w:val="style0"/>
        <w:rPr/>
      </w:pPr>
      <w:r>
        <w:t>2.2 Ratio Analysis</w:t>
      </w:r>
    </w:p>
    <w:p w14:paraId="6D1D75AB">
      <w:pPr>
        <w:pStyle w:val="style0"/>
        <w:rPr/>
      </w:pPr>
      <w:r>
        <w:t>Profitability Ratio Analysis</w:t>
      </w:r>
    </w:p>
    <w:p w14:paraId="1E381470">
      <w:pPr>
        <w:pStyle w:val="style0"/>
        <w:rPr/>
      </w:pPr>
      <w:r>
        <w:t xml:space="preserve">From 2020 to 2024, Ryman Hospitality Properties’ profitability improved significantly due to the strong recovery in the hospitality and entertainment sectors after the COVID-19 pandemic. The company moved from a substantial net loss of approximately </w:t>
      </w:r>
      <w:r>
        <w:t xml:space="preserve">US$460.8 million in 2020 to net income of US$134.9 million in 2022 and US$341.8 million in 2023. Although net income declined to approximately US$280.2 million in 2024, operating income continued to increase to approximately US$490.8 million, demonstrating stronger underlying operating performance. Revenue also increased from approximately US$524.5 million in 2020 to US$2.34 billion in 2024, reflecting higher hotel occupancy, convention activity and entertainment demand. Overall, the improvement in profitability indicates a significant recovery in Ryman’s ability to generate returns from its hospitality assets. </w:t>
      </w:r>
    </w:p>
    <w:p w14:paraId="6874D524">
      <w:pPr>
        <w:pStyle w:val="style0"/>
        <w:rPr/>
      </w:pPr>
    </w:p>
    <w:p w14:paraId="6521B8B7">
      <w:pPr>
        <w:pStyle w:val="style0"/>
        <w:rPr/>
      </w:pPr>
      <w:r>
        <w:t>Liquidity Ratio Analysis</w:t>
      </w:r>
    </w:p>
    <w:p w14:paraId="59B8413C">
      <w:pPr>
        <w:pStyle w:val="style0"/>
        <w:rPr/>
      </w:pPr>
      <w:r>
        <w:t xml:space="preserve">Ryman’s liquidity position needs careful consideration because the company operates as a hospitality REIT and has significant short-term financial obligations. During the pandemic period, reduced hotel and entertainment activity placed pressure on cash generation and liquidity. However, liquidity improved as operating activities recovered from 2021 onwards. The company’s stronger operating performance and increased cash generation provided greater capacity to meet current obligations and support ongoing operations. Nevertheless, Ryman remains exposed to fluctuations in hotel demand, operating costs and interest payments. Therefore, maintaining sufficient cash reserves and effective working capital management remains important for protecting the company against unexpected changes in the hospitality market. The 2020 annual report also highlights the uncertainty created by COVID-19 and its effect on projected cash flows. </w:t>
      </w:r>
    </w:p>
    <w:p w14:paraId="0CAB8533">
      <w:pPr>
        <w:pStyle w:val="style0"/>
        <w:rPr/>
      </w:pPr>
    </w:p>
    <w:p w14:paraId="2B21A64F">
      <w:pPr>
        <w:pStyle w:val="style0"/>
        <w:rPr/>
      </w:pPr>
      <w:r>
        <w:t>Efficiency Ratio Analysis</w:t>
      </w:r>
    </w:p>
    <w:p w14:paraId="44F5E1B1">
      <w:pPr>
        <w:pStyle w:val="style0"/>
        <w:rPr/>
      </w:pPr>
      <w:r>
        <w:t xml:space="preserve">Ryman’s operational efficiency improved considerably during the five-year period as its properties returned to normal operating levels. Revenue increased more than four times from approximately US$524.5 million in 2020 to US$2.34 billion in 2024, demonstrating a substantial improvement in the revenue-generating capacity of its hospitality assets. The company’s Hospitality segment remained its major source of revenue, while the Entertainment segment provided additional diversification. Increased business levels at the company’s hotels also resulted in higher employment, utility and other operating expenses. Therefore, although revenue generation improved significantly, management must continue controlling operating costs to ensure that increased revenues translate into sustainable profitability. </w:t>
      </w:r>
    </w:p>
    <w:p w14:paraId="27E01799">
      <w:pPr>
        <w:pStyle w:val="style0"/>
        <w:rPr/>
      </w:pPr>
    </w:p>
    <w:p w14:paraId="5AF60952">
      <w:pPr>
        <w:pStyle w:val="style0"/>
        <w:rPr/>
      </w:pPr>
      <w:r>
        <w:t>Gearing (Leverage) Ratio Analysis</w:t>
      </w:r>
    </w:p>
    <w:p w14:paraId="2BD0663B">
      <w:pPr>
        <w:pStyle w:val="style0"/>
        <w:rPr/>
      </w:pPr>
      <w:r>
        <w:t>Ryman operates with a relatively high level of financial leverage because hospitality properties require significant capital investment and debt financing. The company uses debt to finance property acquisitions, renovations, expansions and other strategic investments. For example, the company’s 2020 annual report reported US$788 million of borrowings and letters of credit outstanding under its credit facility, while the Gaylord Rockies joint venture had US$800 million of borrowings outstanding. Ryman’s leverage therefore provides an opportunity to expand its property portfolio and increase future earnings, but it also creates exposure to interest-rate movements and debt-servicing requirements. This risk became particularly important as interest expenses increased in the post-pandemic period. Consequently, maintaining an appropriate balance between debt and equity financing is essential for protecting shareholder value and financial flexibility.</w:t>
      </w:r>
    </w:p>
    <w:p w14:paraId="74EEBE4C">
      <w:pPr>
        <w:pStyle w:val="style0"/>
        <w:rPr/>
      </w:pPr>
    </w:p>
    <w:p w14:paraId="060753C9">
      <w:pPr>
        <w:pStyle w:val="style0"/>
        <w:rPr/>
      </w:pPr>
      <w:r>
        <w:t>Investment Ratio Analysis</w:t>
      </w:r>
    </w:p>
    <w:p w14:paraId="62260854">
      <w:pPr>
        <w:pStyle w:val="style0"/>
        <w:rPr/>
      </w:pPr>
      <w:r>
        <w:t>Ryman’s investment performance improved significantly as the company returned to profitability following the pandemic. The company moved from negative earnings during 2020 and 2021 to positive earnings from 2022 onwards. Diluted earnings per share increased to US$5.36 in 2023, before decreasing to approximately US$4.38 in 2024, mainly reflecting the decline in net income. Ryman also operates as a REIT, which has important implications for shareholder distributions. Its dividend policy provides for minimum dividends of 100% of REIT taxable income annually, subject to the board’s future decisions regarding the amount and timing of distributions.  Therefore, the company’s investment performance is influenced not only by profitability but also by dividend distributions, property values, earnings growth and investor expectations.</w:t>
      </w:r>
    </w:p>
    <w:p w14:paraId="681A7533">
      <w:pPr>
        <w:pStyle w:val="style0"/>
        <w:rPr/>
      </w:pPr>
    </w:p>
    <w:p w14:paraId="5A0F1AF0">
      <w:pPr>
        <w:pStyle w:val="style0"/>
        <w:rPr/>
      </w:pPr>
      <w:r>
        <w:t>Cash Flow Ratio Analysis</w:t>
      </w:r>
    </w:p>
    <w:p w14:paraId="10895B3B">
      <w:pPr>
        <w:pStyle w:val="style0"/>
        <w:rPr/>
      </w:pPr>
      <w:r>
        <w:t xml:space="preserve">Ryman’s cash-flow performance strengthened considerably following the pandemic as hotel occupancy, convention activity and entertainment operations recovered. The improvement in revenue and operating profitability increased the company’s capacity to generate cash from its core operations. Stronger cash generation is particularly important for Ryman because the company requires substantial funds for property maintenance, renovations, acquisitions, debt servicing and shareholder distributions. The company’s financial statements therefore indicate a clear improvement in cash-generating capacity after the severe disruption experienced in 2020. However, the high capital requirements of the hospitality industry mean that management must continue to balance operating cash flow between investment opportunities, debt obligations and shareholder returns. Overall, the five-year trend demonstrates that Ryman’s cash-flow position has strengthened alongside its broader financial recovery. </w:t>
      </w:r>
    </w:p>
    <w:p w14:paraId="007DAB72">
      <w:pPr>
        <w:pStyle w:val="style0"/>
        <w:rPr/>
      </w:pPr>
      <w:r>
        <w:t>2.3 Identification of Financial Health</w:t>
      </w:r>
    </w:p>
    <w:p w14:paraId="7026F30D">
      <w:pPr>
        <w:pStyle w:val="style0"/>
        <w:rPr/>
      </w:pPr>
      <w:r>
        <w:t>Trends</w:t>
      </w:r>
    </w:p>
    <w:p w14:paraId="2147343C">
      <w:pPr>
        <w:pStyle w:val="style0"/>
        <w:rPr/>
      </w:pPr>
      <w:r>
        <w:t xml:space="preserve">The financial performance of Ryman Hospitality Properties recorded a strong upward trend from 2020 to 2024, following the severe disruption caused by the COVID-19 pandemic. Total revenue increased from approximately US$524.5 million in 2020 to US$2.34 billion in 2024, supported by the recovery in travel, hotel occupancy, group conventions and entertainment demand. The company moved from a net loss of approximately US$460.8 million in 2020 to net income of US$134.9 million in 2022 and US$341.8 million in 2023. Although net income declined to approximately US$280.2 million in 2024, operating income continued to increase to US$490.8 million, demonstrating continued improvement in core operations. </w:t>
      </w:r>
    </w:p>
    <w:p w14:paraId="43ABA036">
      <w:pPr>
        <w:pStyle w:val="style0"/>
        <w:rPr/>
      </w:pPr>
    </w:p>
    <w:p w14:paraId="2A2E1D39">
      <w:pPr>
        <w:pStyle w:val="style0"/>
        <w:rPr/>
      </w:pPr>
      <w:r>
        <w:t>Strengths</w:t>
      </w:r>
    </w:p>
    <w:p w14:paraId="4623D2DF">
      <w:pPr>
        <w:pStyle w:val="style0"/>
        <w:rPr/>
      </w:pPr>
      <w:r>
        <w:t>Ryman’s main strength is its distinctive hospitality and entertainment portfolio, which provides diversification across different sources of customer demand. The Hospitality segment remains the company’s major revenue generator, while the Entertainment segment includes established assets such as the Grand Ole Opry, Ryman Auditorium and other entertainment businesses. In 2021, Hospitality represented approximately 84% of total revenue, while Entertainment contributed around 16%. Another important strength is the company’s ability to recover profitability after the pandemic. Revenue growth and improving operating income demonstrate that Ryman has been able to utilise its properties more effectively as market conditions normalised. Its strong portfolio of convention-focused resorts also provides opportunities to benefit from increasing business and group travel demand.</w:t>
      </w:r>
    </w:p>
    <w:p w14:paraId="675D9392">
      <w:pPr>
        <w:pStyle w:val="style0"/>
        <w:rPr/>
      </w:pPr>
    </w:p>
    <w:p w14:paraId="0BF32AB9">
      <w:pPr>
        <w:pStyle w:val="style0"/>
        <w:rPr/>
      </w:pPr>
      <w:r>
        <w:t>Threats</w:t>
      </w:r>
    </w:p>
    <w:p w14:paraId="0ABAB727">
      <w:pPr>
        <w:pStyle w:val="style0"/>
        <w:rPr/>
      </w:pPr>
      <w:r>
        <w:t>Ryman faces several financial and operational threats. The company requires significant debt and capital investment to maintain, renovate and expand its hospitality properties. For example, its 2020 annual report reported US$788 million of borrowings and letters of credit under its credit facility, while US$800 million was outstanding under the Gaylord Rockies joint venture term loan. Consequently, higher interest rates can increase financing costs and reduce net income. In addition, the hospitality industry remains vulnerable to economic downturns, inflation, changes in consumer spending, travel restrictions and reductions in corporate and convention demand. Ryman also faces strong competition from other hotel and resort operators and alternative accommodation providers. Therefore, maintaining financial flexibility and controlling debt exposure remain important challenges.</w:t>
      </w:r>
    </w:p>
    <w:p w14:paraId="381112A2">
      <w:pPr>
        <w:pStyle w:val="style0"/>
        <w:rPr/>
      </w:pPr>
    </w:p>
    <w:p w14:paraId="0204A4ED">
      <w:pPr>
        <w:pStyle w:val="style0"/>
        <w:rPr/>
      </w:pPr>
      <w:r>
        <w:t>2.4 Comparison of Liquidity Ratios with Industry Benchmarks</w:t>
      </w:r>
    </w:p>
    <w:p w14:paraId="0737C3EF">
      <w:pPr>
        <w:pStyle w:val="style0"/>
        <w:rPr/>
      </w:pPr>
      <w:r>
        <w:t xml:space="preserve">Over the five-year period, Ryman’s liquidity position should be assessed carefully against hospitality-sector expectations because the company operates a capital-intensive REIT business. The current ratio is an important measure because it indicates whether current assets are sufficient to cover current liabilities. A conventional benchmark of approximately 1.0 is commonly used as an initial indication of short-term liquidity. Ryman’s liquidity position was particularly pressured during 2020 and 2021 because the COVID-19 pandemic significantly reduced hotel and entertainment activity. However, the recovery in operating revenues and cash generation from 2022 onwards improved the company’s ability to support its short-term financial requirements. </w:t>
      </w:r>
    </w:p>
    <w:p w14:paraId="01646546">
      <w:pPr>
        <w:pStyle w:val="style0"/>
        <w:rPr/>
      </w:pPr>
    </w:p>
    <w:p w14:paraId="038DD071">
      <w:pPr>
        <w:pStyle w:val="style0"/>
        <w:rPr/>
      </w:pPr>
      <w:r>
        <w:t>Although Ryman’s liquidity needs to be monitored, a lower liquidity position does not automatically indicate financial distress because the company operates within a REIT structure and owns substantial long-term hospitality assets. The company’s ability to generate operating cash flow and access debt and capital markets can support its short-term obligations. Therefore, compared with a traditional manufacturing or retail business, Ryman’s liquidity should be interpreted alongside its operating cash generation, property assets and financing arrangements. Overall, the comparison indicates that liquidity management remains an important area for improvement, particularly because the company has substantial debt commitments and continuing capital expenditure requirements.</w:t>
      </w:r>
    </w:p>
    <w:p w14:paraId="7282351A">
      <w:pPr>
        <w:pStyle w:val="style0"/>
        <w:rPr/>
      </w:pPr>
      <w:r>
        <w:t>3.1 Cash Operating Cycle</w:t>
      </w:r>
    </w:p>
    <w:p w14:paraId="083C11C5">
      <w:pPr>
        <w:pStyle w:val="style0"/>
        <w:rPr>
          <w:b/>
          <w:bCs/>
        </w:rPr>
      </w:pPr>
      <w:r>
        <w:rPr>
          <w:b/>
          <w:bCs/>
        </w:rPr>
        <w:t>Particulars</w:t>
      </w:r>
    </w:p>
    <w:p w14:paraId="03826A18">
      <w:pPr>
        <w:pStyle w:val="style0"/>
        <w:rPr>
          <w:b/>
          <w:bCs/>
        </w:rPr>
      </w:pPr>
      <w:r>
        <w:rPr>
          <w:b/>
          <w:bCs/>
        </w:rPr>
        <w:t>Formula</w:t>
      </w:r>
    </w:p>
    <w:p w14:paraId="3D2CBEAF">
      <w:pPr>
        <w:pStyle w:val="style0"/>
        <w:rPr>
          <w:b/>
          <w:bCs/>
        </w:rPr>
      </w:pPr>
      <w:r>
        <w:rPr>
          <w:b/>
          <w:bCs/>
        </w:rPr>
        <w:t>2020</w:t>
      </w:r>
    </w:p>
    <w:p w14:paraId="789C209A">
      <w:pPr>
        <w:pStyle w:val="style0"/>
        <w:rPr>
          <w:b/>
          <w:bCs/>
        </w:rPr>
      </w:pPr>
      <w:r>
        <w:rPr>
          <w:b/>
          <w:bCs/>
        </w:rPr>
        <w:t>2021</w:t>
      </w:r>
    </w:p>
    <w:p w14:paraId="189BBCC4">
      <w:pPr>
        <w:pStyle w:val="style0"/>
        <w:rPr>
          <w:b/>
          <w:bCs/>
        </w:rPr>
      </w:pPr>
      <w:r>
        <w:rPr>
          <w:b/>
          <w:bCs/>
        </w:rPr>
        <w:t>2022</w:t>
      </w:r>
    </w:p>
    <w:p w14:paraId="29A578C1">
      <w:pPr>
        <w:pStyle w:val="style0"/>
        <w:rPr>
          <w:b/>
          <w:bCs/>
        </w:rPr>
      </w:pPr>
      <w:r>
        <w:rPr>
          <w:b/>
          <w:bCs/>
        </w:rPr>
        <w:t>2023</w:t>
      </w:r>
    </w:p>
    <w:p w14:paraId="4C165DE1">
      <w:pPr>
        <w:pStyle w:val="style0"/>
        <w:rPr>
          <w:b/>
          <w:bCs/>
        </w:rPr>
      </w:pPr>
      <w:r>
        <w:rPr>
          <w:b/>
          <w:bCs/>
        </w:rPr>
        <w:t>2024</w:t>
      </w:r>
    </w:p>
    <w:p w14:paraId="111C4B72">
      <w:pPr>
        <w:pStyle w:val="style0"/>
        <w:rPr>
          <w:b/>
          <w:bCs/>
        </w:rPr>
      </w:pPr>
      <w:r>
        <w:rPr>
          <w:b/>
          <w:bCs/>
        </w:rPr>
        <w:t>Revenue ($m)</w:t>
      </w:r>
    </w:p>
    <w:p w14:paraId="05870B91">
      <w:pPr>
        <w:pStyle w:val="style0"/>
        <w:rPr>
          <w:b/>
          <w:bCs/>
        </w:rPr>
      </w:pPr>
      <w:r>
        <w:rPr>
          <w:b/>
          <w:bCs/>
        </w:rPr>
        <w:t>—</w:t>
      </w:r>
    </w:p>
    <w:p w14:paraId="28D3612A">
      <w:pPr>
        <w:pStyle w:val="style0"/>
        <w:rPr>
          <w:b/>
          <w:bCs/>
        </w:rPr>
      </w:pPr>
      <w:r>
        <w:rPr>
          <w:b/>
          <w:bCs/>
        </w:rPr>
        <w:t>524.5</w:t>
      </w:r>
    </w:p>
    <w:p w14:paraId="50435788">
      <w:pPr>
        <w:pStyle w:val="style0"/>
        <w:rPr>
          <w:b/>
          <w:bCs/>
        </w:rPr>
      </w:pPr>
      <w:r>
        <w:rPr>
          <w:b/>
          <w:bCs/>
        </w:rPr>
        <w:t>939.4</w:t>
      </w:r>
    </w:p>
    <w:p w14:paraId="4281DCFD">
      <w:pPr>
        <w:pStyle w:val="style0"/>
        <w:rPr>
          <w:b/>
          <w:bCs/>
        </w:rPr>
      </w:pPr>
      <w:r>
        <w:rPr>
          <w:b/>
          <w:bCs/>
        </w:rPr>
        <w:t>1,806.0</w:t>
      </w:r>
    </w:p>
    <w:p w14:paraId="0B07B4EC">
      <w:pPr>
        <w:pStyle w:val="style0"/>
        <w:rPr>
          <w:b/>
          <w:bCs/>
        </w:rPr>
      </w:pPr>
      <w:r>
        <w:rPr>
          <w:b/>
          <w:bCs/>
        </w:rPr>
        <w:t>2,158.1</w:t>
      </w:r>
    </w:p>
    <w:p w14:paraId="41B48180">
      <w:pPr>
        <w:pStyle w:val="style0"/>
        <w:rPr>
          <w:b/>
          <w:bCs/>
        </w:rPr>
      </w:pPr>
      <w:r>
        <w:rPr>
          <w:b/>
          <w:bCs/>
        </w:rPr>
        <w:t>2,339.2</w:t>
      </w:r>
    </w:p>
    <w:p w14:paraId="44D8D514">
      <w:pPr>
        <w:pStyle w:val="style0"/>
        <w:rPr>
          <w:b/>
          <w:bCs/>
        </w:rPr>
      </w:pPr>
      <w:r>
        <w:rPr>
          <w:b/>
          <w:bCs/>
        </w:rPr>
        <w:t>Trade receivables ($m)</w:t>
      </w:r>
    </w:p>
    <w:p w14:paraId="4D734857">
      <w:pPr>
        <w:pStyle w:val="style0"/>
        <w:rPr>
          <w:b/>
          <w:bCs/>
        </w:rPr>
      </w:pPr>
      <w:r>
        <w:rPr>
          <w:b/>
          <w:bCs/>
        </w:rPr>
        <w:t>—</w:t>
      </w:r>
    </w:p>
    <w:p w14:paraId="5AAB16E8">
      <w:pPr>
        <w:pStyle w:val="style0"/>
        <w:rPr>
          <w:b/>
          <w:bCs/>
        </w:rPr>
      </w:pPr>
      <w:r>
        <w:rPr>
          <w:b/>
          <w:bCs/>
        </w:rPr>
        <w:t>20.1</w:t>
      </w:r>
    </w:p>
    <w:p w14:paraId="709AB24C">
      <w:pPr>
        <w:pStyle w:val="style0"/>
        <w:rPr>
          <w:b/>
          <w:bCs/>
        </w:rPr>
      </w:pPr>
      <w:r>
        <w:rPr>
          <w:b/>
          <w:bCs/>
        </w:rPr>
        <w:t>74.7</w:t>
      </w:r>
    </w:p>
    <w:p w14:paraId="79B6FCA6">
      <w:pPr>
        <w:pStyle w:val="style0"/>
        <w:rPr>
          <w:b/>
          <w:bCs/>
        </w:rPr>
      </w:pPr>
      <w:r>
        <w:rPr>
          <w:b/>
          <w:bCs/>
        </w:rPr>
        <w:t>116.8</w:t>
      </w:r>
    </w:p>
    <w:p w14:paraId="7C0773FF">
      <w:pPr>
        <w:pStyle w:val="style0"/>
        <w:rPr>
          <w:b/>
          <w:bCs/>
        </w:rPr>
      </w:pPr>
      <w:r>
        <w:rPr>
          <w:b/>
          <w:bCs/>
        </w:rPr>
        <w:t>110.0</w:t>
      </w:r>
    </w:p>
    <w:p w14:paraId="44F9FC0A">
      <w:pPr>
        <w:pStyle w:val="style0"/>
        <w:rPr>
          <w:b/>
          <w:bCs/>
        </w:rPr>
      </w:pPr>
      <w:r>
        <w:rPr>
          <w:b/>
          <w:bCs/>
        </w:rPr>
        <w:t>94.2</w:t>
      </w:r>
    </w:p>
    <w:p w14:paraId="4546F5F5">
      <w:pPr>
        <w:pStyle w:val="style0"/>
        <w:rPr>
          <w:b/>
          <w:bCs/>
        </w:rPr>
      </w:pPr>
      <w:r>
        <w:rPr>
          <w:b/>
          <w:bCs/>
        </w:rPr>
        <w:t>Inventory ($m)</w:t>
      </w:r>
    </w:p>
    <w:p w14:paraId="4E56882D">
      <w:pPr>
        <w:pStyle w:val="style0"/>
        <w:rPr>
          <w:b/>
          <w:bCs/>
        </w:rPr>
      </w:pPr>
      <w:r>
        <w:rPr>
          <w:b/>
          <w:bCs/>
        </w:rPr>
        <w:t>—</w:t>
      </w:r>
    </w:p>
    <w:p w14:paraId="68B30DD2">
      <w:pPr>
        <w:pStyle w:val="style0"/>
        <w:rPr>
          <w:b/>
          <w:bCs/>
        </w:rPr>
      </w:pPr>
      <w:r>
        <w:rPr>
          <w:b/>
          <w:bCs/>
        </w:rPr>
        <w:t>7.2</w:t>
      </w:r>
    </w:p>
    <w:p w14:paraId="38262B93">
      <w:pPr>
        <w:pStyle w:val="style0"/>
        <w:rPr>
          <w:b/>
          <w:bCs/>
        </w:rPr>
      </w:pPr>
      <w:r>
        <w:rPr>
          <w:b/>
          <w:bCs/>
        </w:rPr>
        <w:t>8.4</w:t>
      </w:r>
    </w:p>
    <w:p w14:paraId="2B626AAA">
      <w:pPr>
        <w:pStyle w:val="style0"/>
        <w:rPr>
          <w:b/>
          <w:bCs/>
        </w:rPr>
      </w:pPr>
      <w:r>
        <w:rPr>
          <w:b/>
          <w:bCs/>
        </w:rPr>
        <w:t>12.0</w:t>
      </w:r>
    </w:p>
    <w:p w14:paraId="79A2C170">
      <w:pPr>
        <w:pStyle w:val="style0"/>
        <w:rPr>
          <w:b/>
          <w:bCs/>
        </w:rPr>
      </w:pPr>
      <w:r>
        <w:rPr>
          <w:b/>
          <w:bCs/>
        </w:rPr>
        <w:t>14.0</w:t>
      </w:r>
    </w:p>
    <w:p w14:paraId="73E3E30A">
      <w:pPr>
        <w:pStyle w:val="style0"/>
        <w:rPr>
          <w:b/>
          <w:bCs/>
        </w:rPr>
      </w:pPr>
      <w:r>
        <w:rPr>
          <w:b/>
          <w:bCs/>
        </w:rPr>
        <w:t>16.1</w:t>
      </w:r>
    </w:p>
    <w:p w14:paraId="0889F27E">
      <w:pPr>
        <w:pStyle w:val="style0"/>
        <w:rPr>
          <w:b/>
          <w:bCs/>
        </w:rPr>
      </w:pPr>
      <w:r>
        <w:rPr>
          <w:b/>
          <w:bCs/>
        </w:rPr>
        <w:t>Accounts payable &amp; accrued liabilities ($m)</w:t>
      </w:r>
    </w:p>
    <w:p w14:paraId="2F2888FE">
      <w:pPr>
        <w:pStyle w:val="style0"/>
        <w:rPr>
          <w:b/>
          <w:bCs/>
        </w:rPr>
      </w:pPr>
      <w:r>
        <w:rPr>
          <w:b/>
          <w:bCs/>
        </w:rPr>
        <w:t>—</w:t>
      </w:r>
    </w:p>
    <w:p w14:paraId="411C3B1C">
      <w:pPr>
        <w:pStyle w:val="style0"/>
        <w:rPr>
          <w:b/>
          <w:bCs/>
        </w:rPr>
      </w:pPr>
      <w:r>
        <w:rPr>
          <w:b/>
          <w:bCs/>
        </w:rPr>
        <w:t>203.1</w:t>
      </w:r>
    </w:p>
    <w:p w14:paraId="73147BE8">
      <w:pPr>
        <w:pStyle w:val="style0"/>
        <w:rPr>
          <w:b/>
          <w:bCs/>
        </w:rPr>
      </w:pPr>
      <w:r>
        <w:rPr>
          <w:b/>
          <w:bCs/>
        </w:rPr>
        <w:t>304.7</w:t>
      </w:r>
    </w:p>
    <w:p w14:paraId="73E27235">
      <w:pPr>
        <w:pStyle w:val="style0"/>
        <w:rPr>
          <w:b/>
          <w:bCs/>
        </w:rPr>
      </w:pPr>
      <w:r>
        <w:rPr>
          <w:b/>
          <w:bCs/>
        </w:rPr>
        <w:t>385.2</w:t>
      </w:r>
    </w:p>
    <w:p w14:paraId="51445011">
      <w:pPr>
        <w:pStyle w:val="style0"/>
        <w:rPr>
          <w:b/>
          <w:bCs/>
        </w:rPr>
      </w:pPr>
      <w:r>
        <w:rPr>
          <w:b/>
          <w:bCs/>
        </w:rPr>
        <w:t>464.7</w:t>
      </w:r>
    </w:p>
    <w:p w14:paraId="44C07CE9">
      <w:pPr>
        <w:pStyle w:val="style0"/>
        <w:rPr>
          <w:b/>
          <w:bCs/>
        </w:rPr>
      </w:pPr>
      <w:r>
        <w:rPr>
          <w:b/>
          <w:bCs/>
        </w:rPr>
        <w:t>466.6</w:t>
      </w:r>
    </w:p>
    <w:p w14:paraId="2784BD3B">
      <w:pPr>
        <w:pStyle w:val="style0"/>
        <w:rPr>
          <w:b/>
          <w:bCs/>
        </w:rPr>
      </w:pPr>
      <w:r>
        <w:rPr>
          <w:b/>
          <w:bCs/>
        </w:rPr>
        <w:t>DIO</w:t>
      </w:r>
    </w:p>
    <w:p w14:paraId="2A5C37F5">
      <w:pPr>
        <w:pStyle w:val="style0"/>
        <w:rPr>
          <w:b/>
          <w:bCs/>
        </w:rPr>
      </w:pPr>
      <w:r>
        <w:rPr>
          <w:b/>
          <w:bCs/>
        </w:rPr>
        <w:t>(Inventory/Revenue) × 365</w:t>
      </w:r>
    </w:p>
    <w:p w14:paraId="2EDB7C56">
      <w:pPr>
        <w:pStyle w:val="style0"/>
        <w:rPr>
          <w:b/>
          <w:bCs/>
        </w:rPr>
      </w:pPr>
      <w:r>
        <w:rPr>
          <w:b/>
          <w:bCs/>
        </w:rPr>
        <w:t>5.01</w:t>
      </w:r>
    </w:p>
    <w:p w14:paraId="353DA9E9">
      <w:pPr>
        <w:pStyle w:val="style0"/>
        <w:rPr>
          <w:b/>
          <w:bCs/>
        </w:rPr>
      </w:pPr>
      <w:r>
        <w:rPr>
          <w:b/>
          <w:bCs/>
        </w:rPr>
        <w:t>3.25</w:t>
      </w:r>
    </w:p>
    <w:p w14:paraId="19AC321A">
      <w:pPr>
        <w:pStyle w:val="style0"/>
        <w:rPr>
          <w:b/>
          <w:bCs/>
        </w:rPr>
      </w:pPr>
      <w:r>
        <w:rPr>
          <w:b/>
          <w:bCs/>
        </w:rPr>
        <w:t>2.43</w:t>
      </w:r>
    </w:p>
    <w:p w14:paraId="7E0ADCD8">
      <w:pPr>
        <w:pStyle w:val="style0"/>
        <w:rPr>
          <w:b/>
          <w:bCs/>
        </w:rPr>
      </w:pPr>
      <w:r>
        <w:rPr>
          <w:b/>
          <w:bCs/>
        </w:rPr>
        <w:t>2.37</w:t>
      </w:r>
    </w:p>
    <w:p w14:paraId="01C73CAA">
      <w:pPr>
        <w:pStyle w:val="style0"/>
        <w:rPr>
          <w:b/>
          <w:bCs/>
        </w:rPr>
      </w:pPr>
      <w:r>
        <w:rPr>
          <w:b/>
          <w:bCs/>
        </w:rPr>
        <w:t>2.51</w:t>
      </w:r>
    </w:p>
    <w:p w14:paraId="536EF257">
      <w:pPr>
        <w:pStyle w:val="style0"/>
        <w:rPr>
          <w:b/>
          <w:bCs/>
        </w:rPr>
      </w:pPr>
      <w:r>
        <w:rPr>
          <w:b/>
          <w:bCs/>
        </w:rPr>
        <w:t>DSO</w:t>
      </w:r>
    </w:p>
    <w:p w14:paraId="6253D05E">
      <w:pPr>
        <w:pStyle w:val="style0"/>
        <w:rPr>
          <w:b/>
          <w:bCs/>
        </w:rPr>
      </w:pPr>
      <w:r>
        <w:rPr>
          <w:b/>
          <w:bCs/>
        </w:rPr>
        <w:t>(Receivables/Revenue) × 365</w:t>
      </w:r>
    </w:p>
    <w:p w14:paraId="446D920C">
      <w:pPr>
        <w:pStyle w:val="style0"/>
        <w:rPr>
          <w:b/>
          <w:bCs/>
        </w:rPr>
      </w:pPr>
      <w:r>
        <w:rPr>
          <w:b/>
          <w:bCs/>
        </w:rPr>
        <w:t>13.99</w:t>
      </w:r>
    </w:p>
    <w:p w14:paraId="3A889F6A">
      <w:pPr>
        <w:pStyle w:val="style0"/>
        <w:rPr>
          <w:b/>
          <w:bCs/>
        </w:rPr>
      </w:pPr>
      <w:r>
        <w:rPr>
          <w:b/>
          <w:bCs/>
        </w:rPr>
        <w:t>29.02</w:t>
      </w:r>
    </w:p>
    <w:p w14:paraId="2658832C">
      <w:pPr>
        <w:pStyle w:val="style0"/>
        <w:rPr>
          <w:b/>
          <w:bCs/>
        </w:rPr>
      </w:pPr>
      <w:r>
        <w:rPr>
          <w:b/>
          <w:bCs/>
        </w:rPr>
        <w:t>23.61</w:t>
      </w:r>
    </w:p>
    <w:p w14:paraId="2CACE469">
      <w:pPr>
        <w:pStyle w:val="style0"/>
        <w:rPr>
          <w:b/>
          <w:bCs/>
        </w:rPr>
      </w:pPr>
      <w:r>
        <w:rPr>
          <w:b/>
          <w:bCs/>
        </w:rPr>
        <w:t>18.61</w:t>
      </w:r>
    </w:p>
    <w:p w14:paraId="7FC3572C">
      <w:pPr>
        <w:pStyle w:val="style0"/>
        <w:rPr>
          <w:b/>
          <w:bCs/>
        </w:rPr>
      </w:pPr>
      <w:r>
        <w:rPr>
          <w:b/>
          <w:bCs/>
        </w:rPr>
        <w:t>14.70</w:t>
      </w:r>
    </w:p>
    <w:p w14:paraId="03F43AAF">
      <w:pPr>
        <w:pStyle w:val="style0"/>
        <w:rPr>
          <w:b/>
          <w:bCs/>
        </w:rPr>
      </w:pPr>
      <w:r>
        <w:rPr>
          <w:b/>
          <w:bCs/>
        </w:rPr>
        <w:t>DPO</w:t>
      </w:r>
    </w:p>
    <w:p w14:paraId="4B7BFD40">
      <w:pPr>
        <w:pStyle w:val="style0"/>
        <w:rPr>
          <w:b/>
          <w:bCs/>
        </w:rPr>
      </w:pPr>
      <w:r>
        <w:rPr>
          <w:b/>
          <w:bCs/>
        </w:rPr>
        <w:t>(Payables/Revenue) × 365</w:t>
      </w:r>
    </w:p>
    <w:p w14:paraId="6EAF6A7F">
      <w:pPr>
        <w:pStyle w:val="style0"/>
        <w:rPr>
          <w:b/>
          <w:bCs/>
        </w:rPr>
      </w:pPr>
      <w:r>
        <w:rPr>
          <w:b/>
          <w:bCs/>
        </w:rPr>
        <w:t>141.30</w:t>
      </w:r>
    </w:p>
    <w:p w14:paraId="5A9579B4">
      <w:pPr>
        <w:pStyle w:val="style0"/>
        <w:rPr>
          <w:b/>
          <w:bCs/>
        </w:rPr>
      </w:pPr>
      <w:r>
        <w:rPr>
          <w:b/>
          <w:bCs/>
        </w:rPr>
        <w:t>118.38</w:t>
      </w:r>
    </w:p>
    <w:p w14:paraId="336ADA10">
      <w:pPr>
        <w:pStyle w:val="style0"/>
        <w:rPr>
          <w:b/>
          <w:bCs/>
        </w:rPr>
      </w:pPr>
      <w:r>
        <w:rPr>
          <w:b/>
          <w:bCs/>
        </w:rPr>
        <w:t>77.86</w:t>
      </w:r>
    </w:p>
    <w:p w14:paraId="253C7254">
      <w:pPr>
        <w:pStyle w:val="style0"/>
        <w:rPr>
          <w:b/>
          <w:bCs/>
        </w:rPr>
      </w:pPr>
      <w:r>
        <w:rPr>
          <w:b/>
          <w:bCs/>
        </w:rPr>
        <w:t>78.59</w:t>
      </w:r>
    </w:p>
    <w:p w14:paraId="1AFAC42E">
      <w:pPr>
        <w:pStyle w:val="style0"/>
        <w:rPr>
          <w:b/>
          <w:bCs/>
        </w:rPr>
      </w:pPr>
      <w:r>
        <w:rPr>
          <w:b/>
          <w:bCs/>
        </w:rPr>
        <w:t>72.81</w:t>
      </w:r>
    </w:p>
    <w:p w14:paraId="2144CD03">
      <w:pPr>
        <w:pStyle w:val="style0"/>
        <w:rPr>
          <w:b/>
          <w:bCs/>
        </w:rPr>
      </w:pPr>
      <w:r>
        <w:rPr>
          <w:b/>
          <w:bCs/>
        </w:rPr>
        <w:t>CCC</w:t>
      </w:r>
    </w:p>
    <w:p w14:paraId="6779BDAF">
      <w:pPr>
        <w:pStyle w:val="style0"/>
        <w:rPr>
          <w:b/>
          <w:bCs/>
        </w:rPr>
      </w:pPr>
      <w:r>
        <w:rPr>
          <w:b/>
          <w:bCs/>
        </w:rPr>
        <w:t>DIO + DSO − DPO</w:t>
      </w:r>
    </w:p>
    <w:p w14:paraId="446EDB5C">
      <w:pPr>
        <w:pStyle w:val="style0"/>
        <w:rPr>
          <w:b/>
          <w:bCs/>
        </w:rPr>
      </w:pPr>
      <w:r>
        <w:rPr>
          <w:b/>
          <w:bCs/>
        </w:rPr>
        <w:t>−122.30</w:t>
      </w:r>
    </w:p>
    <w:p w14:paraId="6BE22AC4">
      <w:pPr>
        <w:pStyle w:val="style0"/>
        <w:rPr>
          <w:b/>
          <w:bCs/>
        </w:rPr>
      </w:pPr>
      <w:r>
        <w:rPr>
          <w:b/>
          <w:bCs/>
        </w:rPr>
        <w:t>−86.11</w:t>
      </w:r>
    </w:p>
    <w:p w14:paraId="5E8F92F1">
      <w:pPr>
        <w:pStyle w:val="style0"/>
        <w:rPr>
          <w:b/>
          <w:bCs/>
        </w:rPr>
      </w:pPr>
      <w:r>
        <w:rPr>
          <w:b/>
          <w:bCs/>
        </w:rPr>
        <w:t>−51.82</w:t>
      </w:r>
    </w:p>
    <w:p w14:paraId="45051D90">
      <w:pPr>
        <w:pStyle w:val="style0"/>
        <w:rPr>
          <w:b/>
          <w:bCs/>
        </w:rPr>
      </w:pPr>
      <w:r>
        <w:rPr>
          <w:b/>
          <w:bCs/>
        </w:rPr>
        <w:t>−57.61</w:t>
      </w:r>
    </w:p>
    <w:p w14:paraId="704BFA5F">
      <w:pPr>
        <w:pStyle w:val="style0"/>
        <w:rPr>
          <w:b/>
          <w:bCs/>
        </w:rPr>
      </w:pPr>
      <w:r>
        <w:rPr>
          <w:b/>
          <w:bCs/>
        </w:rPr>
        <w:t>−55.60</w:t>
      </w:r>
    </w:p>
    <w:p w14:paraId="2DD0FF48">
      <w:pPr>
        <w:pStyle w:val="style0"/>
        <w:rPr>
          <w:b/>
          <w:bCs/>
        </w:rPr>
      </w:pPr>
      <w:r>
        <w:rPr>
          <w:b/>
          <w:bCs/>
        </w:rPr>
        <w:t>Table 1: Cash Operating Cycle</w:t>
      </w:r>
    </w:p>
    <w:p w14:paraId="77B8DFF3">
      <w:pPr>
        <w:pStyle w:val="style0"/>
        <w:rPr/>
      </w:pPr>
    </w:p>
    <w:p w14:paraId="0A745D4C">
      <w:pPr>
        <w:pStyle w:val="style0"/>
        <w:rPr/>
      </w:pPr>
      <w:r>
        <w:t>Days Inventory Outstanding (DIO)</w:t>
      </w:r>
    </w:p>
    <w:p w14:paraId="2D2BF55E">
      <w:pPr>
        <w:pStyle w:val="style0"/>
        <w:rPr/>
      </w:pPr>
    </w:p>
    <w:p w14:paraId="0A70D8F0">
      <w:pPr>
        <w:pStyle w:val="style0"/>
        <w:rPr/>
      </w:pPr>
      <w:r>
        <w:t>Financial analysis of Ryman Hospitality Properties shows that DIO remained very low throughout the 2020–2024 period, ranging from 5.01 days in 2020 to 2.51 days in 2024. This indicates that Ryman holds inventory for only a short period before it is used or sold. The low inventory holding period is appropriate for a hospitality business because its inventories mainly consist of food and beverage inventory and retail inventory within the Entertainment segment.  The decline in DIO after 2020 also indicates improved inventory utilisation as the company’s operations recovered from the pandemic. Therefore, inventory does not create a significant cash-flow burden for Ryman.</w:t>
      </w:r>
    </w:p>
    <w:p w14:paraId="263F3519">
      <w:pPr>
        <w:pStyle w:val="style0"/>
        <w:rPr/>
      </w:pPr>
    </w:p>
    <w:p w14:paraId="61E4C59D">
      <w:pPr>
        <w:pStyle w:val="style0"/>
        <w:rPr/>
      </w:pPr>
      <w:r>
        <w:t>Days Sales Outstanding (DSO)</w:t>
      </w:r>
    </w:p>
    <w:p w14:paraId="207E0775">
      <w:pPr>
        <w:pStyle w:val="style0"/>
        <w:rPr/>
      </w:pPr>
    </w:p>
    <w:p w14:paraId="1DF0CACE">
      <w:pPr>
        <w:pStyle w:val="style0"/>
        <w:rPr/>
      </w:pPr>
      <w:r>
        <w:t>The DSO analysis indicates that Ryman’s receivables collection efficiency improved over the period. DSO increased from 13.99 days in 2020 to 29.02 days in 2021, before declining to 23.61 days in 2022, 18.61 days in 2023 and 14.70 days in 2024. The reduction in DSO after 2021 indicates that Ryman became more efficient in converting credit sales into cash. The company’s accounts receivable are primarily generated from meetings and convention attendees’ room nights and food and beverage sales.  Faster collection of receivables supports operating liquidity and reduces the risk of delayed customer payments affecting day-to-day cash requirements.</w:t>
      </w:r>
    </w:p>
    <w:p w14:paraId="39A0F643">
      <w:pPr>
        <w:pStyle w:val="style0"/>
        <w:rPr/>
      </w:pPr>
    </w:p>
    <w:p w14:paraId="6F142F5F">
      <w:pPr>
        <w:pStyle w:val="style0"/>
        <w:rPr>
          <w:b/>
          <w:bCs/>
        </w:rPr>
      </w:pPr>
      <w:r>
        <w:rPr>
          <w:b/>
          <w:bCs/>
        </w:rPr>
        <w:t>Days Payables Outstanding (DPO)</w:t>
      </w:r>
    </w:p>
    <w:p w14:paraId="746A30D7">
      <w:pPr>
        <w:pStyle w:val="style0"/>
        <w:rPr/>
      </w:pPr>
    </w:p>
    <w:p w14:paraId="28E0A683">
      <w:pPr>
        <w:pStyle w:val="style0"/>
        <w:rPr/>
      </w:pPr>
      <w:r>
        <w:t>Ryman’s DPO decreased from 141.30 days in 2020 to 72.81 days in 2024. The exceptionally high DPO in 2020 was mainly associated with the severe disruption to business activity during the COVID-19 period and lower operating expenditure. As business levels recovered, DPO reduced to 118.38 days in 2021, 77.86 days in 2022, 78.59 days in 2023 and 72.81 days in 2024. This reduction indicates that Ryman has increasingly settled its accounts payable and accrued liabilities within a shorter period as normal operations resumed. However, maintaining an appropriate payment period remains important because excessively early payments can reduce cash available for other operating and investment requirements.</w:t>
      </w:r>
    </w:p>
    <w:p w14:paraId="4D60B38D">
      <w:pPr>
        <w:pStyle w:val="style0"/>
        <w:rPr>
          <w:b/>
          <w:bCs/>
        </w:rPr>
      </w:pPr>
    </w:p>
    <w:p w14:paraId="11D4F866">
      <w:pPr>
        <w:pStyle w:val="style0"/>
        <w:rPr>
          <w:b/>
          <w:bCs/>
        </w:rPr>
      </w:pPr>
      <w:r>
        <w:rPr>
          <w:b/>
          <w:bCs/>
        </w:rPr>
        <w:t>Cash Conversion Cycle (CCC)</w:t>
      </w:r>
    </w:p>
    <w:p w14:paraId="324A222B">
      <w:pPr>
        <w:pStyle w:val="style0"/>
        <w:rPr/>
      </w:pPr>
    </w:p>
    <w:p w14:paraId="610D9F8A">
      <w:pPr>
        <w:pStyle w:val="style0"/>
        <w:rPr/>
      </w:pPr>
      <w:r>
        <w:t>The cash conversion cycle remained negative throughout the entire 2020–2024 period, improving from −122.30 days in 2020 to −55.60 days in 2024. A negative CCC indicates that Ryman is able to receive cash from customers before settling its accounts payable and accrued liabilities, creating a favourable working-capital position. Although the CCC became less negative after 2020, the company continued to benefit from a relatively efficient cash operating cycle. The improvement in DSO and consistently low DIO support faster conversion of operating activity into cash. However, Ryman should continue monitoring working capital because the hospitality industry is sensitive to changes in occupancy, convention demand, operating costs and economic conditions. Overall, the negative CCC represents a strength in Ryman’s working capital management, although careful control of receivables, inventory and supplier payments remains necessary to maintain liquidity.</w:t>
      </w:r>
    </w:p>
    <w:p w14:paraId="62AE5BC1">
      <w:pPr>
        <w:pStyle w:val="style0"/>
        <w:rPr>
          <w:b/>
          <w:bCs/>
        </w:rPr>
      </w:pPr>
      <w:r>
        <w:rPr>
          <w:b/>
          <w:bCs/>
        </w:rPr>
        <w:t>3.2 Recommend Strategies to Improve Liquidity through Working Capital Reforms</w:t>
      </w:r>
    </w:p>
    <w:p w14:paraId="5602E729">
      <w:pPr>
        <w:pStyle w:val="style0"/>
        <w:rPr/>
      </w:pPr>
      <w:r>
        <w:t>Financial analysis demonstrated that Ryman Hospitality Properties maintained a favourable negative cash conversion cycle during 2020–2024, although further working capital reforms are required to strengthen liquidity and protect the company against changes in hospitality demand. Below are a few recommendations that can improve its liquidity position and support stable financial performance.</w:t>
      </w:r>
    </w:p>
    <w:p w14:paraId="486AE6E3">
      <w:pPr>
        <w:pStyle w:val="style0"/>
        <w:rPr/>
      </w:pPr>
      <w:r>
        <w:t>Strengthen receivables management: Digital invoicing, automated payment reminders and improved credit assessment for corporate and group customers can help Ryman maintain its efficient collection process and further reduce DSO. Ryman’s receivables are mainly generated from meetings, conventions, room nights and food and beverage sales.  Faster collection would increase cash availability and reduce the amount of funds tied up in receivables. This would reduce Ryman’s dependence on external short-term financing and provide greater flexibility for day-to-day operations.</w:t>
      </w:r>
    </w:p>
    <w:p w14:paraId="482867E2">
      <w:pPr>
        <w:pStyle w:val="style0"/>
        <w:rPr/>
      </w:pPr>
    </w:p>
    <w:p w14:paraId="512625A3">
      <w:pPr>
        <w:pStyle w:val="style0"/>
        <w:rPr/>
      </w:pPr>
      <w:r>
        <w:t>Supplier payment terms optimisation: Ryman should negotiate appropriate payment terms with major suppliers while maintaining strong supplier relationships. Its DPO declined from 141.30 days in 2020 to 72.81 days in 2024, indicating that payments are being made considerably faster as business activity has recovered. Maintaining commercially favourable payment periods would allow Ryman to retain cash for longer and reduce short-term liquidity pressure. However, payments should remain within agreed contractual terms to avoid damaging supplier relationships.</w:t>
      </w:r>
    </w:p>
    <w:p w14:paraId="3F7EC491">
      <w:pPr>
        <w:pStyle w:val="style0"/>
        <w:rPr/>
      </w:pPr>
      <w:r>
        <w:t xml:space="preserve">Cash forecasting and treasury management improvement: Advanced cash-flow forecasting should be implemented across Ryman’s hospitality and entertainment operations. Regular forecasting of expected hotel revenues, convention activity, operating expenditure, capital expenditure and debt payments would allow management to identify potential cash shortages in advance. Maintaining an </w:t>
      </w:r>
      <w:r>
        <w:t>appropriate cash reserve would improve Ryman’s ability to manage seasonal fluctuations and unexpected changes in hospitality demand.</w:t>
      </w:r>
    </w:p>
    <w:p w14:paraId="7D47CD28">
      <w:pPr>
        <w:pStyle w:val="style0"/>
        <w:rPr/>
      </w:pPr>
      <w:r>
        <w:t>The above recommended approaches can strengthen Ryman Hospitality Properties’ liquidity position while maintaining its favourable working capital cycle. Improved receivables collection, optimised supplier payments and effective cash forecasting would provide sufficient cash resources to support property maintenance, strategic investment, debt servicing and shareholder distributions. This would strengthen Ryman’s financial resilience and support sustainable long-term growth.</w:t>
      </w:r>
    </w:p>
    <w:p w14:paraId="4696799B">
      <w:pPr>
        <w:pStyle w:val="style0"/>
        <w:rPr>
          <w:b/>
          <w:bCs/>
        </w:rPr>
      </w:pPr>
      <w:r>
        <w:rPr>
          <w:b/>
          <w:bCs/>
        </w:rPr>
        <w:t>3.3 Comparing Short-term vs Long-term Financing Options</w:t>
      </w:r>
    </w:p>
    <w:p w14:paraId="15C415BD">
      <w:pPr>
        <w:pStyle w:val="style0"/>
        <w:rPr/>
      </w:pPr>
    </w:p>
    <w:p w14:paraId="1E82B2C1">
      <w:pPr>
        <w:pStyle w:val="style0"/>
        <w:rPr/>
      </w:pPr>
      <w:r>
        <w:t>There is the availability of both short and long-term financing options that can be effective for the fulfilment of working capital requirements at Ryman Hospitality Properties. For the management of temporary cash flow fluctuations, short-term financing such as supplier credit agreements, revolving credit facilities and bank loans can be effective. However, changing interest rates and loan renewal requirements can increase borrowing costs at Ryman and create uncertainty over future cash flow obligations. In contrast, long-term financing can help Ryman in maintaining greater financial stability. Bonds, long-term debt and equity financing can enable the company to fund property improvements, acquisitions and other strategic investments over a longer period. A balanced financial approach is suggested for Ryman as it has significant debt and capital requirements, while maintaining sufficient liquidity is important for its hospitality operations.</w:t>
      </w:r>
    </w:p>
    <w:p w14:paraId="17104758">
      <w:pPr>
        <w:pStyle w:val="style0"/>
        <w:rPr/>
      </w:pPr>
      <w:r>
        <w:rPr>
          <w:b/>
          <w:bCs/>
        </w:rPr>
        <w:t>4.</w:t>
      </w:r>
      <w:r>
        <w:rPr>
          <w:rFonts w:ascii="Segoe UI Symbol" w:cs="Segoe UI Symbol" w:hAnsi="Segoe UI Symbol"/>
          <w:b/>
          <w:bCs/>
        </w:rPr>
        <w:t>⁠</w:t>
      </w:r>
      <w:r>
        <w:rPr>
          <w:b/>
          <w:bCs/>
        </w:rPr>
        <w:t xml:space="preserve"> </w:t>
      </w:r>
      <w:r>
        <w:rPr>
          <w:rFonts w:ascii="Segoe UI Symbol" w:cs="Segoe UI Symbol" w:hAnsi="Segoe UI Symbol"/>
          <w:b/>
          <w:bCs/>
        </w:rPr>
        <w:t>⁠</w:t>
      </w:r>
      <w:r>
        <w:rPr>
          <w:b/>
          <w:bCs/>
        </w:rPr>
        <w:t>Strategic Financial Restructuring Pla</w:t>
      </w:r>
      <w:r>
        <w:t>n</w:t>
      </w:r>
    </w:p>
    <w:p w14:paraId="668DBB68">
      <w:pPr>
        <w:pStyle w:val="style0"/>
        <w:rPr>
          <w:b/>
          <w:bCs/>
        </w:rPr>
      </w:pPr>
      <w:r>
        <w:rPr>
          <w:b/>
          <w:bCs/>
        </w:rPr>
        <w:t>4.1 Recommend Financial Restructuring Options</w:t>
      </w:r>
    </w:p>
    <w:p w14:paraId="665B66B6">
      <w:pPr>
        <w:pStyle w:val="style0"/>
        <w:rPr/>
      </w:pPr>
      <w:r>
        <w:t>Financial evaluation reflects that Ryman Hospitality Properties has demonstrated strong recovery in profitability and operating performance. However, financial concerns arise from its significant debt obligations and capital-intensive hospitality business model. Financial flexibility that supports long-term growth can be achieved through an integrated financial restructuring approach at Ryman’s operations. Debt restructuring and refinancing should be prioritised at Ryman’s operations. The company’s debt and finance lease obligations remained approximately US$3.38 billion in 2024, creating exposure to interest-rate movements and repayment pressures. A longer repayment period and refinancing at competitive interest rates could improve cash flow and reduce financial pressure on the company.</w:t>
      </w:r>
    </w:p>
    <w:p w14:paraId="5B803D77">
      <w:pPr>
        <w:pStyle w:val="style0"/>
        <w:rPr/>
      </w:pPr>
      <w:r>
        <w:t xml:space="preserve">A more balanced approach towards capital distributions should also be adopted at Ryman’s operations, where it can retain an appropriate proportion of earnings to strengthen financial resilience. As a REIT, Ryman has significant distribution </w:t>
      </w:r>
      <w:r>
        <w:t>requirements, but maintaining sufficient funds for debt reduction and property investment is also important. A balanced capital allocation approach can therefore improve the company’s financial flexibility while supporting shareholder confidence.</w:t>
      </w:r>
    </w:p>
    <w:p w14:paraId="61C2E6E7">
      <w:pPr>
        <w:pStyle w:val="style0"/>
        <w:rPr/>
      </w:pPr>
      <w:r>
        <w:t>Strategic partnerships and selective property investments can support continued growth without creating excessive financial pressure from capital-intensive acquisitions. Ryman can focus on partnerships, joint ventures and carefully selected hospitality investments rather than relying heavily on debt-funded acquisitions. Application of this approach can strengthen its ability to expand its hospitality and entertainment portfolio while maintaining operational flexibility. This strategy is appropriate for Ryman because it supports long-term growth while limiting excessive leverage and financial risk.</w:t>
      </w:r>
    </w:p>
    <w:p w14:paraId="0D21229C">
      <w:pPr>
        <w:pStyle w:val="style0"/>
        <w:rPr>
          <w:b/>
          <w:bCs/>
        </w:rPr>
      </w:pPr>
      <w:r>
        <w:rPr>
          <w:b/>
          <w:bCs/>
        </w:rPr>
        <w:t>4.2 Evaluating Impact on Shareholder Value, Debt Structure, and Operational Flexibility</w:t>
      </w:r>
    </w:p>
    <w:p w14:paraId="4B39635C">
      <w:pPr>
        <w:pStyle w:val="style0"/>
        <w:rPr/>
      </w:pPr>
    </w:p>
    <w:p w14:paraId="73A58C19">
      <w:pPr>
        <w:pStyle w:val="style0"/>
        <w:rPr/>
      </w:pPr>
      <w:r>
        <w:t>Positive long-term impacts on Ryman Hospitality Properties’ shareholder value, debt structure and operational flexibility can be achieved through the successful implementation of the proposed financial restructuring measures. Financial stability at Ryman can be improved through debt refinancing and better capital allocation. This can reduce repayment pressure and improve the predictability of future cash flows. Some short-term shareholder returns may be affected if more earnings are retained. However, in the long run, retaining sufficient funds can strengthen the financial position of the company. A stronger financial position can increase investor confidence and support sustainable shareholder value.</w:t>
      </w:r>
    </w:p>
    <w:p w14:paraId="30FC8675">
      <w:pPr>
        <w:pStyle w:val="style0"/>
        <w:rPr/>
      </w:pPr>
    </w:p>
    <w:p w14:paraId="62BEF538">
      <w:pPr>
        <w:pStyle w:val="style0"/>
        <w:rPr/>
      </w:pPr>
      <w:r>
        <w:t>From a debt structure perspective, refinancing existing borrowings can reduce Ryman’s exposure to interest-rate volatility and refinancing risk. In 2024, Ryman’s debt and finance lease obligations were approximately US$3.38 billion, highlighting the importance of effective debt management. A more balanced capital structure can reduce financial pressure and provide greater stability during periods of economic uncertainty. It can also allow Ryman to maintain a resilient position within the competitive hospitality industry.</w:t>
      </w:r>
    </w:p>
    <w:p w14:paraId="52D24075">
      <w:pPr>
        <w:pStyle w:val="style0"/>
        <w:rPr/>
      </w:pPr>
    </w:p>
    <w:p w14:paraId="66FF9D8C">
      <w:pPr>
        <w:pStyle w:val="style0"/>
        <w:rPr/>
      </w:pPr>
      <w:r>
        <w:t xml:space="preserve">Operational flexibility at Ryman can be improved through strategic partnerships, joint ventures and selective property investment. These approaches can allow the company to expand its hospitality and entertainment operations without depending excessively on additional debt. Lower financial pressure would provide greater flexibility to invest in property improvements, technology, customer experience and sustainability initiatives. However, there is a requirement for an appropriate balance between debt reduction and </w:t>
      </w:r>
      <w:r>
        <w:t>growth investment. Excessive cost-cutting could negatively affect service quality and competitiveness. Overall, the restructuring plan can enhance Ryman’s financial resilience while supporting long-term growth.</w:t>
      </w:r>
    </w:p>
    <w:p w14:paraId="774BE3EA">
      <w:pPr>
        <w:pStyle w:val="style0"/>
        <w:rPr>
          <w:b/>
          <w:bCs/>
        </w:rPr>
      </w:pPr>
      <w:r>
        <w:rPr>
          <w:b/>
          <w:bCs/>
        </w:rPr>
        <w:t>4.3 International and Ethical Considerations</w:t>
      </w:r>
    </w:p>
    <w:p w14:paraId="357382F7">
      <w:pPr>
        <w:pStyle w:val="style0"/>
        <w:rPr/>
      </w:pPr>
      <w:r>
        <w:t>During financial restructuring strategy implementation, there is a requirement for effective consideration of international and ethical factors due to Ryman Hospitality Properties’ exposure to the wider hospitality market. Currency risk can affect Ryman’s international operations and investment activities, particularly where revenues, costs or financing arrangements involve foreign currencies. For the minimisation of this risk level, appropriate hedging strategies can be considered. Another significant risk is inflation and rising interest rates, as costs related to operations, energy, labour and financing can increase. These factors can weaken profit margins and increase debt servicing costs. This highlights the requirement for efficient cost management and appropriate financing policies.</w:t>
      </w:r>
    </w:p>
    <w:p w14:paraId="2B741A6B">
      <w:pPr>
        <w:pStyle w:val="style0"/>
        <w:rPr/>
      </w:pPr>
      <w:r>
        <w:t>From the view of taxation, there is a requirement for strict compliance with relevant tax regulations and transparent financial reporting. This can help Ryman decrease potential legal, financial and reputational risks. Besides this, Ryman requires the adoption of strong Corporate Social Responsibility (CSR) and Environmental, Social and Governance (ESG) considerations in financial decisions. As a hospitality company, sustainable procurement, energy efficiency, responsible resource management and investment in environmentally sustainable properties can improve long-term performance. Positive corporate reputation and enhanced stakeholder confidence can support Ryman in achieving sustainable financial performance and maintaining its competitive position in the hospitality industry.</w:t>
      </w:r>
    </w:p>
    <w:p w14:paraId="202648CC">
      <w:pPr>
        <w:pStyle w:val="style0"/>
        <w:rPr>
          <w:b/>
          <w:bCs/>
        </w:rPr>
      </w:pPr>
      <w:r>
        <w:rPr>
          <w:b/>
          <w:bCs/>
        </w:rPr>
        <w:t>5.</w:t>
      </w:r>
      <w:r>
        <w:rPr>
          <w:rFonts w:ascii="Segoe UI Symbol" w:cs="Segoe UI Symbol" w:hAnsi="Segoe UI Symbol"/>
          <w:b/>
          <w:bCs/>
        </w:rPr>
        <w:t>⁠</w:t>
      </w:r>
      <w:r>
        <w:rPr>
          <w:b/>
          <w:bCs/>
        </w:rPr>
        <w:t xml:space="preserve"> </w:t>
      </w:r>
      <w:r>
        <w:rPr>
          <w:rFonts w:ascii="Segoe UI Symbol" w:cs="Segoe UI Symbol" w:hAnsi="Segoe UI Symbol"/>
          <w:b/>
          <w:bCs/>
        </w:rPr>
        <w:t>⁠</w:t>
      </w:r>
      <w:r>
        <w:rPr>
          <w:b/>
          <w:bCs/>
        </w:rPr>
        <w:t>Investment Appraisal and Capital Budgeting</w:t>
      </w:r>
    </w:p>
    <w:p w14:paraId="77C39059">
      <w:pPr>
        <w:pStyle w:val="style0"/>
        <w:rPr>
          <w:b/>
          <w:bCs/>
        </w:rPr>
      </w:pPr>
      <w:r>
        <w:rPr>
          <w:b/>
          <w:bCs/>
        </w:rPr>
        <w:t>5.1 Investment Projects</w:t>
      </w:r>
    </w:p>
    <w:p w14:paraId="2485A929">
      <w:pPr>
        <w:pStyle w:val="style0"/>
        <w:rPr>
          <w:b/>
          <w:bCs/>
        </w:rPr>
      </w:pPr>
      <w:r>
        <w:rPr>
          <w:b/>
          <w:bCs/>
        </w:rPr>
        <w:t>Project A</w:t>
      </w:r>
    </w:p>
    <w:p w14:paraId="36B74311">
      <w:pPr>
        <w:pStyle w:val="style0"/>
        <w:rPr/>
      </w:pPr>
      <w:r>
        <w:t>Project A will cost £50,000,000 to set up. The cash inflow is expected to be £10,000,000 in Year 1, £12,000,000 in Year 2, £14,000,000 in Year 3, £10,000,000 in Year 4, and £8,000,000 in Year 5. For Ryman Hospitality Properties, the project has a payback period (PBP) of approximately 4.92 years, meaning that the initial investment will be recovered just before the end of the project life.</w:t>
      </w:r>
    </w:p>
    <w:p w14:paraId="2F94AD5B">
      <w:pPr>
        <w:pStyle w:val="style0"/>
        <w:rPr/>
      </w:pPr>
      <w:r>
        <w:t xml:space="preserve">Management’s assessment shows an ARR of 43%, indicating a reasonable level of accounting profitability in relation to the initial investment. However, ARR ignores the time value of money and should therefore not be used as the major investment criterion. The NPV is approximately -£6.54 million when future cash inflows are </w:t>
      </w:r>
      <w:r>
        <w:t>discounted at Ryman’s required rate of return of 8%. As a result, implementation of Project A would reduce shareholder wealth.</w:t>
      </w:r>
    </w:p>
    <w:p w14:paraId="75CB4F27">
      <w:pPr>
        <w:pStyle w:val="style0"/>
        <w:rPr/>
      </w:pPr>
      <w:r>
        <w:t>Likewise, the IRR of 3% is below the 8% cost of capital. Therefore, the expected return from Project A does not compensate investors adequately for the risk undertaken. Although the Profitability Index (PI) indicates approximately £1.08 of discounted benefits for every £1 invested, the negative NPV and low IRR provide stronger evidence for rejecting the project.</w:t>
      </w:r>
    </w:p>
    <w:p w14:paraId="13A875DE">
      <w:pPr>
        <w:pStyle w:val="style0"/>
        <w:rPr>
          <w:b/>
          <w:bCs/>
        </w:rPr>
      </w:pPr>
      <w:r>
        <w:rPr>
          <w:b/>
          <w:bCs/>
        </w:rPr>
        <w:t>Project B</w:t>
      </w:r>
    </w:p>
    <w:p w14:paraId="40BE924D">
      <w:pPr>
        <w:pStyle w:val="style0"/>
        <w:rPr/>
      </w:pPr>
      <w:r>
        <w:t>Project B requires an initial investment of £50 million and will generate a constant cash inflow of £11 million per annum for five years. The project has a PBP of approximately 4.74 years, which is slightly shorter than Project A and therefore allows Ryman to recover its initial investment more quickly. Consistent annual cash inflows also reduce uncertainty and make the project’s cash-flow profile relatively predictable.</w:t>
      </w:r>
    </w:p>
    <w:p w14:paraId="69FF66D7">
      <w:pPr>
        <w:pStyle w:val="style0"/>
        <w:rPr/>
      </w:pPr>
      <w:r>
        <w:t>With an ARR of 44%, Project B is slightly better than Project A in terms of accounting profitability. Nevertheless, ARR does not consider the timing of cash flows and should not be relied upon as the primary investment appraisal method. The project produces an NPV of approximately -£6.08 million at Ryman’s required rate of return of 8%, indicating that discounted future cash inflows are insufficient to recover the initial investment.</w:t>
      </w:r>
    </w:p>
    <w:p w14:paraId="06194244">
      <w:pPr>
        <w:pStyle w:val="style0"/>
        <w:rPr/>
      </w:pPr>
      <w:r>
        <w:t>The IRR of 3% is also below the 8% cost of capital, meaning that the project is not expected to generate an adequate return for the level of investment risk. Although the PI indicates approximately £1.10 of discounted benefits for every £1 invested, the negative NPV remains the stronger decision-making criterion. Therefore, Project B should not be selected by Ryman.</w:t>
      </w:r>
    </w:p>
    <w:p w14:paraId="120FDD5C">
      <w:pPr>
        <w:pStyle w:val="style0"/>
        <w:rPr>
          <w:b/>
          <w:bCs/>
        </w:rPr>
      </w:pPr>
      <w:r>
        <w:rPr>
          <w:b/>
          <w:bCs/>
        </w:rPr>
        <w:t>Project C</w:t>
      </w:r>
    </w:p>
    <w:p w14:paraId="05ABBDCF">
      <w:pPr>
        <w:pStyle w:val="style0"/>
        <w:rPr/>
      </w:pPr>
      <w:r>
        <w:t>Project C requires an initial investment of £50 million and generates cash inflows over five years, although the cash flows are uneven. While the project produces modest returns during the first two years, stronger cash inflows in Years 3 and 4 contribute to higher overall profitability. With an ARR of 52%, Project C demonstrates superior accounting profitability compared with Projects A and B.</w:t>
      </w:r>
    </w:p>
    <w:p w14:paraId="289D6832">
      <w:pPr>
        <w:pStyle w:val="style0"/>
        <w:rPr/>
      </w:pPr>
      <w:r>
        <w:t>Most importantly, Project C produces a positive NPV of £0.86 million, meaning that the present value of future cash inflows exceeds the initial investment and therefore creates additional shareholder value for Ryman Hospitality Properties. Furthermore, the IRR of 9% is higher than the organisation’s required return of 8%. This satisfies the investment acceptance criterion and indicates that the project is expected to generate a return greater than the required cost of finance.</w:t>
      </w:r>
    </w:p>
    <w:p w14:paraId="39B31045">
      <w:pPr>
        <w:pStyle w:val="style0"/>
        <w:rPr/>
      </w:pPr>
      <w:r>
        <w:t>The payback period is longer than Projects A and B because a greater proportion of the project’s cash inflows occurs in the later years. However, this does not necessarily indicate inferior investment value. For Ryman, NPV and IRR are more reliable investment appraisal techniques because they consider the time value of money and provide a stronger indication of whether a project will create or destroy shareholder wealth.</w:t>
      </w:r>
    </w:p>
    <w:p w14:paraId="2583F332">
      <w:pPr>
        <w:pStyle w:val="style0"/>
        <w:rPr>
          <w:b/>
          <w:bCs/>
        </w:rPr>
      </w:pPr>
      <w:r>
        <w:rPr>
          <w:b/>
          <w:bCs/>
        </w:rPr>
        <w:t>5.2 Recommendation Which is Best Choice</w:t>
      </w:r>
    </w:p>
    <w:p w14:paraId="52158D9E">
      <w:pPr>
        <w:pStyle w:val="style0"/>
        <w:rPr/>
      </w:pPr>
      <w:r>
        <w:t>From the investment appraisal results, Project C is the project recommended for investment by Ryman Hospitality Properties, as it is the only project that creates positive economic value and generates a return above the company’s required rate of return. Project A and Project B record relatively high ARR values of 43% and 44%, respectively. Nevertheless, both projects produce negative NPVs. Project A has an NPV of -£6.54 million, while Project B generates an NPV of -£6.08 million. A negative NPV means that the discounted future cash inflows are not sufficient to recover the initial investment at the required cost of capital of 8%. Therefore, these projects would reduce shareholder wealth.</w:t>
      </w:r>
    </w:p>
    <w:p w14:paraId="1FE6D90A">
      <w:pPr>
        <w:pStyle w:val="style0"/>
        <w:rPr/>
      </w:pPr>
      <w:r>
        <w:t>Unlike Projects A and B, Project C has a positive NPV of £0.86 million. Therefore, it adds value to Ryman’s business after considering the time value of money. Additionally, its 9% IRR exceeds the required return of 8%, making the investment financially acceptable. Project C also records the highest ARR of 52% and the highest Profitability Index of 1.30, indicating the strongest profitability and value creation for each pound invested.</w:t>
      </w:r>
    </w:p>
    <w:p w14:paraId="76212B06">
      <w:pPr>
        <w:pStyle w:val="style0"/>
        <w:rPr/>
      </w:pPr>
      <w:r>
        <w:t>Project C has a longer payback period because most of its cash inflows are received in the later years. However, this does not outweigh its superior NPV and IRR results. Since NPV is generally considered the most reliable capital budgeting technique for maximising shareholder wealth, Project C is the most desirable investment for Ryman.</w:t>
      </w:r>
    </w:p>
    <w:p w14:paraId="717C6F93">
      <w:pPr>
        <w:pStyle w:val="style0"/>
        <w:rPr/>
      </w:pPr>
      <w:r>
        <w:t>Justification</w:t>
      </w:r>
    </w:p>
    <w:p w14:paraId="4DD157E8">
      <w:pPr>
        <w:pStyle w:val="style0"/>
        <w:rPr/>
      </w:pPr>
      <w:r>
        <w:t xml:space="preserve">Project C is the most suitable choice because it is supported by the improving financial performance and strategic position of Ryman Hospitality Properties. Financial assessment shows that Ryman’s revenue increased substantially from approximately US$524.5 million in 2020 to US$2.34 billion in 2024, while operating income increased to approximately US$490.8 million in 2024. This demonstrates stronger profitability and operating capacity following the pandemic. </w:t>
      </w:r>
    </w:p>
    <w:p w14:paraId="1DDA1B62">
      <w:pPr>
        <w:pStyle w:val="style0"/>
        <w:rPr/>
      </w:pPr>
      <w:r>
        <w:t xml:space="preserve">However, Ryman also has significant debt and capital requirements, with debt and finance lease obligations of approximately US$3.38 billion in 2024. Therefore, selecting an investment that provides a positive NPV and an IRR above the 8% required return is </w:t>
      </w:r>
      <w:r>
        <w:t>important for avoiding unnecessary financial pressure and improving investment efficiency.</w:t>
      </w:r>
    </w:p>
    <w:p w14:paraId="53593B5E">
      <w:pPr>
        <w:pStyle w:val="style0"/>
        <w:rPr/>
      </w:pPr>
      <w:r>
        <w:t>Non-financial factors such as inflation, interest-rate movements, changes in tourism and convention demand, economic uncertainty and competitive pressures should also be considered by Ryman because these factors may influence future project returns. Overall, the selection of Project C provides the best combination of financial return, shareholder value creation and long-term strategic potential for Ryman Hospitality Properties.</w:t>
      </w:r>
    </w:p>
    <w:p w14:paraId="21476AE7">
      <w:pPr>
        <w:pStyle w:val="style0"/>
        <w:rPr>
          <w:b/>
          <w:bCs/>
        </w:rPr>
      </w:pPr>
      <w:r>
        <w:rPr>
          <w:b/>
          <w:bCs/>
        </w:rPr>
        <w:t>5.3 Capital Rationing Recommendation</w:t>
      </w:r>
    </w:p>
    <w:p w14:paraId="4BDCED05">
      <w:pPr>
        <w:pStyle w:val="style0"/>
        <w:rPr/>
      </w:pPr>
    </w:p>
    <w:p w14:paraId="757DAF22">
      <w:pPr>
        <w:pStyle w:val="style0"/>
        <w:rPr/>
      </w:pPr>
      <w:r>
        <w:t>Investment in only two of the three proposed projects can be undertaken by Ryman Hospitality Properties under capital rationing because the maximum investment budget is £100 million. Comprehensive assessment of the investment appraisal results indicates that there is a requirement to select Project C first. This is the only project that has a positive NPV of £0.86 million, a PI of 1.30 and an IRR of 9%. The IRR is higher than the company’s required rate of return of 8%, making Project C financially acceptable.</w:t>
      </w:r>
    </w:p>
    <w:p w14:paraId="71B48EC7">
      <w:pPr>
        <w:pStyle w:val="style0"/>
        <w:rPr/>
      </w:pPr>
    </w:p>
    <w:p w14:paraId="36D669FF">
      <w:pPr>
        <w:pStyle w:val="style0"/>
        <w:rPr/>
      </w:pPr>
      <w:r>
        <w:t>Secondly, there is a requirement to select Project B over Project A if the full £100 million budget must be utilised. The rationale behind selecting Project B is that it has a smaller negative NPV of -£6.08 million compared with Project A’s -£6.54 million. Project B also has a slightly higher ARR of 44% compared with Project A’s 43%. Thus, under the financial limitation of £100 million, a combination of Project B and Project C provides the better available investment option.</w:t>
      </w:r>
    </w:p>
    <w:p w14:paraId="5AAD1F4C">
      <w:pPr>
        <w:pStyle w:val="style0"/>
        <w:rPr/>
      </w:pPr>
    </w:p>
    <w:p w14:paraId="3E968146">
      <w:pPr>
        <w:pStyle w:val="style0"/>
        <w:rPr>
          <w:b/>
          <w:bCs/>
        </w:rPr>
      </w:pPr>
      <w:r>
        <w:t xml:space="preserve">However, because Project B has a negative NPV, it would not increase shareholder wealth on a standalone basis. This should therefore be carefully considered by Ryman’s management. Where there is no compulsory requirement to invest the full £100 million, Project C alone should be selected, as it is the only project that generates positive NPV and creates additional </w:t>
      </w:r>
      <w:r>
        <w:rPr>
          <w:b/>
          <w:bCs/>
        </w:rPr>
        <w:t>shareholder value.</w:t>
      </w:r>
    </w:p>
    <w:p w14:paraId="2EEA2C07">
      <w:pPr>
        <w:pStyle w:val="style0"/>
        <w:rPr>
          <w:b/>
          <w:bCs/>
        </w:rPr>
      </w:pPr>
      <w:r>
        <w:rPr>
          <w:b/>
          <w:bCs/>
        </w:rPr>
        <w:t>6.</w:t>
      </w:r>
      <w:r>
        <w:rPr>
          <w:rFonts w:ascii="Segoe UI Symbol" w:cs="Segoe UI Symbol" w:hAnsi="Segoe UI Symbol"/>
          <w:b/>
          <w:bCs/>
        </w:rPr>
        <w:t>⁠</w:t>
      </w:r>
      <w:r>
        <w:rPr>
          <w:b/>
          <w:bCs/>
        </w:rPr>
        <w:t xml:space="preserve"> </w:t>
      </w:r>
      <w:r>
        <w:rPr>
          <w:rFonts w:ascii="Segoe UI Symbol" w:cs="Segoe UI Symbol" w:hAnsi="Segoe UI Symbol"/>
          <w:b/>
          <w:bCs/>
        </w:rPr>
        <w:t>⁠</w:t>
      </w:r>
      <w:r>
        <w:rPr>
          <w:b/>
          <w:bCs/>
        </w:rPr>
        <w:t>Critical Reflection on AI Usage</w:t>
      </w:r>
    </w:p>
    <w:p w14:paraId="68A7DAF6">
      <w:pPr>
        <w:pStyle w:val="style0"/>
        <w:rPr/>
      </w:pPr>
    </w:p>
    <w:p w14:paraId="0A880815">
      <w:pPr>
        <w:pStyle w:val="style0"/>
        <w:rPr>
          <w:b/>
          <w:bCs/>
        </w:rPr>
      </w:pPr>
      <w:r>
        <w:rPr>
          <w:b/>
          <w:bCs/>
        </w:rPr>
        <w:t>6.1 Tool Disclosure</w:t>
      </w:r>
    </w:p>
    <w:p w14:paraId="1FAAB2A5">
      <w:pPr>
        <w:pStyle w:val="style0"/>
        <w:rPr/>
      </w:pPr>
    </w:p>
    <w:p w14:paraId="72943370">
      <w:pPr>
        <w:pStyle w:val="style0"/>
        <w:rPr/>
      </w:pPr>
      <w:r>
        <w:t xml:space="preserve">The generative Artificial Intelligence (AI) platform ChatGPT’s assistance has been used within this report for enhancing clarity, robustness and logical flow in structure. For </w:t>
      </w:r>
      <w:r>
        <w:t>basic financial concepts and understanding the financial performance and management of Ryman Hospitality Properties, AI has been used strategically. Moreover, grammatical accuracy and improved academic writing have also been supported through the use of this advanced tool. It helped explain concepts such as working capital management, ratio analysis, investment appraisal techniques and financial restructuring. Information for this study was gained from annual reports, peer-reviewed articles, journals and other credible resources. Ryman Hospitality Properties’ published annual reports and credible academic sources were used for financial calculations. Considering the integrity of AI use in academic writing, independent investment appraisal methods such as NPV, IRR, cash operating cycle assessment and ratio analysis have been performed. Findings of the study are presented through critical synthesis of information rather than completely depending on AI. Therefore, independent analysis and professional judgement have been maintained to support the reliability and credibility of the research.</w:t>
      </w:r>
    </w:p>
    <w:p w14:paraId="3A86452D">
      <w:pPr>
        <w:pStyle w:val="style0"/>
        <w:rPr>
          <w:b/>
          <w:bCs/>
        </w:rPr>
      </w:pPr>
      <w:r>
        <w:rPr>
          <w:b/>
          <w:bCs/>
        </w:rPr>
        <w:t>6.2 Critical Evaluation of AI Output</w:t>
      </w:r>
    </w:p>
    <w:p w14:paraId="4C18A1FE">
      <w:pPr>
        <w:pStyle w:val="style0"/>
        <w:rPr/>
      </w:pPr>
    </w:p>
    <w:p w14:paraId="680B7486">
      <w:pPr>
        <w:pStyle w:val="style0"/>
        <w:rPr/>
      </w:pPr>
      <w:r>
        <w:t>Within the financial management report, financial interpretation generated with the use of AI has been cross-checked independently to ensure accuracy, reliability and logical flow throughout the writing. Verification of ChatGPT outputs has mainly been conducted using credible industry sources, annual reports published by Ryman Hospitality Properties and authoritative academic sources. AI can sometimes generate inaccurate responses because it relies on learned information and does not independently verify every financial figure or assumption (Page et al., 2024). Generative AI has provided valuable support for this study. However, during the verification process, some unsupported assumptions and inaccurate financial interpretations were identified. These inaccuracies were removed to ensure that the financial assessment remained evidence-based. The actual financial performance assessment of Ryman supports robust and practical suggestions for improving its financial health. Moreover, using AI as a supporting tool has helped facilitate professional reliability and maintain academic integrity.</w:t>
      </w:r>
    </w:p>
    <w:p w14:paraId="1A821E0F">
      <w:pPr>
        <w:pStyle w:val="style0"/>
        <w:rPr>
          <w:b/>
          <w:bCs/>
        </w:rPr>
      </w:pPr>
      <w:r>
        <w:rPr>
          <w:b/>
          <w:bCs/>
        </w:rPr>
        <w:t>6.3 Contribution Analysis</w:t>
      </w:r>
    </w:p>
    <w:p w14:paraId="0CC7F613">
      <w:pPr>
        <w:pStyle w:val="style0"/>
        <w:rPr/>
      </w:pPr>
    </w:p>
    <w:p w14:paraId="6E37FB76">
      <w:pPr>
        <w:pStyle w:val="style0"/>
        <w:rPr/>
      </w:pPr>
      <w:r>
        <w:t xml:space="preserve">AI’s contribution within this report is mainly in the areas of structuring the report, providing basic insights into financial concepts, refining language and presenting the findings in a better way. Academic writing style enhancement with the assistance of AI has strengthened the coherence and professional representation of the report. Reliability in outcomes is strengthened as I have made financial calculations independently in Excel rather than completely depending on algorithm-based outputs. </w:t>
      </w:r>
      <w:r>
        <w:t>Moreover, I have critically examined the financial position of Ryman Hospitality Properties and then proposed strategic recommendations that strengthen its business resilience and support achieving long-term growth. Overall, this advanced tool has helped improve the clarity, efficiency and professional presentation of the report.</w:t>
      </w:r>
    </w:p>
    <w:p w14:paraId="74B6BF6C">
      <w:pPr>
        <w:pStyle w:val="style0"/>
        <w:rPr>
          <w:b/>
          <w:bCs/>
        </w:rPr>
      </w:pPr>
      <w:r>
        <w:rPr>
          <w:b/>
          <w:bCs/>
        </w:rPr>
        <w:t>6.4 Ethical &amp; Professional Reflection</w:t>
      </w:r>
    </w:p>
    <w:p w14:paraId="21DA7F42">
      <w:pPr>
        <w:pStyle w:val="style0"/>
        <w:rPr/>
      </w:pPr>
      <w:r>
        <w:t>Use of AI within this report has played a significant strategic role, although it highlights the requirement for ethical and professional consideration. In Ryman Hospitality Properties’ financial analysis, transparency regarding AI use is significantly important. While writing, it is highly important to disclose the use of AI and apply independent judgement before using information produced by generative AI in the report. There is also a strong requirement to maintain data privacy to avoid the misuse of sensitive commercial information. For this reason, strict compliance with relevant data privacy requirements is necessary. Within this report, I have ensured proper safeguarding of sensitive financial and other information to maintain academic and professional integrity. Poor financial decisions may also arise from excessive reliance on AI when making financial recommendations because of incomplete, inaccurate or biased outputs (</w:t>
      </w:r>
      <w:r>
        <w:t>Theodorakopoulo</w:t>
      </w:r>
      <w:r>
        <w:t xml:space="preserve"> et al., 2025). However, AI can be effective for evaluating large volumes of information and supporting decision-making. Overall, AI should be used as a supporting tool while maintaining accountability, professional judgement, integrity and accuracy in financial analysis</w:t>
      </w:r>
    </w:p>
    <w:p w14:paraId="5650C58A">
      <w:pPr>
        <w:pStyle w:val="style0"/>
        <w:rPr>
          <w:b/>
          <w:bCs/>
        </w:rPr>
      </w:pPr>
      <w:r>
        <w:rPr>
          <w:b/>
          <w:bCs/>
        </w:rPr>
        <w:t>7.</w:t>
      </w:r>
      <w:r>
        <w:rPr>
          <w:rFonts w:ascii="Segoe UI Symbol" w:cs="Segoe UI Symbol" w:hAnsi="Segoe UI Symbol"/>
          <w:b/>
          <w:bCs/>
        </w:rPr>
        <w:t>⁠</w:t>
      </w:r>
      <w:r>
        <w:rPr>
          <w:b/>
          <w:bCs/>
        </w:rPr>
        <w:t xml:space="preserve"> </w:t>
      </w:r>
      <w:r>
        <w:rPr>
          <w:rFonts w:ascii="Segoe UI Symbol" w:cs="Segoe UI Symbol" w:hAnsi="Segoe UI Symbol"/>
          <w:b/>
          <w:bCs/>
        </w:rPr>
        <w:t>⁠</w:t>
      </w:r>
      <w:r>
        <w:rPr>
          <w:b/>
          <w:bCs/>
        </w:rPr>
        <w:t>Conclusion</w:t>
      </w:r>
    </w:p>
    <w:p w14:paraId="73B732AB">
      <w:pPr>
        <w:pStyle w:val="style0"/>
        <w:rPr/>
      </w:pPr>
      <w:r>
        <w:t>It can be concluded that rising profitability, improved operating performance and stronger cash generation have enabled Ryman Hospitality Properties to achieve a strong financial recovery following the COVID-19 pandemic. However, financial analysis also reflected that liquidity and significant debt obligations remain important areas of concern for Ryman’s operations. Project C presents the most suitable investment because it generates a positive NPV and an IRR above the required rate of return. Successful implementation of the proposed working capital, financing and restructuring strategies can strengthen Ryman’s financial resilience, support sustainable long-term growth and maintain its competitive position in the hospitality industry.</w:t>
      </w:r>
    </w:p>
    <w:p w14:paraId="561FCDC5">
      <w:pPr>
        <w:pStyle w:val="style0"/>
        <w:rPr/>
      </w:pPr>
      <w:r>
        <w:rPr>
          <w:b/>
          <w:bCs/>
        </w:rPr>
        <w:t>References</w:t>
      </w:r>
      <w:r>
        <w:t xml:space="preserve"> — Ryman Hospitality Properties Assignment</w:t>
      </w:r>
    </w:p>
    <w:p w14:paraId="1D25DDF4">
      <w:pPr>
        <w:pStyle w:val="style0"/>
        <w:rPr/>
      </w:pPr>
      <w:r>
        <w:t>Akpadaka</w:t>
      </w:r>
      <w:r>
        <w:t>, O. and Edeh, P.O. (2024) ‘Impact of Cash Conversion Cycle and Financial Stability on Firm Value’, Journal of Accounting and Financial Management, 10, pp.123–141.</w:t>
      </w:r>
    </w:p>
    <w:p w14:paraId="50C095E2">
      <w:pPr>
        <w:pStyle w:val="style0"/>
        <w:rPr/>
      </w:pPr>
      <w:r>
        <w:t>Bessonova</w:t>
      </w:r>
      <w:r>
        <w:t xml:space="preserve">, A., </w:t>
      </w:r>
      <w:r>
        <w:t>Bessonova</w:t>
      </w:r>
      <w:r>
        <w:t>, S. and Shevchenko, A. (2024) ‘Optimization of Receivables of an Enterprise as a Tool for Strengthening Financial Efficiency’, Economics of Development Systems, 6(2), pp.146–150.</w:t>
      </w:r>
    </w:p>
    <w:p w14:paraId="0742DA71">
      <w:pPr>
        <w:pStyle w:val="style0"/>
        <w:rPr/>
      </w:pPr>
      <w:r>
        <w:t>Burnie, D.A. and Ridder, A.D. (2023) ‘Accounts payable management’, in Working Capital Management: Concepts and Strategies, pp.283–307.</w:t>
      </w:r>
    </w:p>
    <w:p w14:paraId="2AC2E4A3">
      <w:pPr>
        <w:pStyle w:val="style0"/>
        <w:rPr/>
      </w:pPr>
      <w:r>
        <w:t>DeFusco, A.A., Nathanson, C.G. and Reher, M. (2023) ‘Real effects of rollover risk: Evidence from hotels in crisis’, National Bureau of Economic Research, Working Paper No. 31764.</w:t>
      </w:r>
    </w:p>
    <w:p w14:paraId="11CA14EA">
      <w:pPr>
        <w:pStyle w:val="style0"/>
        <w:rPr/>
      </w:pPr>
      <w:r>
        <w:t>Deloitte (2022) Do asset light operating models get better results? Available from: Deloitte. Accessed on 14.07.2026.</w:t>
      </w:r>
    </w:p>
    <w:p w14:paraId="1091045E">
      <w:pPr>
        <w:pStyle w:val="style0"/>
        <w:rPr/>
      </w:pPr>
      <w:r>
        <w:t>Li, K. (2024) ‘Liquidity ratios and corporate failures’, Accounting &amp; Finance, 64(1), pp.1111–1134.</w:t>
      </w:r>
    </w:p>
    <w:p w14:paraId="266135D5">
      <w:pPr>
        <w:pStyle w:val="style0"/>
        <w:rPr/>
      </w:pPr>
      <w:r>
        <w:t>Olayinka, A.A. (2022) ‘Financial statement analysis as a tool for investment decisions and assessment of companies’ performance’, International Journal of Financial, Accounting, and Management, 4(1), pp.49–66.</w:t>
      </w:r>
    </w:p>
    <w:p w14:paraId="7A5B023E">
      <w:pPr>
        <w:pStyle w:val="style0"/>
        <w:rPr/>
      </w:pPr>
      <w:r>
        <w:t xml:space="preserve">Page, S., Hubrich, S., Richards, R., Kritzman, M., Walcher, M., Wong, N., </w:t>
      </w:r>
      <w:r>
        <w:t>Wakrim</w:t>
      </w:r>
      <w:r>
        <w:t xml:space="preserve">, A., Xiang, D., Xiao, I., </w:t>
      </w:r>
      <w:r>
        <w:t>Yamahara</w:t>
      </w:r>
      <w:r>
        <w:t>, R. and Shan, C. (2024) Human vs AI in Financial Analysis.</w:t>
      </w:r>
    </w:p>
    <w:p w14:paraId="10720AE0">
      <w:pPr>
        <w:pStyle w:val="style0"/>
        <w:rPr/>
      </w:pPr>
      <w:r>
        <w:t>Ryman Hospitality Properties, Inc. (2021) 2020 Annual Report. Available from: Ryman Official Annual Reports</w:t>
      </w:r>
    </w:p>
    <w:p w14:paraId="0217DAB7">
      <w:pPr>
        <w:pStyle w:val="style0"/>
        <w:rPr/>
      </w:pPr>
      <w:r>
        <w:t>Ryman Hospitality Properties, Inc.</w:t>
      </w:r>
    </w:p>
    <w:p w14:paraId="682E5FD1">
      <w:pPr>
        <w:pStyle w:val="style0"/>
        <w:rPr/>
      </w:pPr>
      <w:r>
        <w:t>Ryman Hospitality Properties, Inc. (2022) 2021 Annual Report. Available from: Ryman Official Annual Reports</w:t>
      </w:r>
    </w:p>
    <w:p w14:paraId="561EBDC0">
      <w:pPr>
        <w:pStyle w:val="style0"/>
        <w:rPr/>
      </w:pPr>
      <w:r>
        <w:t>Ryman Hospitality Properties, Inc.</w:t>
      </w:r>
    </w:p>
    <w:p w14:paraId="74626403">
      <w:pPr>
        <w:pStyle w:val="style0"/>
        <w:rPr/>
      </w:pPr>
      <w:r>
        <w:t>Ryman Hospitality Properties, Inc. (2023) 2022 Annual Report. Available from: Ryman Official Annual Report</w:t>
      </w:r>
    </w:p>
    <w:p w14:paraId="7DA3AB31">
      <w:pPr>
        <w:pStyle w:val="style0"/>
        <w:rPr/>
      </w:pPr>
      <w:r>
        <w:t>an Hospitality Properties, Inc.</w:t>
      </w:r>
    </w:p>
    <w:p w14:paraId="0AEB6A6B">
      <w:pPr>
        <w:pStyle w:val="style0"/>
        <w:rPr/>
      </w:pPr>
      <w:r>
        <w:t>Ryman Hospitality Properties, Inc. (2024) 2023 Annual Report. Available from: Ryman Official Annual Report</w:t>
      </w:r>
    </w:p>
    <w:p w14:paraId="045E48D7">
      <w:pPr>
        <w:pStyle w:val="style0"/>
        <w:rPr/>
      </w:pPr>
      <w:r>
        <w:t>Ryman Hospitality Properties, Inc.</w:t>
      </w:r>
    </w:p>
    <w:p w14:paraId="301D1BE6">
      <w:pPr>
        <w:pStyle w:val="style0"/>
        <w:rPr/>
      </w:pPr>
      <w:r>
        <w:t>Ryman Hospitality Properties, Inc. (2025) 2024 Annual Report. Available from: Ryman 2024 Form 10-K</w:t>
      </w:r>
    </w:p>
    <w:p w14:paraId="67C41E72">
      <w:pPr>
        <w:pStyle w:val="style0"/>
        <w:rPr/>
      </w:pPr>
      <w:r>
        <w:t>Ryman Hospitality Properties, Inc.</w:t>
      </w:r>
    </w:p>
    <w:p w14:paraId="69D0D7B9">
      <w:pPr>
        <w:pStyle w:val="style0"/>
        <w:rPr/>
      </w:pPr>
      <w:r>
        <w:t>Ryman Hospitality Properties, Inc. (2026) 2025 Annual RK. Available from: Ryman 2025 Form 10-K</w:t>
      </w:r>
    </w:p>
    <w:p w14:paraId="0BF0CC05">
      <w:pPr>
        <w:pStyle w:val="style0"/>
        <w:rPr/>
      </w:pPr>
      <w:r>
        <w:t>SEC</w:t>
      </w:r>
    </w:p>
    <w:p w14:paraId="2FCFA04D">
      <w:pPr>
        <w:pStyle w:val="style0"/>
        <w:rPr/>
      </w:pPr>
      <w:r>
        <w:t>Ryman Hospitality Properties, Inc. (2025) 2024 Full Year Results. Available from: Ryman 2024 Results</w:t>
      </w:r>
    </w:p>
    <w:p w14:paraId="4B458490">
      <w:pPr>
        <w:pStyle w:val="style0"/>
        <w:rPr/>
      </w:pPr>
      <w:r>
        <w:t>Ryman Hospitality Properties, Inc.</w:t>
      </w:r>
    </w:p>
    <w:p w14:paraId="44FB52F1">
      <w:pPr>
        <w:pStyle w:val="style0"/>
        <w:rPr/>
      </w:pPr>
      <w:r>
        <w:t>Ryman Hospitality Properties, Inc. (2025) Sustainability Report 2024. Available from: Ryman Sustainability Reports</w:t>
      </w:r>
    </w:p>
    <w:p w14:paraId="78A9BE17">
      <w:pPr>
        <w:pStyle w:val="style0"/>
        <w:rPr/>
      </w:pPr>
      <w:r>
        <w:t>Ryman Hospitality Properties, Inc.</w:t>
      </w:r>
    </w:p>
    <w:p w14:paraId="22EE70B1">
      <w:pPr>
        <w:pStyle w:val="style0"/>
        <w:rPr/>
      </w:pPr>
      <w:r>
        <w:t>Seretidou</w:t>
      </w:r>
      <w:r>
        <w:t xml:space="preserve">, D., </w:t>
      </w:r>
      <w:r>
        <w:t>Billios</w:t>
      </w:r>
      <w:r>
        <w:t>, D. and Stavropoulos, A. (2025) ‘Integrative analysis of traditional and cash flow financial ratios: Insights from a systematic comparative review’, Risks, 13(4), p.62.</w:t>
      </w:r>
    </w:p>
    <w:p w14:paraId="3066055A">
      <w:pPr>
        <w:pStyle w:val="style0"/>
        <w:rPr/>
      </w:pPr>
      <w:r>
        <w:t>Theodorakopoulos, L., Theodoropoulou, A. and Halkiopoulos, C. (2025) ‘Cognitive bias mitigation in executive decision-making: A data-driven approach integrating big data analytics, AI, and explainable systems’, Electronics, 14(19), p.3930.</w:t>
      </w:r>
    </w:p>
    <w:p w14:paraId="54E8195F">
      <w:pPr>
        <w:pStyle w:val="style0"/>
        <w:rPr/>
      </w:pPr>
      <w:r>
        <w:t>Thị Mai, N., Wijaya, P. and Volkov, D. (2025) ‘Cross-Sector Performance Benchmarking: The Evolving Role of Financial Ratio Analysis Across Industries’.</w:t>
      </w:r>
    </w:p>
    <w:p w14:paraId="67223CE2">
      <w:pPr>
        <w:pStyle w:val="style0"/>
        <w:rPr/>
      </w:pPr>
      <w:r>
        <w:t>Umeaduma</w:t>
      </w:r>
      <w:r>
        <w:t>, C.M.G. (2024) ‘Impact of monetary policy on small business lending, interest rates, and employment growth in developing economies’, International Journal of Engineering Technology Research Management.</w:t>
      </w:r>
    </w:p>
    <w:p w14:paraId="27868F1B">
      <w:pPr>
        <w:pStyle w:val="style0"/>
        <w:rPr/>
      </w:pPr>
      <w:r>
        <w:t>Velickovic</w:t>
      </w:r>
      <w:r>
        <w:t>, G., Stanojevic, J. and Veselinovic, M. (2023) ‘Managing Financial Performance toward Achievements in Sustainability Prospects: Comparative Analysis of the e-Commerce and Hospitality Industries’, Journal of Risk and Financial Management, 16(9), p.395.</w:t>
      </w:r>
    </w:p>
    <w:p w14:paraId="702CD2F3">
      <w:pPr>
        <w:pStyle w:val="style0"/>
        <w:rPr/>
      </w:pPr>
      <w:r>
        <w:t xml:space="preserve">Wibowo, F.A., Satria, A., Gaol, S.L. and </w:t>
      </w:r>
      <w:r>
        <w:t>Indrawan</w:t>
      </w:r>
      <w:r>
        <w:t>, D. (2024) ‘Financial risk, debt, and efficiency in Indonesia’s construction industry: A comparative study’, Journal of Risk and Financial Management, 17(7), p.303.</w:t>
      </w:r>
    </w:p>
    <w:p w14:paraId="02A5B3CF">
      <w:pPr>
        <w:pStyle w:val="style179"/>
        <w:numPr>
          <w:ilvl w:val="0"/>
          <w:numId w:val="2"/>
        </w:numPr>
        <w:rPr/>
      </w:pPr>
      <w:r>
        <w:rPr>
          <w:b/>
          <w:bCs/>
        </w:rPr>
        <w:t>Appendix A: Ryman Hospitality</w:t>
      </w:r>
    </w:p>
    <w:p w14:paraId="3D51201D">
      <w:pPr>
        <w:pStyle w:val="style0"/>
        <w:rPr/>
      </w:pPr>
    </w:p>
    <w:tbl>
      <w:tblPr>
        <w:tblStyle w:val="style15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1521"/>
        <w:gridCol w:w="1504"/>
        <w:gridCol w:w="1503"/>
        <w:gridCol w:w="1505"/>
        <w:gridCol w:w="1494"/>
        <w:gridCol w:w="1503"/>
      </w:tblGrid>
      <w:tr w14:paraId="FD48F2BC">
        <w:trPr/>
        <w:tc>
          <w:tcPr>
            <w:tcW w:w="1522" w:type="dxa"/>
            <w:tcBorders>
              <w:top w:val="single" w:sz="4" w:space="0" w:color="auto"/>
              <w:left w:val="single" w:sz="4" w:space="0" w:color="auto"/>
              <w:bottom w:val="single" w:sz="4" w:space="0" w:color="auto"/>
              <w:right w:val="single" w:sz="4" w:space="0" w:color="auto"/>
            </w:tcBorders>
          </w:tcPr>
          <w:p w14:paraId="1E603781">
            <w:pPr>
              <w:pStyle w:val="style0"/>
              <w:jc w:val="left"/>
              <w:rPr>
                <w:b/>
                <w:bCs/>
              </w:rPr>
            </w:pPr>
            <w:r>
              <w:rPr>
                <w:b/>
                <w:bCs/>
                <w:lang w:val="en-US"/>
              </w:rPr>
              <w:t>Financial ltem</w:t>
            </w:r>
          </w:p>
        </w:tc>
        <w:tc>
          <w:tcPr>
            <w:tcW w:w="1522" w:type="dxa"/>
            <w:tcBorders>
              <w:top w:val="single" w:sz="4" w:space="0" w:color="auto"/>
              <w:left w:val="single" w:sz="4" w:space="0" w:color="auto"/>
              <w:bottom w:val="single" w:sz="4" w:space="0" w:color="auto"/>
              <w:right w:val="single" w:sz="4" w:space="0" w:color="auto"/>
            </w:tcBorders>
          </w:tcPr>
          <w:p w14:paraId="FA6BDA08">
            <w:pPr>
              <w:pStyle w:val="style0"/>
              <w:jc w:val="left"/>
              <w:rPr>
                <w:b/>
                <w:bCs/>
              </w:rPr>
            </w:pPr>
            <w:r>
              <w:rPr>
                <w:b/>
                <w:bCs/>
                <w:lang w:val="en-US"/>
              </w:rPr>
              <w:t>2020</w:t>
            </w:r>
          </w:p>
        </w:tc>
        <w:tc>
          <w:tcPr>
            <w:tcW w:w="1522" w:type="dxa"/>
            <w:tcBorders>
              <w:top w:val="single" w:sz="4" w:space="0" w:color="auto"/>
              <w:left w:val="single" w:sz="4" w:space="0" w:color="auto"/>
              <w:bottom w:val="single" w:sz="4" w:space="0" w:color="auto"/>
              <w:right w:val="single" w:sz="4" w:space="0" w:color="auto"/>
            </w:tcBorders>
          </w:tcPr>
          <w:p w14:paraId="F833742F">
            <w:pPr>
              <w:pStyle w:val="style0"/>
              <w:jc w:val="left"/>
              <w:rPr>
                <w:b/>
                <w:bCs/>
              </w:rPr>
            </w:pPr>
            <w:r>
              <w:rPr>
                <w:b/>
                <w:bCs/>
                <w:lang w:val="en-US"/>
              </w:rPr>
              <w:t>2021</w:t>
            </w:r>
          </w:p>
        </w:tc>
        <w:tc>
          <w:tcPr>
            <w:tcW w:w="1522" w:type="dxa"/>
            <w:tcBorders>
              <w:top w:val="single" w:sz="4" w:space="0" w:color="auto"/>
              <w:left w:val="single" w:sz="4" w:space="0" w:color="auto"/>
              <w:bottom w:val="single" w:sz="4" w:space="0" w:color="auto"/>
              <w:right w:val="single" w:sz="4" w:space="0" w:color="auto"/>
            </w:tcBorders>
          </w:tcPr>
          <w:p w14:paraId="957978E8">
            <w:pPr>
              <w:pStyle w:val="style0"/>
              <w:jc w:val="left"/>
              <w:rPr>
                <w:b/>
                <w:bCs/>
              </w:rPr>
            </w:pPr>
            <w:r>
              <w:rPr>
                <w:b/>
                <w:bCs/>
                <w:lang w:val="en-US"/>
              </w:rPr>
              <w:t>2022</w:t>
            </w:r>
          </w:p>
        </w:tc>
        <w:tc>
          <w:tcPr>
            <w:tcW w:w="1522" w:type="dxa"/>
            <w:tcBorders>
              <w:top w:val="single" w:sz="4" w:space="0" w:color="auto"/>
              <w:left w:val="single" w:sz="4" w:space="0" w:color="auto"/>
              <w:bottom w:val="single" w:sz="4" w:space="0" w:color="auto"/>
              <w:right w:val="single" w:sz="4" w:space="0" w:color="auto"/>
            </w:tcBorders>
          </w:tcPr>
          <w:p w14:paraId="22CD296B">
            <w:pPr>
              <w:pStyle w:val="style0"/>
              <w:jc w:val="left"/>
              <w:rPr>
                <w:b/>
                <w:bCs/>
              </w:rPr>
            </w:pPr>
            <w:r>
              <w:rPr>
                <w:b/>
                <w:bCs/>
                <w:lang w:val="en-US"/>
              </w:rPr>
              <w:t>2023</w:t>
            </w:r>
          </w:p>
        </w:tc>
        <w:tc>
          <w:tcPr>
            <w:tcW w:w="1522" w:type="dxa"/>
            <w:tcBorders>
              <w:top w:val="single" w:sz="4" w:space="0" w:color="auto"/>
              <w:left w:val="single" w:sz="4" w:space="0" w:color="auto"/>
              <w:bottom w:val="single" w:sz="4" w:space="0" w:color="auto"/>
              <w:right w:val="single" w:sz="4" w:space="0" w:color="auto"/>
            </w:tcBorders>
          </w:tcPr>
          <w:p w14:paraId="295BAAA0">
            <w:pPr>
              <w:pStyle w:val="style0"/>
              <w:jc w:val="left"/>
              <w:rPr>
                <w:b/>
                <w:bCs/>
                <w:lang w:val="en-US"/>
              </w:rPr>
            </w:pPr>
            <w:r>
              <w:rPr>
                <w:b/>
                <w:bCs/>
                <w:lang w:val="en-US"/>
              </w:rPr>
              <w:t>2024</w:t>
            </w:r>
          </w:p>
        </w:tc>
      </w:tr>
      <w:tr w14:paraId="93E5870F">
        <w:tblPrEx/>
        <w:trPr/>
        <w:tc>
          <w:tcPr>
            <w:tcW w:w="1522" w:type="dxa"/>
            <w:tcBorders>
              <w:top w:val="single" w:sz="4" w:space="0" w:color="auto"/>
              <w:left w:val="single" w:sz="4" w:space="0" w:color="auto"/>
              <w:bottom w:val="single" w:sz="4" w:space="0" w:color="auto"/>
              <w:right w:val="single" w:sz="4" w:space="0" w:color="auto"/>
            </w:tcBorders>
          </w:tcPr>
          <w:p w14:paraId="7DC361E7">
            <w:pPr>
              <w:pStyle w:val="style0"/>
              <w:rPr/>
            </w:pPr>
            <w:r>
              <w:rPr>
                <w:lang w:val="en-US"/>
              </w:rPr>
              <w:t xml:space="preserve">Total revenue </w:t>
            </w:r>
          </w:p>
        </w:tc>
        <w:tc>
          <w:tcPr>
            <w:tcW w:w="1522" w:type="dxa"/>
            <w:tcBorders>
              <w:top w:val="single" w:sz="4" w:space="0" w:color="auto"/>
              <w:left w:val="single" w:sz="4" w:space="0" w:color="auto"/>
              <w:bottom w:val="single" w:sz="4" w:space="0" w:color="auto"/>
              <w:right w:val="single" w:sz="4" w:space="0" w:color="auto"/>
            </w:tcBorders>
          </w:tcPr>
          <w:p w14:paraId="4FF20B59">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524,475</w:t>
            </w:r>
          </w:p>
        </w:tc>
        <w:tc>
          <w:tcPr>
            <w:tcW w:w="1522" w:type="dxa"/>
            <w:tcBorders>
              <w:top w:val="single" w:sz="4" w:space="0" w:color="auto"/>
              <w:left w:val="single" w:sz="4" w:space="0" w:color="auto"/>
              <w:bottom w:val="single" w:sz="4" w:space="0" w:color="auto"/>
              <w:right w:val="single" w:sz="4" w:space="0" w:color="auto"/>
            </w:tcBorders>
          </w:tcPr>
          <w:p w14:paraId="6F693814">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939,373</w:t>
            </w:r>
          </w:p>
        </w:tc>
        <w:tc>
          <w:tcPr>
            <w:tcW w:w="1522" w:type="dxa"/>
            <w:tcBorders>
              <w:top w:val="single" w:sz="4" w:space="0" w:color="auto"/>
              <w:left w:val="single" w:sz="4" w:space="0" w:color="auto"/>
              <w:bottom w:val="single" w:sz="4" w:space="0" w:color="auto"/>
              <w:right w:val="single" w:sz="4" w:space="0" w:color="auto"/>
            </w:tcBorders>
          </w:tcPr>
          <w:p w14:paraId="160E2590">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1,805,969</w:t>
            </w:r>
          </w:p>
        </w:tc>
        <w:tc>
          <w:tcPr>
            <w:tcW w:w="1522" w:type="dxa"/>
            <w:tcBorders>
              <w:top w:val="single" w:sz="4" w:space="0" w:color="auto"/>
              <w:left w:val="single" w:sz="4" w:space="0" w:color="auto"/>
              <w:bottom w:val="single" w:sz="4" w:space="0" w:color="auto"/>
              <w:right w:val="single" w:sz="4" w:space="0" w:color="auto"/>
            </w:tcBorders>
          </w:tcPr>
          <w:p w14:paraId="5EA77CC5">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2,158,136</w:t>
            </w:r>
          </w:p>
        </w:tc>
        <w:tc>
          <w:tcPr>
            <w:tcW w:w="1522" w:type="dxa"/>
            <w:tcBorders>
              <w:top w:val="single" w:sz="4" w:space="0" w:color="auto"/>
              <w:left w:val="single" w:sz="4" w:space="0" w:color="auto"/>
              <w:bottom w:val="single" w:sz="4" w:space="0" w:color="auto"/>
              <w:right w:val="single" w:sz="4" w:space="0" w:color="auto"/>
            </w:tcBorders>
          </w:tcPr>
          <w:p w14:paraId="40472FCA">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2,339,226</w:t>
            </w:r>
          </w:p>
        </w:tc>
      </w:tr>
      <w:tr w14:paraId="FED5136D">
        <w:tblPrEx/>
        <w:trPr/>
        <w:tc>
          <w:tcPr>
            <w:tcW w:w="1522" w:type="dxa"/>
            <w:tcBorders>
              <w:top w:val="single" w:sz="4" w:space="0" w:color="auto"/>
              <w:left w:val="single" w:sz="4" w:space="0" w:color="auto"/>
              <w:bottom w:val="single" w:sz="4" w:space="0" w:color="auto"/>
              <w:right w:val="single" w:sz="4" w:space="0" w:color="auto"/>
            </w:tcBorders>
          </w:tcPr>
          <w:p w14:paraId="B5252609">
            <w:pPr>
              <w:pStyle w:val="style0"/>
              <w:rPr/>
            </w:pPr>
            <w:r>
              <w:rPr>
                <w:lang w:val="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Operating</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Income</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(EBIT)</w:t>
            </w:r>
          </w:p>
        </w:tc>
        <w:tc>
          <w:tcPr>
            <w:tcW w:w="1522" w:type="dxa"/>
            <w:tcBorders>
              <w:top w:val="single" w:sz="4" w:space="0" w:color="auto"/>
              <w:left w:val="single" w:sz="4" w:space="0" w:color="auto"/>
              <w:bottom w:val="single" w:sz="4" w:space="0" w:color="auto"/>
              <w:right w:val="single" w:sz="4" w:space="0" w:color="auto"/>
            </w:tcBorders>
          </w:tcPr>
          <w:p w14:paraId="EFCB19A5">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-303,831</w:t>
            </w:r>
          </w:p>
        </w:tc>
        <w:tc>
          <w:tcPr>
            <w:tcW w:w="1522" w:type="dxa"/>
            <w:tcBorders>
              <w:top w:val="single" w:sz="4" w:space="0" w:color="auto"/>
              <w:left w:val="single" w:sz="4" w:space="0" w:color="auto"/>
              <w:bottom w:val="single" w:sz="4" w:space="0" w:color="auto"/>
              <w:right w:val="single" w:sz="4" w:space="0" w:color="auto"/>
            </w:tcBorders>
          </w:tcPr>
          <w:p w14:paraId="EB1DA4AC">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-58,675</w:t>
            </w:r>
          </w:p>
        </w:tc>
        <w:tc>
          <w:tcPr>
            <w:tcW w:w="1522" w:type="dxa"/>
            <w:tcBorders>
              <w:top w:val="single" w:sz="4" w:space="0" w:color="auto"/>
              <w:left w:val="single" w:sz="4" w:space="0" w:color="auto"/>
              <w:bottom w:val="single" w:sz="4" w:space="0" w:color="auto"/>
              <w:right w:val="single" w:sz="4" w:space="0" w:color="auto"/>
            </w:tcBorders>
          </w:tcPr>
          <w:p w14:paraId="D79EA864">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327,150</w:t>
            </w:r>
          </w:p>
        </w:tc>
        <w:tc>
          <w:tcPr>
            <w:tcW w:w="1522" w:type="dxa"/>
            <w:tcBorders>
              <w:top w:val="single" w:sz="4" w:space="0" w:color="auto"/>
              <w:left w:val="single" w:sz="4" w:space="0" w:color="auto"/>
              <w:bottom w:val="single" w:sz="4" w:space="0" w:color="auto"/>
              <w:right w:val="single" w:sz="4" w:space="0" w:color="auto"/>
            </w:tcBorders>
          </w:tcPr>
          <w:p w14:paraId="551FB7EC">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453,684</w:t>
            </w:r>
          </w:p>
        </w:tc>
        <w:tc>
          <w:tcPr>
            <w:tcW w:w="1522" w:type="dxa"/>
            <w:tcBorders>
              <w:top w:val="single" w:sz="4" w:space="0" w:color="auto"/>
              <w:left w:val="single" w:sz="4" w:space="0" w:color="auto"/>
              <w:bottom w:val="single" w:sz="4" w:space="0" w:color="auto"/>
              <w:right w:val="single" w:sz="4" w:space="0" w:color="auto"/>
            </w:tcBorders>
          </w:tcPr>
          <w:p w14:paraId="4200309C">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490,834</w:t>
            </w:r>
          </w:p>
        </w:tc>
      </w:tr>
      <w:tr w14:paraId="9EA083B0">
        <w:tblPrEx/>
        <w:trPr/>
        <w:tc>
          <w:tcPr>
            <w:tcW w:w="1522" w:type="dxa"/>
            <w:tcBorders>
              <w:top w:val="single" w:sz="4" w:space="0" w:color="auto"/>
              <w:left w:val="single" w:sz="4" w:space="0" w:color="auto"/>
              <w:bottom w:val="single" w:sz="4" w:space="0" w:color="auto"/>
              <w:right w:val="single" w:sz="4" w:space="0" w:color="auto"/>
            </w:tcBorders>
          </w:tcPr>
          <w:p w14:paraId="431793E6">
            <w:pPr>
              <w:pStyle w:val="style0"/>
              <w:rPr/>
            </w:pPr>
            <w:r>
              <w:rPr>
                <w:lang w:val="en-US"/>
              </w:rPr>
              <w:t xml:space="preserve">Net income </w:t>
            </w:r>
          </w:p>
        </w:tc>
        <w:tc>
          <w:tcPr>
            <w:tcW w:w="1522" w:type="dxa"/>
            <w:tcBorders>
              <w:top w:val="single" w:sz="4" w:space="0" w:color="auto"/>
              <w:left w:val="single" w:sz="4" w:space="0" w:color="auto"/>
              <w:bottom w:val="single" w:sz="4" w:space="0" w:color="auto"/>
              <w:right w:val="single" w:sz="4" w:space="0" w:color="auto"/>
            </w:tcBorders>
          </w:tcPr>
          <w:p w14:paraId="98EB65E9">
            <w:pPr>
              <w:pStyle w:val="style0"/>
              <w:rPr/>
            </w:pPr>
            <w:r>
              <w:rPr>
                <w:lang w:val="en-US"/>
              </w:rPr>
              <w:t>-460821</w:t>
            </w:r>
          </w:p>
        </w:tc>
        <w:tc>
          <w:tcPr>
            <w:tcW w:w="1522" w:type="dxa"/>
            <w:tcBorders>
              <w:top w:val="single" w:sz="4" w:space="0" w:color="auto"/>
              <w:left w:val="single" w:sz="4" w:space="0" w:color="auto"/>
              <w:bottom w:val="single" w:sz="4" w:space="0" w:color="auto"/>
              <w:right w:val="single" w:sz="4" w:space="0" w:color="auto"/>
            </w:tcBorders>
          </w:tcPr>
          <w:p w14:paraId="173AD966">
            <w:pPr>
              <w:pStyle w:val="style0"/>
              <w:rPr/>
            </w:pPr>
            <w:r>
              <w:rPr>
                <w:lang w:val="en-US"/>
              </w:rPr>
              <w:t>-194801</w:t>
            </w:r>
          </w:p>
        </w:tc>
        <w:tc>
          <w:tcPr>
            <w:tcW w:w="1522" w:type="dxa"/>
            <w:tcBorders>
              <w:top w:val="single" w:sz="4" w:space="0" w:color="auto"/>
              <w:left w:val="single" w:sz="4" w:space="0" w:color="auto"/>
              <w:bottom w:val="single" w:sz="4" w:space="0" w:color="auto"/>
              <w:right w:val="single" w:sz="4" w:space="0" w:color="auto"/>
            </w:tcBorders>
          </w:tcPr>
          <w:p w14:paraId="6C5156D0">
            <w:pPr>
              <w:pStyle w:val="style0"/>
              <w:rPr/>
            </w:pPr>
            <w:r>
              <w:rPr>
                <w:lang w:val="en-US"/>
              </w:rPr>
              <w:t>134948</w:t>
            </w:r>
          </w:p>
        </w:tc>
        <w:tc>
          <w:tcPr>
            <w:tcW w:w="1522" w:type="dxa"/>
            <w:tcBorders>
              <w:top w:val="single" w:sz="4" w:space="0" w:color="auto"/>
              <w:left w:val="single" w:sz="4" w:space="0" w:color="auto"/>
              <w:bottom w:val="single" w:sz="4" w:space="0" w:color="auto"/>
              <w:right w:val="single" w:sz="4" w:space="0" w:color="auto"/>
            </w:tcBorders>
          </w:tcPr>
          <w:p w14:paraId="936E6837">
            <w:pPr>
              <w:pStyle w:val="style0"/>
              <w:rPr/>
            </w:pPr>
            <w:r>
              <w:rPr>
                <w:lang w:val="en-US"/>
              </w:rPr>
              <w:t>341800</w:t>
            </w:r>
          </w:p>
        </w:tc>
        <w:tc>
          <w:tcPr>
            <w:tcW w:w="1522" w:type="dxa"/>
            <w:tcBorders>
              <w:top w:val="single" w:sz="4" w:space="0" w:color="auto"/>
              <w:left w:val="single" w:sz="4" w:space="0" w:color="auto"/>
              <w:bottom w:val="single" w:sz="4" w:space="0" w:color="auto"/>
              <w:right w:val="single" w:sz="4" w:space="0" w:color="auto"/>
            </w:tcBorders>
          </w:tcPr>
          <w:p w14:paraId="0500C58E">
            <w:pPr>
              <w:pStyle w:val="style0"/>
              <w:rPr/>
            </w:pPr>
            <w:r>
              <w:rPr>
                <w:lang w:val="en-US"/>
              </w:rPr>
              <w:t>280190</w:t>
            </w:r>
          </w:p>
        </w:tc>
      </w:tr>
      <w:tr w14:paraId="67461F0E">
        <w:tblPrEx/>
        <w:trPr/>
        <w:tc>
          <w:tcPr>
            <w:tcW w:w="1522" w:type="dxa"/>
            <w:tcBorders>
              <w:top w:val="single" w:sz="4" w:space="0" w:color="auto"/>
              <w:left w:val="single" w:sz="4" w:space="0" w:color="auto"/>
              <w:bottom w:val="single" w:sz="4" w:space="0" w:color="auto"/>
              <w:right w:val="single" w:sz="4" w:space="0" w:color="auto"/>
            </w:tcBorders>
          </w:tcPr>
          <w:p w14:paraId="48745116">
            <w:pPr>
              <w:pStyle w:val="style0"/>
              <w:rPr>
                <w:lang w:val="en-US"/>
              </w:rPr>
            </w:pPr>
            <w:r>
              <w:rPr>
                <w:lang w:val="en-US"/>
              </w:rPr>
              <w:t>Chas&amp; cash equivalents</w:t>
            </w:r>
          </w:p>
        </w:tc>
        <w:tc>
          <w:tcPr>
            <w:tcW w:w="1522" w:type="dxa"/>
            <w:tcBorders>
              <w:top w:val="single" w:sz="4" w:space="0" w:color="auto"/>
              <w:left w:val="single" w:sz="4" w:space="0" w:color="auto"/>
              <w:bottom w:val="single" w:sz="4" w:space="0" w:color="auto"/>
              <w:right w:val="single" w:sz="4" w:space="0" w:color="auto"/>
            </w:tcBorders>
          </w:tcPr>
          <w:p w14:paraId="AB66ECC4">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-417,391</w:t>
            </w:r>
          </w:p>
        </w:tc>
        <w:tc>
          <w:tcPr>
            <w:tcW w:w="1522" w:type="dxa"/>
            <w:tcBorders>
              <w:top w:val="single" w:sz="4" w:space="0" w:color="auto"/>
              <w:left w:val="single" w:sz="4" w:space="0" w:color="auto"/>
              <w:bottom w:val="single" w:sz="4" w:space="0" w:color="auto"/>
              <w:right w:val="single" w:sz="4" w:space="0" w:color="auto"/>
            </w:tcBorders>
          </w:tcPr>
          <w:p w14:paraId="D63C47B7">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-176,966</w:t>
            </w:r>
          </w:p>
        </w:tc>
        <w:tc>
          <w:tcPr>
            <w:tcW w:w="1522" w:type="dxa"/>
            <w:tcBorders>
              <w:top w:val="single" w:sz="4" w:space="0" w:color="auto"/>
              <w:left w:val="single" w:sz="4" w:space="0" w:color="auto"/>
              <w:bottom w:val="single" w:sz="4" w:space="0" w:color="auto"/>
              <w:right w:val="single" w:sz="4" w:space="0" w:color="auto"/>
            </w:tcBorders>
          </w:tcPr>
          <w:p w14:paraId="B68F596D">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128,993</w:t>
            </w:r>
          </w:p>
        </w:tc>
        <w:tc>
          <w:tcPr>
            <w:tcW w:w="1522" w:type="dxa"/>
            <w:tcBorders>
              <w:top w:val="single" w:sz="4" w:space="0" w:color="auto"/>
              <w:left w:val="single" w:sz="4" w:space="0" w:color="auto"/>
              <w:bottom w:val="single" w:sz="4" w:space="0" w:color="auto"/>
              <w:right w:val="single" w:sz="4" w:space="0" w:color="auto"/>
            </w:tcBorders>
          </w:tcPr>
          <w:p w14:paraId="BCA07AA1">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311,217</w:t>
            </w:r>
          </w:p>
        </w:tc>
        <w:tc>
          <w:tcPr>
            <w:tcW w:w="1522" w:type="dxa"/>
            <w:tcBorders>
              <w:top w:val="single" w:sz="4" w:space="0" w:color="auto"/>
              <w:left w:val="single" w:sz="4" w:space="0" w:color="auto"/>
              <w:bottom w:val="single" w:sz="4" w:space="0" w:color="auto"/>
              <w:right w:val="single" w:sz="4" w:space="0" w:color="auto"/>
            </w:tcBorders>
          </w:tcPr>
          <w:p w14:paraId="0ED60FA9">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271,638</w:t>
            </w:r>
          </w:p>
        </w:tc>
      </w:tr>
      <w:tr w14:paraId="4012FA68">
        <w:tblPrEx/>
        <w:trPr/>
        <w:tc>
          <w:tcPr>
            <w:tcW w:w="1522" w:type="dxa"/>
            <w:tcBorders>
              <w:top w:val="single" w:sz="4" w:space="0" w:color="auto"/>
              <w:left w:val="single" w:sz="4" w:space="0" w:color="auto"/>
              <w:bottom w:val="single" w:sz="4" w:space="0" w:color="auto"/>
              <w:right w:val="single" w:sz="4" w:space="0" w:color="auto"/>
            </w:tcBorders>
          </w:tcPr>
          <w:p w14:paraId="46D86C16">
            <w:pPr>
              <w:pStyle w:val="style0"/>
              <w:rPr>
                <w:lang w:val="en-US"/>
              </w:rPr>
            </w:pPr>
            <w:r>
              <w:rPr>
                <w:lang w:val="en-US"/>
              </w:rPr>
              <w:t>Accounts receivable</w:t>
            </w:r>
          </w:p>
        </w:tc>
        <w:tc>
          <w:tcPr>
            <w:tcW w:w="1522" w:type="dxa"/>
            <w:tcBorders>
              <w:top w:val="single" w:sz="4" w:space="0" w:color="auto"/>
              <w:left w:val="single" w:sz="4" w:space="0" w:color="auto"/>
              <w:bottom w:val="single" w:sz="4" w:space="0" w:color="auto"/>
              <w:right w:val="single" w:sz="4" w:space="0" w:color="auto"/>
            </w:tcBorders>
          </w:tcPr>
          <w:p w14:paraId="59B543B9">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20,106</w:t>
            </w:r>
          </w:p>
        </w:tc>
        <w:tc>
          <w:tcPr>
            <w:tcW w:w="1522" w:type="dxa"/>
            <w:tcBorders>
              <w:top w:val="single" w:sz="4" w:space="0" w:color="auto"/>
              <w:left w:val="single" w:sz="4" w:space="0" w:color="auto"/>
              <w:bottom w:val="single" w:sz="4" w:space="0" w:color="auto"/>
              <w:right w:val="single" w:sz="4" w:space="0" w:color="auto"/>
            </w:tcBorders>
          </w:tcPr>
          <w:p w14:paraId="FB448573">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74,745</w:t>
            </w:r>
          </w:p>
        </w:tc>
        <w:tc>
          <w:tcPr>
            <w:tcW w:w="1522" w:type="dxa"/>
            <w:tcBorders>
              <w:top w:val="single" w:sz="4" w:space="0" w:color="auto"/>
              <w:left w:val="single" w:sz="4" w:space="0" w:color="auto"/>
              <w:bottom w:val="single" w:sz="4" w:space="0" w:color="auto"/>
              <w:right w:val="single" w:sz="4" w:space="0" w:color="auto"/>
            </w:tcBorders>
          </w:tcPr>
          <w:p w14:paraId="6075C33D">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116,836</w:t>
            </w:r>
          </w:p>
        </w:tc>
        <w:tc>
          <w:tcPr>
            <w:tcW w:w="1522" w:type="dxa"/>
            <w:tcBorders>
              <w:top w:val="single" w:sz="4" w:space="0" w:color="auto"/>
              <w:left w:val="single" w:sz="4" w:space="0" w:color="auto"/>
              <w:bottom w:val="single" w:sz="4" w:space="0" w:color="auto"/>
              <w:right w:val="single" w:sz="4" w:space="0" w:color="auto"/>
            </w:tcBorders>
          </w:tcPr>
          <w:p w14:paraId="EA30F554">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110,029</w:t>
            </w:r>
          </w:p>
        </w:tc>
        <w:tc>
          <w:tcPr>
            <w:tcW w:w="1522" w:type="dxa"/>
            <w:tcBorders>
              <w:top w:val="single" w:sz="4" w:space="0" w:color="auto"/>
              <w:left w:val="single" w:sz="4" w:space="0" w:color="auto"/>
              <w:bottom w:val="single" w:sz="4" w:space="0" w:color="auto"/>
              <w:right w:val="single" w:sz="4" w:space="0" w:color="auto"/>
            </w:tcBorders>
          </w:tcPr>
          <w:p w14:paraId="FDE5133D">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94,184</w:t>
            </w:r>
          </w:p>
        </w:tc>
      </w:tr>
      <w:tr w14:paraId="BA48FC10">
        <w:tblPrEx/>
        <w:trPr/>
        <w:tc>
          <w:tcPr>
            <w:tcW w:w="1522" w:type="dxa"/>
            <w:tcBorders>
              <w:top w:val="single" w:sz="4" w:space="0" w:color="auto"/>
              <w:left w:val="single" w:sz="4" w:space="0" w:color="auto"/>
              <w:bottom w:val="single" w:sz="4" w:space="0" w:color="auto"/>
              <w:right w:val="single" w:sz="4" w:space="0" w:color="auto"/>
            </w:tcBorders>
          </w:tcPr>
          <w:p w14:paraId="B61F7AF8">
            <w:pPr>
              <w:pStyle w:val="style0"/>
              <w:rPr>
                <w:lang w:val="en-US"/>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Total</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Current</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Assets</w:t>
            </w:r>
          </w:p>
        </w:tc>
        <w:tc>
          <w:tcPr>
            <w:tcW w:w="1522" w:type="dxa"/>
            <w:tcBorders>
              <w:top w:val="single" w:sz="4" w:space="0" w:color="auto"/>
              <w:left w:val="single" w:sz="4" w:space="0" w:color="auto"/>
              <w:bottom w:val="single" w:sz="4" w:space="0" w:color="auto"/>
              <w:right w:val="single" w:sz="4" w:space="0" w:color="auto"/>
            </w:tcBorders>
          </w:tcPr>
          <w:p w14:paraId="CD8B9318">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99,860</w:t>
            </w:r>
          </w:p>
        </w:tc>
        <w:tc>
          <w:tcPr>
            <w:tcW w:w="1522" w:type="dxa"/>
            <w:tcBorders>
              <w:top w:val="single" w:sz="4" w:space="0" w:color="auto"/>
              <w:left w:val="single" w:sz="4" w:space="0" w:color="auto"/>
              <w:bottom w:val="single" w:sz="4" w:space="0" w:color="auto"/>
              <w:right w:val="single" w:sz="4" w:space="0" w:color="auto"/>
            </w:tcBorders>
          </w:tcPr>
          <w:p w14:paraId="C619C0FB">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237,745</w:t>
            </w:r>
          </w:p>
        </w:tc>
        <w:tc>
          <w:tcPr>
            <w:tcW w:w="1522" w:type="dxa"/>
            <w:tcBorders>
              <w:top w:val="single" w:sz="4" w:space="0" w:color="auto"/>
              <w:left w:val="single" w:sz="4" w:space="0" w:color="auto"/>
              <w:bottom w:val="single" w:sz="4" w:space="0" w:color="auto"/>
              <w:right w:val="single" w:sz="4" w:space="0" w:color="auto"/>
            </w:tcBorders>
          </w:tcPr>
          <w:p w14:paraId="33F31613">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561,166</w:t>
            </w:r>
          </w:p>
        </w:tc>
        <w:tc>
          <w:tcPr>
            <w:tcW w:w="1522" w:type="dxa"/>
            <w:tcBorders>
              <w:top w:val="single" w:sz="4" w:space="0" w:color="auto"/>
              <w:left w:val="single" w:sz="4" w:space="0" w:color="auto"/>
              <w:bottom w:val="single" w:sz="4" w:space="0" w:color="auto"/>
              <w:right w:val="single" w:sz="4" w:space="0" w:color="auto"/>
            </w:tcBorders>
          </w:tcPr>
          <w:p w14:paraId="EBF8EB35">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810,470</w:t>
            </w:r>
          </w:p>
        </w:tc>
        <w:tc>
          <w:tcPr>
            <w:tcW w:w="1522" w:type="dxa"/>
            <w:tcBorders>
              <w:top w:val="single" w:sz="4" w:space="0" w:color="auto"/>
              <w:left w:val="single" w:sz="4" w:space="0" w:color="auto"/>
              <w:bottom w:val="single" w:sz="4" w:space="0" w:color="auto"/>
              <w:right w:val="single" w:sz="4" w:space="0" w:color="auto"/>
            </w:tcBorders>
          </w:tcPr>
          <w:p w14:paraId="00CF034D">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670,412</w:t>
            </w:r>
          </w:p>
        </w:tc>
      </w:tr>
      <w:tr w14:paraId="43616135">
        <w:tblPrEx/>
        <w:trPr/>
        <w:tc>
          <w:tcPr>
            <w:tcW w:w="1522" w:type="dxa"/>
            <w:tcBorders>
              <w:top w:val="single" w:sz="4" w:space="0" w:color="auto"/>
              <w:left w:val="single" w:sz="4" w:space="0" w:color="auto"/>
              <w:bottom w:val="single" w:sz="4" w:space="0" w:color="auto"/>
              <w:right w:val="single" w:sz="4" w:space="0" w:color="auto"/>
            </w:tcBorders>
          </w:tcPr>
          <w:p w14:paraId="1996CE96">
            <w:pPr>
              <w:pStyle w:val="style0"/>
              <w:rPr>
                <w:lang w:val="en-US"/>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Total</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 xml:space="preserve"> </w:t>
            </w: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Assets</w:t>
            </w:r>
          </w:p>
        </w:tc>
        <w:tc>
          <w:tcPr>
            <w:tcW w:w="1522" w:type="dxa"/>
            <w:tcBorders>
              <w:top w:val="single" w:sz="4" w:space="0" w:color="auto"/>
              <w:left w:val="single" w:sz="4" w:space="0" w:color="auto"/>
              <w:bottom w:val="single" w:sz="4" w:space="0" w:color="auto"/>
              <w:right w:val="single" w:sz="4" w:space="0" w:color="auto"/>
            </w:tcBorders>
          </w:tcPr>
          <w:p w14:paraId="E3B761F7">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3,556,495</w:t>
            </w:r>
          </w:p>
        </w:tc>
        <w:tc>
          <w:tcPr>
            <w:tcW w:w="1522" w:type="dxa"/>
            <w:tcBorders>
              <w:top w:val="single" w:sz="4" w:space="0" w:color="auto"/>
              <w:left w:val="single" w:sz="4" w:space="0" w:color="auto"/>
              <w:bottom w:val="single" w:sz="4" w:space="0" w:color="auto"/>
              <w:right w:val="single" w:sz="4" w:space="0" w:color="auto"/>
            </w:tcBorders>
          </w:tcPr>
          <w:p w14:paraId="F609558A">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3,580,525</w:t>
            </w:r>
          </w:p>
        </w:tc>
        <w:tc>
          <w:tcPr>
            <w:tcW w:w="1522" w:type="dxa"/>
            <w:tcBorders>
              <w:top w:val="single" w:sz="4" w:space="0" w:color="auto"/>
              <w:left w:val="single" w:sz="4" w:space="0" w:color="auto"/>
              <w:bottom w:val="single" w:sz="4" w:space="0" w:color="auto"/>
              <w:right w:val="single" w:sz="4" w:space="0" w:color="auto"/>
            </w:tcBorders>
          </w:tcPr>
          <w:p w14:paraId="E03C180A">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4,040,623</w:t>
            </w:r>
          </w:p>
        </w:tc>
        <w:tc>
          <w:tcPr>
            <w:tcW w:w="1522" w:type="dxa"/>
            <w:tcBorders>
              <w:top w:val="single" w:sz="4" w:space="0" w:color="auto"/>
              <w:left w:val="single" w:sz="4" w:space="0" w:color="auto"/>
              <w:bottom w:val="single" w:sz="4" w:space="0" w:color="auto"/>
              <w:right w:val="single" w:sz="4" w:space="0" w:color="auto"/>
            </w:tcBorders>
          </w:tcPr>
          <w:p w14:paraId="D43188B8">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5,188,537</w:t>
            </w:r>
          </w:p>
        </w:tc>
        <w:tc>
          <w:tcPr>
            <w:tcW w:w="1522" w:type="dxa"/>
            <w:tcBorders>
              <w:top w:val="single" w:sz="4" w:space="0" w:color="auto"/>
              <w:left w:val="single" w:sz="4" w:space="0" w:color="auto"/>
              <w:bottom w:val="single" w:sz="4" w:space="0" w:color="auto"/>
              <w:right w:val="single" w:sz="4" w:space="0" w:color="auto"/>
            </w:tcBorders>
          </w:tcPr>
          <w:p w14:paraId="9B7C70F6">
            <w:pPr>
              <w:pStyle w:val="style0"/>
              <w:rPr/>
            </w:pPr>
            <w:r>
              <w:rPr>
                <w:rFonts w:ascii="Aptos" w:cs="宋体" w:eastAsia="Aptos" w:hAnsi="Aptos" w:hint="default"/>
                <w:b w:val="false"/>
                <w:bCs w:val="false"/>
                <w:i w:val="false"/>
                <w:iCs w:val="false"/>
                <w:color w:val="auto"/>
                <w:kern w:val="2"/>
                <w:sz w:val="24"/>
                <w:szCs w:val="24"/>
                <w:highlight w:val="none"/>
                <w:vertAlign w:val="baseline"/>
                <w:em w:val="none"/>
                <w:lang w:val="en-IN" w:eastAsia="en-US"/>
              </w:rPr>
              <w:t>5,217,573</w:t>
            </w:r>
          </w:p>
        </w:tc>
      </w:tr>
      <w:tr w14:paraId="D55D86D7">
        <w:tblPrEx/>
        <w:trPr/>
        <w:tc>
          <w:tcPr>
            <w:tcW w:w="1522" w:type="dxa"/>
            <w:tcBorders>
              <w:top w:val="single" w:sz="4" w:space="0" w:color="auto"/>
              <w:left w:val="single" w:sz="4" w:space="0" w:color="auto"/>
              <w:bottom w:val="single" w:sz="4" w:space="0" w:color="auto"/>
              <w:right w:val="single" w:sz="4" w:space="0" w:color="auto"/>
            </w:tcBorders>
          </w:tcPr>
          <w:p w14:paraId="431A673B">
            <w:pPr>
              <w:pStyle w:val="style0"/>
              <w:rPr>
                <w:lang w:val="en-US"/>
              </w:rPr>
            </w:pPr>
            <w:r>
              <w:rPr>
                <w:lang w:val="en-US"/>
              </w:rPr>
              <w:t xml:space="preserve">Accounts payable </w:t>
            </w:r>
          </w:p>
        </w:tc>
        <w:tc>
          <w:tcPr>
            <w:tcW w:w="1522" w:type="dxa"/>
            <w:tcBorders>
              <w:top w:val="single" w:sz="4" w:space="0" w:color="auto"/>
              <w:left w:val="single" w:sz="4" w:space="0" w:color="auto"/>
              <w:bottom w:val="single" w:sz="4" w:space="0" w:color="auto"/>
              <w:right w:val="single" w:sz="4" w:space="0" w:color="auto"/>
            </w:tcBorders>
          </w:tcPr>
          <w:p w14:paraId="BF4CC538">
            <w:pPr>
              <w:pStyle w:val="style0"/>
              <w:rPr/>
            </w:pPr>
            <w:r>
              <w:rPr>
                <w:lang w:val="en-US"/>
              </w:rPr>
              <w:t>203121</w:t>
            </w:r>
          </w:p>
        </w:tc>
        <w:tc>
          <w:tcPr>
            <w:tcW w:w="1522" w:type="dxa"/>
            <w:tcBorders>
              <w:top w:val="single" w:sz="4" w:space="0" w:color="auto"/>
              <w:left w:val="single" w:sz="4" w:space="0" w:color="auto"/>
              <w:bottom w:val="single" w:sz="4" w:space="0" w:color="auto"/>
              <w:right w:val="single" w:sz="4" w:space="0" w:color="auto"/>
            </w:tcBorders>
          </w:tcPr>
          <w:p w14:paraId="675010F7">
            <w:pPr>
              <w:pStyle w:val="style0"/>
              <w:rPr/>
            </w:pPr>
            <w:r>
              <w:rPr>
                <w:lang w:val="en-US"/>
              </w:rPr>
              <w:t>304719</w:t>
            </w:r>
          </w:p>
        </w:tc>
        <w:tc>
          <w:tcPr>
            <w:tcW w:w="1522" w:type="dxa"/>
            <w:tcBorders>
              <w:top w:val="single" w:sz="4" w:space="0" w:color="auto"/>
              <w:left w:val="single" w:sz="4" w:space="0" w:color="auto"/>
              <w:bottom w:val="single" w:sz="4" w:space="0" w:color="auto"/>
              <w:right w:val="single" w:sz="4" w:space="0" w:color="auto"/>
            </w:tcBorders>
          </w:tcPr>
          <w:p w14:paraId="A967C940">
            <w:pPr>
              <w:pStyle w:val="style0"/>
              <w:rPr/>
            </w:pPr>
            <w:r>
              <w:rPr>
                <w:lang w:val="en-US"/>
              </w:rPr>
              <w:t>385159</w:t>
            </w:r>
          </w:p>
        </w:tc>
        <w:tc>
          <w:tcPr>
            <w:tcW w:w="1522" w:type="dxa"/>
            <w:tcBorders>
              <w:top w:val="single" w:sz="4" w:space="0" w:color="auto"/>
              <w:left w:val="single" w:sz="4" w:space="0" w:color="auto"/>
              <w:bottom w:val="single" w:sz="4" w:space="0" w:color="auto"/>
              <w:right w:val="single" w:sz="4" w:space="0" w:color="auto"/>
            </w:tcBorders>
          </w:tcPr>
          <w:p w14:paraId="FECA0752">
            <w:pPr>
              <w:pStyle w:val="style0"/>
              <w:rPr/>
            </w:pPr>
            <w:r>
              <w:rPr>
                <w:lang w:val="en-US"/>
              </w:rPr>
              <w:t>464720</w:t>
            </w:r>
          </w:p>
        </w:tc>
        <w:tc>
          <w:tcPr>
            <w:tcW w:w="1522" w:type="dxa"/>
            <w:tcBorders>
              <w:top w:val="single" w:sz="4" w:space="0" w:color="auto"/>
              <w:left w:val="single" w:sz="4" w:space="0" w:color="auto"/>
              <w:bottom w:val="single" w:sz="4" w:space="0" w:color="auto"/>
              <w:right w:val="single" w:sz="4" w:space="0" w:color="auto"/>
            </w:tcBorders>
          </w:tcPr>
          <w:p w14:paraId="77C95E50">
            <w:pPr>
              <w:pStyle w:val="style0"/>
              <w:rPr/>
            </w:pPr>
            <w:r>
              <w:rPr>
                <w:lang w:val="en-US"/>
              </w:rPr>
              <w:t>466571</w:t>
            </w:r>
          </w:p>
        </w:tc>
      </w:tr>
      <w:tr w14:paraId="EEFB767F">
        <w:tblPrEx/>
        <w:trPr/>
        <w:tc>
          <w:tcPr>
            <w:tcW w:w="1522" w:type="dxa"/>
            <w:tcBorders>
              <w:top w:val="single" w:sz="4" w:space="0" w:color="auto"/>
              <w:left w:val="single" w:sz="4" w:space="0" w:color="auto"/>
              <w:bottom w:val="single" w:sz="4" w:space="0" w:color="auto"/>
              <w:right w:val="single" w:sz="4" w:space="0" w:color="auto"/>
            </w:tcBorders>
          </w:tcPr>
          <w:p w14:paraId="5E7BA72F">
            <w:pPr>
              <w:pStyle w:val="style0"/>
              <w:rPr>
                <w:lang w:val="en-US"/>
              </w:rPr>
            </w:pPr>
            <w:r>
              <w:rPr>
                <w:lang w:val="en-US"/>
              </w:rPr>
              <w:t xml:space="preserve">Total current liabilities </w:t>
            </w:r>
          </w:p>
        </w:tc>
        <w:tc>
          <w:tcPr>
            <w:tcW w:w="1522" w:type="dxa"/>
            <w:tcBorders>
              <w:top w:val="single" w:sz="4" w:space="0" w:color="auto"/>
              <w:left w:val="single" w:sz="4" w:space="0" w:color="auto"/>
              <w:bottom w:val="single" w:sz="4" w:space="0" w:color="auto"/>
              <w:right w:val="single" w:sz="4" w:space="0" w:color="auto"/>
            </w:tcBorders>
          </w:tcPr>
          <w:p w14:paraId="EA26A44A">
            <w:pPr>
              <w:pStyle w:val="style0"/>
              <w:rPr/>
            </w:pPr>
            <w:r>
              <w:rPr>
                <w:lang w:val="en-US"/>
              </w:rPr>
              <w:t>203964</w:t>
            </w:r>
          </w:p>
        </w:tc>
        <w:tc>
          <w:tcPr>
            <w:tcW w:w="1522" w:type="dxa"/>
            <w:tcBorders>
              <w:top w:val="single" w:sz="4" w:space="0" w:color="auto"/>
              <w:left w:val="single" w:sz="4" w:space="0" w:color="auto"/>
              <w:bottom w:val="single" w:sz="4" w:space="0" w:color="auto"/>
              <w:right w:val="single" w:sz="4" w:space="0" w:color="auto"/>
            </w:tcBorders>
          </w:tcPr>
          <w:p w14:paraId="8191BE85">
            <w:pPr>
              <w:pStyle w:val="style0"/>
              <w:rPr/>
            </w:pPr>
            <w:r>
              <w:rPr>
                <w:lang w:val="en-US"/>
              </w:rPr>
              <w:t>305105</w:t>
            </w:r>
          </w:p>
        </w:tc>
        <w:tc>
          <w:tcPr>
            <w:tcW w:w="1522" w:type="dxa"/>
            <w:tcBorders>
              <w:top w:val="single" w:sz="4" w:space="0" w:color="auto"/>
              <w:left w:val="single" w:sz="4" w:space="0" w:color="auto"/>
              <w:bottom w:val="single" w:sz="4" w:space="0" w:color="auto"/>
              <w:right w:val="single" w:sz="4" w:space="0" w:color="auto"/>
            </w:tcBorders>
          </w:tcPr>
          <w:p w14:paraId="6F8A9448">
            <w:pPr>
              <w:pStyle w:val="style0"/>
              <w:rPr/>
            </w:pPr>
            <w:r>
              <w:rPr>
                <w:lang w:val="en-US"/>
              </w:rPr>
              <w:t>399280</w:t>
            </w:r>
          </w:p>
        </w:tc>
        <w:tc>
          <w:tcPr>
            <w:tcW w:w="1522" w:type="dxa"/>
            <w:tcBorders>
              <w:top w:val="single" w:sz="4" w:space="0" w:color="auto"/>
              <w:left w:val="single" w:sz="4" w:space="0" w:color="auto"/>
              <w:bottom w:val="single" w:sz="4" w:space="0" w:color="auto"/>
              <w:right w:val="single" w:sz="4" w:space="0" w:color="auto"/>
            </w:tcBorders>
          </w:tcPr>
          <w:p w14:paraId="69E4EBC5">
            <w:pPr>
              <w:pStyle w:val="style0"/>
              <w:rPr/>
            </w:pPr>
            <w:r>
              <w:rPr>
                <w:lang w:val="en-US"/>
              </w:rPr>
              <w:t>532652</w:t>
            </w:r>
          </w:p>
        </w:tc>
        <w:tc>
          <w:tcPr>
            <w:tcW w:w="1522" w:type="dxa"/>
            <w:tcBorders>
              <w:top w:val="single" w:sz="4" w:space="0" w:color="auto"/>
              <w:left w:val="single" w:sz="4" w:space="0" w:color="auto"/>
              <w:bottom w:val="single" w:sz="4" w:space="0" w:color="auto"/>
              <w:right w:val="single" w:sz="4" w:space="0" w:color="auto"/>
            </w:tcBorders>
          </w:tcPr>
          <w:p w14:paraId="1B32DFB4">
            <w:pPr>
              <w:pStyle w:val="style0"/>
              <w:rPr/>
            </w:pPr>
            <w:r>
              <w:rPr>
                <w:lang w:val="en-US"/>
              </w:rPr>
              <w:t>538015</w:t>
            </w:r>
          </w:p>
        </w:tc>
      </w:tr>
    </w:tbl>
    <w:p w14:paraId="F11E4021">
      <w:pPr>
        <w:pStyle w:val="style0"/>
        <w:rPr/>
      </w:pPr>
    </w:p>
    <w:p w14:paraId="630527A2">
      <w:pPr>
        <w:pStyle w:val="style0"/>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ptos">
    <w:altName w:val="Aptos"/>
    <w:panose1 w:val="020b0004020002020204"/>
    <w:charset w:val="00"/>
    <w:family w:val="swiss"/>
    <w:pitch w:val="variable"/>
    <w:sig w:usb0="20000287" w:usb1="00000003" w:usb2="00000000" w:usb3="00000000" w:csb0="0000019F" w:csb1="00000000"/>
  </w:font>
  <w:font w:name="Aptos Display">
    <w:altName w:val="Aptos Display"/>
    <w:panose1 w:val="020b0004020002020204"/>
    <w:charset w:val="00"/>
    <w:family w:val="swiss"/>
    <w:pitch w:val="variable"/>
    <w:sig w:usb0="20000287" w:usb1="00000003" w:usb2="00000000" w:usb3="00000000" w:csb0="0000019F" w:csb1="00000000"/>
  </w:font>
  <w:font w:name="Segoe UI Symbol">
    <w:altName w:val="Segoe UI Symbol"/>
    <w:panose1 w:val="020b0502040002020203"/>
    <w:charset w:val="00"/>
    <w:family w:val="swiss"/>
    <w:pitch w:val="variable"/>
    <w:sig w:usb0="800001E3" w:usb1="1200FFEF" w:usb2="00040000" w:usb3="00000000" w:csb0="00000001" w:csb1="00000000"/>
  </w:font>
  <w:font w:name="宋体">
    <w:altName w:val="宋体"/>
    <w:panose1 w:val="02010600030001010101"/>
    <w:charset w:val="7a"/>
    <w:family w:val="auto"/>
    <w:pitch w:val="default"/>
    <w:sig w:usb0="00000003" w:usb1="080E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C16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54"/>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IN"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de63f299-3654-4e46-b2e8-b6eb966480c8"/>
    <w:basedOn w:val="style65"/>
    <w:next w:val="style4097"/>
    <w:link w:val="style1"/>
    <w:uiPriority w:val="9"/>
    <w:rPr>
      <w:rFonts w:ascii="Aptos Display" w:cs="宋体" w:eastAsia="宋体" w:hAnsi="Aptos Display"/>
      <w:color w:val="0f4761"/>
      <w:sz w:val="40"/>
      <w:szCs w:val="40"/>
    </w:rPr>
  </w:style>
  <w:style w:type="character" w:customStyle="1" w:styleId="style4098">
    <w:name w:val="Heading 2 Char_aa568f18-fc5a-4832-9890-5778a91de709"/>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bd339a47-4eb4-4893-93b1-a6797cdfaf00"/>
    <w:basedOn w:val="style65"/>
    <w:next w:val="style4099"/>
    <w:link w:val="style3"/>
    <w:uiPriority w:val="9"/>
    <w:rPr>
      <w:rFonts w:cs="宋体" w:eastAsia="宋体"/>
      <w:color w:val="0f4761"/>
      <w:sz w:val="28"/>
      <w:szCs w:val="28"/>
    </w:rPr>
  </w:style>
  <w:style w:type="character" w:customStyle="1" w:styleId="style4100">
    <w:name w:val="Heading 4 Char_0b670642-4adc-4d4f-bacc-0352e9d4dff9"/>
    <w:basedOn w:val="style65"/>
    <w:next w:val="style4100"/>
    <w:link w:val="style4"/>
    <w:uiPriority w:val="9"/>
    <w:rPr>
      <w:rFonts w:cs="宋体" w:eastAsia="宋体"/>
      <w:i/>
      <w:iCs/>
      <w:color w:val="0f4761"/>
    </w:rPr>
  </w:style>
  <w:style w:type="character" w:customStyle="1" w:styleId="style4101">
    <w:name w:val="Heading 5 Char_5d995394-ea3d-4624-bc67-87a87f4a78b3"/>
    <w:basedOn w:val="style65"/>
    <w:next w:val="style4101"/>
    <w:link w:val="style5"/>
    <w:uiPriority w:val="9"/>
    <w:rPr>
      <w:rFonts w:cs="宋体" w:eastAsia="宋体"/>
      <w:color w:val="0f4761"/>
    </w:rPr>
  </w:style>
  <w:style w:type="character" w:customStyle="1" w:styleId="style4102">
    <w:name w:val="Heading 6 Char_775826e8-44c9-43ae-bc2c-0565034c173e"/>
    <w:basedOn w:val="style65"/>
    <w:next w:val="style4102"/>
    <w:link w:val="style6"/>
    <w:uiPriority w:val="9"/>
    <w:rPr>
      <w:rFonts w:cs="宋体" w:eastAsia="宋体"/>
      <w:i/>
      <w:iCs/>
      <w:color w:val="595959"/>
    </w:rPr>
  </w:style>
  <w:style w:type="character" w:customStyle="1" w:styleId="style4103">
    <w:name w:val="Heading 7 Char_c4660e96-5caa-4246-8dc1-99dbc88cb31b"/>
    <w:basedOn w:val="style65"/>
    <w:next w:val="style4103"/>
    <w:link w:val="style7"/>
    <w:uiPriority w:val="9"/>
    <w:rPr>
      <w:rFonts w:cs="宋体" w:eastAsia="宋体"/>
      <w:color w:val="595959"/>
    </w:rPr>
  </w:style>
  <w:style w:type="character" w:customStyle="1" w:styleId="style4104">
    <w:name w:val="Heading 8 Char_116fcb2d-77af-407b-8255-64896cc894c4"/>
    <w:basedOn w:val="style65"/>
    <w:next w:val="style4104"/>
    <w:link w:val="style8"/>
    <w:uiPriority w:val="9"/>
    <w:rPr>
      <w:rFonts w:cs="宋体" w:eastAsia="宋体"/>
      <w:i/>
      <w:iCs/>
      <w:color w:val="272727"/>
    </w:rPr>
  </w:style>
  <w:style w:type="character" w:customStyle="1" w:styleId="style4105">
    <w:name w:val="Heading 9 Char_597cf639-8632-45d5-b471-599fa4f40a1b"/>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4000cf0d-be06-48cf-a783-508c3222f517"/>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d1037bc5-0169-42e9-9aab-7f1df48635b5"/>
    <w:basedOn w:val="style65"/>
    <w:next w:val="style4108"/>
    <w:link w:val="style180"/>
    <w:uiPriority w:val="29"/>
    <w:rPr>
      <w:i/>
      <w:iCs/>
      <w:color w:val="404040"/>
    </w:rPr>
  </w:style>
  <w:style w:type="paragraph" w:styleId="style179">
    <w:name w:val="List Paragraph"/>
    <w:basedOn w:val="style0"/>
    <w:next w:val="style179"/>
    <w:link w:val="style4110"/>
    <w:qFormat/>
    <w:uiPriority w:val="1"/>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1a779baf-42fc-48d6-81e7-74c26625078b"/>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178">
    <w:name w:val="Revision"/>
    <w:next w:val="style178"/>
    <w:uiPriority w:val="99"/>
    <w:pPr>
      <w:spacing w:after="0" w:lineRule="auto" w:line="240"/>
    </w:pPr>
    <w:rPr/>
  </w:style>
  <w:style w:type="character" w:customStyle="1" w:styleId="style4110">
    <w:name w:val="List Paragraph Char"/>
    <w:basedOn w:val="style65"/>
    <w:next w:val="style4110"/>
    <w:link w:val="style179"/>
    <w:qFormat/>
    <w:uiPriority w:val="1"/>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Words>6210</Words>
  <Pages>37</Pages>
  <Characters>39284</Characters>
  <Application>WPS Office</Application>
  <DocSecurity>0</DocSecurity>
  <Paragraphs>383</Paragraphs>
  <ScaleCrop>false</ScaleCrop>
  <LinksUpToDate>false</LinksUpToDate>
  <CharactersWithSpaces>45278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2026-08-13T10:55:00Z</dcterms:created>
  <dc:creator>Vishal Singh (2543470)</dc:creator>
  <lastModifiedBy>V2060</lastModifiedBy>
  <dcterms:modified xsi:type="dcterms:W3CDTF">2026-08-13T12:31:04Z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1363fc6138fa409e83b855cd05ce7913_23</vt:lpwstr>
  </property>
</Properties>
</file>