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B540F" w14:textId="77777777" w:rsidR="006C3242" w:rsidRPr="00D132DB" w:rsidRDefault="006C3242" w:rsidP="006C3242">
      <w:pPr>
        <w:spacing w:before="1200" w:line="360" w:lineRule="auto"/>
        <w:jc w:val="center"/>
        <w:rPr>
          <w:rFonts w:ascii="Times New Roman" w:hAnsi="Times New Roman" w:cs="Times New Roman"/>
        </w:rPr>
      </w:pPr>
      <w:r>
        <w:rPr>
          <w:noProof/>
        </w:rPr>
        <w:drawing>
          <wp:inline distT="0" distB="0" distL="0" distR="0" wp14:anchorId="2FBE0C04" wp14:editId="28DFC9F9">
            <wp:extent cx="3429000" cy="1714500"/>
            <wp:effectExtent l="0" t="0" r="0" b="0"/>
            <wp:docPr id="58137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1714500"/>
                    </a:xfrm>
                    <a:prstGeom prst="rect">
                      <a:avLst/>
                    </a:prstGeom>
                    <a:noFill/>
                    <a:ln>
                      <a:noFill/>
                    </a:ln>
                  </pic:spPr>
                </pic:pic>
              </a:graphicData>
            </a:graphic>
          </wp:inline>
        </w:drawing>
      </w:r>
    </w:p>
    <w:p w14:paraId="18E4A30F" w14:textId="77777777" w:rsidR="006C3242" w:rsidRPr="00D132DB" w:rsidRDefault="006C3242" w:rsidP="006C3242">
      <w:pPr>
        <w:spacing w:before="200" w:after="120" w:line="360" w:lineRule="auto"/>
        <w:jc w:val="center"/>
        <w:rPr>
          <w:rFonts w:ascii="Times New Roman" w:hAnsi="Times New Roman" w:cs="Times New Roman"/>
        </w:rPr>
      </w:pPr>
      <w:r w:rsidRPr="00D132DB">
        <w:rPr>
          <w:rFonts w:ascii="Times New Roman" w:hAnsi="Times New Roman" w:cs="Times New Roman"/>
          <w:b/>
          <w:bCs/>
          <w:color w:val="1F3864"/>
          <w:sz w:val="28"/>
          <w:szCs w:val="28"/>
        </w:rPr>
        <w:t>UNIVERSITY OF WALES TRINITY SAINT DAVID</w:t>
      </w:r>
    </w:p>
    <w:p w14:paraId="16504799" w14:textId="77777777" w:rsidR="006C3242" w:rsidRPr="00D132DB" w:rsidRDefault="006C3242" w:rsidP="006C3242">
      <w:pPr>
        <w:spacing w:before="80" w:after="80" w:line="360" w:lineRule="auto"/>
        <w:jc w:val="center"/>
        <w:rPr>
          <w:rFonts w:ascii="Times New Roman" w:hAnsi="Times New Roman" w:cs="Times New Roman"/>
        </w:rPr>
      </w:pPr>
      <w:r w:rsidRPr="00D132DB">
        <w:rPr>
          <w:rFonts w:ascii="Times New Roman" w:hAnsi="Times New Roman" w:cs="Times New Roman"/>
          <w:color w:val="444444"/>
        </w:rPr>
        <w:t>MSc Sustainable Construction and Property and Facilities Management</w:t>
      </w:r>
    </w:p>
    <w:p w14:paraId="20D7878F" w14:textId="77777777" w:rsidR="006C3242" w:rsidRPr="00D132DB" w:rsidRDefault="006C3242" w:rsidP="006C3242">
      <w:pPr>
        <w:spacing w:before="60" w:after="60" w:line="360" w:lineRule="auto"/>
        <w:jc w:val="center"/>
        <w:rPr>
          <w:rFonts w:ascii="Times New Roman" w:hAnsi="Times New Roman" w:cs="Times New Roman"/>
        </w:rPr>
      </w:pPr>
      <w:r w:rsidRPr="00D132DB">
        <w:rPr>
          <w:rFonts w:ascii="Times New Roman" w:hAnsi="Times New Roman" w:cs="Times New Roman"/>
          <w:color w:val="444444"/>
        </w:rPr>
        <w:t>Module: Management of the Integrated Work Environment (ACBA7006)</w:t>
      </w:r>
    </w:p>
    <w:p w14:paraId="07783DAA" w14:textId="77777777" w:rsidR="006C3242" w:rsidRPr="00D132DB" w:rsidRDefault="006C3242" w:rsidP="006C3242">
      <w:pPr>
        <w:pBdr>
          <w:bottom w:val="single" w:sz="8" w:space="1" w:color="1F3864"/>
        </w:pBdr>
        <w:spacing w:before="500" w:after="500" w:line="360" w:lineRule="auto"/>
        <w:rPr>
          <w:rFonts w:ascii="Times New Roman" w:hAnsi="Times New Roman" w:cs="Times New Roman"/>
        </w:rPr>
      </w:pPr>
    </w:p>
    <w:p w14:paraId="2AE24587" w14:textId="77777777" w:rsidR="006C3242" w:rsidRPr="00D132DB" w:rsidRDefault="006C3242" w:rsidP="006C3242">
      <w:pPr>
        <w:spacing w:before="400" w:after="160" w:line="360" w:lineRule="auto"/>
        <w:jc w:val="center"/>
        <w:rPr>
          <w:rFonts w:ascii="Times New Roman" w:hAnsi="Times New Roman" w:cs="Times New Roman"/>
        </w:rPr>
      </w:pPr>
      <w:r w:rsidRPr="00D132DB">
        <w:rPr>
          <w:rFonts w:ascii="Times New Roman" w:hAnsi="Times New Roman" w:cs="Times New Roman"/>
          <w:b/>
          <w:bCs/>
          <w:color w:val="1F3864"/>
          <w:sz w:val="44"/>
          <w:szCs w:val="44"/>
        </w:rPr>
        <w:t>BUSINESS RISK REPORT</w:t>
      </w:r>
    </w:p>
    <w:p w14:paraId="45920A4F" w14:textId="77777777" w:rsidR="006C3242" w:rsidRPr="00D132DB" w:rsidRDefault="006C3242" w:rsidP="006C3242">
      <w:pPr>
        <w:spacing w:before="80" w:after="80" w:line="360" w:lineRule="auto"/>
        <w:jc w:val="center"/>
        <w:rPr>
          <w:rFonts w:ascii="Times New Roman" w:hAnsi="Times New Roman" w:cs="Times New Roman"/>
        </w:rPr>
      </w:pPr>
      <w:r w:rsidRPr="00D132DB">
        <w:rPr>
          <w:rFonts w:ascii="Times New Roman" w:hAnsi="Times New Roman" w:cs="Times New Roman"/>
          <w:b/>
          <w:bCs/>
          <w:color w:val="2E4057"/>
          <w:sz w:val="32"/>
          <w:szCs w:val="32"/>
        </w:rPr>
        <w:t>Innovation Matrix Building, UWTSD</w:t>
      </w:r>
    </w:p>
    <w:p w14:paraId="0EA2505E" w14:textId="77777777" w:rsidR="006C3242" w:rsidRPr="00D132DB" w:rsidRDefault="006C3242" w:rsidP="006C3242">
      <w:pPr>
        <w:spacing w:before="80" w:after="80" w:line="360" w:lineRule="auto"/>
        <w:jc w:val="center"/>
        <w:rPr>
          <w:rFonts w:ascii="Times New Roman" w:hAnsi="Times New Roman" w:cs="Times New Roman"/>
        </w:rPr>
      </w:pPr>
      <w:r w:rsidRPr="00D132DB">
        <w:rPr>
          <w:rFonts w:ascii="Times New Roman" w:hAnsi="Times New Roman" w:cs="Times New Roman"/>
          <w:color w:val="555555"/>
        </w:rPr>
        <w:t>A Post-Covid-19, Post-Brexit and Ukraine Conflict Risk Analysis</w:t>
      </w:r>
    </w:p>
    <w:p w14:paraId="03F1ED8F" w14:textId="77777777" w:rsidR="006C3242" w:rsidRPr="00D132DB" w:rsidRDefault="006C3242" w:rsidP="006C3242">
      <w:pPr>
        <w:pBdr>
          <w:bottom w:val="single" w:sz="8" w:space="1" w:color="1F3864"/>
        </w:pBdr>
        <w:spacing w:before="500" w:after="500" w:line="360" w:lineRule="auto"/>
        <w:rPr>
          <w:rFonts w:ascii="Times New Roman" w:hAnsi="Times New Roman" w:cs="Times New Roman"/>
        </w:rPr>
      </w:pPr>
    </w:p>
    <w:p w14:paraId="73333E65" w14:textId="77777777" w:rsidR="006C3242" w:rsidRPr="00D132DB" w:rsidRDefault="006C3242" w:rsidP="006C3242">
      <w:pPr>
        <w:spacing w:before="160" w:line="360" w:lineRule="auto"/>
        <w:jc w:val="center"/>
        <w:rPr>
          <w:rFonts w:ascii="Times New Roman" w:hAnsi="Times New Roman" w:cs="Times New Roman"/>
        </w:rPr>
      </w:pPr>
      <w:r w:rsidRPr="00D132DB">
        <w:rPr>
          <w:rFonts w:ascii="Times New Roman" w:hAnsi="Times New Roman" w:cs="Times New Roman"/>
          <w:color w:val="333333"/>
        </w:rPr>
        <w:t>Assignment 1 – Coursework (70%)</w:t>
      </w:r>
    </w:p>
    <w:p w14:paraId="0FED926B" w14:textId="77777777" w:rsidR="006C3242" w:rsidRPr="00D132DB" w:rsidRDefault="006C3242" w:rsidP="006C3242">
      <w:pPr>
        <w:spacing w:before="60" w:line="360" w:lineRule="auto"/>
        <w:jc w:val="center"/>
        <w:rPr>
          <w:rFonts w:ascii="Times New Roman" w:hAnsi="Times New Roman" w:cs="Times New Roman"/>
        </w:rPr>
      </w:pPr>
      <w:r w:rsidRPr="00D132DB">
        <w:rPr>
          <w:rFonts w:ascii="Times New Roman" w:hAnsi="Times New Roman" w:cs="Times New Roman"/>
          <w:color w:val="555555"/>
        </w:rPr>
        <w:t>Word Count: Approximately 4,000 words</w:t>
      </w:r>
    </w:p>
    <w:p w14:paraId="2816D1BD"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0E79025A"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1. Introduction</w:t>
      </w:r>
    </w:p>
    <w:p w14:paraId="535BDD22"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Managing a building like the Innovation Matrix is not straightforward. The facility brings together academic staff, postgraduate researchers, commercial SMEs, and external industry partners under one roof, each with different legal obligations, risk tolerances, and expectations of the spaces they occupy. That diversity is the building's strength. It is also what makes a robust risk management framework non-negotiable.</w:t>
      </w:r>
    </w:p>
    <w:p w14:paraId="063F422A"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This report has been prepared from the perspective of the property manager appointed to examine the Innovation Matrix portfolio. The scope covers both the technical and commercial aspects of building operation, and the analysis is deliberately framed within the current economic environment rather than against a pre-2020 baseline. The world that property managers are working in today is materially different from the one described in much of the standard FM literature.</w:t>
      </w:r>
    </w:p>
    <w:p w14:paraId="43D9EC72"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Three specific macro pressures shape the analysis throughout. The UK's exit from the European Union has pushed up material costs and reduced the pool of skilled trades available to FM and construction teams (RICS, 2021). The Covid-19 pandemic upended occupancy patterns and, as Maitland and Thomson (2014) argued would eventually happen, forced organisations to reassess what office space is actually for. And Russia's invasion of Ukraine in early 2022 triggered energy price increases that have left building operators facing bills they could not have budgeted for even twelve months earlier (International Energy Agency, 2022). These are not abstract background factors. They directly affect what risks are present in this building, how severe they are, and what it will cost to manage them.</w:t>
      </w:r>
    </w:p>
    <w:p w14:paraId="1A50AB2E"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report draws on resource and environmental management principles set out by Mitchell (2019), the HSE's risk assessment framework (HSE, 2014), and property risk management guidance from the RICS (2020). It also engages with BS EN ISO 50001:2018 as the appropriate standard for structuring the building's energy management, and with the NEC4 suite of contracts as the recommended vehicle for delivering the energy efficiency works identified in the procurement section.</w:t>
      </w:r>
    </w:p>
    <w:p w14:paraId="23C3CE6B"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29D29605"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2. Building Overview: Innovation Matrix, UWTSD</w:t>
      </w:r>
    </w:p>
    <w:p w14:paraId="0ED20BAC"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Innovation Matrix sits on the UWTSD campus in Swansea and was developed as a dedicated space for enterprise, research collaboration, and industry engagement. The building offers flexible offices, meeting rooms, co-working areas, and laboratory space – a mix designed to support the kind of applied research and knowledge-transfer activity that UWTSD has positioned as central to its relationship with the South Wales economy (Welsh Government, 2020).</w:t>
      </w:r>
    </w:p>
    <w:p w14:paraId="2B166E66"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In operational terms the building is multi-storey and mixed-use. Occupants on any given day include academic researchers, commercial tenants from a range of sectors, and facilities staff. This combination matters for risk management: the building is simultaneously a workplace for UWTSD employees, a commercial premises for paying tenants, and a semi-public space accessible to students and visitors. It therefore falls under several distinct regulatory regimes at once – the Regulatory Reform (Fire Safety) Order 2005, the Health and Safety at Work etc. Act 1974, the Control of Substances Hazardous to Health Regulations 2002, the Control of Noise at Work Regulations 2005, and the Energy Performance of Buildings (England and Wales) Regulations 2012, among others.</w:t>
      </w:r>
    </w:p>
    <w:p w14:paraId="1695F947"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Energy performance is a pressing concern. Half-hourly electricity metering data for the UWTSD estate shows a mean daily consumption of around 840 kWh, an estimated annual total of 253 MWh, and peak half-hour demand of 117.6 kW (UWTSD, 2018). Those numbers tell a clear story: the building uses a significant amount of energy, and the cost of that energy has roughly doubled since the data was recorded. UWTSD is also required to meet the carbon reduction targets under the Welsh Government's Public Sector Decarbonisation Scheme (Welsh Government, 2021), which gives the energy efficiency improvement programme recommended in Section 6 both financial and regulatory urgency. Figure 1 below illustrates the seasonal consumption pattern evident in the metering data.</w:t>
      </w:r>
    </w:p>
    <w:p w14:paraId="1288D171" w14:textId="77777777" w:rsidR="006C3242" w:rsidRPr="00D132DB" w:rsidRDefault="006C3242" w:rsidP="006C3242">
      <w:pPr>
        <w:spacing w:before="80" w:after="80" w:line="360" w:lineRule="auto"/>
        <w:rPr>
          <w:rFonts w:ascii="Times New Roman" w:hAnsi="Times New Roman" w:cs="Times New Roman"/>
        </w:rPr>
      </w:pPr>
    </w:p>
    <w:p w14:paraId="25D79BD1" w14:textId="77777777" w:rsidR="006C3242" w:rsidRPr="00D132DB" w:rsidRDefault="006C3242" w:rsidP="006C3242">
      <w:pPr>
        <w:spacing w:before="200" w:after="60" w:line="360" w:lineRule="auto"/>
        <w:jc w:val="center"/>
        <w:rPr>
          <w:rFonts w:ascii="Times New Roman" w:hAnsi="Times New Roman" w:cs="Times New Roman"/>
        </w:rPr>
      </w:pPr>
      <w:r w:rsidRPr="00D132DB">
        <w:rPr>
          <w:rFonts w:ascii="Times New Roman" w:hAnsi="Times New Roman" w:cs="Times New Roman"/>
          <w:noProof/>
        </w:rPr>
        <w:lastRenderedPageBreak/>
        <w:drawing>
          <wp:inline distT="0" distB="0" distL="0" distR="0" wp14:anchorId="2C542B1A" wp14:editId="34064F86">
            <wp:extent cx="5524500" cy="300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524500" cy="3009900"/>
                    </a:xfrm>
                    <a:prstGeom prst="rect">
                      <a:avLst/>
                    </a:prstGeom>
                  </pic:spPr>
                </pic:pic>
              </a:graphicData>
            </a:graphic>
          </wp:inline>
        </w:drawing>
      </w:r>
    </w:p>
    <w:p w14:paraId="5B816A81" w14:textId="77777777" w:rsidR="006C3242" w:rsidRPr="00D132DB" w:rsidRDefault="006C3242" w:rsidP="006C3242">
      <w:pPr>
        <w:spacing w:after="200" w:line="360" w:lineRule="auto"/>
        <w:jc w:val="center"/>
        <w:rPr>
          <w:rFonts w:ascii="Times New Roman" w:hAnsi="Times New Roman" w:cs="Times New Roman"/>
        </w:rPr>
      </w:pPr>
      <w:r w:rsidRPr="00D132DB">
        <w:rPr>
          <w:rFonts w:ascii="Times New Roman" w:hAnsi="Times New Roman" w:cs="Times New Roman"/>
          <w:color w:val="444444"/>
          <w:sz w:val="20"/>
          <w:szCs w:val="20"/>
        </w:rPr>
        <w:t>Figure 1: Monthly average daily electricity consumption, UWTSD estate, January–October 2018. Winter months show demand approximately 70% above summer levels, confirming space heating as a Significant Energy Use (SEU). Source: UWTSD (2018).</w:t>
      </w:r>
    </w:p>
    <w:p w14:paraId="0EDFBEF1" w14:textId="77777777" w:rsidR="006C3242" w:rsidRPr="00D132DB" w:rsidRDefault="006C3242" w:rsidP="006C3242">
      <w:pPr>
        <w:spacing w:before="80" w:after="80" w:line="360" w:lineRule="auto"/>
        <w:rPr>
          <w:rFonts w:ascii="Times New Roman" w:hAnsi="Times New Roman" w:cs="Times New Roman"/>
        </w:rPr>
      </w:pPr>
    </w:p>
    <w:p w14:paraId="38ACE27E"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2.1 Stakeholder Context</w:t>
      </w:r>
    </w:p>
    <w:p w14:paraId="5B79C56D"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UWTSD, as owner and operator, carries the primary legal responsibilities: compliance with health and safety legislation, maintenance of a safe and habitable building, and delivery of the asset's strategic purpose. Commercial tenants hold employer obligations for their own staff within their demised areas. Any contractor brought in for capital works will be subject to CDM 2015, which imposes specific legal duties on the Client (UWTSD), the Principal Designer, the Principal Contractor, and individual contractors and workers (HSE, 2015). Castellano (2017) notes that modern multi-occupier environments require facilities managers to negotiate between the often-conflicting demands of these different stakeholders rather than simply applying a single rulebook – a reality that shapes the risk register presented below.</w:t>
      </w:r>
    </w:p>
    <w:p w14:paraId="6997D5A4"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00EBD5C4"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3. Risk Assessment Methodology</w:t>
      </w:r>
    </w:p>
    <w:p w14:paraId="727463DE"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risk assessments in this report follow the HSE's five-step framework (HSE, 2014) and the RICS property risk management guidance (RICS, 2020). Each risk is scored on a standard 5×5 likelihood-consequence matrix, with the score calculated as Likelihood × Consequence. The table below defines the scoring bands.</w:t>
      </w:r>
    </w:p>
    <w:p w14:paraId="7628272B" w14:textId="77777777" w:rsidR="006C3242" w:rsidRPr="00D132DB" w:rsidRDefault="006C3242" w:rsidP="006C3242">
      <w:pPr>
        <w:spacing w:before="80" w:after="80" w:line="360" w:lineRule="auto"/>
        <w:rPr>
          <w:rFonts w:ascii="Times New Roman" w:hAnsi="Times New Roman" w:cs="Times New Roman"/>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1600"/>
        <w:gridCol w:w="1600"/>
        <w:gridCol w:w="2600"/>
      </w:tblGrid>
      <w:tr w:rsidR="006C3242" w:rsidRPr="00D132DB" w14:paraId="3B7073F0" w14:textId="77777777" w:rsidTr="00811385">
        <w:trPr>
          <w:jc w:val="center"/>
        </w:trPr>
        <w:tc>
          <w:tcPr>
            <w:tcW w:w="14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7D739B2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Score</w:t>
            </w:r>
          </w:p>
        </w:tc>
        <w:tc>
          <w:tcPr>
            <w:tcW w:w="16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5714DF3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Likelihood</w:t>
            </w:r>
          </w:p>
        </w:tc>
        <w:tc>
          <w:tcPr>
            <w:tcW w:w="16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56C53BE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Consequence</w:t>
            </w:r>
          </w:p>
        </w:tc>
        <w:tc>
          <w:tcPr>
            <w:tcW w:w="26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6797890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Risk Rating Band</w:t>
            </w:r>
          </w:p>
        </w:tc>
      </w:tr>
      <w:tr w:rsidR="006C3242" w:rsidRPr="00D132DB" w14:paraId="39892FF7" w14:textId="77777777" w:rsidTr="00811385">
        <w:trPr>
          <w:jc w:val="center"/>
        </w:trPr>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41C7FF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1</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4665FBB"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Rare</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6734E77"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Negligible</w:t>
            </w:r>
          </w:p>
        </w:tc>
        <w:tc>
          <w:tcPr>
            <w:tcW w:w="26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20961AA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1–4: Low</w:t>
            </w:r>
          </w:p>
        </w:tc>
      </w:tr>
      <w:tr w:rsidR="006C3242" w:rsidRPr="00D132DB" w14:paraId="304A537D" w14:textId="77777777" w:rsidTr="00811385">
        <w:trPr>
          <w:jc w:val="center"/>
        </w:trPr>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F01F28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8C19F5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Unlikely</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70AFAA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Minor</w:t>
            </w:r>
          </w:p>
        </w:tc>
        <w:tc>
          <w:tcPr>
            <w:tcW w:w="26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2B3F23B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5–9: Moderate</w:t>
            </w:r>
          </w:p>
        </w:tc>
      </w:tr>
      <w:tr w:rsidR="006C3242" w:rsidRPr="00D132DB" w14:paraId="23004054" w14:textId="77777777" w:rsidTr="00811385">
        <w:trPr>
          <w:jc w:val="center"/>
        </w:trPr>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E71AFB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A6FAA8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Possible</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8ED876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Moderate</w:t>
            </w:r>
          </w:p>
        </w:tc>
        <w:tc>
          <w:tcPr>
            <w:tcW w:w="26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1B6F96F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10–14: High</w:t>
            </w:r>
          </w:p>
        </w:tc>
      </w:tr>
      <w:tr w:rsidR="006C3242" w:rsidRPr="00D132DB" w14:paraId="05CADC89" w14:textId="77777777" w:rsidTr="00811385">
        <w:trPr>
          <w:jc w:val="center"/>
        </w:trPr>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BB096E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09910B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Likely</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B229080"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Major</w:t>
            </w:r>
          </w:p>
        </w:tc>
        <w:tc>
          <w:tcPr>
            <w:tcW w:w="2600" w:type="dxa"/>
            <w:tcBorders>
              <w:top w:val="single" w:sz="1" w:space="0" w:color="999999"/>
              <w:left w:val="single" w:sz="1" w:space="0" w:color="999999"/>
              <w:bottom w:val="single" w:sz="1" w:space="0" w:color="999999"/>
              <w:right w:val="single" w:sz="1" w:space="0" w:color="999999"/>
            </w:tcBorders>
            <w:shd w:val="clear" w:color="auto" w:fill="C00000"/>
            <w:tcMar>
              <w:top w:w="70" w:type="dxa"/>
              <w:left w:w="100" w:type="dxa"/>
              <w:bottom w:w="70" w:type="dxa"/>
              <w:right w:w="100" w:type="dxa"/>
            </w:tcMar>
          </w:tcPr>
          <w:p w14:paraId="680E406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15–19: Very High</w:t>
            </w:r>
          </w:p>
        </w:tc>
      </w:tr>
      <w:tr w:rsidR="006C3242" w:rsidRPr="00D132DB" w14:paraId="5757E78B" w14:textId="77777777" w:rsidTr="00811385">
        <w:trPr>
          <w:jc w:val="center"/>
        </w:trPr>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27B310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5</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B15FC9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Almost Certain</w:t>
            </w:r>
          </w:p>
        </w:tc>
        <w:tc>
          <w:tcPr>
            <w:tcW w:w="16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589100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Catastrophic</w:t>
            </w:r>
          </w:p>
        </w:tc>
        <w:tc>
          <w:tcPr>
            <w:tcW w:w="2600" w:type="dxa"/>
            <w:tcBorders>
              <w:top w:val="single" w:sz="1" w:space="0" w:color="999999"/>
              <w:left w:val="single" w:sz="1" w:space="0" w:color="999999"/>
              <w:bottom w:val="single" w:sz="1" w:space="0" w:color="999999"/>
              <w:right w:val="single" w:sz="1" w:space="0" w:color="999999"/>
            </w:tcBorders>
            <w:shd w:val="clear" w:color="auto" w:fill="7030A0"/>
            <w:tcMar>
              <w:top w:w="70" w:type="dxa"/>
              <w:left w:w="100" w:type="dxa"/>
              <w:bottom w:w="70" w:type="dxa"/>
              <w:right w:w="100" w:type="dxa"/>
            </w:tcMar>
          </w:tcPr>
          <w:p w14:paraId="2638426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20–25: Critical</w:t>
            </w:r>
          </w:p>
        </w:tc>
      </w:tr>
    </w:tbl>
    <w:p w14:paraId="625AAAF1" w14:textId="77777777" w:rsidR="006C3242" w:rsidRPr="00D132DB" w:rsidRDefault="006C3242" w:rsidP="006C3242">
      <w:pPr>
        <w:spacing w:before="80" w:after="80" w:line="360" w:lineRule="auto"/>
        <w:rPr>
          <w:rFonts w:ascii="Times New Roman" w:hAnsi="Times New Roman" w:cs="Times New Roman"/>
        </w:rPr>
      </w:pPr>
    </w:p>
    <w:p w14:paraId="4B5CCB86"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Each risk is rated twice: once as an initial score before controls, and again as a residual score once existing controls are applied. This reflects the ALARP principle – risks should be reduced until the cost of further reduction becomes grossly disproportionate to the benefit (HSE, 2014). Scores are not mechanical: they involve professional judgement, and the specific reasoning behind each score is set out in the text accompanying each table rather than left implicit.</w:t>
      </w:r>
    </w:p>
    <w:p w14:paraId="41F8A3B4"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A 5×5 matrix has real limitations. It is qualitative, not quantitative. A score of 12 in one risk category does not mean the same thing as a score of 12 in another. For market and financial risks in particular, where outcomes depend on multiple interacting factors, the numbers should be read as a management prioritisation guide rather than a statement of probability. That said, the approach is well-established in professional practice, is consistent with HSE guidance, and is proportionate to the scope of this assessment.</w:t>
      </w:r>
    </w:p>
    <w:p w14:paraId="7AAD09ED"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All assessments should be formally reviewed annually, or immediately after any material change to the building's use, occupancy, or legislative environment.</w:t>
      </w:r>
    </w:p>
    <w:p w14:paraId="5B62CB9F"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782A7CC8"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4. Broader Risk Register</w:t>
      </w:r>
    </w:p>
    <w:p w14:paraId="110205B0"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Table 1 sets out a high-level register of the principal risk categories identified for the Innovation Matrix, covering as wide a range of operational activities as the building's profile warrants. The register is deliberately broad: accessibility, cyber security, waste management, and CDM compliance are all listed alongside the headline categories, because a risk register that only covers the obvious hazards is of limited value to a property manager who needs to make decisions across the full scope of the asset. The five highest-priority categories are taken forward for detailed assessment in Section 5. The remaining categories are flagged for inclusion in the building's asset management plan and subject to the annual review cycle.</w:t>
      </w:r>
    </w:p>
    <w:p w14:paraId="15A0DC53" w14:textId="77777777" w:rsidR="006C3242" w:rsidRPr="00D132DB" w:rsidRDefault="006C3242" w:rsidP="006C3242">
      <w:pPr>
        <w:spacing w:before="80" w:after="80" w:line="360" w:lineRule="auto"/>
        <w:jc w:val="center"/>
        <w:rPr>
          <w:rFonts w:ascii="Times New Roman" w:hAnsi="Times New Roman" w:cs="Times New Roman"/>
        </w:rPr>
      </w:pPr>
      <w:r w:rsidRPr="00D132DB">
        <w:rPr>
          <w:rFonts w:ascii="Times New Roman" w:hAnsi="Times New Roman" w:cs="Times New Roman"/>
          <w:noProof/>
        </w:rPr>
        <w:drawing>
          <wp:inline distT="0" distB="0" distL="0" distR="0" wp14:anchorId="7125A1AA" wp14:editId="4BB7FCBB">
            <wp:extent cx="4095750" cy="2705100"/>
            <wp:effectExtent l="0" t="0" r="0" b="0"/>
            <wp:docPr id="1057326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0" cy="2705100"/>
                    </a:xfrm>
                    <a:prstGeom prst="rect">
                      <a:avLst/>
                    </a:prstGeom>
                    <a:noFill/>
                    <a:ln>
                      <a:noFill/>
                    </a:ln>
                  </pic:spPr>
                </pic:pic>
              </a:graphicData>
            </a:graphic>
          </wp:inline>
        </w:drawing>
      </w:r>
    </w:p>
    <w:p w14:paraId="57311625" w14:textId="77777777" w:rsidR="006C3242" w:rsidRPr="00D132DB" w:rsidRDefault="006C3242" w:rsidP="006C3242">
      <w:pPr>
        <w:spacing w:after="200" w:line="360" w:lineRule="auto"/>
        <w:jc w:val="center"/>
        <w:rPr>
          <w:rFonts w:ascii="Times New Roman" w:hAnsi="Times New Roman" w:cs="Times New Roman"/>
        </w:rPr>
      </w:pPr>
      <w:r w:rsidRPr="00D132DB">
        <w:rPr>
          <w:rFonts w:ascii="Times New Roman" w:hAnsi="Times New Roman" w:cs="Times New Roman"/>
          <w:b/>
          <w:bCs/>
          <w:color w:val="888888"/>
          <w:sz w:val="20"/>
          <w:szCs w:val="20"/>
        </w:rPr>
        <w:br/>
      </w:r>
      <w:r w:rsidRPr="00D132DB">
        <w:rPr>
          <w:rFonts w:ascii="Times New Roman" w:hAnsi="Times New Roman" w:cs="Times New Roman"/>
          <w:color w:val="444444"/>
          <w:sz w:val="20"/>
          <w:szCs w:val="20"/>
        </w:rPr>
        <w:t>Figure 2: The Innovation Matrix, UWTSD, Swansea. Photograph taken by the author UWTSD 2026.</w:t>
      </w:r>
    </w:p>
    <w:p w14:paraId="112B79E9" w14:textId="77777777" w:rsidR="006C3242" w:rsidRPr="00D132DB" w:rsidRDefault="006C3242" w:rsidP="006C3242">
      <w:pPr>
        <w:spacing w:before="80" w:after="80" w:line="360" w:lineRule="auto"/>
        <w:rPr>
          <w:rFonts w:ascii="Times New Roman" w:hAnsi="Times New Roman" w:cs="Times New Roman"/>
        </w:rPr>
      </w:pPr>
    </w:p>
    <w:p w14:paraId="4BF0ABC5" w14:textId="77777777" w:rsidR="006C3242" w:rsidRPr="00D132DB" w:rsidRDefault="006C3242" w:rsidP="006C3242">
      <w:pPr>
        <w:spacing w:before="60" w:after="80" w:line="360" w:lineRule="auto"/>
        <w:rPr>
          <w:rFonts w:ascii="Times New Roman" w:hAnsi="Times New Roman" w:cs="Times New Roman"/>
        </w:rPr>
      </w:pPr>
      <w:r w:rsidRPr="00D132DB">
        <w:rPr>
          <w:rFonts w:ascii="Times New Roman" w:hAnsi="Times New Roman" w:cs="Times New Roman"/>
          <w:b/>
          <w:bCs/>
          <w:sz w:val="22"/>
          <w:szCs w:val="22"/>
        </w:rPr>
        <w:t>Table 1: High-Level Risk Register – Innovation Matrix, UWTSD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0"/>
        <w:gridCol w:w="2417"/>
        <w:gridCol w:w="2419"/>
        <w:gridCol w:w="1189"/>
        <w:gridCol w:w="1211"/>
        <w:gridCol w:w="1614"/>
      </w:tblGrid>
      <w:tr w:rsidR="006C3242" w:rsidRPr="00D132DB" w14:paraId="5CF9BA63"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6AFA936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Ref</w:t>
            </w:r>
          </w:p>
        </w:tc>
        <w:tc>
          <w:tcPr>
            <w:tcW w:w="25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9F5093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Risk Category</w:t>
            </w:r>
          </w:p>
        </w:tc>
        <w:tc>
          <w:tcPr>
            <w:tcW w:w="25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3870661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Brief Description</w:t>
            </w:r>
          </w:p>
        </w:tc>
        <w:tc>
          <w:tcPr>
            <w:tcW w:w="12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B086C2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Likelihood</w:t>
            </w:r>
          </w:p>
        </w:tc>
        <w:tc>
          <w:tcPr>
            <w:tcW w:w="12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1D29BCB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Consequence</w:t>
            </w:r>
          </w:p>
        </w:tc>
        <w:tc>
          <w:tcPr>
            <w:tcW w:w="166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6539297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Priority</w:t>
            </w:r>
          </w:p>
        </w:tc>
      </w:tr>
      <w:tr w:rsidR="006C3242" w:rsidRPr="00D132DB" w14:paraId="5A2EE213"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3704C3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R1</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628DB8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Fire Safety</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87ACC7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Ignition from electrical faults, combustibles, laboratory substances or arson; inadequate detection or escape</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A03E0A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Unlikely (2)</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1CF441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Catastrophic (5)</w:t>
            </w:r>
          </w:p>
        </w:tc>
        <w:tc>
          <w:tcPr>
            <w:tcW w:w="166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0772CCF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10 – High</w:t>
            </w:r>
          </w:p>
        </w:tc>
      </w:tr>
      <w:tr w:rsidR="006C3242" w:rsidRPr="00D132DB" w14:paraId="3D143715"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3A3CD6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R2</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E0BE98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Noise</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A0A6BE2"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 xml:space="preserve">Occupational and environmental noise from HVAC, construction works and traffic; impact on </w:t>
            </w:r>
            <w:r w:rsidRPr="00D132DB">
              <w:rPr>
                <w:rFonts w:ascii="Times New Roman" w:hAnsi="Times New Roman" w:cs="Times New Roman"/>
                <w:color w:val="000000"/>
                <w:sz w:val="18"/>
                <w:szCs w:val="18"/>
              </w:rPr>
              <w:lastRenderedPageBreak/>
              <w:t>wellbeing and regulatory compliance</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CD98B6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lastRenderedPageBreak/>
              <w:t>Possible (3)</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0C5C12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Moderate (3)</w:t>
            </w:r>
          </w:p>
        </w:tc>
        <w:tc>
          <w:tcPr>
            <w:tcW w:w="166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3D8F49E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9 – Moderate</w:t>
            </w:r>
          </w:p>
        </w:tc>
      </w:tr>
      <w:tr w:rsidR="006C3242" w:rsidRPr="00D132DB" w14:paraId="3CC4435F"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B91FD1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R3</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AA73ABD"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COSHH</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C85474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Exposure to chemical, biological or dust hazards in laboratory and cleaning contexts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00BD70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Possible (3)</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145849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Major (4)</w:t>
            </w:r>
          </w:p>
        </w:tc>
        <w:tc>
          <w:tcPr>
            <w:tcW w:w="166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22FC1BD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r>
      <w:tr w:rsidR="006C3242" w:rsidRPr="00D132DB" w14:paraId="34BBC5F9"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059658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R4</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099F4D2"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Financial</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D51D5E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Energy cost escalation, construction inflation, and reduced rental income driven by macro-economic forces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788194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Likely (4)</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B3E4CC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Major (4)</w:t>
            </w:r>
          </w:p>
        </w:tc>
        <w:tc>
          <w:tcPr>
            <w:tcW w:w="1660" w:type="dxa"/>
            <w:tcBorders>
              <w:top w:val="single" w:sz="1" w:space="0" w:color="999999"/>
              <w:left w:val="single" w:sz="1" w:space="0" w:color="999999"/>
              <w:bottom w:val="single" w:sz="1" w:space="0" w:color="999999"/>
              <w:right w:val="single" w:sz="1" w:space="0" w:color="999999"/>
            </w:tcBorders>
            <w:shd w:val="clear" w:color="auto" w:fill="C00000"/>
            <w:tcMar>
              <w:top w:w="70" w:type="dxa"/>
              <w:left w:w="100" w:type="dxa"/>
              <w:bottom w:w="70" w:type="dxa"/>
              <w:right w:w="100" w:type="dxa"/>
            </w:tcMar>
          </w:tcPr>
          <w:p w14:paraId="30151B0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16 – Very High</w:t>
            </w:r>
          </w:p>
        </w:tc>
      </w:tr>
      <w:tr w:rsidR="006C3242" w:rsidRPr="00D132DB" w14:paraId="65965319"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2A6ABC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R5</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F191F0D"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Market</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1C9182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Declining demand for office and enterprise space; reduced public funding post-Brexit</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AB16A4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Possible (3)</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346661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Major (4)</w:t>
            </w:r>
          </w:p>
        </w:tc>
        <w:tc>
          <w:tcPr>
            <w:tcW w:w="166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4EC7E48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r>
      <w:tr w:rsidR="006C3242" w:rsidRPr="00D132DB" w14:paraId="467F88E0"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2FEDA4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R6</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60964E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CDM / Construction H&amp;S</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17012B0"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Failure to comply with CDM 2015 during refurbishment works; inadequate Principal Designer or Principal Contractor appointment</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389A29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Unlikely (2)</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22F144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Major (4)</w:t>
            </w:r>
          </w:p>
        </w:tc>
        <w:tc>
          <w:tcPr>
            <w:tcW w:w="166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3328FD0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8 – Moderate</w:t>
            </w:r>
          </w:p>
        </w:tc>
      </w:tr>
      <w:tr w:rsidR="006C3242" w:rsidRPr="00D132DB" w14:paraId="6A59A195"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5B2CDF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R7</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7947FB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Accessibility</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6F409B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Failure to meet obligations under the Equality Act 2010 for disabled occupants and visitors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B25657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Possible (3)</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4B2FBE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Major (4)</w:t>
            </w:r>
          </w:p>
        </w:tc>
        <w:tc>
          <w:tcPr>
            <w:tcW w:w="166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5177573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r>
      <w:tr w:rsidR="006C3242" w:rsidRPr="00D132DB" w14:paraId="447A9398"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B98D1B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R8</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0B1DAE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Cyber Security</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227BB11"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Unauthorised access to building management systems (BMS) or tenant data via network vulnerabilities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9404B4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Possible (3)</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294A86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Moderate (3)</w:t>
            </w:r>
          </w:p>
        </w:tc>
        <w:tc>
          <w:tcPr>
            <w:tcW w:w="166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1C0D477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9 – Moderate</w:t>
            </w:r>
          </w:p>
        </w:tc>
      </w:tr>
      <w:tr w:rsidR="006C3242" w:rsidRPr="00D132DB" w14:paraId="2F457DD6"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D7CFB0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R9</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EB6CFA0"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Waste Management</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647FAAD"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Non-compliance with waste duty of care regulations; inadequate segregation of hazardous laboratory waste</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268989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Possible (3)</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1B389B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Moderate (3)</w:t>
            </w:r>
          </w:p>
        </w:tc>
        <w:tc>
          <w:tcPr>
            <w:tcW w:w="166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5FB7F52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9 – Moderate</w:t>
            </w:r>
          </w:p>
        </w:tc>
      </w:tr>
      <w:tr w:rsidR="006C3242" w:rsidRPr="00D132DB" w14:paraId="43CD22B9" w14:textId="77777777" w:rsidTr="00811385">
        <w:tc>
          <w:tcPr>
            <w:tcW w:w="3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7F9394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R10</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F1858E0"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b/>
                <w:bCs/>
                <w:color w:val="000000"/>
                <w:sz w:val="18"/>
                <w:szCs w:val="18"/>
              </w:rPr>
              <w:t>Reputational</w:t>
            </w:r>
          </w:p>
        </w:tc>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41666A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Poor EPC rating, safety incident, or tenant complaint undermining UWTSD's brand and the building's commercial attractiveness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A6D40B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Unlikely (2)</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C58150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Major (4)</w:t>
            </w:r>
          </w:p>
        </w:tc>
        <w:tc>
          <w:tcPr>
            <w:tcW w:w="166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0A2B8D0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8 – Moderate</w:t>
            </w:r>
          </w:p>
        </w:tc>
      </w:tr>
    </w:tbl>
    <w:p w14:paraId="2FB9F85D" w14:textId="77777777" w:rsidR="006C3242" w:rsidRPr="00D132DB" w:rsidRDefault="006C3242" w:rsidP="006C3242">
      <w:pPr>
        <w:spacing w:before="80" w:after="80" w:line="360" w:lineRule="auto"/>
        <w:rPr>
          <w:rFonts w:ascii="Times New Roman" w:hAnsi="Times New Roman" w:cs="Times New Roman"/>
        </w:rPr>
      </w:pPr>
    </w:p>
    <w:p w14:paraId="0C79C382"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 xml:space="preserve">Of the ten categories, five are taken forward for detailed assessment: fire (R1), noise (R2), COSHH (R3), financial risk (R4), and market risk (R5). These were selected on the basis of their initial risk scores, the complexity of the applicable legislation, and their direct relevance </w:t>
      </w:r>
      <w:r w:rsidRPr="00D132DB">
        <w:rPr>
          <w:rFonts w:ascii="Times New Roman" w:hAnsi="Times New Roman" w:cs="Times New Roman"/>
        </w:rPr>
        <w:lastRenderedPageBreak/>
        <w:t>to the building's current challenges, including the planned energy improvement works. The remaining five categories are noted as requiring formal review and inclusion in the building's asset management plan.</w:t>
      </w:r>
    </w:p>
    <w:p w14:paraId="364DFCC9" w14:textId="77777777" w:rsidR="006C3242" w:rsidRPr="00D132DB" w:rsidRDefault="006C3242" w:rsidP="006C3242">
      <w:pPr>
        <w:spacing w:before="80" w:after="80" w:line="360" w:lineRule="auto"/>
        <w:rPr>
          <w:rFonts w:ascii="Times New Roman" w:hAnsi="Times New Roman" w:cs="Times New Roman"/>
        </w:rPr>
      </w:pPr>
    </w:p>
    <w:p w14:paraId="68E78B73" w14:textId="77777777" w:rsidR="006C3242" w:rsidRPr="00D132DB" w:rsidRDefault="006C3242" w:rsidP="006C3242">
      <w:pPr>
        <w:spacing w:before="200" w:after="60" w:line="360" w:lineRule="auto"/>
        <w:jc w:val="center"/>
        <w:rPr>
          <w:rFonts w:ascii="Times New Roman" w:hAnsi="Times New Roman" w:cs="Times New Roman"/>
        </w:rPr>
      </w:pPr>
      <w:r w:rsidRPr="00D132DB">
        <w:rPr>
          <w:rFonts w:ascii="Times New Roman" w:hAnsi="Times New Roman" w:cs="Times New Roman"/>
          <w:noProof/>
        </w:rPr>
        <w:drawing>
          <wp:inline distT="0" distB="0" distL="0" distR="0" wp14:anchorId="6C676314" wp14:editId="5550EB9A">
            <wp:extent cx="5334000" cy="4019550"/>
            <wp:effectExtent l="0" t="0" r="0" b="0"/>
            <wp:docPr id="1765054590" name="Picture 176505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4019550"/>
                    </a:xfrm>
                    <a:prstGeom prst="rect">
                      <a:avLst/>
                    </a:prstGeom>
                  </pic:spPr>
                </pic:pic>
              </a:graphicData>
            </a:graphic>
          </wp:inline>
        </w:drawing>
      </w:r>
    </w:p>
    <w:p w14:paraId="15DDB237" w14:textId="77777777" w:rsidR="006C3242" w:rsidRPr="00D132DB" w:rsidRDefault="006C3242" w:rsidP="006C3242">
      <w:pPr>
        <w:spacing w:after="200" w:line="360" w:lineRule="auto"/>
        <w:jc w:val="center"/>
        <w:rPr>
          <w:rFonts w:ascii="Times New Roman" w:hAnsi="Times New Roman" w:cs="Times New Roman"/>
        </w:rPr>
      </w:pPr>
      <w:r w:rsidRPr="00D132DB">
        <w:rPr>
          <w:rFonts w:ascii="Times New Roman" w:hAnsi="Times New Roman" w:cs="Times New Roman"/>
          <w:color w:val="444444"/>
          <w:sz w:val="20"/>
          <w:szCs w:val="20"/>
        </w:rPr>
        <w:t>Figure 3: Risk Heat Map — Innovation Matrix, UWTSD. All ten risk register categories plotted by initial Likelihood × Consequence score. Source: Author's own analysis based on HSE (2014).</w:t>
      </w:r>
    </w:p>
    <w:p w14:paraId="750AAFFC"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360E45BE"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5. Detailed Risk Assessments</w:t>
      </w:r>
    </w:p>
    <w:p w14:paraId="5C9652C7"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5.1 Fire Risk Assessment</w:t>
      </w:r>
    </w:p>
    <w:p w14:paraId="0DF28472"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Under the Regulatory Reform (Fire Safety) Order 2005 (the 'Fire Safety Order'), the 'Responsible Person' for a non-domestic premises – in this case, UWTSD as the building owner and operator – is legally required to carry out a suitable and sufficient fire risk assessment and to keep it under review (HM Government, 2005). For a building of the Innovation Matrix's complexity, with diverse occupancy, mixed uses, and a significant number of persons present at any time, this obligation carries considerable weight.</w:t>
      </w:r>
    </w:p>
    <w:p w14:paraId="2BCFCF53"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 xml:space="preserve">The initial likelihood scores below are calibrated as follows: electrical fault (Likelihood 2 – </w:t>
      </w:r>
      <w:r w:rsidRPr="00D132DB">
        <w:rPr>
          <w:rFonts w:ascii="Times New Roman" w:hAnsi="Times New Roman" w:cs="Times New Roman"/>
          <w:b/>
          <w:bCs/>
        </w:rPr>
        <w:t>Unlikely</w:t>
      </w:r>
      <w:r w:rsidRPr="00D132DB">
        <w:rPr>
          <w:rFonts w:ascii="Times New Roman" w:hAnsi="Times New Roman" w:cs="Times New Roman"/>
        </w:rPr>
        <w:t xml:space="preserve">) because the building operates a PAT testing programme and has a PPM schedule, but the sheer density of electrical equipment across research and office areas means the risk cannot be regarded as Rare. Combustible material misuse (Likelihood 3 – </w:t>
      </w:r>
      <w:r w:rsidRPr="00D132DB">
        <w:rPr>
          <w:rFonts w:ascii="Times New Roman" w:hAnsi="Times New Roman" w:cs="Times New Roman"/>
          <w:b/>
          <w:bCs/>
        </w:rPr>
        <w:t>Possible</w:t>
      </w:r>
      <w:r w:rsidRPr="00D132DB">
        <w:rPr>
          <w:rFonts w:ascii="Times New Roman" w:hAnsi="Times New Roman" w:cs="Times New Roman"/>
        </w:rPr>
        <w:t>) is scored higher because the diversity of tenants means that not all occupants will be equally familiar with storage protocols. Consequence scores of 4 and 5 reflect the multi-occupancy environment and the potential for harm to a large number of persons, consistent with the HSE's severity matrix (HSE, 2014). Post-Covid changes to occupancy patterns – notably the incomplete updating of fire evacuation plans to reflect new spatial configurations – are also noted by the National Fire Chiefs Council (NFCC, 2021) as a sector-wide risk.</w:t>
      </w:r>
    </w:p>
    <w:p w14:paraId="5E5168AF" w14:textId="77777777" w:rsidR="006C3242" w:rsidRPr="00D132DB" w:rsidRDefault="006C3242" w:rsidP="006C3242">
      <w:pPr>
        <w:spacing w:before="80" w:after="80" w:line="360" w:lineRule="auto"/>
        <w:rPr>
          <w:rFonts w:ascii="Times New Roman" w:hAnsi="Times New Roman" w:cs="Times New Roman"/>
        </w:rPr>
      </w:pPr>
    </w:p>
    <w:p w14:paraId="7429F0FD" w14:textId="77777777" w:rsidR="006C3242" w:rsidRPr="00D132DB" w:rsidRDefault="006C3242" w:rsidP="006C3242">
      <w:pPr>
        <w:spacing w:before="60" w:after="80" w:line="360" w:lineRule="auto"/>
        <w:rPr>
          <w:rFonts w:ascii="Times New Roman" w:hAnsi="Times New Roman" w:cs="Times New Roman"/>
        </w:rPr>
      </w:pPr>
      <w:r w:rsidRPr="00D132DB">
        <w:rPr>
          <w:rFonts w:ascii="Times New Roman" w:hAnsi="Times New Roman" w:cs="Times New Roman"/>
          <w:b/>
          <w:bCs/>
          <w:sz w:val="22"/>
          <w:szCs w:val="22"/>
        </w:rPr>
        <w:t>Table 2: Fire Risk Assessment – Innovation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4"/>
        <w:gridCol w:w="1198"/>
        <w:gridCol w:w="1964"/>
        <w:gridCol w:w="615"/>
        <w:gridCol w:w="615"/>
        <w:gridCol w:w="950"/>
        <w:gridCol w:w="950"/>
        <w:gridCol w:w="1164"/>
      </w:tblGrid>
      <w:tr w:rsidR="006C3242" w:rsidRPr="00D132DB" w14:paraId="4548D5D0"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80F1DF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Hazard / Risk</w:t>
            </w:r>
          </w:p>
        </w:tc>
        <w:tc>
          <w:tcPr>
            <w:tcW w:w="12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6FC35C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Who is at Risk?</w:t>
            </w:r>
          </w:p>
        </w:tc>
        <w:tc>
          <w:tcPr>
            <w:tcW w:w="20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54A74EC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Existing Controls</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3187344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L</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AEDD39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C</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0DB70D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Initial Risk</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7D83F2C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Residual Risk</w:t>
            </w:r>
          </w:p>
        </w:tc>
        <w:tc>
          <w:tcPr>
            <w:tcW w:w="117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A05382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Resp. Person</w:t>
            </w:r>
          </w:p>
        </w:tc>
      </w:tr>
      <w:tr w:rsidR="006C3242" w:rsidRPr="00D132DB" w14:paraId="17783E88"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63F60A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Electrical fault / short circuit causing ignition in office or laboratory area</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86AF90D"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All occupants, staff, visitors, emergency services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AE1252A"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PAT testing programme; circuit breaker protection; planned preventive maintenance (PPM) schedule; BMS monitored electrical load</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A5B940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649925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5</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7F81469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10 – High</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1D7CEC7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C8939B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Estates Manager / Review: Jan</w:t>
            </w:r>
          </w:p>
        </w:tc>
      </w:tr>
      <w:tr w:rsidR="006C3242" w:rsidRPr="00D132DB" w14:paraId="0843B278"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B03B67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 xml:space="preserve">Improper storage of combustible materials </w:t>
            </w:r>
            <w:r w:rsidRPr="00D132DB">
              <w:rPr>
                <w:rFonts w:ascii="Times New Roman" w:hAnsi="Times New Roman" w:cs="Times New Roman"/>
                <w:color w:val="000000"/>
                <w:sz w:val="18"/>
                <w:szCs w:val="18"/>
              </w:rPr>
              <w:lastRenderedPageBreak/>
              <w:t>in shared corridors or lab prep rooms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87B722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lastRenderedPageBreak/>
              <w:t xml:space="preserve">Tenants, cleaning staff, </w:t>
            </w:r>
            <w:r w:rsidRPr="00D132DB">
              <w:rPr>
                <w:rFonts w:ascii="Times New Roman" w:hAnsi="Times New Roman" w:cs="Times New Roman"/>
                <w:color w:val="000000"/>
                <w:sz w:val="18"/>
                <w:szCs w:val="18"/>
              </w:rPr>
              <w:lastRenderedPageBreak/>
              <w:t>emergency services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2D83A3C"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lastRenderedPageBreak/>
              <w:t xml:space="preserve">Fire safety inductions for all new tenants; quarterly waste and </w:t>
            </w:r>
            <w:r w:rsidRPr="00D132DB">
              <w:rPr>
                <w:rFonts w:ascii="Times New Roman" w:hAnsi="Times New Roman" w:cs="Times New Roman"/>
                <w:color w:val="000000"/>
                <w:sz w:val="18"/>
                <w:szCs w:val="18"/>
              </w:rPr>
              <w:lastRenderedPageBreak/>
              <w:t>storage audits; signage and designated storage zones; fire marshal checks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C3EDC6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lastRenderedPageBreak/>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2991AC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26A51E3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2784AFE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85CB976"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Fire Marshal / Review: Apr</w:t>
            </w:r>
          </w:p>
        </w:tc>
      </w:tr>
      <w:tr w:rsidR="006C3242" w:rsidRPr="00D132DB" w14:paraId="28929EBF"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8226DD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Failure of fire detection or automatic suppression systems to operate correctly</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BDC156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All building users, neighbouring occupants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52D59B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Six-monthly inspection of sprinklers and alarm system; BMS integration; third-party servicing contract; documented test records maintained</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7D7D11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D7E4D9B"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5</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317407C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10 – High</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4B5A45C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134259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Compliance Officer / Review: Jan &amp; Jul</w:t>
            </w:r>
          </w:p>
        </w:tc>
      </w:tr>
      <w:tr w:rsidR="006C3242" w:rsidRPr="00D132DB" w14:paraId="672DCE57"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BE0C22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Obstruction of fire escape routes, propped fire doors, or disabled emergency lighting</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88537EC"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All occupants, emergency responders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9BF25D6"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Weekly fire-door inspection; floor marking maintained; bi-annual evacuation drills; fire marshal refresher training; signage audit</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51B590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53477E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5</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08E7CE0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10 – High</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3FD6B8FB"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3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B834D00"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Fire Marshal / Review: Ongoing</w:t>
            </w:r>
          </w:p>
        </w:tc>
      </w:tr>
      <w:tr w:rsidR="006C3242" w:rsidRPr="00D132DB" w14:paraId="5AF04CE4"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351DB8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Unauthorised use of portable heaters or cooking equipment by tenants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660013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Adjacent tenants, building occupants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C1C85A2"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Lease clauses prohibiting unauthorised electrical appliances; periodic occupancy inspections; awareness communications to all tenants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D3F771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6C85BA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7F7145F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8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37964ABB"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3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BBDC9B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Tenancy Manager / Review: Oct</w:t>
            </w:r>
          </w:p>
        </w:tc>
      </w:tr>
    </w:tbl>
    <w:p w14:paraId="4FC2B7BF" w14:textId="77777777" w:rsidR="006C3242" w:rsidRPr="00D132DB" w:rsidRDefault="006C3242" w:rsidP="006C3242">
      <w:pPr>
        <w:spacing w:before="80" w:after="80" w:line="360" w:lineRule="auto"/>
        <w:rPr>
          <w:rFonts w:ascii="Times New Roman" w:hAnsi="Times New Roman" w:cs="Times New Roman"/>
        </w:rPr>
      </w:pPr>
    </w:p>
    <w:p w14:paraId="7C0FE9F5"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Further recommended actions: (i) Commission a third-party specialist fire safety audit to supplement the internal assessment, particularly for laboratory spaces. (ii) Update the Emergency Evacuation Plan to reflect any post-pandemic changes to the building layout. (iii) Ensure compliance with the Fire Safety Act 2021, which extends obligations to communal areas and external walls of multi-occupied buildings (HM Government, 2021b).</w:t>
      </w:r>
    </w:p>
    <w:p w14:paraId="098F5877"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5.2 Noise Risk Assessment</w:t>
      </w:r>
    </w:p>
    <w:p w14:paraId="5B417577"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 xml:space="preserve">Noise in a multi-use building of this nature presents risks across two distinct regulatory and operational dimensions. First, occupational noise – arising from building services plant, maintenance activities, and capital works – may expose staff and contractors to levels that trigger the action values set by the Control of Noise at Work Regulations 2005: lower </w:t>
      </w:r>
      <w:r w:rsidRPr="00D132DB">
        <w:rPr>
          <w:rFonts w:ascii="Times New Roman" w:hAnsi="Times New Roman" w:cs="Times New Roman"/>
        </w:rPr>
        <w:lastRenderedPageBreak/>
        <w:t>exposure action value 80 dB(A) LEP,d; upper exposure action value 85 dB(A) LEP,d; and exposure limit value 87 dB(A) LEP,d (HSE, 2005). Second, environmental and acoustic noise – from external sources and from activities within the building – has a well-evidenced negative effect on occupant wellbeing and productivity. Kim and de Dear (2013) demonstrated that noise is consistently ranked as the most significant source of workplace dissatisfaction in office environments, reducing cognitive performance and elevating physiological stress markers.</w:t>
      </w:r>
    </w:p>
    <w:p w14:paraId="794444D2"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Construction noise during planned refurbishment or M&amp;E works is scored at Likelihood 4 (</w:t>
      </w:r>
      <w:r w:rsidRPr="00D132DB">
        <w:rPr>
          <w:rFonts w:ascii="Times New Roman" w:hAnsi="Times New Roman" w:cs="Times New Roman"/>
          <w:b/>
          <w:bCs/>
        </w:rPr>
        <w:t>Likely</w:t>
      </w:r>
      <w:r w:rsidRPr="00D132DB">
        <w:rPr>
          <w:rFonts w:ascii="Times New Roman" w:hAnsi="Times New Roman" w:cs="Times New Roman"/>
        </w:rPr>
        <w:t>) because the energy improvement programme recommended in Section 6 will, if approved, generate sustained construction activity within a live, occupied building. Consequence 3 (</w:t>
      </w:r>
      <w:r w:rsidRPr="00D132DB">
        <w:rPr>
          <w:rFonts w:ascii="Times New Roman" w:hAnsi="Times New Roman" w:cs="Times New Roman"/>
          <w:b/>
          <w:bCs/>
        </w:rPr>
        <w:t>Moderate</w:t>
      </w:r>
      <w:r w:rsidRPr="00D132DB">
        <w:rPr>
          <w:rFonts w:ascii="Times New Roman" w:hAnsi="Times New Roman" w:cs="Times New Roman"/>
        </w:rPr>
        <w:t>) reflects the fact that while disturbance is highly probable, permanent hearing damage to office occupants from construction noise is unlikely given the distances involved and the use of appropriate working hours restrictions. HVAC noise is scored Likelihood 3 because plant servicing records indicate that some units are approaching the end of their design life and may already be operating above design noise levels.</w:t>
      </w:r>
    </w:p>
    <w:p w14:paraId="4B113063" w14:textId="77777777" w:rsidR="006C3242" w:rsidRPr="00D132DB" w:rsidRDefault="006C3242" w:rsidP="006C3242">
      <w:pPr>
        <w:spacing w:before="80" w:after="80" w:line="360" w:lineRule="auto"/>
        <w:rPr>
          <w:rFonts w:ascii="Times New Roman" w:hAnsi="Times New Roman" w:cs="Times New Roman"/>
        </w:rPr>
      </w:pPr>
    </w:p>
    <w:p w14:paraId="6D7A28CB" w14:textId="77777777" w:rsidR="006C3242" w:rsidRPr="00D132DB" w:rsidRDefault="006C3242" w:rsidP="006C3242">
      <w:pPr>
        <w:spacing w:before="60" w:after="80" w:line="360" w:lineRule="auto"/>
        <w:rPr>
          <w:rFonts w:ascii="Times New Roman" w:hAnsi="Times New Roman" w:cs="Times New Roman"/>
        </w:rPr>
      </w:pPr>
      <w:r w:rsidRPr="00D132DB">
        <w:rPr>
          <w:rFonts w:ascii="Times New Roman" w:hAnsi="Times New Roman" w:cs="Times New Roman"/>
          <w:b/>
          <w:bCs/>
          <w:sz w:val="22"/>
          <w:szCs w:val="22"/>
        </w:rPr>
        <w:t>Table 3: Noise Risk Assessment – Innovation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31"/>
        <w:gridCol w:w="1198"/>
        <w:gridCol w:w="1978"/>
        <w:gridCol w:w="618"/>
        <w:gridCol w:w="618"/>
        <w:gridCol w:w="950"/>
        <w:gridCol w:w="899"/>
        <w:gridCol w:w="1168"/>
      </w:tblGrid>
      <w:tr w:rsidR="006C3242" w:rsidRPr="00D132DB" w14:paraId="73C59B6F"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27BE3F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Hazard / Risk</w:t>
            </w:r>
          </w:p>
        </w:tc>
        <w:tc>
          <w:tcPr>
            <w:tcW w:w="12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65E63EA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Who is at Risk?</w:t>
            </w:r>
          </w:p>
        </w:tc>
        <w:tc>
          <w:tcPr>
            <w:tcW w:w="20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CFE22B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Existing Controls</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C8606F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L</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CC5243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C</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20A411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Initial Risk</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1E6F1E2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Residual Risk</w:t>
            </w:r>
          </w:p>
        </w:tc>
        <w:tc>
          <w:tcPr>
            <w:tcW w:w="117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7E4135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Resp. Person</w:t>
            </w:r>
          </w:p>
        </w:tc>
      </w:tr>
      <w:tr w:rsidR="006C3242" w:rsidRPr="00D132DB" w14:paraId="5361D0B8"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EE8D41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Mechanical plant noise from ageing HVAC equipment exceeding workplace lower exposure action value (80 dB(A))</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51CECB1"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Building services engineers, maintenance operatives, adjacent office users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1B10BA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Acoustic enclosures around plant; vibration isolation mounts; occupational hygiene monitoring programme; annual sound level survey</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018FF3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A03393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48B612B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9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0BF7EFE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1BB8ECB"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FM Manager / Review: Jan</w:t>
            </w:r>
          </w:p>
        </w:tc>
      </w:tr>
      <w:tr w:rsidR="006C3242" w:rsidRPr="00D132DB" w14:paraId="35BACBFC"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A910DEA"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Construction noise during refurbishment and fabric improvement works disrupting academic and commercial occupants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9CFB980"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All tenants, students, academic staff</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10C4822"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Works programmed for evenings and weekends where practicable; acoustic hoarding; advance written notice to occupants; noise monitoring during works; NEC4 contract provisions for early warning</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F37F1A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03E817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38F8838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30D988D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464451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Principal Contractor / Review: On appointment</w:t>
            </w:r>
          </w:p>
        </w:tc>
      </w:tr>
      <w:tr w:rsidR="006C3242" w:rsidRPr="00D132DB" w14:paraId="43456C1D"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A30537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lastRenderedPageBreak/>
              <w:t>External traffic and environmental noise penetrating workspaces and undermining acoustic comfort and productivity</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AFF030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All office and research occupants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423F49D"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Double glazing installed; acoustic ceiling tiles in open-plan areas; soft furnishings; building orientation mitigates primary road noise</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26C196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81773B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26BDF6A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60AC956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7ED3CE1"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Estates Manager / Review: Jul</w:t>
            </w:r>
          </w:p>
        </w:tc>
      </w:tr>
      <w:tr w:rsidR="006C3242" w:rsidRPr="00D132DB" w14:paraId="0B7F99EA"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9516F5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Noise from one tenant's activity penetrating into adjacent demised areas (e.g., noisy laboratory or recording equipment)</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42988D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Adjacent tenants and their staff</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87476D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Tenancy management protocol; acoustic partition upgrades in affected zones; lease clauses on use and noise standards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6FF761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162FAD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6D3F09A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266291A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2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E79A36F"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Tenancy Manager / Review: Oct</w:t>
            </w:r>
          </w:p>
        </w:tc>
      </w:tr>
    </w:tbl>
    <w:p w14:paraId="39406F83" w14:textId="77777777" w:rsidR="006C3242" w:rsidRPr="00D132DB" w:rsidRDefault="006C3242" w:rsidP="006C3242">
      <w:pPr>
        <w:spacing w:before="80" w:after="80" w:line="360" w:lineRule="auto"/>
        <w:rPr>
          <w:rFonts w:ascii="Times New Roman" w:hAnsi="Times New Roman" w:cs="Times New Roman"/>
        </w:rPr>
      </w:pPr>
    </w:p>
    <w:p w14:paraId="7802D5B2"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Further recommended actions: (i) Commission a formal noise survey of all plant spaces and occupied areas. (ii) Implement engineering solutions (acoustic enclosures, anti-vibration mounts) before relying on PPE, in accordance with the hierarchy of controls under the 2005 Regulations. (iii) Establish a formal tenant communication protocol for capital works, including at least four weeks' advance notice of programme and expected noise periods.</w:t>
      </w:r>
    </w:p>
    <w:p w14:paraId="1FCCF717"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5.3 COSHH Risk Assessment</w:t>
      </w:r>
    </w:p>
    <w:p w14:paraId="152FF6B7"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Control of Substances Hazardous to Health Regulations 2002 (COSHH) impose a duty on employers to assess the risk to health from substances used at work, and to prevent or adequately control exposure (HSE, 2002). In the context of the Innovation Matrix, where research and laboratory activities are carried out alongside conventional office and co-working functions, COSHH compliance is a material and legally significant obligation. Hazardous substances potentially present in the building include: laboratory chemicals (acids, solvents, and reagents); cleaning agents used by the facilities management team and by tenants; biological materials associated with research activities; and fine dusts generated during construction and refurbishment works.</w:t>
      </w:r>
    </w:p>
    <w:p w14:paraId="6C187749"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 xml:space="preserve">The HSE's COSHH assessment framework requires the employer to: assess the risk; prevent or control exposure; ensure controls are used and maintained; monitor exposure where required; carry out health surveillance where appropriate; and ensure employees are properly informed (HSE, 2002). For the Innovation Matrix, the </w:t>
      </w:r>
      <w:r w:rsidRPr="00D132DB">
        <w:rPr>
          <w:rFonts w:ascii="Times New Roman" w:hAnsi="Times New Roman" w:cs="Times New Roman"/>
          <w:b/>
          <w:bCs/>
        </w:rPr>
        <w:t>initial consequence is scored 4 (Major)</w:t>
      </w:r>
      <w:r w:rsidRPr="00D132DB">
        <w:rPr>
          <w:rFonts w:ascii="Times New Roman" w:hAnsi="Times New Roman" w:cs="Times New Roman"/>
        </w:rPr>
        <w:t xml:space="preserve"> for laboratory chemical exposure events because the potential outcomes – chemical burns, respiratory sensitisation, or acute poisoning – are serious and potentially irreversible. </w:t>
      </w:r>
      <w:r w:rsidRPr="00D132DB">
        <w:rPr>
          <w:rFonts w:ascii="Times New Roman" w:hAnsi="Times New Roman" w:cs="Times New Roman"/>
        </w:rPr>
        <w:lastRenderedPageBreak/>
        <w:t>Likelihood is scored 3 (Possible) because, while controls are in place, the diversity of laboratory users and the frequency of tenant changeover increase the probability that a gap in training or procedural compliance will occur at some point.</w:t>
      </w:r>
    </w:p>
    <w:p w14:paraId="01A51D31" w14:textId="77777777" w:rsidR="006C3242" w:rsidRPr="00D132DB" w:rsidRDefault="006C3242" w:rsidP="006C3242">
      <w:pPr>
        <w:spacing w:before="80" w:after="80" w:line="360" w:lineRule="auto"/>
        <w:rPr>
          <w:rFonts w:ascii="Times New Roman" w:hAnsi="Times New Roman" w:cs="Times New Roman"/>
        </w:rPr>
      </w:pPr>
    </w:p>
    <w:p w14:paraId="365D830B" w14:textId="77777777" w:rsidR="006C3242" w:rsidRPr="00D132DB" w:rsidRDefault="006C3242" w:rsidP="006C3242">
      <w:pPr>
        <w:spacing w:before="60" w:after="80" w:line="360" w:lineRule="auto"/>
        <w:rPr>
          <w:rFonts w:ascii="Times New Roman" w:hAnsi="Times New Roman" w:cs="Times New Roman"/>
        </w:rPr>
      </w:pPr>
      <w:r w:rsidRPr="00D132DB">
        <w:rPr>
          <w:rFonts w:ascii="Times New Roman" w:hAnsi="Times New Roman" w:cs="Times New Roman"/>
          <w:b/>
          <w:bCs/>
          <w:sz w:val="22"/>
          <w:szCs w:val="22"/>
        </w:rPr>
        <w:t>Table 4: COSHH Risk Assessment – Innovation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7"/>
        <w:gridCol w:w="1196"/>
        <w:gridCol w:w="1962"/>
        <w:gridCol w:w="615"/>
        <w:gridCol w:w="615"/>
        <w:gridCol w:w="950"/>
        <w:gridCol w:w="950"/>
        <w:gridCol w:w="1165"/>
      </w:tblGrid>
      <w:tr w:rsidR="006C3242" w:rsidRPr="00D132DB" w14:paraId="5557EE6E"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3C79173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Hazard / Risk</w:t>
            </w:r>
          </w:p>
        </w:tc>
        <w:tc>
          <w:tcPr>
            <w:tcW w:w="12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C7C4C3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Who is at Risk?</w:t>
            </w:r>
          </w:p>
        </w:tc>
        <w:tc>
          <w:tcPr>
            <w:tcW w:w="20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1785569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Existing Controls</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7156B81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L</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6E0314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C</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1CF473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Initial Risk</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7EAC07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Residual Risk</w:t>
            </w:r>
          </w:p>
        </w:tc>
        <w:tc>
          <w:tcPr>
            <w:tcW w:w="117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53E6B91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Resp. Person</w:t>
            </w:r>
          </w:p>
        </w:tc>
      </w:tr>
      <w:tr w:rsidR="006C3242" w:rsidRPr="00D132DB" w14:paraId="38044687"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962D44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Exposure of laboratory staff or students to hazardous chemicals (acids, solvents, biological agents) during research activities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F761A8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Laboratory users, academic staff, research students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0E4A77B"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COSHH assessments in place for all identified substances; chemical inventory maintained; PPE provided; fume cupboard installation and annual inspection; COSHH induction training for all lab users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EF9C58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F1B3CC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42F6C1A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0F711CE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16FC5CF"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Lab Safety Officer / Review: Jan &amp; Jul</w:t>
            </w:r>
          </w:p>
        </w:tc>
      </w:tr>
      <w:tr w:rsidR="006C3242" w:rsidRPr="00D132DB" w14:paraId="7F72D36A"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71288F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Exposure of FM and cleaning staff to hazardous cleaning agents (biocides, disinfectants, descalers)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D1CCAC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Cleaning and FM operatives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49B77A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Safety data sheets (SDS) available for all products; COSHH assessment completed; appropriate PPE issued and monitored; substitution to lower-hazard products where practicable</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B4B03B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7DA2B1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07B4FB1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9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4512398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735365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FM Manager / Review: Apr</w:t>
            </w:r>
          </w:p>
        </w:tc>
      </w:tr>
      <w:tr w:rsidR="006C3242" w:rsidRPr="00D132DB" w14:paraId="6E100C92"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325769A"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Generation and inhalation of construction dust (respirable crystalline silica, wood dust) during fabric improvement works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F43DDC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Construction workers, maintenance staff, potentially adjacent occupants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99F90BA"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COSHH assessment required prior to works; dust suppression (wet-cutting, LEV systems) specified in contract; RPE to EN 149:2001 standard; occupant exclusion zones during dusty activities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980186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234B8F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2BA82F7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6E311B3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CED7E3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Principal Contractor / Review: Pre-works</w:t>
            </w:r>
          </w:p>
        </w:tc>
      </w:tr>
      <w:tr w:rsidR="006C3242" w:rsidRPr="00D132DB" w14:paraId="455C0FBF"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8BF425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Accidental spill or release of hazardous substance in a shared area, affecting uninvolved building users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C60BC7A"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All building occupants, emergency services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62B6911"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 xml:space="preserve">Spill kits located on each floor; emergency procedures documented and communicated; all labs fitted with emergency wash </w:t>
            </w:r>
            <w:r w:rsidRPr="00D132DB">
              <w:rPr>
                <w:rFonts w:ascii="Times New Roman" w:hAnsi="Times New Roman" w:cs="Times New Roman"/>
                <w:color w:val="000000"/>
                <w:sz w:val="18"/>
                <w:szCs w:val="18"/>
              </w:rPr>
              <w:lastRenderedPageBreak/>
              <w:t>facilities; COSHH incident reporting procedure in place</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A6A755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lastRenderedPageBreak/>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1252F7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3A9C1C9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8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1202881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3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62B475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Compliance Officer / Review: Jan</w:t>
            </w:r>
          </w:p>
        </w:tc>
      </w:tr>
    </w:tbl>
    <w:p w14:paraId="77D4EEFF" w14:textId="77777777" w:rsidR="006C3242" w:rsidRPr="00D132DB" w:rsidRDefault="006C3242" w:rsidP="006C3242">
      <w:pPr>
        <w:spacing w:before="80" w:after="80" w:line="360" w:lineRule="auto"/>
        <w:rPr>
          <w:rFonts w:ascii="Times New Roman" w:hAnsi="Times New Roman" w:cs="Times New Roman"/>
        </w:rPr>
      </w:pPr>
    </w:p>
    <w:p w14:paraId="3EE199F5"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Further recommended actions: (i) Conduct a full COSHH review of all laboratory and research spaces, particularly where tenant turnover has occurred and new substances may have been introduced. (ii) Ensure that the COSHH assessment for construction activities is completed by the Principal Contractor and submitted as part of the pre-construction phase documentation required under CDM 2015. (iii) Consider a programme of occupational health monitoring for regular laboratory users, in line with the HSE's guidance on health surveillance under COSHH.</w:t>
      </w:r>
    </w:p>
    <w:p w14:paraId="6FDC2671"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5.4 Financial Risk Assessment</w:t>
      </w:r>
    </w:p>
    <w:p w14:paraId="6BBBA01B"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financial risks facing the Innovation Matrix are shaped by a unique and exceptionally challenging confluence of macro-economic forces. Energy cost escalation is assessed at Likelihood 5 (Almost Certain) because the half-hourly metering data confirm that the building is a significant energy consumer, and the Ofgem price cap trajectory and ongoing gas market volatility mean that costs will remain structurally elevated for the foreseeable future (Ofgem, 2022). The consequence is scored 4 (Major) rather than 5 because UWTSD has some short-term contractual protection through fixed-price energy agreements, but the risk to the multi-year revenue and expenditure position is nonetheless material.</w:t>
      </w:r>
    </w:p>
    <w:p w14:paraId="17FA0ABF"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Construction cost inflation is scored Likelihood 4 because the Federation of Master Builders (2022) has reported that over 70% of firms were experiencing materials shortages and skills gaps in 2022, and these conditions, while partially easing, have not normalised to pre-Brexit baselines. Reduced rental income is scored Likelihood 3 because, while the post-Covid economic fragility of SME tenants is a genuine concern, the Innovation Matrix's connection to UWTSD's institutional research and enterprise activities provides a degree of occupancy stability not present in purely commercial properties.</w:t>
      </w:r>
    </w:p>
    <w:p w14:paraId="6E7AFA41" w14:textId="77777777" w:rsidR="006C3242" w:rsidRPr="00D132DB" w:rsidRDefault="006C3242" w:rsidP="006C3242">
      <w:pPr>
        <w:spacing w:before="80" w:after="80" w:line="360" w:lineRule="auto"/>
        <w:rPr>
          <w:rFonts w:ascii="Times New Roman" w:hAnsi="Times New Roman" w:cs="Times New Roman"/>
        </w:rPr>
      </w:pPr>
    </w:p>
    <w:p w14:paraId="7EDF8AA4" w14:textId="77777777" w:rsidR="006C3242" w:rsidRPr="00D132DB" w:rsidRDefault="006C3242" w:rsidP="006C3242">
      <w:pPr>
        <w:spacing w:before="60" w:after="80" w:line="360" w:lineRule="auto"/>
        <w:rPr>
          <w:rFonts w:ascii="Times New Roman" w:hAnsi="Times New Roman" w:cs="Times New Roman"/>
        </w:rPr>
      </w:pPr>
      <w:r w:rsidRPr="00D132DB">
        <w:rPr>
          <w:rFonts w:ascii="Times New Roman" w:hAnsi="Times New Roman" w:cs="Times New Roman"/>
          <w:b/>
          <w:bCs/>
          <w:sz w:val="22"/>
          <w:szCs w:val="22"/>
        </w:rPr>
        <w:t>Table 5: Financial Risk Assessment – Innovation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4"/>
        <w:gridCol w:w="1193"/>
        <w:gridCol w:w="1949"/>
        <w:gridCol w:w="612"/>
        <w:gridCol w:w="612"/>
        <w:gridCol w:w="950"/>
        <w:gridCol w:w="950"/>
        <w:gridCol w:w="1190"/>
      </w:tblGrid>
      <w:tr w:rsidR="006C3242" w:rsidRPr="00D132DB" w14:paraId="43F20171"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60D6BFAB"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Hazard / Risk</w:t>
            </w:r>
          </w:p>
        </w:tc>
        <w:tc>
          <w:tcPr>
            <w:tcW w:w="12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983FA5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Who is at Risk?</w:t>
            </w:r>
          </w:p>
        </w:tc>
        <w:tc>
          <w:tcPr>
            <w:tcW w:w="20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727685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Existing Controls</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DDACD2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L</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5DFD8BE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C</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62EC762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Initial Risk</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47EA01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Residual Risk</w:t>
            </w:r>
          </w:p>
        </w:tc>
        <w:tc>
          <w:tcPr>
            <w:tcW w:w="117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8CFB8D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Resp. Person</w:t>
            </w:r>
          </w:p>
        </w:tc>
      </w:tr>
      <w:tr w:rsidR="006C3242" w:rsidRPr="00D132DB" w14:paraId="5654C8A4"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62E2BE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lastRenderedPageBreak/>
              <w:t>Energy cost escalation driven by Ukraine conflict, global commodity markets, and structural transition away from gas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456632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(as energy payer and landlord), commercial tenants on inclusive leases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126B82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Fixed-term energy contracts; sub-metering to apportion costs; energy efficiency programme (see Section 6); BS EN ISO 50001:2018 EnMS implementation; solar PV feasibility study initiated</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573294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5</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E03475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7030A0"/>
            <w:tcMar>
              <w:top w:w="70" w:type="dxa"/>
              <w:left w:w="100" w:type="dxa"/>
              <w:bottom w:w="70" w:type="dxa"/>
              <w:right w:w="100" w:type="dxa"/>
            </w:tcMar>
          </w:tcPr>
          <w:p w14:paraId="2ED5619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20 – Critical</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4B0E07D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450AEF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Director of Finance / Review: Quarterly</w:t>
            </w:r>
          </w:p>
        </w:tc>
      </w:tr>
      <w:tr w:rsidR="006C3242" w:rsidRPr="00D132DB" w14:paraId="5A57EB9A"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DA21B1D"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Construction and maintenance cost inflation due to post-Brexit supply chain disruption, materials shortages, and skilled labour scarcity</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EF6F1B7"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Estates Department, FM contractors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2A3CC9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Minimum 15% capital contingency; framework agreements with pre-agreed rates; whole-life cost modelling (Mitchell, 2019); early contractor engagement on procurement</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0EC0E1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AE5C81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3C3A50F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244093B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9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C7046C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Estates Director / Review: Per project</w:t>
            </w:r>
          </w:p>
        </w:tc>
      </w:tr>
      <w:tr w:rsidR="006C3242" w:rsidRPr="00D132DB" w14:paraId="201AF0D9"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9F64C55"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Reduced rental income due to tenant insolvency or premature lease exit, exacerbated by post-Covid economic fragility among SME tenants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8DB4D77"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(revenue model and business case for asset)</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037C05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Tenant credit checks at lease commencement; service charge reserves; diversification of tenant base across multiple sectors; flexible licence agreements for early-stage businesses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5DAE26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92BB173"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1C437F8B"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6480A739"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69C2A99"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Commercial Director / Review: Annually</w:t>
            </w:r>
          </w:p>
        </w:tc>
      </w:tr>
      <w:tr w:rsidR="006C3242" w:rsidRPr="00D132DB" w14:paraId="7F622ECB"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4967053"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Non-compliance penalties or regulatory fines arising from failure to meet energy or carbon reporting obligations (ESOS, SECR, Public Sector Decarbonisation Scheme)</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A60028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(reputational and financial)</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04E0834"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Annual ESOS compliance review; Streamlined Energy and Carbon Reporting (SECR) submission; engagement with Welsh Government decarbonisation scheme reporting requirements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3C9D82D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01B144A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08A4812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8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29FAB87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3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2847AA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Sustainability Manager / Review: Annually</w:t>
            </w:r>
          </w:p>
        </w:tc>
      </w:tr>
    </w:tbl>
    <w:p w14:paraId="74AA2D4C" w14:textId="77777777" w:rsidR="006C3242" w:rsidRPr="00D132DB" w:rsidRDefault="006C3242" w:rsidP="006C3242">
      <w:pPr>
        <w:spacing w:before="80" w:after="80" w:line="360" w:lineRule="auto"/>
        <w:rPr>
          <w:rFonts w:ascii="Times New Roman" w:hAnsi="Times New Roman" w:cs="Times New Roman"/>
        </w:rPr>
      </w:pPr>
    </w:p>
    <w:p w14:paraId="3F98B578"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 xml:space="preserve">Further recommended actions: (i) Implement a Building Energy Management System (BEMS) aligned with BS EN ISO 50001:2018 to establish a formal Energy Baseline (EnB) and Energy Performance Indicators (EnPIs) for systematic monitoring and reporting of consumption against targets. (ii) Sub-meter all tenancy areas to enable cost apportionment </w:t>
      </w:r>
      <w:r w:rsidRPr="00D132DB">
        <w:rPr>
          <w:rFonts w:ascii="Times New Roman" w:hAnsi="Times New Roman" w:cs="Times New Roman"/>
        </w:rPr>
        <w:lastRenderedPageBreak/>
        <w:t>and incentivise behavioural change. (iii) Commission a Life Cycle Cost Analysis (LCCA) of proposed fabric improvement measures to compare net present value against alternative scenarios, in accordance with the principles of the BCIS Life Cycle Costs data service (RICS, 2016).</w:t>
      </w:r>
    </w:p>
    <w:p w14:paraId="607695FB"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5.5 Market Risk Assessment</w:t>
      </w:r>
    </w:p>
    <w:p w14:paraId="4064B2C6"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Market risk concerns the building's ability to maintain its occupancy, income, and strategic relevance in a structurally changed commercial environment. The shift towards hybrid working, embedded in organisational practice by the Covid-19 pandemic, has reduced average UK office occupancy rates to approximately 60–70% of pre-pandemic levels (ONS, 2022). As Maitland and Thomson (2014) anticipated in their analysis of the future workplace, this transition represents not a temporary adjustment but a fundamental change in the social contract between employers and employees regarding where and how work is done. For the Innovation Matrix, the implication is that the building must compete more actively for occupancy, and that the quality, flexibility, and sustainability credentials of the space are now critical differentiators.</w:t>
      </w:r>
    </w:p>
    <w:p w14:paraId="722B21AE"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replacement of EU Structural Funds with the UK Shared Prosperity Fund (UK SPF) following Brexit has introduced uncertainty over the medium-term pipeline of grant-funded enterprise support activities that have historically driven tenant activity in buildings of this type (Welsh Government, 2022). The UK SPF's allocation methodology differs significantly from that of the ERDF, and the risk that the transition results in a structural reduction in the availability of innovation funding in Wales is assessed at Likelihood 3 (Possible).</w:t>
      </w:r>
    </w:p>
    <w:p w14:paraId="7BB8028C" w14:textId="77777777" w:rsidR="006C3242" w:rsidRPr="00D132DB" w:rsidRDefault="006C3242" w:rsidP="006C3242">
      <w:pPr>
        <w:spacing w:before="80" w:after="80" w:line="360" w:lineRule="auto"/>
        <w:rPr>
          <w:rFonts w:ascii="Times New Roman" w:hAnsi="Times New Roman" w:cs="Times New Roman"/>
        </w:rPr>
      </w:pPr>
    </w:p>
    <w:p w14:paraId="5D46BC41" w14:textId="77777777" w:rsidR="006C3242" w:rsidRPr="00D132DB" w:rsidRDefault="006C3242" w:rsidP="006C3242">
      <w:pPr>
        <w:spacing w:before="60" w:after="80" w:line="360" w:lineRule="auto"/>
        <w:rPr>
          <w:rFonts w:ascii="Times New Roman" w:hAnsi="Times New Roman" w:cs="Times New Roman"/>
        </w:rPr>
      </w:pPr>
      <w:r w:rsidRPr="00D132DB">
        <w:rPr>
          <w:rFonts w:ascii="Times New Roman" w:hAnsi="Times New Roman" w:cs="Times New Roman"/>
          <w:b/>
          <w:bCs/>
          <w:sz w:val="22"/>
          <w:szCs w:val="22"/>
        </w:rPr>
        <w:t>Table 6: Market Risk Assessment – Innovation Matrix</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97"/>
        <w:gridCol w:w="1192"/>
        <w:gridCol w:w="1953"/>
        <w:gridCol w:w="614"/>
        <w:gridCol w:w="614"/>
        <w:gridCol w:w="950"/>
        <w:gridCol w:w="950"/>
        <w:gridCol w:w="1190"/>
      </w:tblGrid>
      <w:tr w:rsidR="006C3242" w:rsidRPr="00D132DB" w14:paraId="59C9683C"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7DB0EC2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Hazard / Risk</w:t>
            </w:r>
          </w:p>
        </w:tc>
        <w:tc>
          <w:tcPr>
            <w:tcW w:w="12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7601BD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Who is at Risk?</w:t>
            </w:r>
          </w:p>
        </w:tc>
        <w:tc>
          <w:tcPr>
            <w:tcW w:w="20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D17C26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Existing Controls</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638A642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L</w:t>
            </w:r>
          </w:p>
        </w:tc>
        <w:tc>
          <w:tcPr>
            <w:tcW w:w="62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4F3016FC"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 C</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02EEA8F4"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Initial Risk</w:t>
            </w:r>
          </w:p>
        </w:tc>
        <w:tc>
          <w:tcPr>
            <w:tcW w:w="90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18D43F3B"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Residual Risk</w:t>
            </w:r>
          </w:p>
        </w:tc>
        <w:tc>
          <w:tcPr>
            <w:tcW w:w="1170" w:type="dxa"/>
            <w:tcBorders>
              <w:top w:val="single" w:sz="1" w:space="0" w:color="999999"/>
              <w:left w:val="single" w:sz="1" w:space="0" w:color="999999"/>
              <w:bottom w:val="single" w:sz="1" w:space="0" w:color="999999"/>
              <w:right w:val="single" w:sz="1" w:space="0" w:color="999999"/>
            </w:tcBorders>
            <w:shd w:val="clear" w:color="auto" w:fill="1F3864"/>
            <w:tcMar>
              <w:top w:w="70" w:type="dxa"/>
              <w:left w:w="100" w:type="dxa"/>
              <w:bottom w:w="70" w:type="dxa"/>
              <w:right w:w="100" w:type="dxa"/>
            </w:tcMar>
          </w:tcPr>
          <w:p w14:paraId="218A82D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FFFFFF"/>
                <w:sz w:val="18"/>
                <w:szCs w:val="18"/>
              </w:rPr>
              <w:t>Resp. Person</w:t>
            </w:r>
          </w:p>
        </w:tc>
      </w:tr>
      <w:tr w:rsidR="006C3242" w:rsidRPr="00D132DB" w14:paraId="5EACBB36"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EB0BD9C"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Declining demand for office and co-working space as hybrid and remote working becomes structurally embedded post-Covid-19</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D66CE27"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(asset value, rental income), commercial tenants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BFFAF1E"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 xml:space="preserve">Flexible lease structures; investment in high-quality amenities; positioning as innovation community rather than conventional office; </w:t>
            </w:r>
            <w:r w:rsidRPr="00D132DB">
              <w:rPr>
                <w:rFonts w:ascii="Times New Roman" w:hAnsi="Times New Roman" w:cs="Times New Roman"/>
                <w:color w:val="000000"/>
                <w:sz w:val="18"/>
                <w:szCs w:val="18"/>
              </w:rPr>
              <w:lastRenderedPageBreak/>
              <w:t>membership-based hot-desking options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AEE02F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lastRenderedPageBreak/>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7F49B5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6DF7473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4275070A"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E9BEBAB"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Commercial Director / Review: Bi-annually</w:t>
            </w:r>
          </w:p>
        </w:tc>
      </w:tr>
      <w:tr w:rsidR="006C3242" w:rsidRPr="00D132DB" w14:paraId="0D935655"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396FA62"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Reduced public and private funding for university-supported enterprise activity following replacement of ERDF with UK Shared Prosperity Fund</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2104D6D"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innovation tenants reliant on grant funding</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67747E7"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Diversified funding model: commercial income, Welsh Government grants, UK SPF, Innovate UK, and industry partnership income; active horizon-scanning for new funding streams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90E6C1E"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195696D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0000"/>
            <w:tcMar>
              <w:top w:w="70" w:type="dxa"/>
              <w:left w:w="100" w:type="dxa"/>
              <w:bottom w:w="70" w:type="dxa"/>
              <w:right w:w="100" w:type="dxa"/>
            </w:tcMar>
          </w:tcPr>
          <w:p w14:paraId="29E564B6"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12 – High</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60557335"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93190F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Research &amp; Enterprise Director / Review: Annually</w:t>
            </w:r>
          </w:p>
        </w:tc>
      </w:tr>
      <w:tr w:rsidR="006C3242" w:rsidRPr="00D132DB" w14:paraId="10839EF6"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863C55B"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Market disadvantage arising from a poor EPC rating deterring ESG-conscious commercial tenants seeking 'green' workplaces</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6972307"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prospective and existing tenants</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F279DC1"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EPC improvement programme; fabric-first energy efficiency works (Section 6); introduction of green lease clauses; BS EN ISO 50001:2018 certification as a differentiator</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DDBE9A1"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89E8A58"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3</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252E4F67"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9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92D050"/>
            <w:tcMar>
              <w:top w:w="70" w:type="dxa"/>
              <w:left w:w="100" w:type="dxa"/>
              <w:bottom w:w="70" w:type="dxa"/>
              <w:right w:w="100" w:type="dxa"/>
            </w:tcMar>
          </w:tcPr>
          <w:p w14:paraId="7CA8D870"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4 – Low</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4843F77"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Sustainability Manager / Review: Annually</w:t>
            </w:r>
          </w:p>
        </w:tc>
      </w:tr>
      <w:tr w:rsidR="006C3242" w:rsidRPr="00D132DB" w14:paraId="66B3EF3C" w14:textId="77777777" w:rsidTr="00811385">
        <w:tc>
          <w:tcPr>
            <w:tcW w:w="195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2475F80B"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Competitive displacement by newer, higher-quality innovation hubs developed in the Swansea City Deal area</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CB98C12"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UWTSD (occupancy and strategic positioning)</w:t>
            </w:r>
          </w:p>
        </w:tc>
        <w:tc>
          <w:tcPr>
            <w:tcW w:w="200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553F72B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Regular market benchmarking; reinvestment programme to maintain building quality; leverage UWTSD academic brand as a unique advantage over commercial competitors</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7E20D10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2</w:t>
            </w:r>
          </w:p>
        </w:tc>
        <w:tc>
          <w:tcPr>
            <w:tcW w:w="62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4C0132F2"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color w:val="000000"/>
                <w:sz w:val="18"/>
                <w:szCs w:val="18"/>
              </w:rPr>
              <w:t>4</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650C498D"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8 – Moderate</w:t>
            </w:r>
          </w:p>
        </w:tc>
        <w:tc>
          <w:tcPr>
            <w:tcW w:w="900" w:type="dxa"/>
            <w:tcBorders>
              <w:top w:val="single" w:sz="1" w:space="0" w:color="999999"/>
              <w:left w:val="single" w:sz="1" w:space="0" w:color="999999"/>
              <w:bottom w:val="single" w:sz="1" w:space="0" w:color="999999"/>
              <w:right w:val="single" w:sz="1" w:space="0" w:color="999999"/>
            </w:tcBorders>
            <w:shd w:val="clear" w:color="auto" w:fill="FFC000"/>
            <w:tcMar>
              <w:top w:w="70" w:type="dxa"/>
              <w:left w:w="100" w:type="dxa"/>
              <w:bottom w:w="70" w:type="dxa"/>
              <w:right w:w="100" w:type="dxa"/>
            </w:tcMar>
          </w:tcPr>
          <w:p w14:paraId="236E85AF" w14:textId="77777777" w:rsidR="006C3242" w:rsidRPr="00D132DB" w:rsidRDefault="006C3242" w:rsidP="00811385">
            <w:pPr>
              <w:spacing w:line="360" w:lineRule="auto"/>
              <w:jc w:val="center"/>
              <w:rPr>
                <w:rFonts w:ascii="Times New Roman" w:hAnsi="Times New Roman" w:cs="Times New Roman"/>
              </w:rPr>
            </w:pPr>
            <w:r w:rsidRPr="00D132DB">
              <w:rPr>
                <w:rFonts w:ascii="Times New Roman" w:hAnsi="Times New Roman" w:cs="Times New Roman"/>
                <w:b/>
                <w:bCs/>
                <w:color w:val="000000"/>
                <w:sz w:val="18"/>
                <w:szCs w:val="18"/>
              </w:rPr>
              <w:t>6 – Moderate</w:t>
            </w:r>
          </w:p>
        </w:tc>
        <w:tc>
          <w:tcPr>
            <w:tcW w:w="1170" w:type="dxa"/>
            <w:tcBorders>
              <w:top w:val="single" w:sz="1" w:space="0" w:color="999999"/>
              <w:left w:val="single" w:sz="1" w:space="0" w:color="999999"/>
              <w:bottom w:val="single" w:sz="1" w:space="0" w:color="999999"/>
              <w:right w:val="single" w:sz="1" w:space="0" w:color="999999"/>
            </w:tcBorders>
            <w:shd w:val="clear" w:color="auto" w:fill="FFFFFF"/>
            <w:tcMar>
              <w:top w:w="70" w:type="dxa"/>
              <w:left w:w="100" w:type="dxa"/>
              <w:bottom w:w="70" w:type="dxa"/>
              <w:right w:w="100" w:type="dxa"/>
            </w:tcMar>
          </w:tcPr>
          <w:p w14:paraId="620B4DC8" w14:textId="77777777" w:rsidR="006C3242" w:rsidRPr="00D132DB" w:rsidRDefault="006C3242" w:rsidP="00811385">
            <w:pPr>
              <w:spacing w:line="360" w:lineRule="auto"/>
              <w:rPr>
                <w:rFonts w:ascii="Times New Roman" w:hAnsi="Times New Roman" w:cs="Times New Roman"/>
              </w:rPr>
            </w:pPr>
            <w:r w:rsidRPr="00D132DB">
              <w:rPr>
                <w:rFonts w:ascii="Times New Roman" w:hAnsi="Times New Roman" w:cs="Times New Roman"/>
                <w:color w:val="000000"/>
                <w:sz w:val="18"/>
                <w:szCs w:val="18"/>
              </w:rPr>
              <w:t>Director of Finance / Review: Annually</w:t>
            </w:r>
          </w:p>
        </w:tc>
      </w:tr>
    </w:tbl>
    <w:p w14:paraId="1FEDBB1F" w14:textId="77777777" w:rsidR="006C3242" w:rsidRPr="00D132DB" w:rsidRDefault="006C3242" w:rsidP="006C3242">
      <w:pPr>
        <w:spacing w:before="80" w:after="80" w:line="360" w:lineRule="auto"/>
        <w:rPr>
          <w:rFonts w:ascii="Times New Roman" w:hAnsi="Times New Roman" w:cs="Times New Roman"/>
        </w:rPr>
      </w:pPr>
    </w:p>
    <w:p w14:paraId="7E30646E"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Further recommended actions: (i) Develop a proactive asset management strategy for the Innovation Matrix, including a five-year capital investment plan, regular market benchmarking, and a formal stakeholder engagement programme. (ii) Introduce green lease clauses for all new tenancy agreements, embedding sustainability obligations into the commercial relationship and supporting the building's EPC improvement trajectory. (iii) Consider BS EN ISO 50001:2018 certification as a market differentiator, demonstrating a systematic and externally audited approach to energy management (BSI, 2018).</w:t>
      </w:r>
    </w:p>
    <w:p w14:paraId="2189DDCD"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410ED578"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6. Procurement Route and Contract Recommendation for Energy Efficiency Improvement</w:t>
      </w:r>
    </w:p>
    <w:p w14:paraId="712027D2"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6.1 Energy Management Context: BS EN ISO 50001:2018</w:t>
      </w:r>
    </w:p>
    <w:p w14:paraId="79A48B36"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Before addressing procurement, it is important to locate the proposed fabric improvement works within a broader energy management framework. BS EN ISO 50001:2018 specifies the requirements for an Energy Management System (EnMS) that enables an organisation to establish the systems and processes necessary to improve energy performance. The standard's Plan-Do-Check-Act structure requires the organisation to conduct an energy review; identify Significant Energy Uses (SEUs); establish an Energy Baseline (EnB); define Energy Performance Indicators (EnPIs); set objectives and energy targets; and implement action plans to achieve them (BSI, 2018).</w:t>
      </w:r>
    </w:p>
    <w:p w14:paraId="387D946C"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For the Innovation Matrix, the half-hourly metering data (UWTSD, 2018) provides the empirical foundation for the energy review required by the standard. The data reveals a mean daily consumption of 840 kWh, an estimated annual consumption of 253 MWh, and peak half-hour demand of 117.6 kW. Significant Energy Uses are likely to include space heating, mechanical ventilation, lighting, and server/IT infrastructure. An EnMS aligned with ISO 50001:2018 would formalise the management of these uses, establish measurable improvement targets, and provide the governance framework within which the fabric improvement programme sits. As the standard explicitly supports procurement decisions that consider the energy performance of procured services (BSI, 2018), the choice of contractor and contract form are themselves ISO 50001-relevant decisions.</w:t>
      </w:r>
    </w:p>
    <w:p w14:paraId="44B3CC2D"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6.2 The Case for a Fabric-First Approach</w:t>
      </w:r>
    </w:p>
    <w:p w14:paraId="40ACA520"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fabric-first principle is straightforward: fix the building envelope before installing expensive equipment. A leaky, poorly insulated building will waste energy regardless of how efficient the boiler is. Improving the fabric reduces peak heat loss, which in turn means that smaller, less expensive, and more efficient plant can be specified when heating and ventilation systems are eventually upgraded. That sequencing matters both technically and financially.</w:t>
      </w:r>
    </w:p>
    <w:p w14:paraId="3A47A11B"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 xml:space="preserve">Mitchell (2019) describes this as a whole-life cost approach: evaluating capital decisions not on upfront cost alone but on total cost over the asset's remaining life. A Life Cycle Cost Analysis (LCCA) comparing the net present value of different retrofit scenarios should be </w:t>
      </w:r>
      <w:r w:rsidRPr="00D132DB">
        <w:rPr>
          <w:rFonts w:ascii="Times New Roman" w:hAnsi="Times New Roman" w:cs="Times New Roman"/>
        </w:rPr>
        <w:lastRenderedPageBreak/>
        <w:t>completed before procurement begins. CIBSE (2012) Guide F supports this sequence, noting that reductions in infiltration and conductive heat loss produce compounding benefits as additional measures are added. Building Regulations Approved Document L (HM Government, 2021) and the Welsh Government's Public Sector Decarbonisation Scheme both require that fabric targets are met before other energy measures are considered. Given annual consumption of around 253 MWh (UWTSD, 2018), even a conservative 30% reduction in space heating demand would represent approximately 75 MWh per year – a figure whose financial value at current tariffs makes the investment case difficult to argue against.</w:t>
      </w:r>
    </w:p>
    <w:p w14:paraId="68FC5289"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6.3 Analysis of Procurement Routes</w:t>
      </w:r>
    </w:p>
    <w:p w14:paraId="32F747C8" w14:textId="77777777" w:rsidR="006C3242" w:rsidRPr="00D132DB" w:rsidRDefault="006C3242" w:rsidP="006C3242">
      <w:pPr>
        <w:spacing w:before="200" w:after="80" w:line="360" w:lineRule="auto"/>
        <w:rPr>
          <w:rFonts w:ascii="Times New Roman" w:hAnsi="Times New Roman" w:cs="Times New Roman"/>
        </w:rPr>
      </w:pPr>
      <w:r w:rsidRPr="00D132DB">
        <w:rPr>
          <w:rFonts w:ascii="Times New Roman" w:hAnsi="Times New Roman" w:cs="Times New Roman"/>
          <w:b/>
          <w:bCs/>
          <w:color w:val="2E4057"/>
        </w:rPr>
        <w:t>6.3.1 Traditional Procurement (Design-Bid-Build)</w:t>
      </w:r>
    </w:p>
    <w:p w14:paraId="5389A0B7"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Under a traditional route, UWTSD would appoint an independent design team to develop a full set of construction drawings and specifications before inviting competitive tenders from main contractors. This route offers the highest degree of client design control and a clear basis for price competition (Masterman, 2002). However, the sequential nature of design followed by tender followed by construction extends the overall programme significantly – a material disadvantage in a live, occupied building – and delays the identification of buildability and cost issues until the tender stage.</w:t>
      </w:r>
    </w:p>
    <w:p w14:paraId="61E77D3F" w14:textId="77777777" w:rsidR="006C3242" w:rsidRPr="00D132DB" w:rsidRDefault="006C3242" w:rsidP="006C3242">
      <w:pPr>
        <w:spacing w:before="200" w:after="80" w:line="360" w:lineRule="auto"/>
        <w:rPr>
          <w:rFonts w:ascii="Times New Roman" w:hAnsi="Times New Roman" w:cs="Times New Roman"/>
        </w:rPr>
      </w:pPr>
      <w:r w:rsidRPr="00D132DB">
        <w:rPr>
          <w:rFonts w:ascii="Times New Roman" w:hAnsi="Times New Roman" w:cs="Times New Roman"/>
          <w:b/>
          <w:bCs/>
          <w:color w:val="2E4057"/>
        </w:rPr>
        <w:t>6.3.2 Design and Build</w:t>
      </w:r>
    </w:p>
    <w:p w14:paraId="08BCC1E4"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Under Design and Build (D&amp;B), a single contractor takes responsibility for both design completion and construction, responding to the client's Employer's Requirements. This route offers greater price certainty and a shorter programme than traditional procurement. The principal risk is that the contractor may prioritise buildability and cost over thermal performance, particularly for energy efficiency works where the gap between design performance and as-built performance is well documented (Zero Carbon Hub, 2014). Independent verification of the contractor's design proposals is essential to managing this risk.</w:t>
      </w:r>
    </w:p>
    <w:p w14:paraId="4C66FFCD" w14:textId="77777777" w:rsidR="006C3242" w:rsidRPr="00D132DB" w:rsidRDefault="006C3242" w:rsidP="006C3242">
      <w:pPr>
        <w:spacing w:before="200" w:after="80" w:line="360" w:lineRule="auto"/>
        <w:rPr>
          <w:rFonts w:ascii="Times New Roman" w:hAnsi="Times New Roman" w:cs="Times New Roman"/>
        </w:rPr>
      </w:pPr>
      <w:r w:rsidRPr="00D132DB">
        <w:rPr>
          <w:rFonts w:ascii="Times New Roman" w:hAnsi="Times New Roman" w:cs="Times New Roman"/>
          <w:b/>
          <w:bCs/>
          <w:color w:val="2E4057"/>
        </w:rPr>
        <w:t>6.3.3 Management Contracting / Two-Stage Tendering</w:t>
      </w:r>
    </w:p>
    <w:p w14:paraId="26702940"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 xml:space="preserve">A two-stage tendering approach allows early contractor involvement during the design stage, enabling the contractor's expertise in buildability and construction logistics to be incorporated before the design is finalised. This approach is particularly well-suited to complex, phased works in occupied buildings, as it allows the programme to be optimised for minimal </w:t>
      </w:r>
      <w:r w:rsidRPr="00D132DB">
        <w:rPr>
          <w:rFonts w:ascii="Times New Roman" w:hAnsi="Times New Roman" w:cs="Times New Roman"/>
        </w:rPr>
        <w:lastRenderedPageBreak/>
        <w:t>disruption. However, it does not provide the same level of cost certainty as a single-stage competitive tender.</w:t>
      </w:r>
    </w:p>
    <w:p w14:paraId="37EB448E"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6.4 Recommended Route: NEC4 Design and Build, Option C (Target Cost)</w:t>
      </w:r>
    </w:p>
    <w:p w14:paraId="57B1E04A"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Having considered the full range of options, this report recommends the adoption of a Design and Build route using the NEC4 Engineering and Construction Contract (ECC), Option C (Target Cost with Activity Schedule). This recommendation is based on the following rationale:</w:t>
      </w:r>
    </w:p>
    <w:p w14:paraId="5DF65584"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The NEC4 contract is the most widely used standard form in UK public sector construction, and is specifically recommended for projects involving complex supply chains, occupied buildings, and collaborative working arrangements (NEC, 2017). Its emphasis on early warning notices, regular programme updates, and open-book cost management aligns well with the demands of working in a live educational and commercial environment.</w:t>
      </w:r>
    </w:p>
    <w:p w14:paraId="4E3B929A"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Option C (Target Cost) provides a pain/gain share mechanism: if the works are completed below the agreed target price, the saving is shared between UWTSD and the contractor; if costs exceed the target, the overrun is also shared up to the total of the Prices. This incentivises the contractor to manage costs proactively while providing a degree of certainty for UWTSD's capital budget – particularly valuable given current material and labour cost volatility (FMB, 2022).</w:t>
      </w:r>
    </w:p>
    <w:p w14:paraId="5E73FC21"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A performance-based Employer's Requirements document, setting out minimum U-values for insulated elements, maximum air permeability targets, and a required improvement in EPC rating, will ensure that the contractor's design decisions are orientated towards energy performance objectives rather than the minimisation of construction cost.</w:t>
      </w:r>
    </w:p>
    <w:p w14:paraId="229C6431"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The appointment of an independent specialist energy consultant as Employer's Agent, responsible for verifying the energy performance aspects of the Contractor's Proposals against the ISO 50001:2018 EnPIs established for the building, will provide assurance that the design meets the required standard and that the anticipated consumption reductions are achievable.</w:t>
      </w:r>
    </w:p>
    <w:p w14:paraId="64BC7C59"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Under CDM 2015, UWTSD (as the Client) must ensure that a Principal Designer is appointed to plan, manage, monitor, and coordinate health and safety during the pre-</w:t>
      </w:r>
      <w:r w:rsidRPr="00D132DB">
        <w:rPr>
          <w:rFonts w:ascii="Times New Roman" w:hAnsi="Times New Roman" w:cs="Times New Roman"/>
        </w:rPr>
        <w:lastRenderedPageBreak/>
        <w:t>construction phase; and that a Principal Contractor is appointed to manage the construction phase (HSE, 2015). The NEC4 framework provides specific provisions for managing the interface between these CDM roles and the commercial obligations of the contract, and ensures that COSHH risk assessments for construction activities (as noted in Section 5.3) are prepared and maintained throughout the project.</w:t>
      </w:r>
    </w:p>
    <w:p w14:paraId="2DFB464A" w14:textId="77777777" w:rsidR="006C3242" w:rsidRPr="00D132DB" w:rsidRDefault="006C3242" w:rsidP="006C3242">
      <w:pPr>
        <w:spacing w:before="80" w:after="80" w:line="360" w:lineRule="auto"/>
        <w:rPr>
          <w:rFonts w:ascii="Times New Roman" w:hAnsi="Times New Roman" w:cs="Times New Roman"/>
        </w:rPr>
      </w:pPr>
    </w:p>
    <w:p w14:paraId="1BC44433" w14:textId="77777777" w:rsidR="006C3242" w:rsidRPr="00D132DB" w:rsidRDefault="006C3242" w:rsidP="006C3242">
      <w:pPr>
        <w:pStyle w:val="Heading2"/>
        <w:spacing w:line="360" w:lineRule="auto"/>
        <w:rPr>
          <w:rFonts w:ascii="Times New Roman" w:hAnsi="Times New Roman" w:cs="Times New Roman"/>
        </w:rPr>
      </w:pPr>
      <w:r w:rsidRPr="00D132DB">
        <w:rPr>
          <w:rFonts w:ascii="Times New Roman" w:hAnsi="Times New Roman" w:cs="Times New Roman"/>
        </w:rPr>
        <w:t>6.5 Recommended Fabric Improvement Measures</w:t>
      </w:r>
    </w:p>
    <w:p w14:paraId="53791EA9"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following measures are recommended, prioritised in order of their expected contribution to reducing heat loss and improving the building's Energy Performance Certificate rating. Each measure should be modelled using dynamic thermal simulation prior to the commencement of design, in order to confirm its predicted energy saving contribution and to support the preparation of ISO 50001:2018-compliant energy targets:</w:t>
      </w:r>
    </w:p>
    <w:p w14:paraId="689A13D5"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External Wall Insulation (EWI): Modern EWI systems combining mineral wool or expanded polystyrene insulation with a render or cladding finish can reduce heat loss through walls by up to 70% and overall heating demand by 25–40% (Energy Saving Trust, 2016). This is likely to be the most impactful individual measure available.</w:t>
      </w:r>
    </w:p>
    <w:p w14:paraId="79F7B56E"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Roof Insulation: Upgrade to a minimum 270mm mineral wool or equivalent, targeting a U-value of 0.13 W/m²K in line with Building Regulations Approved Document L (HM Government, 2021).</w:t>
      </w:r>
    </w:p>
    <w:p w14:paraId="2EF8421C"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Window and Door Replacement: Replacement with high-performance triple-glazed units with thermally broken frames, targeting a centre-pane U-value of no more than 0.8 W/m²K, addressing perimeter air infiltration concurrently.</w:t>
      </w:r>
    </w:p>
    <w:p w14:paraId="050CFD79"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Airtightness Improvement: Blower door testing to identify infiltration pathways; targeted sealing of service penetrations, frame perimeters, and structural interfaces. CIBSE (2012) notes that airtightness improvements typically achieve a 10–20% reduction in space heating demand.</w:t>
      </w:r>
    </w:p>
    <w:p w14:paraId="5E64C181" w14:textId="77777777" w:rsidR="006C3242" w:rsidRPr="00D132DB" w:rsidRDefault="006C3242" w:rsidP="006C3242">
      <w:pPr>
        <w:pStyle w:val="ListParagraph"/>
        <w:numPr>
          <w:ilvl w:val="0"/>
          <w:numId w:val="1"/>
        </w:numPr>
        <w:spacing w:before="40" w:after="40" w:line="360" w:lineRule="auto"/>
        <w:contextualSpacing w:val="0"/>
        <w:rPr>
          <w:rFonts w:ascii="Times New Roman" w:hAnsi="Times New Roman" w:cs="Times New Roman"/>
        </w:rPr>
      </w:pPr>
      <w:r w:rsidRPr="00D132DB">
        <w:rPr>
          <w:rFonts w:ascii="Times New Roman" w:hAnsi="Times New Roman" w:cs="Times New Roman"/>
        </w:rPr>
        <w:t>Thermal Bridge Elimination: Systematic identification and treatment of linear and point thermal bridges at junctions, particularly where new insulation elements meet the existing structure. Psi-value calculations in accordance with BR 497 (BRE, 2007) should be incorporated into the thermal performance model.</w:t>
      </w:r>
    </w:p>
    <w:p w14:paraId="5A6054B1" w14:textId="77777777" w:rsidR="006C3242" w:rsidRPr="00D132DB" w:rsidRDefault="006C3242" w:rsidP="006C3242">
      <w:pPr>
        <w:spacing w:before="80" w:after="80" w:line="360" w:lineRule="auto"/>
        <w:rPr>
          <w:rFonts w:ascii="Times New Roman" w:hAnsi="Times New Roman" w:cs="Times New Roman"/>
        </w:rPr>
      </w:pPr>
    </w:p>
    <w:p w14:paraId="3C9DFA8B"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lastRenderedPageBreak/>
        <w:t>The life cycle cost implications of each measure should be evaluated using the whole-life cost principles set out by Mitchell (2019), with payback periods calculated against the current energy price baseline and a sensitivity analysis for energy price scenarios. Given a mean annual consumption of approximately 253 MWh, even a 30% reduction in heating demand would represent a saving of approximately 75 MWh per year – a figure whose financial value is highly sensitive to energy tariff movements and that further reinforces the urgency of the improvement programme.</w:t>
      </w:r>
    </w:p>
    <w:p w14:paraId="13A18416"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3654EE73"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7. Discussion</w:t>
      </w:r>
    </w:p>
    <w:p w14:paraId="734C7CED"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Three macro-level disruptions have landed on UK property managers in quick succession, and the Innovation Matrix is feeling all three at once. That combination is genuinely unusual. Most FM literature addresses these pressures individually; the challenge here is managing them together, with limited budget, in a live occupied building.</w:t>
      </w:r>
    </w:p>
    <w:p w14:paraId="5861976B"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post-Covid shift in how people use office space is the most structurally difficult. Maitland and Thomson (2014) argued, years before the pandemic, that the traditional model of full-time office attendance was already under pressure from technology and changing workforce expectations. Covid accelerated that shift so abruptly that most property managers are still working out its implications. Average UK office occupancy has settled at roughly 60–70% of pre-pandemic levels (ONS, 2022), and there is no credible evidence of a full return. For the Innovation Matrix, this creates a specific tension: the building's commercial model depends on tenant occupancy, but tenants now have a genuine alternative to attending – one that is, in many cases, cheaper and more convenient for them. The building's response cannot simply be to hold the line. It needs to offer something the remote option cannot: genuine community, collaboration infrastructure, and access to UWTSD's research and enterprise network.</w:t>
      </w:r>
    </w:p>
    <w:p w14:paraId="32FABF82"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Brexit's effects are less visible but financially significant. The contraction of the EU skilled trades workforce has pushed up labour costs for FM and construction work, and extended lead times for materials imported from European suppliers (CIOB, 2022). Both factors directly affect the energy efficiency programme recommended in Section 6. A contractor who would have quoted for EWI installation in three months in 2018 might now need six, and at a higher day rate. The CDM 2015 framework and the Control of Noise at Work Regulations 2005 both implicitly assume a competent and available supply chain; that assumption is harder to sustain today, and project budgets and programmes need to reflect it.</w:t>
      </w:r>
    </w:p>
    <w:p w14:paraId="5891BDAF"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energy cost impact of the Ukraine conflict is the most quantifiable pressure of the three. The UWTSD metering data (UWTSD, 2018) shows annual electricity consumption of approximately 253 MWh. At post-2022 tariff levels, the annual energy bill for the building is substantially higher than it would have been at pre-conflict prices. This is not a temporary spike. Gas market analysts and the IEA (2022) both expect European energy prices to remain structurally elevated for years. The financial case for reducing consumption through fabric improvement is now overwhelming on payback grounds alone, before considering the regulatory obligations under the Welsh Government's Public Sector Decarbonisation Scheme.</w:t>
      </w:r>
    </w:p>
    <w:p w14:paraId="6A26CC25"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lastRenderedPageBreak/>
        <w:t>Mitchell (2019) makes the point that resource management decisions cannot be made in isolation from each other: energy, maintenance, procurement, and occupancy are all connected, and managing one without considering the others tends to produce suboptimal outcomes. That observation applies directly here. The energy efficiency works recommended in Section 6 will temporarily increase COSHH risk (construction dust), noise risk (works in a live building), and financial risk (capital expenditure during a period of cost uncertainty). The risk assessments in Section 5 should be read alongside the procurement recommendations rather than separately: they are part of the same management challenge.</w:t>
      </w:r>
    </w:p>
    <w:p w14:paraId="6D72A505"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One limitation of this report should be acknowledged. The risk scores assigned are based on the building's general operational profile and the broader sector evidence available in published literature. They have not been validated against site-specific data such as a current fire risk assessment report, a noise survey, or an energy audit. Those documents should be the next step. The framework presented here provides the structure; the building-specific evidence is needed to calibrate it.</w:t>
      </w:r>
    </w:p>
    <w:p w14:paraId="62319B23"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24198454"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8. Conclusion</w:t>
      </w:r>
    </w:p>
    <w:p w14:paraId="01F6529A"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This report has assessed the operational and strategic risk profile of the Innovation Matrix at UWTSD across ten categories, presented five detailed risk assessments with dual-rated tables, named responsible persons and review dates, and recommended a specific procurement route and fabric-first energy improvement strategy.</w:t>
      </w:r>
    </w:p>
    <w:p w14:paraId="61CB8761"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financial risk assessment is the most urgent. Energy costs are already elevated and are likely to remain so; the metering data confirms that annual consumption is approximately 253 MWh, and a 30% reduction through fabric improvements would save around 75 MWh per year at current prices. That saving comfortably justifies the capital investment, particularly under the NEC4 Option C pain/gain share mechanism recommended in Section 6. CDM 2015 compliance, COSHH management during construction, and noise control during works are all live issues that will need active management as soon as the improvement programme is commissioned.</w:t>
      </w:r>
    </w:p>
    <w:p w14:paraId="58157F3D"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market risk assessment is less urgent but more strategically consequential. The hybrid working shift is structural, not temporary. Whether the Innovation Matrix maintains strong occupancy over the next five years depends on investment decisions made now: in the building fabric, in flexible tenure models, and in the community and services that distinguish a well-managed innovation hub from a standard office block. UWTSD's academic brand and research connections are genuine competitive advantages – but they are not self-sustaining without active asset management.</w:t>
      </w:r>
    </w:p>
    <w:p w14:paraId="4BBF2053" w14:textId="77777777" w:rsidR="006C3242" w:rsidRPr="00D132DB" w:rsidRDefault="006C3242" w:rsidP="006C3242">
      <w:pPr>
        <w:spacing w:before="60" w:after="120" w:line="360" w:lineRule="auto"/>
        <w:jc w:val="both"/>
        <w:rPr>
          <w:rFonts w:ascii="Times New Roman" w:hAnsi="Times New Roman" w:cs="Times New Roman"/>
        </w:rPr>
      </w:pPr>
      <w:r w:rsidRPr="00D132DB">
        <w:rPr>
          <w:rFonts w:ascii="Times New Roman" w:hAnsi="Times New Roman" w:cs="Times New Roman"/>
        </w:rPr>
        <w:t>The risk register and assessments in this report are a starting point, not a destination. Each table should be validated against site-specific data – a current fire risk assessment, a noise survey, a full COSHH register, and a detailed energy audit – before the scores and controls are relied upon for decision-making. That work should begin promptly.</w:t>
      </w:r>
    </w:p>
    <w:p w14:paraId="7E47EFD5"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28C8BCDC"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Reference List</w:t>
      </w:r>
    </w:p>
    <w:p w14:paraId="38020EC7"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RICS (2016) Whole Life Costing and Cost Management. 2nd edn. London: RICS Books.</w:t>
      </w:r>
    </w:p>
    <w:p w14:paraId="41FDAD61"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BRE (2007) BR 497: Conventions for Calculating Linear Thermal Transmittance and Temperature Factors. 2nd edn. Watford: BRE Press.</w:t>
      </w:r>
    </w:p>
    <w:p w14:paraId="3BF127D9"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Energy Saving Trust (2016) Solid Wall Insulation. London: Energy Saving Trust. Available at: https://energysavingtrust.org.uk [Accessed: date of access].</w:t>
      </w:r>
    </w:p>
    <w:p w14:paraId="2D927FDB"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BSI (2018) BS EN ISO 50001:2018 Energy Management Systems: Requirements with Guidance for Use. London: British Standards Institution.</w:t>
      </w:r>
    </w:p>
    <w:p w14:paraId="683FCE19"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Castellano, W.G. (2017) Practices for Engaging the 21st Century Workforce: Challenges of Talent Management in a Changing Workplace. Upper Saddle River, NJ: FT Press.</w:t>
      </w:r>
    </w:p>
    <w:p w14:paraId="72D2713E"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CIBSE (2012) Guide F: Energy Efficiency in Buildings. 3rd edn. London: Chartered Institution of Building Services Engineers.</w:t>
      </w:r>
    </w:p>
    <w:p w14:paraId="0E4F4167"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CIOB (2022) The Impact of Brexit on the UK Construction Industry. Ascot: Chartered Institute of Building.</w:t>
      </w:r>
    </w:p>
    <w:p w14:paraId="118CB2D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Cushman &amp; Wakefield (2022) The Edge of Disruption: Global Office and Flexible Space Markets Report. London: Cushman &amp; Wakefield.</w:t>
      </w:r>
    </w:p>
    <w:p w14:paraId="5DB65C5D"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Federation of Master Builders (2022) State of Trade Survey Q4 2022. London: FMB.</w:t>
      </w:r>
    </w:p>
    <w:p w14:paraId="38024FB3"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HM Government (2005) Regulatory Reform (Fire Safety) Order 2005. SI 2005/1541. London: The Stationery Office.</w:t>
      </w:r>
    </w:p>
    <w:p w14:paraId="4BB85FCB"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HM Government (2021) Approved Document L: Conservation of Fuel and Power — Volume 2: Buildings Other Than Dwellings. London: DLUHC.</w:t>
      </w:r>
    </w:p>
    <w:p w14:paraId="7B3FB97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HM Government (2021b) Fire Safety Act 2021. London: The Stationery Office.</w:t>
      </w:r>
    </w:p>
    <w:p w14:paraId="56BA4E49"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HSE (2013) Control of Substances Hazardous to Health: Approved Code of Practice and Guidance L5. 6th edn. Sudbury: HSE Books.</w:t>
      </w:r>
    </w:p>
    <w:p w14:paraId="445A3AB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HSE (2005) Control of Noise at Work Regulations 2005: Guidance on Regulations L108. Sudbury: HSE Books.</w:t>
      </w:r>
    </w:p>
    <w:p w14:paraId="548C0D9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HSE (2014) Five Steps to Risk Assessment. INDG163 (rev3). Sudbury: HSE Books.</w:t>
      </w:r>
    </w:p>
    <w:p w14:paraId="1BF17AA0"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HSE (2015) Managing Health and Safety in Construction: Construction (Design and Management) Regulations 2015 – Guidance on Regulations L153. Sudbury: HSE Books.</w:t>
      </w:r>
    </w:p>
    <w:p w14:paraId="19FA04C6"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International Energy Agency (2022) World Energy Outlook 2022. Paris: IEA.</w:t>
      </w:r>
    </w:p>
    <w:p w14:paraId="2795DFB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JLL (2022) The Great Office Re-Set: UK Office Market Outlook. London: Jones Lang LaSalle.</w:t>
      </w:r>
    </w:p>
    <w:p w14:paraId="3BB3793F"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lastRenderedPageBreak/>
        <w:t>Kim, J. and de Dear, R. (2013) 'Workspace satisfaction: The privacy-communication trade-off in open-plan offices', Journal of Environmental Psychology, 36, pp. 18–26.</w:t>
      </w:r>
    </w:p>
    <w:p w14:paraId="6F3F2799"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Maitland, A. and Thomson, P. (2014) Future Work: Changing Organisational Culture for the New World of Work. Expanded and Updated edn. Basingstoke: Palgrave Macmillan.</w:t>
      </w:r>
    </w:p>
    <w:p w14:paraId="64DEFDE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Masterman, J.W.E. (2002) An Introduction to Building Procurement Systems. 2nd edn. London: Spon Press.</w:t>
      </w:r>
    </w:p>
    <w:p w14:paraId="59BEB71E"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Mitchell, B. (2019) Resource and Environmental Management. 3rd edn. New York: Oxford University Press.</w:t>
      </w:r>
    </w:p>
    <w:p w14:paraId="0483E8F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NEC (2017) NEC4 Engineering and Construction Contract. London: Thomas Telford.</w:t>
      </w:r>
    </w:p>
    <w:p w14:paraId="538C46BB"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NFCC (2021) Post-Pandemic Building Safety Guidance for Responsible Persons. London: National Fire Chiefs Council.</w:t>
      </w:r>
    </w:p>
    <w:p w14:paraId="47826453"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Ofgem (2022) Energy Price Cap Quarterly Update. London: Office of Gas and Electricity Markets.</w:t>
      </w:r>
    </w:p>
    <w:p w14:paraId="704FAFA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ONS (2022) Is Hybrid Working Here to Stay? London: Office for National Statistics.</w:t>
      </w:r>
    </w:p>
    <w:p w14:paraId="3C134C6D"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RICS (2020) Property Risk Management: Practice Note. London: Royal Institution of Chartered Surveyors.</w:t>
      </w:r>
    </w:p>
    <w:p w14:paraId="4B67BDA6"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RICS (2021) The Impact of Brexit on Real Estate. London: Royal Institution of Chartered Surveyors.</w:t>
      </w:r>
    </w:p>
    <w:p w14:paraId="65E37127"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UWTSD (2018) Half-Hourly Electricity Metering Data – Business School [Internal dataset]. Swansea: University of Wales Trinity Saint David.</w:t>
      </w:r>
    </w:p>
    <w:p w14:paraId="6178DBED"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Welsh Government (2020) Innovation Strategy for Wales. Cardiff: Welsh Government.</w:t>
      </w:r>
    </w:p>
    <w:p w14:paraId="749A0F7A"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Welsh Government (2021) Public Sector Decarbonisation Scheme: Guidance for Welsh Public Bodies. Cardiff: Welsh Government.</w:t>
      </w:r>
    </w:p>
    <w:p w14:paraId="5550A93D"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Welsh Government (2022) UK Shared Prosperity Fund: Investment Plans for Wales. Cardiff: Welsh Government.</w:t>
      </w:r>
    </w:p>
    <w:p w14:paraId="127974F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Zero Carbon Hub (2014) Closing the Gap Between Design and As-Built Performance: Evidence Review. London: Zero Carbon Hub.</w:t>
      </w:r>
    </w:p>
    <w:p w14:paraId="5889A9A2" w14:textId="77777777" w:rsidR="006C3242" w:rsidRPr="00D132DB" w:rsidRDefault="006C3242" w:rsidP="006C3242">
      <w:pPr>
        <w:spacing w:line="360" w:lineRule="auto"/>
        <w:rPr>
          <w:rFonts w:ascii="Times New Roman" w:hAnsi="Times New Roman" w:cs="Times New Roman"/>
        </w:rPr>
      </w:pPr>
      <w:r w:rsidRPr="00D132DB">
        <w:rPr>
          <w:rFonts w:ascii="Times New Roman" w:hAnsi="Times New Roman" w:cs="Times New Roman"/>
        </w:rPr>
        <w:br w:type="page"/>
      </w:r>
    </w:p>
    <w:p w14:paraId="343D8DA2" w14:textId="77777777" w:rsidR="006C3242" w:rsidRPr="00D132DB" w:rsidRDefault="006C3242" w:rsidP="006C3242">
      <w:pPr>
        <w:pStyle w:val="Heading1"/>
        <w:spacing w:line="360" w:lineRule="auto"/>
        <w:rPr>
          <w:rFonts w:ascii="Times New Roman" w:hAnsi="Times New Roman" w:cs="Times New Roman"/>
        </w:rPr>
      </w:pPr>
      <w:r w:rsidRPr="00D132DB">
        <w:rPr>
          <w:rFonts w:ascii="Times New Roman" w:hAnsi="Times New Roman" w:cs="Times New Roman"/>
        </w:rPr>
        <w:lastRenderedPageBreak/>
        <w:t>Bibliography</w:t>
      </w:r>
    </w:p>
    <w:p w14:paraId="386F5B44" w14:textId="77777777" w:rsidR="006C3242" w:rsidRPr="00D132DB" w:rsidRDefault="006C3242" w:rsidP="006C3242">
      <w:pPr>
        <w:spacing w:before="40" w:after="100" w:line="360" w:lineRule="auto"/>
        <w:rPr>
          <w:rFonts w:ascii="Times New Roman" w:hAnsi="Times New Roman" w:cs="Times New Roman"/>
        </w:rPr>
      </w:pPr>
      <w:r w:rsidRPr="00D132DB">
        <w:rPr>
          <w:rFonts w:ascii="Times New Roman" w:hAnsi="Times New Roman" w:cs="Times New Roman"/>
          <w:sz w:val="22"/>
          <w:szCs w:val="22"/>
        </w:rPr>
        <w:t>The following is a full list of all sources consulted in the preparation of this report, including those not directly cited in the main text.</w:t>
      </w:r>
    </w:p>
    <w:p w14:paraId="230D0A4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RICS (2016) Whole Life Costing and Cost Management. 2nd edn. London: RICS Books.</w:t>
      </w:r>
    </w:p>
    <w:p w14:paraId="464F558D"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Binggeli, C. (2003) Building Systems for Interior Designers. Hoboken, NJ: Wiley.</w:t>
      </w:r>
    </w:p>
    <w:p w14:paraId="6C91D850"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Booty, F. (ed.) Facilities Management Handbook. Oxford: Butterworth-Heinemann.</w:t>
      </w:r>
    </w:p>
    <w:p w14:paraId="322469F4"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Brand, S. (1994) How Buildings Learn: What Happens After They're Built. New York: Viking Press.</w:t>
      </w:r>
    </w:p>
    <w:p w14:paraId="3A0176E7"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BRE (2007) BR 497: Conventions for Calculating Linear Thermal Transmittance and Temperature Factors. 2nd edn. Watford: BRE Press.</w:t>
      </w:r>
    </w:p>
    <w:p w14:paraId="653B5DC6"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Energy Saving Trust (2016) Solid Wall Insulation. London: Energy Saving Trust. Available at: https://energysavingtrust.org.uk [Accessed: date of access].</w:t>
      </w:r>
    </w:p>
    <w:p w14:paraId="31895750"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BSI (2018) BS EN ISO 50001:2018 Energy Management Systems: Requirements with Guidance for Use. London: British Standards Institution.</w:t>
      </w:r>
    </w:p>
    <w:p w14:paraId="7CE75E7E"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Castellano, W.G. (2017) Practices for Engaging the 21st Century Workforce: Challenges of Talent Management in a Changing Workplace. Upper Saddle River, NJ: FT Press.</w:t>
      </w:r>
    </w:p>
    <w:p w14:paraId="5320FE16"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CIBSE (2012) Guide F: Energy Efficiency in Buildings. 3rd edn. London: Chartered Institution of Building Services Engineers.</w:t>
      </w:r>
    </w:p>
    <w:p w14:paraId="33C064A4"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CIOB (2022) The Impact of Brexit on the UK Construction Industry. Ascot: Chartered Institute of Building.</w:t>
      </w:r>
    </w:p>
    <w:p w14:paraId="76E1A877"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Clements-Croome, D. (ed.) (2005) Creating the Productive Workplace. Abingdon: Spon Press.</w:t>
      </w:r>
    </w:p>
    <w:p w14:paraId="4A08C29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Cushman &amp; Wakefield (2022) The Edge of Disruption: Global Office and Flexible Space Markets Report. London: Cushman &amp; Wakefield.</w:t>
      </w:r>
    </w:p>
    <w:p w14:paraId="4D1EAB5F"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Energy &amp; Environment [Journal]. Sage Publications [accessed throughout preparation of this report].</w:t>
      </w:r>
    </w:p>
    <w:p w14:paraId="2CA1270A"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Energy Conversion and Management [Journal]. Elsevier [accessed throughout preparation of this report].</w:t>
      </w:r>
    </w:p>
    <w:p w14:paraId="3D63881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Federation of Master Builders (2022) State of Trade Survey Q4 2022. London: FMB.</w:t>
      </w:r>
    </w:p>
    <w:p w14:paraId="2E67E16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HM Government (2005) Regulatory Reform (Fire Safety) Order 2005. SI 2005/1541. London: The Stationery Office.</w:t>
      </w:r>
    </w:p>
    <w:p w14:paraId="623FBFA1"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HM Government (2021) Approved Document L: Conservation of Fuel and Power — Volume 2: Buildings Other Than Dwellings. London: DLUHC.</w:t>
      </w:r>
    </w:p>
    <w:p w14:paraId="42A763B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HM Government (2021b) Fire Safety Act 2021. London: The Stationery Office.</w:t>
      </w:r>
    </w:p>
    <w:p w14:paraId="2AA8863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lastRenderedPageBreak/>
        <w:t>HSE (2013) Control of Substances Hazardous to Health: Approved Code of Practice and Guidance L5. 6th edn. Sudbury: HSE Books.</w:t>
      </w:r>
    </w:p>
    <w:p w14:paraId="1E310089"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HSE (2005) Control of Noise at Work Regulations 2005: Guidance on Regulations L108. Sudbury: HSE Books.</w:t>
      </w:r>
    </w:p>
    <w:p w14:paraId="58EE4F7A"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HSE (2014) Five Steps to Risk Assessment. INDG163 (rev3). Sudbury: HSE Books.</w:t>
      </w:r>
    </w:p>
    <w:p w14:paraId="496BCEA4"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HSE (2015) Managing Health and Safety in Construction: Construction (Design and Management) Regulations 2015 – Guidance on Regulations L153. Sudbury: HSE Books.</w:t>
      </w:r>
    </w:p>
    <w:p w14:paraId="47E342D1"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International Energy Agency (2022) World Energy Outlook 2022. Paris: IEA.</w:t>
      </w:r>
    </w:p>
    <w:p w14:paraId="74873293"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JLL (2022) The Great Office Re-Set: UK Office Market Outlook. London: Jones Lang LaSalle.</w:t>
      </w:r>
    </w:p>
    <w:p w14:paraId="01AC2BC4"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Kim, J. and de Dear, R. (2013) 'Workspace satisfaction: The privacy-communication trade-off in open-plan offices', Journal of Environmental Psychology, 36, pp. 18–26.</w:t>
      </w:r>
    </w:p>
    <w:p w14:paraId="4517A325"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Maitland, A. and Thomson, P. (2014) Future Work: Changing Organisational Culture for the New World of Work. Expanded and Updated edn. Basingstoke: Palgrave Macmillan.</w:t>
      </w:r>
    </w:p>
    <w:p w14:paraId="36DA8AFA"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Masterman, J.W.E. (2002) An Introduction to Building Procurement Systems. 2nd edn. London: Spon Press.</w:t>
      </w:r>
    </w:p>
    <w:p w14:paraId="79125CB4"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Meyer, P. (2010) From Workplace to Playspace: Innovating, Learning and Changing Through Dynamic Engagement. San Francisco, CA: Jossey-Bass.</w:t>
      </w:r>
    </w:p>
    <w:p w14:paraId="507B54F5"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Mitchell, B. (2019) Resource and Environmental Management. 3rd edn. New York: Oxford University Press.</w:t>
      </w:r>
    </w:p>
    <w:p w14:paraId="267726AE"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NEC (2017) NEC4 Engineering and Construction Contract. London: Thomas Telford.</w:t>
      </w:r>
    </w:p>
    <w:p w14:paraId="4413955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NFCC (2021) Post-Pandemic Building Safety Guidance for Responsible Persons. London: National Fire Chiefs Council.</w:t>
      </w:r>
    </w:p>
    <w:p w14:paraId="3E55D472"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Ofgem (2022) Energy Price Cap Quarterly Update. London: Office of Gas and Electricity Markets.</w:t>
      </w:r>
    </w:p>
    <w:p w14:paraId="7DC3F413"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ONS (2022) Is Hybrid Working Here to Stay? London: Office for National Statistics.</w:t>
      </w:r>
    </w:p>
    <w:p w14:paraId="617774DC"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RICS (2020) Property Risk Management: Practice Note. London: Royal Institution of Chartered Surveyors.</w:t>
      </w:r>
    </w:p>
    <w:p w14:paraId="3ECB14C8"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RICS (2021) The Impact of Brexit on Real Estate. London: Royal Institution of Chartered Surveyors.</w:t>
      </w:r>
    </w:p>
    <w:p w14:paraId="0FE915F9"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UWTSD (2018) Half-Hourly Electricity Metering Data – Business School [Internal dataset]. Swansea: University of Wales Trinity Saint David.</w:t>
      </w:r>
    </w:p>
    <w:p w14:paraId="7BFCB8B6"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Welsh Government (2020) Innovation Strategy for Wales. Cardiff: Welsh Government.</w:t>
      </w:r>
    </w:p>
    <w:p w14:paraId="2947145B"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Welsh Government (2021) Public Sector Decarbonisation Scheme: Guidance for Welsh Public Bodies. Cardiff: Welsh Government.</w:t>
      </w:r>
    </w:p>
    <w:p w14:paraId="26E4B2D0"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lastRenderedPageBreak/>
        <w:t>Welsh Government (2022) UK Shared Prosperity Fund: Investment Plans for Wales. Cardiff: Welsh Government.</w:t>
      </w:r>
    </w:p>
    <w:p w14:paraId="2EACA18B" w14:textId="77777777" w:rsidR="006C3242" w:rsidRPr="00D132DB" w:rsidRDefault="006C3242" w:rsidP="006C3242">
      <w:pPr>
        <w:spacing w:before="40" w:after="80" w:line="360" w:lineRule="auto"/>
        <w:ind w:left="720" w:hanging="720"/>
        <w:rPr>
          <w:rFonts w:ascii="Times New Roman" w:hAnsi="Times New Roman" w:cs="Times New Roman"/>
        </w:rPr>
      </w:pPr>
      <w:r w:rsidRPr="00D132DB">
        <w:rPr>
          <w:rFonts w:ascii="Times New Roman" w:hAnsi="Times New Roman" w:cs="Times New Roman"/>
          <w:sz w:val="22"/>
          <w:szCs w:val="22"/>
        </w:rPr>
        <w:t>Zero Carbon Hub (2014) Closing the Gap Between Design and As-Built Performance: Evidence Review. London: Zero Carbon Hub.</w:t>
      </w:r>
    </w:p>
    <w:p w14:paraId="5077677B" w14:textId="77777777" w:rsidR="006C3242" w:rsidRDefault="006C3242"/>
    <w:sectPr w:rsidR="006C3242" w:rsidSect="006C3242">
      <w:headerReference w:type="default" r:id="rId9"/>
      <w:footerReference w:type="default" r:id="rId10"/>
      <w:pgSz w:w="11906" w:h="16838"/>
      <w:pgMar w:top="1440" w:right="12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3254" w14:textId="77777777" w:rsidR="006C3242" w:rsidRDefault="006C3242">
    <w:pPr>
      <w:pBdr>
        <w:top w:val="single" w:sz="4" w:space="1" w:color="1F3864"/>
      </w:pBdr>
      <w:jc w:val="right"/>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Pr>
        <w:noProof/>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NUMPAGES</w:instrText>
    </w:r>
    <w:r>
      <w:rPr>
        <w:color w:val="666666"/>
        <w:sz w:val="18"/>
        <w:szCs w:val="18"/>
      </w:rPr>
      <w:fldChar w:fldCharType="separate"/>
    </w:r>
    <w:r>
      <w:rPr>
        <w:noProof/>
        <w:color w:val="666666"/>
        <w:sz w:val="18"/>
        <w:szCs w:val="18"/>
      </w:rPr>
      <w:t>2</w:t>
    </w:r>
    <w:r>
      <w:rPr>
        <w:color w:val="666666"/>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B5E2C" w14:textId="77777777" w:rsidR="006C3242" w:rsidRDefault="006C3242" w:rsidP="00D132DB">
    <w:pPr>
      <w:pBdr>
        <w:bottom w:val="single" w:sz="4" w:space="1" w:color="1F3864"/>
      </w:pBdr>
      <w:jc w:val="right"/>
    </w:pPr>
    <w:r>
      <w:rPr>
        <w:color w:val="666666"/>
        <w:sz w:val="18"/>
        <w:szCs w:val="18"/>
      </w:rPr>
      <w:t>Nikhil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97086"/>
    <w:multiLevelType w:val="hybridMultilevel"/>
    <w:tmpl w:val="19D8E120"/>
    <w:lvl w:ilvl="0" w:tplc="1AA6D486">
      <w:start w:val="1"/>
      <w:numFmt w:val="bullet"/>
      <w:lvlText w:val="•"/>
      <w:lvlJc w:val="left"/>
      <w:pPr>
        <w:ind w:left="720" w:hanging="360"/>
      </w:pPr>
    </w:lvl>
    <w:lvl w:ilvl="1" w:tplc="BF2EDAC8">
      <w:numFmt w:val="decimal"/>
      <w:lvlText w:val=""/>
      <w:lvlJc w:val="left"/>
    </w:lvl>
    <w:lvl w:ilvl="2" w:tplc="E724F8E8">
      <w:numFmt w:val="decimal"/>
      <w:lvlText w:val=""/>
      <w:lvlJc w:val="left"/>
    </w:lvl>
    <w:lvl w:ilvl="3" w:tplc="63D2CECE">
      <w:numFmt w:val="decimal"/>
      <w:lvlText w:val=""/>
      <w:lvlJc w:val="left"/>
    </w:lvl>
    <w:lvl w:ilvl="4" w:tplc="56D220EC">
      <w:numFmt w:val="decimal"/>
      <w:lvlText w:val=""/>
      <w:lvlJc w:val="left"/>
    </w:lvl>
    <w:lvl w:ilvl="5" w:tplc="703083E8">
      <w:numFmt w:val="decimal"/>
      <w:lvlText w:val=""/>
      <w:lvlJc w:val="left"/>
    </w:lvl>
    <w:lvl w:ilvl="6" w:tplc="F0360006">
      <w:numFmt w:val="decimal"/>
      <w:lvlText w:val=""/>
      <w:lvlJc w:val="left"/>
    </w:lvl>
    <w:lvl w:ilvl="7" w:tplc="50181DDC">
      <w:numFmt w:val="decimal"/>
      <w:lvlText w:val=""/>
      <w:lvlJc w:val="left"/>
    </w:lvl>
    <w:lvl w:ilvl="8" w:tplc="C20C01C4">
      <w:numFmt w:val="decimal"/>
      <w:lvlText w:val=""/>
      <w:lvlJc w:val="left"/>
    </w:lvl>
  </w:abstractNum>
  <w:num w:numId="1" w16cid:durableId="492345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242"/>
    <w:rsid w:val="006C3242"/>
    <w:rsid w:val="00BB7D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8872C"/>
  <w15:chartTrackingRefBased/>
  <w15:docId w15:val="{EE19DA06-2F6F-49C6-BFEA-8C7143B12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242"/>
    <w:pPr>
      <w:spacing w:after="0" w:line="240" w:lineRule="auto"/>
    </w:pPr>
    <w:rPr>
      <w:rFonts w:ascii="Arial" w:eastAsia="Arial" w:hAnsi="Arial" w:cs="Arial"/>
      <w:kern w:val="0"/>
      <w:lang w:val="en-US"/>
      <w14:ligatures w14:val="none"/>
    </w:rPr>
  </w:style>
  <w:style w:type="paragraph" w:styleId="Heading1">
    <w:name w:val="heading 1"/>
    <w:basedOn w:val="Normal"/>
    <w:next w:val="Normal"/>
    <w:link w:val="Heading1Char"/>
    <w:uiPriority w:val="9"/>
    <w:qFormat/>
    <w:rsid w:val="006C32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32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2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2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2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2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2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2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2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2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32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2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242"/>
    <w:rPr>
      <w:rFonts w:eastAsiaTheme="majorEastAsia" w:cstheme="majorBidi"/>
      <w:color w:val="272727" w:themeColor="text1" w:themeTint="D8"/>
    </w:rPr>
  </w:style>
  <w:style w:type="paragraph" w:styleId="Title">
    <w:name w:val="Title"/>
    <w:basedOn w:val="Normal"/>
    <w:next w:val="Normal"/>
    <w:link w:val="TitleChar"/>
    <w:uiPriority w:val="10"/>
    <w:qFormat/>
    <w:rsid w:val="006C32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242"/>
    <w:pPr>
      <w:spacing w:before="160"/>
      <w:jc w:val="center"/>
    </w:pPr>
    <w:rPr>
      <w:i/>
      <w:iCs/>
      <w:color w:val="404040" w:themeColor="text1" w:themeTint="BF"/>
    </w:rPr>
  </w:style>
  <w:style w:type="character" w:customStyle="1" w:styleId="QuoteChar">
    <w:name w:val="Quote Char"/>
    <w:basedOn w:val="DefaultParagraphFont"/>
    <w:link w:val="Quote"/>
    <w:uiPriority w:val="29"/>
    <w:rsid w:val="006C3242"/>
    <w:rPr>
      <w:i/>
      <w:iCs/>
      <w:color w:val="404040" w:themeColor="text1" w:themeTint="BF"/>
    </w:rPr>
  </w:style>
  <w:style w:type="paragraph" w:styleId="ListParagraph">
    <w:name w:val="List Paragraph"/>
    <w:basedOn w:val="Normal"/>
    <w:qFormat/>
    <w:rsid w:val="006C3242"/>
    <w:pPr>
      <w:ind w:left="720"/>
      <w:contextualSpacing/>
    </w:pPr>
  </w:style>
  <w:style w:type="character" w:styleId="IntenseEmphasis">
    <w:name w:val="Intense Emphasis"/>
    <w:basedOn w:val="DefaultParagraphFont"/>
    <w:uiPriority w:val="21"/>
    <w:qFormat/>
    <w:rsid w:val="006C3242"/>
    <w:rPr>
      <w:i/>
      <w:iCs/>
      <w:color w:val="0F4761" w:themeColor="accent1" w:themeShade="BF"/>
    </w:rPr>
  </w:style>
  <w:style w:type="paragraph" w:styleId="IntenseQuote">
    <w:name w:val="Intense Quote"/>
    <w:basedOn w:val="Normal"/>
    <w:next w:val="Normal"/>
    <w:link w:val="IntenseQuoteChar"/>
    <w:uiPriority w:val="30"/>
    <w:qFormat/>
    <w:rsid w:val="006C32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242"/>
    <w:rPr>
      <w:i/>
      <w:iCs/>
      <w:color w:val="0F4761" w:themeColor="accent1" w:themeShade="BF"/>
    </w:rPr>
  </w:style>
  <w:style w:type="character" w:styleId="IntenseReference">
    <w:name w:val="Intense Reference"/>
    <w:basedOn w:val="DefaultParagraphFont"/>
    <w:uiPriority w:val="32"/>
    <w:qFormat/>
    <w:rsid w:val="006C32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7988</Words>
  <Characters>45534</Characters>
  <Application>Microsoft Office Word</Application>
  <DocSecurity>0</DocSecurity>
  <Lines>379</Lines>
  <Paragraphs>106</Paragraphs>
  <ScaleCrop>false</ScaleCrop>
  <Company/>
  <LinksUpToDate>false</LinksUpToDate>
  <CharactersWithSpaces>53416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Rai</dc:creator>
  <cp:keywords/>
  <dc:description/>
  <cp:lastModifiedBy>Nikhil Rai</cp:lastModifiedBy>
  <cp:revision>1</cp:revision>
  <dcterms:created xsi:type="dcterms:W3CDTF">2026-05-05T09:30:00Z</dcterms:created>
  <dcterms:modified xsi:type="dcterms:W3CDTF">2026-05-05T09:32:00Z</dcterms:modified>
</cp:coreProperties>
</file>