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eastAsia="微软雅黑" w:asciiTheme="minorHAnsi" w:hAnsiTheme="minorHAnsi" w:cstheme="minorHAnsi"/>
          <w:sz w:val="24"/>
        </w:rPr>
      </w:pPr>
    </w:p>
    <w:p>
      <w:pPr>
        <w:spacing w:after="160" w:line="256" w:lineRule="auto"/>
        <w:rPr>
          <w:rFonts w:ascii="Verdana" w:hAnsi="Verdana"/>
          <w:b/>
          <w:i/>
          <w:sz w:val="52"/>
          <w:szCs w:val="52"/>
        </w:rPr>
      </w:pPr>
    </w:p>
    <w:p>
      <w:pPr>
        <w:spacing w:after="160" w:line="256" w:lineRule="auto"/>
        <w:jc w:val="center"/>
        <w:rPr>
          <w:rFonts w:ascii="Verdana" w:hAnsi="Verdana"/>
          <w:b/>
          <w:caps/>
          <w:sz w:val="18"/>
          <w:szCs w:val="18"/>
        </w:rPr>
      </w:pPr>
      <w:r>
        <w:rPr>
          <w:rFonts w:hint="eastAsia"/>
          <w:b/>
          <w:sz w:val="52"/>
          <w:szCs w:val="52"/>
        </w:rPr>
        <w:t>I</w:t>
      </w:r>
      <w:r>
        <w:rPr>
          <w:b/>
          <w:sz w:val="52"/>
          <w:szCs w:val="52"/>
        </w:rPr>
        <w:t>nternational</w:t>
      </w:r>
      <w:r>
        <w:rPr>
          <w:rFonts w:hint="eastAsia"/>
          <w:b/>
          <w:sz w:val="52"/>
          <w:szCs w:val="52"/>
        </w:rPr>
        <w:t xml:space="preserve"> Business Communications</w:t>
      </w:r>
      <w:r>
        <w:rPr>
          <w:rFonts w:ascii="Verdana" w:hAnsi="Verdana"/>
          <w:b/>
          <w:i/>
          <w:sz w:val="52"/>
          <w:szCs w:val="52"/>
        </w:rPr>
        <w:t xml:space="preserve"> </w:t>
      </w:r>
      <w:r>
        <w:rPr>
          <w:rFonts w:ascii="Verdana" w:hAnsi="Verdana"/>
          <w:b/>
          <w:i/>
          <w:sz w:val="44"/>
        </w:rPr>
        <w:t>201</w:t>
      </w:r>
      <w:r>
        <w:rPr>
          <w:rFonts w:hint="eastAsia" w:ascii="Verdana" w:hAnsi="Verdana"/>
          <w:b/>
          <w:i/>
          <w:sz w:val="44"/>
        </w:rPr>
        <w:t>8</w:t>
      </w:r>
    </w:p>
    <w:p>
      <w:pPr>
        <w:spacing w:after="160" w:line="256" w:lineRule="auto"/>
        <w:rPr>
          <w:rFonts w:ascii="Verdana" w:hAnsi="Verdana"/>
          <w:b/>
          <w:caps/>
          <w:sz w:val="18"/>
          <w:szCs w:val="18"/>
        </w:rPr>
      </w:pPr>
    </w:p>
    <w:p>
      <w:pPr>
        <w:spacing w:after="160" w:line="256" w:lineRule="auto"/>
        <w:jc w:val="center"/>
        <w:rPr>
          <w:rFonts w:ascii="Verdana" w:hAnsi="Verdana"/>
          <w:b/>
          <w:caps/>
          <w:sz w:val="18"/>
          <w:szCs w:val="18"/>
        </w:rPr>
      </w:pPr>
      <w:r>
        <w:drawing>
          <wp:inline distT="0" distB="0" distL="0" distR="0">
            <wp:extent cx="2859405" cy="3173095"/>
            <wp:effectExtent l="0" t="0" r="5715" b="12065"/>
            <wp:docPr id="1"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7" descr="Crest of TSD.png"/>
                    <pic:cNvPicPr>
                      <a:picLocks noChangeAspect="1" noChangeArrowheads="1"/>
                    </pic:cNvPicPr>
                  </pic:nvPicPr>
                  <pic:blipFill>
                    <a:blip r:embed="rId4" cstate="print"/>
                    <a:srcRect/>
                    <a:stretch>
                      <a:fillRect/>
                    </a:stretch>
                  </pic:blipFill>
                  <pic:spPr>
                    <a:xfrm>
                      <a:off x="0" y="0"/>
                      <a:ext cx="2859405" cy="3173095"/>
                    </a:xfrm>
                    <a:prstGeom prst="rect">
                      <a:avLst/>
                    </a:prstGeom>
                    <a:noFill/>
                    <a:ln w="9525">
                      <a:noFill/>
                      <a:miter lim="800000"/>
                      <a:headEnd/>
                      <a:tailEnd/>
                    </a:ln>
                  </pic:spPr>
                </pic:pic>
              </a:graphicData>
            </a:graphic>
          </wp:inline>
        </w:drawing>
      </w:r>
    </w:p>
    <w:p>
      <w:pPr>
        <w:spacing w:after="160" w:line="256" w:lineRule="auto"/>
        <w:rPr>
          <w:rFonts w:ascii="Verdana" w:hAnsi="Verdana"/>
          <w:b/>
          <w:caps/>
          <w:sz w:val="18"/>
          <w:szCs w:val="18"/>
        </w:rPr>
      </w:pPr>
    </w:p>
    <w:p>
      <w:pPr>
        <w:spacing w:after="160" w:line="256" w:lineRule="auto"/>
        <w:jc w:val="center"/>
        <w:rPr>
          <w:rFonts w:ascii="Verdana" w:hAnsi="Verdana"/>
          <w:b/>
          <w:sz w:val="44"/>
        </w:rPr>
      </w:pPr>
      <w:r>
        <w:rPr>
          <w:rFonts w:hint="eastAsia" w:ascii="Verdana" w:hAnsi="Verdana"/>
          <w:b/>
          <w:sz w:val="44"/>
        </w:rPr>
        <w:t>JANUARY</w:t>
      </w:r>
      <w:r>
        <w:rPr>
          <w:rFonts w:ascii="Verdana" w:hAnsi="Verdana"/>
          <w:b/>
          <w:sz w:val="44"/>
        </w:rPr>
        <w:t xml:space="preserve"> 201</w:t>
      </w:r>
      <w:r>
        <w:rPr>
          <w:rFonts w:hint="eastAsia" w:ascii="Verdana" w:hAnsi="Verdana"/>
          <w:b/>
          <w:sz w:val="44"/>
        </w:rPr>
        <w:t>8</w:t>
      </w:r>
    </w:p>
    <w:p>
      <w:pPr>
        <w:spacing w:after="160" w:line="256" w:lineRule="auto"/>
        <w:rPr>
          <w:rFonts w:ascii="Verdana" w:hAnsi="Verdana"/>
          <w:b/>
          <w:caps/>
          <w:sz w:val="18"/>
          <w:szCs w:val="18"/>
        </w:rPr>
      </w:pPr>
    </w:p>
    <w:p>
      <w:pPr>
        <w:spacing w:after="160" w:line="256"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Pr>
          <w:rFonts w:hint="eastAsia"/>
          <w:sz w:val="24"/>
          <w:szCs w:val="24"/>
        </w:rPr>
        <w:t>I</w:t>
      </w:r>
      <w:r>
        <w:rPr>
          <w:sz w:val="24"/>
          <w:szCs w:val="24"/>
        </w:rPr>
        <w:t>nternational</w:t>
      </w:r>
      <w:r>
        <w:rPr>
          <w:rFonts w:hint="eastAsia"/>
          <w:sz w:val="24"/>
          <w:szCs w:val="24"/>
        </w:rPr>
        <w:t xml:space="preserve"> Business Communications</w:t>
      </w:r>
    </w:p>
    <w:p>
      <w:pPr>
        <w:spacing w:after="160" w:line="256" w:lineRule="auto"/>
        <w:rPr>
          <w:rFonts w:ascii="Verdana" w:hAnsi="Verdana"/>
          <w:b/>
          <w:caps/>
          <w:color w:val="FF0000"/>
          <w:sz w:val="18"/>
          <w:szCs w:val="18"/>
        </w:rPr>
      </w:pPr>
      <w:r>
        <w:rPr>
          <w:rFonts w:ascii="Verdana" w:hAnsi="Verdana"/>
          <w:b/>
          <w:caps/>
          <w:sz w:val="18"/>
          <w:szCs w:val="18"/>
        </w:rPr>
        <w:t>Project Name:</w:t>
      </w:r>
      <w:r>
        <w:rPr>
          <w:rFonts w:ascii="Verdana" w:hAnsi="Verdana"/>
          <w:b/>
          <w:caps/>
          <w:sz w:val="18"/>
          <w:szCs w:val="18"/>
        </w:rPr>
        <w:tab/>
      </w:r>
      <w:r>
        <w:rPr>
          <w:rFonts w:ascii="Verdana" w:hAnsi="Verdana"/>
          <w:b/>
          <w:caps/>
          <w:sz w:val="18"/>
          <w:szCs w:val="18"/>
        </w:rPr>
        <w:tab/>
      </w:r>
      <w:r>
        <w:rPr>
          <w:caps/>
          <w:sz w:val="24"/>
          <w:szCs w:val="24"/>
        </w:rPr>
        <w:t>business management</w:t>
      </w:r>
    </w:p>
    <w:p>
      <w:pPr>
        <w:spacing w:after="160" w:line="256" w:lineRule="auto"/>
        <w:rPr>
          <w:rFonts w:hint="eastAsia"/>
          <w:caps/>
          <w:sz w:val="24"/>
          <w:szCs w:val="24"/>
          <w:lang w:val="en-US" w:eastAsia="zh-CN"/>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hint="eastAsia"/>
          <w:caps/>
          <w:sz w:val="24"/>
          <w:szCs w:val="24"/>
          <w:lang w:val="en-US" w:eastAsia="zh-CN"/>
        </w:rPr>
        <w:t>FEI XUE</w:t>
      </w:r>
    </w:p>
    <w:p>
      <w:pPr>
        <w:spacing w:after="160" w:line="256" w:lineRule="auto"/>
        <w:rPr>
          <w:rFonts w:ascii="Verdana" w:hAnsi="Verdana"/>
          <w:b/>
          <w:caps/>
          <w:sz w:val="18"/>
          <w:szCs w:val="18"/>
          <w:lang w:val="en-US"/>
        </w:rPr>
      </w:pPr>
      <w:r>
        <w:rPr>
          <w:rFonts w:ascii="Verdana" w:hAnsi="Verdana"/>
          <w:b/>
          <w:caps/>
          <w:sz w:val="18"/>
          <w:szCs w:val="18"/>
        </w:rPr>
        <w:t>Student Number:</w:t>
      </w:r>
      <w:r>
        <w:rPr>
          <w:rFonts w:hint="eastAsia" w:ascii="Verdana" w:hAnsi="Verdana"/>
          <w:b/>
          <w:caps/>
          <w:sz w:val="18"/>
          <w:szCs w:val="18"/>
        </w:rPr>
        <w:t xml:space="preserve">  </w:t>
      </w:r>
      <w:r>
        <w:rPr>
          <w:rFonts w:ascii="Verdana" w:hAnsi="Verdana"/>
          <w:b/>
          <w:caps/>
          <w:sz w:val="18"/>
          <w:szCs w:val="18"/>
        </w:rPr>
        <w:tab/>
      </w:r>
      <w:r>
        <w:rPr>
          <w:rFonts w:hint="eastAsia" w:ascii="Verdana" w:hAnsi="Verdana"/>
          <w:b/>
          <w:caps/>
          <w:sz w:val="18"/>
          <w:szCs w:val="18"/>
        </w:rPr>
        <w:t xml:space="preserve">            </w:t>
      </w:r>
      <w:r>
        <w:rPr>
          <w:caps/>
          <w:sz w:val="24"/>
          <w:szCs w:val="24"/>
        </w:rPr>
        <w:t>170</w:t>
      </w:r>
      <w:r>
        <w:rPr>
          <w:rFonts w:hint="eastAsia"/>
          <w:caps/>
          <w:sz w:val="24"/>
          <w:szCs w:val="24"/>
          <w:lang w:val="en-US" w:eastAsia="zh-CN"/>
        </w:rPr>
        <w:t>3629</w:t>
      </w:r>
    </w:p>
    <w:p>
      <w:pPr>
        <w:jc w:val="center"/>
        <w:rPr>
          <w:rFonts w:eastAsia="微软雅黑" w:asciiTheme="minorHAnsi" w:hAnsiTheme="minorHAnsi" w:cstheme="minorHAnsi"/>
          <w:b/>
          <w:sz w:val="24"/>
        </w:rPr>
      </w:pPr>
    </w:p>
    <w:p>
      <w:pPr>
        <w:jc w:val="center"/>
        <w:rPr>
          <w:rFonts w:eastAsia="微软雅黑" w:asciiTheme="minorHAnsi" w:hAnsiTheme="minorHAnsi" w:cstheme="minorHAnsi"/>
          <w:b/>
          <w:sz w:val="24"/>
        </w:rPr>
      </w:pPr>
    </w:p>
    <w:p>
      <w:pPr>
        <w:jc w:val="center"/>
        <w:rPr>
          <w:rFonts w:eastAsia="微软雅黑" w:asciiTheme="minorHAnsi" w:hAnsiTheme="minorHAnsi" w:cstheme="minorHAnsi"/>
          <w:b/>
          <w:sz w:val="24"/>
        </w:rPr>
      </w:pPr>
    </w:p>
    <w:p>
      <w:pPr>
        <w:jc w:val="center"/>
        <w:rPr>
          <w:rFonts w:eastAsia="微软雅黑" w:asciiTheme="minorHAnsi" w:hAnsiTheme="minorHAnsi" w:cstheme="minorHAnsi"/>
          <w:b/>
          <w:sz w:val="24"/>
        </w:rPr>
      </w:pPr>
    </w:p>
    <w:p>
      <w:pPr>
        <w:jc w:val="center"/>
        <w:rPr>
          <w:rFonts w:eastAsia="微软雅黑" w:asciiTheme="minorHAnsi" w:hAnsiTheme="minorHAnsi" w:cstheme="minorHAnsi"/>
          <w:b/>
          <w:sz w:val="24"/>
        </w:rPr>
      </w:pPr>
    </w:p>
    <w:p>
      <w:pPr>
        <w:keepLines w:val="0"/>
        <w:pageBreakBefore w:val="0"/>
        <w:widowControl w:val="0"/>
        <w:kinsoku/>
        <w:wordWrap/>
        <w:overflowPunct/>
        <w:topLinePunct w:val="0"/>
        <w:autoSpaceDE/>
        <w:autoSpaceDN/>
        <w:bidi w:val="0"/>
        <w:adjustRightInd/>
        <w:snapToGrid/>
        <w:spacing w:line="360" w:lineRule="auto"/>
        <w:ind w:right="0" w:rightChars="0"/>
        <w:jc w:val="center"/>
        <w:textAlignment w:val="auto"/>
        <w:outlineLvl w:val="9"/>
        <w:rPr>
          <w:rFonts w:hint="default" w:ascii="Times New Roman" w:hAnsi="Times New Roman" w:eastAsia="微软雅黑" w:cs="Times New Roman"/>
          <w:b/>
          <w:sz w:val="28"/>
          <w:szCs w:val="28"/>
        </w:rPr>
      </w:pPr>
      <w:r>
        <w:rPr>
          <w:rFonts w:hint="default" w:ascii="Times New Roman" w:hAnsi="Times New Roman" w:eastAsia="微软雅黑" w:cs="Times New Roman"/>
          <w:b/>
          <w:sz w:val="28"/>
          <w:szCs w:val="28"/>
        </w:rPr>
        <w:t>Differences between Mexico and Britain via Cultural Dimension Theory</w:t>
      </w:r>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sz w:val="28"/>
          <w:szCs w:val="28"/>
        </w:rPr>
      </w:pPr>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 xml:space="preserve">With the increasing trend of Globalization, it is more and more important to find the differences between home country and other countries in many aspects. Knowing these discrepancies can help people avoid many conflicts and misunderstanding, enhancing the communication and cooperation. Mexico is a model country in the middle Latin area and Britain stands for the high standards and level of Europe. This article compares these two countries by using the Hofstede's cultural dimensions theory to find out the differences in terms of trust, gifts and business. </w:t>
      </w:r>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sz w:val="24"/>
        </w:rPr>
      </w:pPr>
    </w:p>
    <w:p>
      <w:pPr>
        <w:pStyle w:val="9"/>
        <w:keepLines w:val="0"/>
        <w:pageBreakBefore w:val="0"/>
        <w:widowControl w:val="0"/>
        <w:numPr>
          <w:ilvl w:val="0"/>
          <w:numId w:val="1"/>
        </w:numPr>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b/>
          <w:sz w:val="28"/>
          <w:szCs w:val="28"/>
        </w:rPr>
      </w:pPr>
      <w:r>
        <w:rPr>
          <w:rFonts w:hint="default" w:ascii="Times New Roman" w:hAnsi="Times New Roman" w:eastAsia="微软雅黑" w:cs="Times New Roman"/>
          <w:b/>
          <w:sz w:val="28"/>
          <w:szCs w:val="28"/>
        </w:rPr>
        <w:t>Hofstede's cultural dimensions theory</w:t>
      </w:r>
    </w:p>
    <w:p>
      <w:pPr>
        <w:keepLines w:val="0"/>
        <w:pageBreakBefore w:val="0"/>
        <w:widowControl w:val="0"/>
        <w:kinsoku/>
        <w:wordWrap/>
        <w:overflowPunct/>
        <w:topLinePunct w:val="0"/>
        <w:autoSpaceDE/>
        <w:autoSpaceDN/>
        <w:bidi w:val="0"/>
        <w:adjustRightInd/>
        <w:snapToGrid/>
        <w:spacing w:line="360" w:lineRule="auto"/>
        <w:ind w:right="0" w:rightChars="0" w:firstLine="340"/>
        <w:textAlignment w:val="auto"/>
        <w:outlineLvl w:val="9"/>
        <w:rPr>
          <w:rFonts w:hint="default" w:ascii="Times New Roman" w:hAnsi="Times New Roman" w:eastAsia="微软雅黑" w:cs="Times New Roman"/>
          <w:sz w:val="24"/>
          <w:lang w:val="en-US" w:eastAsia="zh-CN"/>
        </w:rPr>
      </w:pPr>
      <w:r>
        <w:rPr>
          <w:rFonts w:hint="default" w:ascii="Times New Roman" w:hAnsi="Times New Roman" w:eastAsia="微软雅黑" w:cs="Times New Roman"/>
          <w:sz w:val="24"/>
        </w:rPr>
        <w:t>To start with, what is Hofstede's cultural dimensions theory?</w:t>
      </w:r>
      <w:r>
        <w:rPr>
          <w:rFonts w:hint="default" w:ascii="Times New Roman" w:hAnsi="Times New Roman" w:eastAsia="微软雅黑" w:cs="Times New Roman"/>
          <w:sz w:val="24"/>
          <w:lang w:val="en-US" w:eastAsia="zh-CN"/>
        </w:rPr>
        <w:t>This is an intercultural communication framework developed by social psychologists in the Netherlands, his name is Jef Hofstede. This theory describes the impact of social culture on the values of citizens through the relationship between these values and their behavior. According to Bing (2004) research, he not only helps manage cross-border mergers and acquisitions but also audits employee surveys and negotiations through the use of joint ventures.</w:t>
      </w:r>
    </w:p>
    <w:p>
      <w:pPr>
        <w:keepLines w:val="0"/>
        <w:pageBreakBefore w:val="0"/>
        <w:widowControl w:val="0"/>
        <w:kinsoku/>
        <w:wordWrap/>
        <w:overflowPunct/>
        <w:topLinePunct w:val="0"/>
        <w:autoSpaceDE/>
        <w:autoSpaceDN/>
        <w:bidi w:val="0"/>
        <w:adjustRightInd/>
        <w:snapToGrid/>
        <w:spacing w:line="360" w:lineRule="auto"/>
        <w:ind w:right="0" w:rightChars="0" w:firstLine="34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The theory covers six dimensions which are not established at one time. As a former IBM employee, professor Hofstede used factor analysis to check the results of a worldwide survey of worker values by IBM between 1967 and 1973. As a result, he got the original model which consisted of four dimensions: individualism-collectivism; uncertainty avoidance; power distance (strength of social hierarchy) and masculinity-femininity (task orientation versus person-orientation). He added the fifth dimension, long-term orientation, after an independent research in Hong Kong. And then, in 2010, indulgence versus self-restraint became the last dimension (Hofstede, 2011). These six dimensions are introduced as followed.</w:t>
      </w:r>
    </w:p>
    <w:p>
      <w:pPr>
        <w:keepLines w:val="0"/>
        <w:pageBreakBefore w:val="0"/>
        <w:widowControl w:val="0"/>
        <w:kinsoku/>
        <w:wordWrap/>
        <w:overflowPunct/>
        <w:topLinePunct w:val="0"/>
        <w:autoSpaceDE/>
        <w:autoSpaceDN/>
        <w:bidi w:val="0"/>
        <w:adjustRightInd/>
        <w:snapToGrid/>
        <w:spacing w:line="360" w:lineRule="auto"/>
        <w:ind w:right="0" w:rightChars="0" w:firstLine="340"/>
        <w:textAlignment w:val="auto"/>
        <w:outlineLvl w:val="9"/>
        <w:rPr>
          <w:rFonts w:hint="default" w:ascii="Times New Roman" w:hAnsi="Times New Roman" w:eastAsia="微软雅黑" w:cs="Times New Roman"/>
          <w:sz w:val="24"/>
          <w:lang w:val="en-US" w:eastAsia="zh-CN"/>
        </w:rPr>
      </w:pPr>
      <w:r>
        <w:rPr>
          <w:rFonts w:hint="default" w:ascii="Times New Roman" w:hAnsi="Times New Roman" w:eastAsia="微软雅黑" w:cs="Times New Roman"/>
          <w:b/>
          <w:sz w:val="28"/>
          <w:szCs w:val="28"/>
        </w:rPr>
        <w:t>Power distance index (PDI):</w:t>
      </w:r>
      <w:r>
        <w:rPr>
          <w:rFonts w:hint="default" w:ascii="Times New Roman" w:hAnsi="Times New Roman" w:eastAsia="微软雅黑" w:cs="Times New Roman"/>
          <w:sz w:val="24"/>
        </w:rPr>
        <w:t xml:space="preserve"> </w:t>
      </w:r>
      <w:r>
        <w:rPr>
          <w:rFonts w:hint="default" w:ascii="Times New Roman" w:hAnsi="Times New Roman" w:eastAsia="微软雅黑" w:cs="Times New Roman"/>
          <w:sz w:val="24"/>
          <w:lang w:val="en-US" w:eastAsia="zh-CN"/>
        </w:rPr>
        <w:t>Hofstede (1993) defined this indicator as "the extent to which the weaker members of organizations and institutions (eg, households) accept and expect unequal distribution of power". In this dimension, followers or lower levels consider inequality. Lower indices indicate that people question the power and attempt to allocate power. The high degree of the index indicates that social class is undoubtedly established and implemented with certainty.</w:t>
      </w:r>
    </w:p>
    <w:p>
      <w:pPr>
        <w:keepLines w:val="0"/>
        <w:pageBreakBefore w:val="0"/>
        <w:widowControl w:val="0"/>
        <w:kinsoku/>
        <w:wordWrap/>
        <w:overflowPunct/>
        <w:topLinePunct w:val="0"/>
        <w:autoSpaceDE/>
        <w:autoSpaceDN/>
        <w:bidi w:val="0"/>
        <w:adjustRightInd/>
        <w:snapToGrid/>
        <w:spacing w:line="360" w:lineRule="auto"/>
        <w:ind w:right="0" w:rightChars="0" w:firstLine="34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b/>
          <w:sz w:val="28"/>
          <w:szCs w:val="28"/>
        </w:rPr>
        <w:t>Individualism vs. collectivism (IDV):</w:t>
      </w:r>
      <w:r>
        <w:rPr>
          <w:rFonts w:hint="default" w:ascii="Times New Roman" w:hAnsi="Times New Roman" w:eastAsia="微软雅黑" w:cs="Times New Roman"/>
          <w:sz w:val="24"/>
        </w:rPr>
        <w:t xml:space="preserve"> the IDV Index is defined as “degree to which people in a society are integrated into groups.” Societies with higher degree of individualism have loose ties that only relate an individual to his/her immediate family. People in this kind of society pay more attention to the “I” rather than “We”. Its counterpart, collectivism, describes a tightly-integrated society which has relationship with extended families and others. When a conflict with another group arises, people will show their undoubted loyalty and help each other.</w:t>
      </w:r>
    </w:p>
    <w:p>
      <w:pPr>
        <w:keepLines w:val="0"/>
        <w:pageBreakBefore w:val="0"/>
        <w:widowControl w:val="0"/>
        <w:kinsoku/>
        <w:wordWrap/>
        <w:overflowPunct/>
        <w:topLinePunct w:val="0"/>
        <w:autoSpaceDE/>
        <w:autoSpaceDN/>
        <w:bidi w:val="0"/>
        <w:adjustRightInd/>
        <w:snapToGrid/>
        <w:spacing w:line="360" w:lineRule="auto"/>
        <w:ind w:right="0" w:rightChars="0" w:firstLine="340"/>
        <w:textAlignment w:val="auto"/>
        <w:outlineLvl w:val="9"/>
        <w:rPr>
          <w:rFonts w:hint="default" w:ascii="Times New Roman" w:hAnsi="Times New Roman" w:eastAsia="微软雅黑" w:cs="Times New Roman"/>
          <w:color w:val="222222"/>
          <w:sz w:val="24"/>
          <w:szCs w:val="21"/>
          <w:shd w:val="clear" w:color="auto" w:fill="FFFFFF"/>
        </w:rPr>
      </w:pPr>
      <w:r>
        <w:rPr>
          <w:rFonts w:hint="default" w:ascii="Times New Roman" w:hAnsi="Times New Roman" w:eastAsia="微软雅黑" w:cs="Times New Roman"/>
          <w:b/>
          <w:bCs/>
          <w:color w:val="222222"/>
          <w:sz w:val="28"/>
          <w:szCs w:val="28"/>
          <w:shd w:val="clear" w:color="auto" w:fill="FFFFFF"/>
        </w:rPr>
        <w:t>Uncertainty avoidance index</w:t>
      </w:r>
      <w:r>
        <w:rPr>
          <w:rStyle w:val="10"/>
          <w:rFonts w:hint="default" w:ascii="Times New Roman" w:hAnsi="Times New Roman" w:eastAsia="微软雅黑" w:cs="Times New Roman"/>
          <w:color w:val="222222"/>
          <w:sz w:val="28"/>
          <w:szCs w:val="28"/>
          <w:shd w:val="clear" w:color="auto" w:fill="FFFFFF"/>
        </w:rPr>
        <w:t> </w:t>
      </w:r>
      <w:r>
        <w:rPr>
          <w:rFonts w:hint="default" w:ascii="Times New Roman" w:hAnsi="Times New Roman" w:eastAsia="微软雅黑" w:cs="Times New Roman"/>
          <w:color w:val="222222"/>
          <w:sz w:val="28"/>
          <w:szCs w:val="28"/>
          <w:shd w:val="clear" w:color="auto" w:fill="FFFFFF"/>
        </w:rPr>
        <w:t>(</w:t>
      </w:r>
      <w:r>
        <w:rPr>
          <w:rFonts w:hint="default" w:ascii="Times New Roman" w:hAnsi="Times New Roman" w:eastAsia="微软雅黑" w:cs="Times New Roman"/>
          <w:b/>
          <w:bCs/>
          <w:color w:val="222222"/>
          <w:sz w:val="28"/>
          <w:szCs w:val="28"/>
          <w:shd w:val="clear" w:color="auto" w:fill="FFFFFF"/>
        </w:rPr>
        <w:t>UAI</w:t>
      </w:r>
      <w:r>
        <w:rPr>
          <w:rFonts w:hint="default" w:ascii="Times New Roman" w:hAnsi="Times New Roman" w:eastAsia="微软雅黑" w:cs="Times New Roman"/>
          <w:color w:val="222222"/>
          <w:sz w:val="28"/>
          <w:szCs w:val="28"/>
          <w:shd w:val="clear" w:color="auto" w:fill="FFFFFF"/>
        </w:rPr>
        <w:t xml:space="preserve">): </w:t>
      </w:r>
      <w:r>
        <w:rPr>
          <w:rFonts w:hint="default" w:ascii="Times New Roman" w:hAnsi="Times New Roman" w:eastAsia="微软雅黑" w:cs="Times New Roman"/>
          <w:color w:val="222222"/>
          <w:sz w:val="24"/>
          <w:szCs w:val="21"/>
          <w:shd w:val="clear" w:color="auto" w:fill="FFFFFF"/>
        </w:rPr>
        <w:t>This Index is defined as “a society's tolerance for ambiguity,” in which people embrace or avert an event of something unexpected, unknown, or away from the status quo. Societies with a high score in this index tend to have codes of behavior, guidelines, laws, and generally depend on belief that dictates everything and people know what it is. To the contrary, a lower degree in this index means a more open mind to differing ideas and thoughts. People in these societies are likely to impose fewer regulations and the environment is more free-flowing.</w:t>
      </w:r>
    </w:p>
    <w:p>
      <w:pPr>
        <w:keepLines w:val="0"/>
        <w:pageBreakBefore w:val="0"/>
        <w:widowControl w:val="0"/>
        <w:kinsoku/>
        <w:wordWrap/>
        <w:overflowPunct/>
        <w:topLinePunct w:val="0"/>
        <w:autoSpaceDE/>
        <w:autoSpaceDN/>
        <w:bidi w:val="0"/>
        <w:adjustRightInd/>
        <w:snapToGrid/>
        <w:spacing w:line="360" w:lineRule="auto"/>
        <w:ind w:right="0" w:rightChars="0" w:firstLine="34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b/>
          <w:sz w:val="28"/>
          <w:szCs w:val="28"/>
        </w:rPr>
        <w:t>Masculinity vs. femininity (MAS):</w:t>
      </w:r>
      <w:r>
        <w:rPr>
          <w:rFonts w:hint="default" w:ascii="Times New Roman" w:hAnsi="Times New Roman" w:eastAsia="微软雅黑" w:cs="Times New Roman"/>
          <w:sz w:val="24"/>
        </w:rPr>
        <w:t xml:space="preserve"> Masculinity, In this respect, the dimension of masculinity is called "social preference for achievement, heroism, self-confidence and material rewards of success." Women, on the other hand, are referred to as "preferring cooperation, modesty, care, weakness, and quality of life." Values that are likely to be different in different societies are different. Women are more emphasized and more competitive in the major masculine societies, but less so than in men. In the female community, they are as humble and caring as men. This dimension considers the difference between male and female values.</w:t>
      </w:r>
    </w:p>
    <w:p>
      <w:pPr>
        <w:keepLines w:val="0"/>
        <w:pageBreakBefore w:val="0"/>
        <w:widowControl w:val="0"/>
        <w:kinsoku/>
        <w:wordWrap/>
        <w:overflowPunct/>
        <w:topLinePunct w:val="0"/>
        <w:autoSpaceDE/>
        <w:autoSpaceDN/>
        <w:bidi w:val="0"/>
        <w:adjustRightInd/>
        <w:snapToGrid/>
        <w:spacing w:line="360" w:lineRule="auto"/>
        <w:ind w:right="0" w:rightChars="0" w:firstLine="340"/>
        <w:textAlignment w:val="auto"/>
        <w:outlineLvl w:val="9"/>
        <w:rPr>
          <w:rFonts w:hint="default" w:ascii="Times New Roman" w:hAnsi="Times New Roman" w:eastAsia="微软雅黑" w:cs="Times New Roman"/>
          <w:sz w:val="24"/>
          <w:lang w:val="en-US" w:eastAsia="zh-CN"/>
        </w:rPr>
      </w:pPr>
      <w:r>
        <w:rPr>
          <w:rFonts w:hint="default" w:ascii="Times New Roman" w:hAnsi="Times New Roman" w:eastAsia="微软雅黑" w:cs="Times New Roman"/>
          <w:b/>
          <w:sz w:val="28"/>
          <w:szCs w:val="28"/>
        </w:rPr>
        <w:t>Long-term orientation vs. short-term orientation (LTO):</w:t>
      </w:r>
      <w:r>
        <w:rPr>
          <w:rFonts w:hint="default" w:ascii="Times New Roman" w:hAnsi="Times New Roman" w:eastAsia="微软雅黑" w:cs="Times New Roman"/>
          <w:sz w:val="28"/>
          <w:szCs w:val="28"/>
        </w:rPr>
        <w:t xml:space="preserve"> </w:t>
      </w:r>
      <w:r>
        <w:rPr>
          <w:rFonts w:hint="default" w:ascii="Times New Roman" w:hAnsi="Times New Roman" w:eastAsia="微软雅黑" w:cs="Times New Roman"/>
          <w:sz w:val="24"/>
          <w:lang w:val="en-US" w:eastAsia="zh-CN"/>
        </w:rPr>
        <w:t>This aspect discusses the relationship between actions and challenges, adoption of the past, present and future. Long-term social adaptation to the environment, a clear solution to the problem a lot of consideration. However, this index is relatively low, and from another perspective, short-term shows that it is respected and retained. Under normal circumstances, if the state is long-term oriented, it will continue to develop despite the poorer conditions. Short-term oriented countries often do not see economic development.</w:t>
      </w:r>
    </w:p>
    <w:p>
      <w:pPr>
        <w:keepLines w:val="0"/>
        <w:pageBreakBefore w:val="0"/>
        <w:widowControl w:val="0"/>
        <w:kinsoku/>
        <w:wordWrap/>
        <w:overflowPunct/>
        <w:topLinePunct w:val="0"/>
        <w:autoSpaceDE/>
        <w:autoSpaceDN/>
        <w:bidi w:val="0"/>
        <w:adjustRightInd/>
        <w:snapToGrid/>
        <w:spacing w:line="360" w:lineRule="auto"/>
        <w:ind w:right="0" w:rightChars="0" w:firstLine="340"/>
        <w:textAlignment w:val="auto"/>
        <w:outlineLvl w:val="9"/>
        <w:rPr>
          <w:rFonts w:hint="default" w:ascii="Times New Roman" w:hAnsi="Times New Roman" w:eastAsia="微软雅黑" w:cs="Times New Roman"/>
          <w:sz w:val="24"/>
        </w:rPr>
      </w:pPr>
    </w:p>
    <w:p>
      <w:pPr>
        <w:keepLines w:val="0"/>
        <w:pageBreakBefore w:val="0"/>
        <w:widowControl w:val="0"/>
        <w:kinsoku/>
        <w:wordWrap/>
        <w:overflowPunct/>
        <w:topLinePunct w:val="0"/>
        <w:autoSpaceDE/>
        <w:autoSpaceDN/>
        <w:bidi w:val="0"/>
        <w:adjustRightInd/>
        <w:snapToGrid/>
        <w:spacing w:line="360" w:lineRule="auto"/>
        <w:ind w:right="0" w:rightChars="0" w:firstLine="340"/>
        <w:textAlignment w:val="auto"/>
        <w:outlineLvl w:val="9"/>
        <w:rPr>
          <w:rFonts w:hint="default" w:ascii="Times New Roman" w:hAnsi="Times New Roman" w:eastAsia="微软雅黑" w:cs="Times New Roman"/>
          <w:b w:val="0"/>
          <w:bCs/>
          <w:sz w:val="24"/>
          <w:lang w:val="en-US" w:eastAsia="zh-CN"/>
        </w:rPr>
      </w:pPr>
      <w:r>
        <w:rPr>
          <w:rFonts w:hint="default" w:ascii="Times New Roman" w:hAnsi="Times New Roman" w:eastAsia="微软雅黑" w:cs="Times New Roman"/>
          <w:b/>
          <w:sz w:val="28"/>
          <w:szCs w:val="28"/>
        </w:rPr>
        <w:t>Indulgence vs. restraint (IND):</w:t>
      </w:r>
      <w:r>
        <w:rPr>
          <w:rFonts w:hint="default" w:ascii="Times New Roman" w:hAnsi="Times New Roman" w:eastAsia="微软雅黑" w:cs="Times New Roman"/>
          <w:b w:val="0"/>
          <w:bCs/>
          <w:sz w:val="24"/>
          <w:lang w:val="en-US" w:eastAsia="zh-CN"/>
        </w:rPr>
        <w:t>This dimension is mainly an indicator of happiness. Whether simple happiness is satisfied or not. Indulgence, on the other hand, is defined as "a society of freedom to satisfy and enjoy the foundation of life and enjoyment of nature and the desires of human beings naturally." Its counterpart is defined as "a society that regulates it and regulates the desires of its needs through strict social norms." "An indulgent society is usually in control of their own lives, emotions and emotions, while introverted society wants other factors to determine their lives and emotions."</w:t>
      </w:r>
    </w:p>
    <w:p>
      <w:pPr>
        <w:keepLines w:val="0"/>
        <w:pageBreakBefore w:val="0"/>
        <w:widowControl w:val="0"/>
        <w:kinsoku/>
        <w:wordWrap/>
        <w:overflowPunct/>
        <w:topLinePunct w:val="0"/>
        <w:autoSpaceDE/>
        <w:autoSpaceDN/>
        <w:bidi w:val="0"/>
        <w:adjustRightInd/>
        <w:snapToGrid/>
        <w:spacing w:line="360" w:lineRule="auto"/>
        <w:ind w:right="0" w:rightChars="0" w:firstLine="340"/>
        <w:textAlignment w:val="auto"/>
        <w:outlineLvl w:val="9"/>
        <w:rPr>
          <w:rFonts w:hint="default" w:ascii="Times New Roman" w:hAnsi="Times New Roman" w:eastAsia="微软雅黑" w:cs="Times New Roman"/>
          <w:sz w:val="24"/>
        </w:rPr>
      </w:pPr>
    </w:p>
    <w:p>
      <w:pPr>
        <w:pStyle w:val="9"/>
        <w:keepLines w:val="0"/>
        <w:pageBreakBefore w:val="0"/>
        <w:widowControl w:val="0"/>
        <w:numPr>
          <w:ilvl w:val="0"/>
          <w:numId w:val="1"/>
        </w:numPr>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b/>
          <w:sz w:val="28"/>
          <w:szCs w:val="28"/>
        </w:rPr>
      </w:pPr>
      <w:r>
        <w:rPr>
          <w:rFonts w:hint="default" w:ascii="Times New Roman" w:hAnsi="Times New Roman" w:eastAsia="微软雅黑" w:cs="Times New Roman"/>
          <w:b/>
          <w:sz w:val="28"/>
          <w:szCs w:val="28"/>
        </w:rPr>
        <w:t>General situations of Mexico and Britain</w:t>
      </w:r>
    </w:p>
    <w:p>
      <w:pPr>
        <w:keepLines w:val="0"/>
        <w:pageBreakBefore w:val="0"/>
        <w:widowControl w:val="0"/>
        <w:kinsoku/>
        <w:wordWrap/>
        <w:overflowPunct/>
        <w:topLinePunct w:val="0"/>
        <w:autoSpaceDE/>
        <w:autoSpaceDN/>
        <w:bidi w:val="0"/>
        <w:adjustRightInd/>
        <w:snapToGrid/>
        <w:spacing w:line="360" w:lineRule="auto"/>
        <w:ind w:right="0" w:rightChars="0" w:firstLine="34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 xml:space="preserve">According to the data given by </w:t>
      </w:r>
      <w:r>
        <w:rPr>
          <w:rFonts w:hint="default" w:ascii="Times New Roman" w:hAnsi="Times New Roman" w:eastAsia="微软雅黑" w:cs="Times New Roman"/>
          <w:i/>
          <w:sz w:val="24"/>
        </w:rPr>
        <w:t>Hofstede Insights</w:t>
      </w:r>
      <w:r>
        <w:rPr>
          <w:rFonts w:hint="default" w:ascii="Times New Roman" w:hAnsi="Times New Roman" w:eastAsia="微软雅黑" w:cs="Times New Roman"/>
          <w:sz w:val="24"/>
        </w:rPr>
        <w:t>, an official website, we can know the scores of Mexico and Britain in six dimensions respectively. These can help us get more familiar with these countries before we compare them in detail.</w:t>
      </w:r>
    </w:p>
    <w:p>
      <w:pPr>
        <w:keepLines w:val="0"/>
        <w:pageBreakBefore w:val="0"/>
        <w:widowControl w:val="0"/>
        <w:kinsoku/>
        <w:wordWrap/>
        <w:overflowPunct/>
        <w:topLinePunct w:val="0"/>
        <w:autoSpaceDE/>
        <w:autoSpaceDN/>
        <w:bidi w:val="0"/>
        <w:adjustRightInd/>
        <w:snapToGrid/>
        <w:spacing w:line="360" w:lineRule="auto"/>
        <w:ind w:right="0" w:rightChars="0" w:firstLine="340"/>
        <w:textAlignment w:val="auto"/>
        <w:outlineLvl w:val="9"/>
        <w:rPr>
          <w:rFonts w:hint="default" w:ascii="Times New Roman" w:hAnsi="Times New Roman" w:eastAsia="微软雅黑" w:cs="Times New Roman"/>
          <w:sz w:val="24"/>
        </w:rPr>
      </w:pPr>
    </w:p>
    <w:p>
      <w:pPr>
        <w:pStyle w:val="2"/>
        <w:keepNext/>
        <w:keepLines w:val="0"/>
        <w:pageBreakBefore w:val="0"/>
        <w:widowControl w:val="0"/>
        <w:kinsoku/>
        <w:wordWrap/>
        <w:overflowPunct/>
        <w:topLinePunct w:val="0"/>
        <w:autoSpaceDE/>
        <w:autoSpaceDN/>
        <w:bidi w:val="0"/>
        <w:adjustRightInd/>
        <w:snapToGrid/>
        <w:spacing w:after="0" w:line="360" w:lineRule="auto"/>
        <w:ind w:right="0" w:rightChars="0"/>
        <w:jc w:val="center"/>
        <w:textAlignment w:val="auto"/>
        <w:outlineLvl w:val="9"/>
        <w:rPr>
          <w:rFonts w:hint="default" w:ascii="Times New Roman" w:hAnsi="Times New Roman" w:cs="Times New Roman"/>
          <w:color w:val="auto"/>
        </w:rPr>
      </w:pPr>
      <w:r>
        <w:rPr>
          <w:rFonts w:hint="default" w:ascii="Times New Roman" w:hAnsi="Times New Roman" w:cs="Times New Roman"/>
          <w:color w:val="auto"/>
        </w:rPr>
        <w:t xml:space="preserve">Table </w:t>
      </w: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SEQ Table \* ARABIC </w:instrText>
      </w:r>
      <w:r>
        <w:rPr>
          <w:rFonts w:hint="default" w:ascii="Times New Roman" w:hAnsi="Times New Roman" w:cs="Times New Roman"/>
          <w:color w:val="auto"/>
        </w:rPr>
        <w:fldChar w:fldCharType="separate"/>
      </w:r>
      <w:r>
        <w:rPr>
          <w:rFonts w:hint="default" w:ascii="Times New Roman" w:hAnsi="Times New Roman" w:cs="Times New Roman"/>
          <w:color w:val="auto"/>
        </w:rPr>
        <w:t>1</w:t>
      </w:r>
      <w:r>
        <w:rPr>
          <w:rFonts w:hint="default" w:ascii="Times New Roman" w:hAnsi="Times New Roman" w:cs="Times New Roman"/>
          <w:color w:val="auto"/>
        </w:rPr>
        <w:fldChar w:fldCharType="end"/>
      </w:r>
      <w:r>
        <w:rPr>
          <w:rFonts w:hint="default" w:ascii="Times New Roman" w:hAnsi="Times New Roman" w:cs="Times New Roman"/>
          <w:color w:val="auto"/>
        </w:rPr>
        <w:t xml:space="preserve"> scores of Mexico and Britain in six dimensions (full score 100)</w:t>
      </w:r>
    </w:p>
    <w:tbl>
      <w:tblPr>
        <w:tblStyle w:val="7"/>
        <w:tblW w:w="8856" w:type="dxa"/>
        <w:tblInd w:w="0" w:type="dxa"/>
        <w:tblBorders>
          <w:top w:val="single" w:color="auto" w:sz="18" w:space="0"/>
          <w:left w:val="none" w:color="auto" w:sz="0" w:space="0"/>
          <w:bottom w:val="single" w:color="auto" w:sz="18" w:space="0"/>
          <w:right w:val="none" w:color="auto" w:sz="0" w:space="0"/>
          <w:insideH w:val="none" w:color="auto" w:sz="0" w:space="0"/>
          <w:insideV w:val="none" w:color="auto" w:sz="0" w:space="0"/>
        </w:tblBorders>
        <w:tblLayout w:type="fixed"/>
        <w:tblCellMar>
          <w:top w:w="0" w:type="dxa"/>
          <w:left w:w="108" w:type="dxa"/>
          <w:bottom w:w="0" w:type="dxa"/>
          <w:right w:w="108" w:type="dxa"/>
        </w:tblCellMar>
      </w:tblPr>
      <w:tblGrid>
        <w:gridCol w:w="1265"/>
        <w:gridCol w:w="1265"/>
        <w:gridCol w:w="1265"/>
        <w:gridCol w:w="1265"/>
        <w:gridCol w:w="1265"/>
        <w:gridCol w:w="1265"/>
        <w:gridCol w:w="1266"/>
      </w:tblGrid>
      <w:tr>
        <w:tblPrEx>
          <w:tblBorders>
            <w:top w:val="single" w:color="auto" w:sz="18" w:space="0"/>
            <w:left w:val="none" w:color="auto" w:sz="0" w:space="0"/>
            <w:bottom w:val="single" w:color="auto" w:sz="18" w:space="0"/>
            <w:right w:val="none" w:color="auto" w:sz="0" w:space="0"/>
            <w:insideH w:val="none" w:color="auto" w:sz="0" w:space="0"/>
            <w:insideV w:val="none" w:color="auto" w:sz="0" w:space="0"/>
          </w:tblBorders>
          <w:tblLayout w:type="fixed"/>
          <w:tblCellMar>
            <w:top w:w="0" w:type="dxa"/>
            <w:left w:w="108" w:type="dxa"/>
            <w:bottom w:w="0" w:type="dxa"/>
            <w:right w:w="108" w:type="dxa"/>
          </w:tblCellMar>
        </w:tblPrEx>
        <w:tc>
          <w:tcPr>
            <w:tcW w:w="1265" w:type="dxa"/>
            <w:tcBorders>
              <w:top w:val="single" w:color="auto" w:sz="18" w:space="0"/>
              <w:left w:val="nil"/>
              <w:bottom w:val="single" w:color="auto" w:sz="18" w:space="0"/>
              <w:right w:val="nil"/>
              <w:insideH w:val="nil"/>
              <w:insideV w:val="nil"/>
            </w:tcBorders>
            <w:shd w:val="clear" w:color="auto" w:fill="000000" w:themeFill="text1"/>
          </w:tcPr>
          <w:p>
            <w:pPr>
              <w:keepLines w:val="0"/>
              <w:pageBreakBefore w:val="0"/>
              <w:widowControl w:val="0"/>
              <w:kinsoku/>
              <w:wordWrap/>
              <w:overflowPunct/>
              <w:topLinePunct w:val="0"/>
              <w:autoSpaceDE/>
              <w:autoSpaceDN/>
              <w:bidi w:val="0"/>
              <w:adjustRightInd/>
              <w:snapToGrid/>
              <w:spacing w:line="360" w:lineRule="auto"/>
              <w:ind w:right="0" w:rightChars="0"/>
              <w:jc w:val="center"/>
              <w:textAlignment w:val="auto"/>
              <w:outlineLvl w:val="9"/>
              <w:rPr>
                <w:rFonts w:hint="default" w:ascii="Times New Roman" w:hAnsi="Times New Roman" w:eastAsia="微软雅黑" w:cs="Times New Roman"/>
                <w:b w:val="0"/>
                <w:bCs/>
                <w:color w:val="FFFFFF" w:themeColor="background1"/>
                <w:sz w:val="24"/>
                <w14:textFill>
                  <w14:solidFill>
                    <w14:schemeClr w14:val="bg1"/>
                  </w14:solidFill>
                </w14:textFill>
              </w:rPr>
            </w:pPr>
          </w:p>
        </w:tc>
        <w:tc>
          <w:tcPr>
            <w:tcW w:w="1265" w:type="dxa"/>
            <w:tcBorders>
              <w:top w:val="single" w:color="auto" w:sz="18" w:space="0"/>
              <w:bottom w:val="single" w:color="auto" w:sz="18" w:space="0"/>
              <w:right w:val="nil"/>
              <w:insideH w:val="single" w:sz="18" w:space="0"/>
              <w:insideV w:val="nil"/>
            </w:tcBorders>
            <w:shd w:val="clear" w:color="auto" w:fill="000000" w:themeFill="text1"/>
          </w:tcPr>
          <w:p>
            <w:pPr>
              <w:keepLines w:val="0"/>
              <w:pageBreakBefore w:val="0"/>
              <w:widowControl w:val="0"/>
              <w:kinsoku/>
              <w:wordWrap/>
              <w:overflowPunct/>
              <w:topLinePunct w:val="0"/>
              <w:autoSpaceDE/>
              <w:autoSpaceDN/>
              <w:bidi w:val="0"/>
              <w:adjustRightInd/>
              <w:snapToGrid/>
              <w:spacing w:line="360" w:lineRule="auto"/>
              <w:ind w:right="0" w:rightChars="0"/>
              <w:jc w:val="center"/>
              <w:textAlignment w:val="auto"/>
              <w:outlineLvl w:val="9"/>
              <w:rPr>
                <w:rFonts w:hint="default" w:ascii="Times New Roman" w:hAnsi="Times New Roman" w:eastAsia="微软雅黑" w:cs="Times New Roman"/>
                <w:b w:val="0"/>
                <w:bCs/>
                <w:color w:val="FFFFFF" w:themeColor="background1"/>
                <w:sz w:val="24"/>
                <w14:textFill>
                  <w14:solidFill>
                    <w14:schemeClr w14:val="bg1"/>
                  </w14:solidFill>
                </w14:textFill>
              </w:rPr>
            </w:pPr>
            <w:r>
              <w:rPr>
                <w:rFonts w:hint="default" w:ascii="Times New Roman" w:hAnsi="Times New Roman" w:eastAsia="微软雅黑" w:cs="Times New Roman"/>
                <w:b w:val="0"/>
                <w:bCs/>
                <w:color w:val="FFFFFF" w:themeColor="background1"/>
                <w:sz w:val="24"/>
                <w14:textFill>
                  <w14:solidFill>
                    <w14:schemeClr w14:val="bg1"/>
                  </w14:solidFill>
                </w14:textFill>
              </w:rPr>
              <w:t>PDI</w:t>
            </w:r>
          </w:p>
        </w:tc>
        <w:tc>
          <w:tcPr>
            <w:tcW w:w="1265" w:type="dxa"/>
            <w:tcBorders>
              <w:top w:val="single" w:color="auto" w:sz="18" w:space="0"/>
              <w:bottom w:val="single" w:color="auto" w:sz="18" w:space="0"/>
              <w:right w:val="nil"/>
              <w:insideH w:val="single" w:sz="18" w:space="0"/>
              <w:insideV w:val="nil"/>
            </w:tcBorders>
            <w:shd w:val="clear" w:color="auto" w:fill="000000" w:themeFill="text1"/>
          </w:tcPr>
          <w:p>
            <w:pPr>
              <w:keepLines w:val="0"/>
              <w:pageBreakBefore w:val="0"/>
              <w:widowControl w:val="0"/>
              <w:kinsoku/>
              <w:wordWrap/>
              <w:overflowPunct/>
              <w:topLinePunct w:val="0"/>
              <w:autoSpaceDE/>
              <w:autoSpaceDN/>
              <w:bidi w:val="0"/>
              <w:adjustRightInd/>
              <w:snapToGrid/>
              <w:spacing w:line="360" w:lineRule="auto"/>
              <w:ind w:right="0" w:rightChars="0"/>
              <w:jc w:val="center"/>
              <w:textAlignment w:val="auto"/>
              <w:outlineLvl w:val="9"/>
              <w:rPr>
                <w:rFonts w:hint="default" w:ascii="Times New Roman" w:hAnsi="Times New Roman" w:eastAsia="微软雅黑" w:cs="Times New Roman"/>
                <w:b w:val="0"/>
                <w:bCs/>
                <w:color w:val="FFFFFF" w:themeColor="background1"/>
                <w:sz w:val="24"/>
                <w14:textFill>
                  <w14:solidFill>
                    <w14:schemeClr w14:val="bg1"/>
                  </w14:solidFill>
                </w14:textFill>
              </w:rPr>
            </w:pPr>
            <w:r>
              <w:rPr>
                <w:rFonts w:hint="default" w:ascii="Times New Roman" w:hAnsi="Times New Roman" w:eastAsia="微软雅黑" w:cs="Times New Roman"/>
                <w:b w:val="0"/>
                <w:bCs/>
                <w:color w:val="FFFFFF" w:themeColor="background1"/>
                <w:sz w:val="24"/>
                <w14:textFill>
                  <w14:solidFill>
                    <w14:schemeClr w14:val="bg1"/>
                  </w14:solidFill>
                </w14:textFill>
              </w:rPr>
              <w:t>IDV</w:t>
            </w:r>
          </w:p>
        </w:tc>
        <w:tc>
          <w:tcPr>
            <w:tcW w:w="1265" w:type="dxa"/>
            <w:tcBorders>
              <w:top w:val="single" w:color="auto" w:sz="18" w:space="0"/>
              <w:bottom w:val="single" w:color="auto" w:sz="18" w:space="0"/>
              <w:right w:val="nil"/>
              <w:insideH w:val="single" w:sz="18" w:space="0"/>
              <w:insideV w:val="nil"/>
            </w:tcBorders>
            <w:shd w:val="clear" w:color="auto" w:fill="000000" w:themeFill="text1"/>
          </w:tcPr>
          <w:p>
            <w:pPr>
              <w:keepLines w:val="0"/>
              <w:pageBreakBefore w:val="0"/>
              <w:widowControl w:val="0"/>
              <w:kinsoku/>
              <w:wordWrap/>
              <w:overflowPunct/>
              <w:topLinePunct w:val="0"/>
              <w:autoSpaceDE/>
              <w:autoSpaceDN/>
              <w:bidi w:val="0"/>
              <w:adjustRightInd/>
              <w:snapToGrid/>
              <w:spacing w:line="360" w:lineRule="auto"/>
              <w:ind w:right="0" w:rightChars="0"/>
              <w:jc w:val="center"/>
              <w:textAlignment w:val="auto"/>
              <w:outlineLvl w:val="9"/>
              <w:rPr>
                <w:rFonts w:hint="default" w:ascii="Times New Roman" w:hAnsi="Times New Roman" w:eastAsia="微软雅黑" w:cs="Times New Roman"/>
                <w:b w:val="0"/>
                <w:bCs/>
                <w:color w:val="FFFFFF" w:themeColor="background1"/>
                <w:sz w:val="24"/>
                <w14:textFill>
                  <w14:solidFill>
                    <w14:schemeClr w14:val="bg1"/>
                  </w14:solidFill>
                </w14:textFill>
              </w:rPr>
            </w:pPr>
            <w:r>
              <w:rPr>
                <w:rFonts w:hint="default" w:ascii="Times New Roman" w:hAnsi="Times New Roman" w:eastAsia="微软雅黑" w:cs="Times New Roman"/>
                <w:b w:val="0"/>
                <w:bCs/>
                <w:color w:val="FFFFFF" w:themeColor="background1"/>
                <w:sz w:val="24"/>
                <w14:textFill>
                  <w14:solidFill>
                    <w14:schemeClr w14:val="bg1"/>
                  </w14:solidFill>
                </w14:textFill>
              </w:rPr>
              <w:t>UAI</w:t>
            </w:r>
          </w:p>
        </w:tc>
        <w:tc>
          <w:tcPr>
            <w:tcW w:w="1265" w:type="dxa"/>
            <w:tcBorders>
              <w:top w:val="single" w:color="auto" w:sz="18" w:space="0"/>
              <w:bottom w:val="single" w:color="auto" w:sz="18" w:space="0"/>
              <w:right w:val="nil"/>
              <w:insideH w:val="single" w:sz="18" w:space="0"/>
              <w:insideV w:val="nil"/>
            </w:tcBorders>
            <w:shd w:val="clear" w:color="auto" w:fill="000000" w:themeFill="text1"/>
          </w:tcPr>
          <w:p>
            <w:pPr>
              <w:keepLines w:val="0"/>
              <w:pageBreakBefore w:val="0"/>
              <w:widowControl w:val="0"/>
              <w:kinsoku/>
              <w:wordWrap/>
              <w:overflowPunct/>
              <w:topLinePunct w:val="0"/>
              <w:autoSpaceDE/>
              <w:autoSpaceDN/>
              <w:bidi w:val="0"/>
              <w:adjustRightInd/>
              <w:snapToGrid/>
              <w:spacing w:line="360" w:lineRule="auto"/>
              <w:ind w:right="0" w:rightChars="0"/>
              <w:jc w:val="center"/>
              <w:textAlignment w:val="auto"/>
              <w:outlineLvl w:val="9"/>
              <w:rPr>
                <w:rFonts w:hint="default" w:ascii="Times New Roman" w:hAnsi="Times New Roman" w:eastAsia="微软雅黑" w:cs="Times New Roman"/>
                <w:b w:val="0"/>
                <w:bCs/>
                <w:color w:val="FFFFFF" w:themeColor="background1"/>
                <w:sz w:val="24"/>
                <w14:textFill>
                  <w14:solidFill>
                    <w14:schemeClr w14:val="bg1"/>
                  </w14:solidFill>
                </w14:textFill>
              </w:rPr>
            </w:pPr>
            <w:r>
              <w:rPr>
                <w:rFonts w:hint="default" w:ascii="Times New Roman" w:hAnsi="Times New Roman" w:eastAsia="微软雅黑" w:cs="Times New Roman"/>
                <w:b w:val="0"/>
                <w:bCs/>
                <w:color w:val="FFFFFF" w:themeColor="background1"/>
                <w:sz w:val="24"/>
                <w14:textFill>
                  <w14:solidFill>
                    <w14:schemeClr w14:val="bg1"/>
                  </w14:solidFill>
                </w14:textFill>
              </w:rPr>
              <w:t>MAS</w:t>
            </w:r>
          </w:p>
        </w:tc>
        <w:tc>
          <w:tcPr>
            <w:tcW w:w="1265" w:type="dxa"/>
            <w:tcBorders>
              <w:top w:val="single" w:color="auto" w:sz="18" w:space="0"/>
              <w:bottom w:val="single" w:color="auto" w:sz="18" w:space="0"/>
              <w:right w:val="nil"/>
              <w:insideH w:val="single" w:sz="18" w:space="0"/>
              <w:insideV w:val="nil"/>
            </w:tcBorders>
            <w:shd w:val="clear" w:color="auto" w:fill="000000" w:themeFill="text1"/>
          </w:tcPr>
          <w:p>
            <w:pPr>
              <w:keepLines w:val="0"/>
              <w:pageBreakBefore w:val="0"/>
              <w:widowControl w:val="0"/>
              <w:kinsoku/>
              <w:wordWrap/>
              <w:overflowPunct/>
              <w:topLinePunct w:val="0"/>
              <w:autoSpaceDE/>
              <w:autoSpaceDN/>
              <w:bidi w:val="0"/>
              <w:adjustRightInd/>
              <w:snapToGrid/>
              <w:spacing w:line="360" w:lineRule="auto"/>
              <w:ind w:right="0" w:rightChars="0"/>
              <w:jc w:val="center"/>
              <w:textAlignment w:val="auto"/>
              <w:outlineLvl w:val="9"/>
              <w:rPr>
                <w:rFonts w:hint="default" w:ascii="Times New Roman" w:hAnsi="Times New Roman" w:eastAsia="微软雅黑" w:cs="Times New Roman"/>
                <w:b w:val="0"/>
                <w:bCs/>
                <w:color w:val="FFFFFF" w:themeColor="background1"/>
                <w:sz w:val="24"/>
                <w14:textFill>
                  <w14:solidFill>
                    <w14:schemeClr w14:val="bg1"/>
                  </w14:solidFill>
                </w14:textFill>
              </w:rPr>
            </w:pPr>
            <w:r>
              <w:rPr>
                <w:rFonts w:hint="default" w:ascii="Times New Roman" w:hAnsi="Times New Roman" w:eastAsia="微软雅黑" w:cs="Times New Roman"/>
                <w:b w:val="0"/>
                <w:bCs/>
                <w:color w:val="FFFFFF" w:themeColor="background1"/>
                <w:sz w:val="24"/>
                <w14:textFill>
                  <w14:solidFill>
                    <w14:schemeClr w14:val="bg1"/>
                  </w14:solidFill>
                </w14:textFill>
              </w:rPr>
              <w:t>LTO</w:t>
            </w:r>
          </w:p>
        </w:tc>
        <w:tc>
          <w:tcPr>
            <w:tcW w:w="1266" w:type="dxa"/>
            <w:tcBorders>
              <w:top w:val="single" w:color="auto" w:sz="18" w:space="0"/>
              <w:bottom w:val="single" w:color="auto" w:sz="18" w:space="0"/>
              <w:right w:val="nil"/>
              <w:insideH w:val="single" w:sz="18" w:space="0"/>
              <w:insideV w:val="nil"/>
            </w:tcBorders>
            <w:shd w:val="clear" w:color="auto" w:fill="000000" w:themeFill="text1"/>
          </w:tcPr>
          <w:p>
            <w:pPr>
              <w:keepLines w:val="0"/>
              <w:pageBreakBefore w:val="0"/>
              <w:widowControl w:val="0"/>
              <w:kinsoku/>
              <w:wordWrap/>
              <w:overflowPunct/>
              <w:topLinePunct w:val="0"/>
              <w:autoSpaceDE/>
              <w:autoSpaceDN/>
              <w:bidi w:val="0"/>
              <w:adjustRightInd/>
              <w:snapToGrid/>
              <w:spacing w:line="360" w:lineRule="auto"/>
              <w:ind w:right="0" w:rightChars="0"/>
              <w:jc w:val="center"/>
              <w:textAlignment w:val="auto"/>
              <w:outlineLvl w:val="9"/>
              <w:rPr>
                <w:rFonts w:hint="default" w:ascii="Times New Roman" w:hAnsi="Times New Roman" w:eastAsia="微软雅黑" w:cs="Times New Roman"/>
                <w:b w:val="0"/>
                <w:bCs/>
                <w:color w:val="FFFFFF" w:themeColor="background1"/>
                <w:sz w:val="24"/>
                <w14:textFill>
                  <w14:solidFill>
                    <w14:schemeClr w14:val="bg1"/>
                  </w14:solidFill>
                </w14:textFill>
              </w:rPr>
            </w:pPr>
            <w:r>
              <w:rPr>
                <w:rFonts w:hint="default" w:ascii="Times New Roman" w:hAnsi="Times New Roman" w:eastAsia="微软雅黑" w:cs="Times New Roman"/>
                <w:b w:val="0"/>
                <w:bCs/>
                <w:color w:val="FFFFFF" w:themeColor="background1"/>
                <w:sz w:val="24"/>
                <w14:textFill>
                  <w14:solidFill>
                    <w14:schemeClr w14:val="bg1"/>
                  </w14:solidFill>
                </w14:textFill>
              </w:rPr>
              <w:t>IND</w:t>
            </w:r>
          </w:p>
        </w:tc>
      </w:tr>
      <w:tr>
        <w:tblPrEx>
          <w:tblBorders>
            <w:top w:val="single" w:color="auto" w:sz="18" w:space="0"/>
            <w:left w:val="none" w:color="auto" w:sz="0" w:space="0"/>
            <w:bottom w:val="single" w:color="auto" w:sz="18" w:space="0"/>
            <w:right w:val="none" w:color="auto" w:sz="0" w:space="0"/>
            <w:insideH w:val="none" w:color="auto" w:sz="0" w:space="0"/>
            <w:insideV w:val="none" w:color="auto" w:sz="0" w:space="0"/>
          </w:tblBorders>
          <w:tblLayout w:type="fixed"/>
          <w:tblCellMar>
            <w:top w:w="0" w:type="dxa"/>
            <w:left w:w="108" w:type="dxa"/>
            <w:bottom w:w="0" w:type="dxa"/>
            <w:right w:w="108" w:type="dxa"/>
          </w:tblCellMar>
        </w:tblPrEx>
        <w:tc>
          <w:tcPr>
            <w:tcW w:w="1265" w:type="dxa"/>
            <w:tcBorders>
              <w:left w:val="nil"/>
              <w:bottom w:val="nil"/>
              <w:right w:val="nil"/>
              <w:insideH w:val="nil"/>
              <w:insideV w:val="nil"/>
            </w:tcBorders>
            <w:shd w:val="clear" w:color="auto" w:fill="000000" w:themeFill="text1"/>
          </w:tcPr>
          <w:p>
            <w:pPr>
              <w:keepLines w:val="0"/>
              <w:pageBreakBefore w:val="0"/>
              <w:widowControl w:val="0"/>
              <w:kinsoku/>
              <w:wordWrap/>
              <w:overflowPunct/>
              <w:topLinePunct w:val="0"/>
              <w:autoSpaceDE/>
              <w:autoSpaceDN/>
              <w:bidi w:val="0"/>
              <w:adjustRightInd/>
              <w:snapToGrid/>
              <w:spacing w:line="360" w:lineRule="auto"/>
              <w:ind w:right="0" w:rightChars="0"/>
              <w:jc w:val="center"/>
              <w:textAlignment w:val="auto"/>
              <w:outlineLvl w:val="9"/>
              <w:rPr>
                <w:rFonts w:hint="default" w:ascii="Times New Roman" w:hAnsi="Times New Roman" w:eastAsia="微软雅黑" w:cs="Times New Roman"/>
                <w:b w:val="0"/>
                <w:bCs/>
                <w:color w:val="FFFFFF" w:themeColor="background1"/>
                <w:sz w:val="24"/>
                <w14:textFill>
                  <w14:solidFill>
                    <w14:schemeClr w14:val="bg1"/>
                  </w14:solidFill>
                </w14:textFill>
              </w:rPr>
            </w:pPr>
            <w:r>
              <w:rPr>
                <w:rFonts w:hint="default" w:ascii="Times New Roman" w:hAnsi="Times New Roman" w:eastAsia="微软雅黑" w:cs="Times New Roman"/>
                <w:b w:val="0"/>
                <w:bCs/>
                <w:color w:val="FFFFFF" w:themeColor="background1"/>
                <w:sz w:val="24"/>
                <w14:textFill>
                  <w14:solidFill>
                    <w14:schemeClr w14:val="bg1"/>
                  </w14:solidFill>
                </w14:textFill>
              </w:rPr>
              <w:t>Mexico</w:t>
            </w:r>
          </w:p>
        </w:tc>
        <w:tc>
          <w:tcPr>
            <w:tcW w:w="1265" w:type="dxa"/>
            <w:shd w:val="clear" w:color="auto" w:fill="D7D7D7" w:themeFill="background1" w:themeFillShade="D8"/>
          </w:tcPr>
          <w:p>
            <w:pPr>
              <w:keepLines w:val="0"/>
              <w:pageBreakBefore w:val="0"/>
              <w:widowControl w:val="0"/>
              <w:kinsoku/>
              <w:wordWrap/>
              <w:overflowPunct/>
              <w:topLinePunct w:val="0"/>
              <w:autoSpaceDE/>
              <w:autoSpaceDN/>
              <w:bidi w:val="0"/>
              <w:adjustRightInd/>
              <w:snapToGrid/>
              <w:spacing w:line="360" w:lineRule="auto"/>
              <w:ind w:right="0" w:rightChars="0"/>
              <w:jc w:val="center"/>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81</w:t>
            </w:r>
          </w:p>
        </w:tc>
        <w:tc>
          <w:tcPr>
            <w:tcW w:w="1265" w:type="dxa"/>
            <w:shd w:val="clear" w:color="auto" w:fill="D7D7D7" w:themeFill="background1" w:themeFillShade="D8"/>
          </w:tcPr>
          <w:p>
            <w:pPr>
              <w:keepLines w:val="0"/>
              <w:pageBreakBefore w:val="0"/>
              <w:widowControl w:val="0"/>
              <w:kinsoku/>
              <w:wordWrap/>
              <w:overflowPunct/>
              <w:topLinePunct w:val="0"/>
              <w:autoSpaceDE/>
              <w:autoSpaceDN/>
              <w:bidi w:val="0"/>
              <w:adjustRightInd/>
              <w:snapToGrid/>
              <w:spacing w:line="360" w:lineRule="auto"/>
              <w:ind w:right="0" w:rightChars="0"/>
              <w:jc w:val="center"/>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30</w:t>
            </w:r>
          </w:p>
        </w:tc>
        <w:tc>
          <w:tcPr>
            <w:tcW w:w="1265" w:type="dxa"/>
            <w:shd w:val="clear" w:color="auto" w:fill="D7D7D7" w:themeFill="background1" w:themeFillShade="D8"/>
          </w:tcPr>
          <w:p>
            <w:pPr>
              <w:keepLines w:val="0"/>
              <w:pageBreakBefore w:val="0"/>
              <w:widowControl w:val="0"/>
              <w:kinsoku/>
              <w:wordWrap/>
              <w:overflowPunct/>
              <w:topLinePunct w:val="0"/>
              <w:autoSpaceDE/>
              <w:autoSpaceDN/>
              <w:bidi w:val="0"/>
              <w:adjustRightInd/>
              <w:snapToGrid/>
              <w:spacing w:line="360" w:lineRule="auto"/>
              <w:ind w:right="0" w:rightChars="0"/>
              <w:jc w:val="center"/>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82</w:t>
            </w:r>
          </w:p>
        </w:tc>
        <w:tc>
          <w:tcPr>
            <w:tcW w:w="1265" w:type="dxa"/>
            <w:shd w:val="clear" w:color="auto" w:fill="D7D7D7" w:themeFill="background1" w:themeFillShade="D8"/>
          </w:tcPr>
          <w:p>
            <w:pPr>
              <w:keepLines w:val="0"/>
              <w:pageBreakBefore w:val="0"/>
              <w:widowControl w:val="0"/>
              <w:kinsoku/>
              <w:wordWrap/>
              <w:overflowPunct/>
              <w:topLinePunct w:val="0"/>
              <w:autoSpaceDE/>
              <w:autoSpaceDN/>
              <w:bidi w:val="0"/>
              <w:adjustRightInd/>
              <w:snapToGrid/>
              <w:spacing w:line="360" w:lineRule="auto"/>
              <w:ind w:right="0" w:rightChars="0"/>
              <w:jc w:val="center"/>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69</w:t>
            </w:r>
          </w:p>
        </w:tc>
        <w:tc>
          <w:tcPr>
            <w:tcW w:w="1265" w:type="dxa"/>
            <w:shd w:val="clear" w:color="auto" w:fill="D7D7D7" w:themeFill="background1" w:themeFillShade="D8"/>
          </w:tcPr>
          <w:p>
            <w:pPr>
              <w:keepLines w:val="0"/>
              <w:pageBreakBefore w:val="0"/>
              <w:widowControl w:val="0"/>
              <w:kinsoku/>
              <w:wordWrap/>
              <w:overflowPunct/>
              <w:topLinePunct w:val="0"/>
              <w:autoSpaceDE/>
              <w:autoSpaceDN/>
              <w:bidi w:val="0"/>
              <w:adjustRightInd/>
              <w:snapToGrid/>
              <w:spacing w:line="360" w:lineRule="auto"/>
              <w:ind w:right="0" w:rightChars="0"/>
              <w:jc w:val="center"/>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24</w:t>
            </w:r>
          </w:p>
        </w:tc>
        <w:tc>
          <w:tcPr>
            <w:tcW w:w="1266" w:type="dxa"/>
            <w:shd w:val="clear" w:color="auto" w:fill="D7D7D7" w:themeFill="background1" w:themeFillShade="D8"/>
          </w:tcPr>
          <w:p>
            <w:pPr>
              <w:keepLines w:val="0"/>
              <w:pageBreakBefore w:val="0"/>
              <w:widowControl w:val="0"/>
              <w:kinsoku/>
              <w:wordWrap/>
              <w:overflowPunct/>
              <w:topLinePunct w:val="0"/>
              <w:autoSpaceDE/>
              <w:autoSpaceDN/>
              <w:bidi w:val="0"/>
              <w:adjustRightInd/>
              <w:snapToGrid/>
              <w:spacing w:line="360" w:lineRule="auto"/>
              <w:ind w:right="0" w:rightChars="0"/>
              <w:jc w:val="center"/>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97</w:t>
            </w:r>
          </w:p>
        </w:tc>
      </w:tr>
      <w:tr>
        <w:tblPrEx>
          <w:tblBorders>
            <w:top w:val="single" w:color="auto" w:sz="18" w:space="0"/>
            <w:left w:val="none" w:color="auto" w:sz="0" w:space="0"/>
            <w:bottom w:val="single" w:color="auto" w:sz="18" w:space="0"/>
            <w:right w:val="none" w:color="auto" w:sz="0" w:space="0"/>
            <w:insideH w:val="none" w:color="auto" w:sz="0" w:space="0"/>
            <w:insideV w:val="none" w:color="auto" w:sz="0" w:space="0"/>
          </w:tblBorders>
          <w:tblLayout w:type="fixed"/>
          <w:tblCellMar>
            <w:top w:w="0" w:type="dxa"/>
            <w:left w:w="108" w:type="dxa"/>
            <w:bottom w:w="0" w:type="dxa"/>
            <w:right w:w="108" w:type="dxa"/>
          </w:tblCellMar>
        </w:tblPrEx>
        <w:tc>
          <w:tcPr>
            <w:tcW w:w="1265" w:type="dxa"/>
            <w:tcBorders>
              <w:left w:val="nil"/>
              <w:bottom w:val="single" w:color="auto" w:sz="18" w:space="0"/>
              <w:right w:val="nil"/>
              <w:insideH w:val="nil"/>
              <w:insideV w:val="nil"/>
            </w:tcBorders>
            <w:shd w:val="clear" w:color="auto" w:fill="000000" w:themeFill="text1"/>
          </w:tcPr>
          <w:p>
            <w:pPr>
              <w:keepLines w:val="0"/>
              <w:pageBreakBefore w:val="0"/>
              <w:widowControl w:val="0"/>
              <w:kinsoku/>
              <w:wordWrap/>
              <w:overflowPunct/>
              <w:topLinePunct w:val="0"/>
              <w:autoSpaceDE/>
              <w:autoSpaceDN/>
              <w:bidi w:val="0"/>
              <w:adjustRightInd/>
              <w:snapToGrid/>
              <w:spacing w:line="360" w:lineRule="auto"/>
              <w:ind w:right="0" w:rightChars="0"/>
              <w:jc w:val="center"/>
              <w:textAlignment w:val="auto"/>
              <w:outlineLvl w:val="9"/>
              <w:rPr>
                <w:rFonts w:hint="default" w:ascii="Times New Roman" w:hAnsi="Times New Roman" w:eastAsia="微软雅黑" w:cs="Times New Roman"/>
                <w:b w:val="0"/>
                <w:bCs/>
                <w:color w:val="FFFFFF" w:themeColor="background1"/>
                <w:sz w:val="24"/>
                <w14:textFill>
                  <w14:solidFill>
                    <w14:schemeClr w14:val="bg1"/>
                  </w14:solidFill>
                </w14:textFill>
              </w:rPr>
            </w:pPr>
            <w:r>
              <w:rPr>
                <w:rFonts w:hint="default" w:ascii="Times New Roman" w:hAnsi="Times New Roman" w:eastAsia="微软雅黑" w:cs="Times New Roman"/>
                <w:b w:val="0"/>
                <w:bCs/>
                <w:color w:val="FFFFFF" w:themeColor="background1"/>
                <w:sz w:val="24"/>
                <w14:textFill>
                  <w14:solidFill>
                    <w14:schemeClr w14:val="bg1"/>
                  </w14:solidFill>
                </w14:textFill>
              </w:rPr>
              <w:t>Britain</w:t>
            </w:r>
          </w:p>
        </w:tc>
        <w:tc>
          <w:tcPr>
            <w:tcW w:w="1265" w:type="dxa"/>
          </w:tcPr>
          <w:p>
            <w:pPr>
              <w:keepLines w:val="0"/>
              <w:pageBreakBefore w:val="0"/>
              <w:widowControl w:val="0"/>
              <w:kinsoku/>
              <w:wordWrap/>
              <w:overflowPunct/>
              <w:topLinePunct w:val="0"/>
              <w:autoSpaceDE/>
              <w:autoSpaceDN/>
              <w:bidi w:val="0"/>
              <w:adjustRightInd/>
              <w:snapToGrid/>
              <w:spacing w:line="360" w:lineRule="auto"/>
              <w:ind w:right="0" w:rightChars="0"/>
              <w:jc w:val="center"/>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35</w:t>
            </w:r>
          </w:p>
        </w:tc>
        <w:tc>
          <w:tcPr>
            <w:tcW w:w="1265" w:type="dxa"/>
          </w:tcPr>
          <w:p>
            <w:pPr>
              <w:keepLines w:val="0"/>
              <w:pageBreakBefore w:val="0"/>
              <w:widowControl w:val="0"/>
              <w:kinsoku/>
              <w:wordWrap/>
              <w:overflowPunct/>
              <w:topLinePunct w:val="0"/>
              <w:autoSpaceDE/>
              <w:autoSpaceDN/>
              <w:bidi w:val="0"/>
              <w:adjustRightInd/>
              <w:snapToGrid/>
              <w:spacing w:line="360" w:lineRule="auto"/>
              <w:ind w:right="0" w:rightChars="0"/>
              <w:jc w:val="center"/>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69</w:t>
            </w:r>
          </w:p>
        </w:tc>
        <w:tc>
          <w:tcPr>
            <w:tcW w:w="1265" w:type="dxa"/>
          </w:tcPr>
          <w:p>
            <w:pPr>
              <w:keepLines w:val="0"/>
              <w:pageBreakBefore w:val="0"/>
              <w:widowControl w:val="0"/>
              <w:kinsoku/>
              <w:wordWrap/>
              <w:overflowPunct/>
              <w:topLinePunct w:val="0"/>
              <w:autoSpaceDE/>
              <w:autoSpaceDN/>
              <w:bidi w:val="0"/>
              <w:adjustRightInd/>
              <w:snapToGrid/>
              <w:spacing w:line="360" w:lineRule="auto"/>
              <w:ind w:right="0" w:rightChars="0"/>
              <w:jc w:val="center"/>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35</w:t>
            </w:r>
          </w:p>
        </w:tc>
        <w:tc>
          <w:tcPr>
            <w:tcW w:w="1265" w:type="dxa"/>
          </w:tcPr>
          <w:p>
            <w:pPr>
              <w:keepLines w:val="0"/>
              <w:pageBreakBefore w:val="0"/>
              <w:widowControl w:val="0"/>
              <w:kinsoku/>
              <w:wordWrap/>
              <w:overflowPunct/>
              <w:topLinePunct w:val="0"/>
              <w:autoSpaceDE/>
              <w:autoSpaceDN/>
              <w:bidi w:val="0"/>
              <w:adjustRightInd/>
              <w:snapToGrid/>
              <w:spacing w:line="360" w:lineRule="auto"/>
              <w:ind w:right="0" w:rightChars="0"/>
              <w:jc w:val="center"/>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66</w:t>
            </w:r>
          </w:p>
        </w:tc>
        <w:tc>
          <w:tcPr>
            <w:tcW w:w="1265" w:type="dxa"/>
          </w:tcPr>
          <w:p>
            <w:pPr>
              <w:keepLines w:val="0"/>
              <w:pageBreakBefore w:val="0"/>
              <w:widowControl w:val="0"/>
              <w:kinsoku/>
              <w:wordWrap/>
              <w:overflowPunct/>
              <w:topLinePunct w:val="0"/>
              <w:autoSpaceDE/>
              <w:autoSpaceDN/>
              <w:bidi w:val="0"/>
              <w:adjustRightInd/>
              <w:snapToGrid/>
              <w:spacing w:line="360" w:lineRule="auto"/>
              <w:ind w:right="0" w:rightChars="0"/>
              <w:jc w:val="center"/>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51</w:t>
            </w:r>
          </w:p>
        </w:tc>
        <w:tc>
          <w:tcPr>
            <w:tcW w:w="1266" w:type="dxa"/>
          </w:tcPr>
          <w:p>
            <w:pPr>
              <w:keepLines w:val="0"/>
              <w:pageBreakBefore w:val="0"/>
              <w:widowControl w:val="0"/>
              <w:kinsoku/>
              <w:wordWrap/>
              <w:overflowPunct/>
              <w:topLinePunct w:val="0"/>
              <w:autoSpaceDE/>
              <w:autoSpaceDN/>
              <w:bidi w:val="0"/>
              <w:adjustRightInd/>
              <w:snapToGrid/>
              <w:spacing w:line="360" w:lineRule="auto"/>
              <w:ind w:right="0" w:rightChars="0"/>
              <w:jc w:val="center"/>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69</w:t>
            </w:r>
          </w:p>
        </w:tc>
      </w:tr>
    </w:tbl>
    <w:p>
      <w:pPr>
        <w:keepLines w:val="0"/>
        <w:pageBreakBefore w:val="0"/>
        <w:widowControl w:val="0"/>
        <w:kinsoku/>
        <w:wordWrap/>
        <w:overflowPunct/>
        <w:topLinePunct w:val="0"/>
        <w:autoSpaceDE/>
        <w:autoSpaceDN/>
        <w:bidi w:val="0"/>
        <w:adjustRightInd/>
        <w:snapToGrid/>
        <w:spacing w:line="360" w:lineRule="auto"/>
        <w:ind w:right="0" w:rightChars="0" w:firstLine="340"/>
        <w:textAlignment w:val="auto"/>
        <w:outlineLvl w:val="9"/>
        <w:rPr>
          <w:rFonts w:hint="default" w:ascii="Times New Roman" w:hAnsi="Times New Roman" w:eastAsia="微软雅黑" w:cs="Times New Roman"/>
          <w:sz w:val="24"/>
        </w:rPr>
      </w:pPr>
    </w:p>
    <w:p>
      <w:pPr>
        <w:pStyle w:val="9"/>
        <w:keepLines w:val="0"/>
        <w:pageBreakBefore w:val="0"/>
        <w:widowControl w:val="0"/>
        <w:numPr>
          <w:ilvl w:val="1"/>
          <w:numId w:val="1"/>
        </w:numPr>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b/>
          <w:sz w:val="28"/>
          <w:szCs w:val="28"/>
        </w:rPr>
      </w:pPr>
      <w:r>
        <w:rPr>
          <w:rFonts w:hint="default" w:ascii="Times New Roman" w:hAnsi="Times New Roman" w:eastAsia="微软雅黑" w:cs="Times New Roman"/>
          <w:b/>
          <w:sz w:val="28"/>
          <w:szCs w:val="28"/>
        </w:rPr>
        <w:t>Mexico</w:t>
      </w:r>
    </w:p>
    <w:p>
      <w:pPr>
        <w:keepLines w:val="0"/>
        <w:pageBreakBefore w:val="0"/>
        <w:widowControl w:val="0"/>
        <w:kinsoku/>
        <w:wordWrap/>
        <w:overflowPunct/>
        <w:topLinePunct w:val="0"/>
        <w:autoSpaceDE/>
        <w:autoSpaceDN/>
        <w:bidi w:val="0"/>
        <w:adjustRightInd/>
        <w:snapToGrid/>
        <w:spacing w:line="360" w:lineRule="auto"/>
        <w:ind w:right="0" w:rightChars="0" w:firstLine="36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In terms of PDI, as a score of 81, Mexico is a hierarchical society, which means that people here accept a hierarchy without too much reason. The ideal boss in an organization is often a benevolent autocrat and followers expect to be told what need to be done.</w:t>
      </w:r>
    </w:p>
    <w:p>
      <w:pPr>
        <w:keepLines w:val="0"/>
        <w:pageBreakBefore w:val="0"/>
        <w:widowControl w:val="0"/>
        <w:kinsoku/>
        <w:wordWrap/>
        <w:overflowPunct/>
        <w:topLinePunct w:val="0"/>
        <w:autoSpaceDE/>
        <w:autoSpaceDN/>
        <w:bidi w:val="0"/>
        <w:adjustRightInd/>
        <w:snapToGrid/>
        <w:spacing w:line="360" w:lineRule="auto"/>
        <w:ind w:right="0" w:rightChars="0" w:firstLine="36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With a score of 30 in IDV, Mexico is considered collectivist society. This is what it should be in a close-knit society where everyone thinks they are a part of it, like a family. In this kind of society, loyalty is superior to other societal rules and regulations. Management in collective society is undertaken by group. For instance, hiring and promotion decisions take account of the employee’s in-group.</w:t>
      </w:r>
    </w:p>
    <w:p>
      <w:pPr>
        <w:keepLines w:val="0"/>
        <w:pageBreakBefore w:val="0"/>
        <w:widowControl w:val="0"/>
        <w:kinsoku/>
        <w:wordWrap/>
        <w:overflowPunct/>
        <w:topLinePunct w:val="0"/>
        <w:autoSpaceDE/>
        <w:autoSpaceDN/>
        <w:bidi w:val="0"/>
        <w:adjustRightInd/>
        <w:snapToGrid/>
        <w:spacing w:line="360" w:lineRule="auto"/>
        <w:ind w:right="0" w:rightChars="0" w:firstLine="36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Mexico has a very high preference for avoiding uncertainty, with a score of 82 on this dimension. This country has its certain belief and specific rules and unorthodox ideas and behavior are not welcomed. What’s more, people here have an inner impetus to work hard. Precision and punctuality are the norm in this country. While innovation may be resisted, security is quite vital here.</w:t>
      </w:r>
    </w:p>
    <w:p>
      <w:pPr>
        <w:keepLines w:val="0"/>
        <w:pageBreakBefore w:val="0"/>
        <w:widowControl w:val="0"/>
        <w:kinsoku/>
        <w:wordWrap/>
        <w:overflowPunct/>
        <w:topLinePunct w:val="0"/>
        <w:autoSpaceDE/>
        <w:autoSpaceDN/>
        <w:bidi w:val="0"/>
        <w:adjustRightInd/>
        <w:snapToGrid/>
        <w:spacing w:line="360" w:lineRule="auto"/>
        <w:ind w:right="0" w:rightChars="0" w:firstLine="36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Mexico scores 69 on this dimension and is thus a Masculine society. In this kind of country, people live for work. Managers should be assertive and decisive. Competition and performance are emphasized here and conflicts are resolved by fighting them out.</w:t>
      </w:r>
    </w:p>
    <w:p>
      <w:pPr>
        <w:keepLines w:val="0"/>
        <w:pageBreakBefore w:val="0"/>
        <w:widowControl w:val="0"/>
        <w:kinsoku/>
        <w:wordWrap/>
        <w:overflowPunct/>
        <w:topLinePunct w:val="0"/>
        <w:autoSpaceDE/>
        <w:autoSpaceDN/>
        <w:bidi w:val="0"/>
        <w:adjustRightInd/>
        <w:snapToGrid/>
        <w:spacing w:line="360" w:lineRule="auto"/>
        <w:ind w:right="0" w:rightChars="0" w:firstLine="36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As for long-term orientation, Mexico has a relatively low score of 24, which means the culture here is normative. People in such society tend to find the absolute truth and they are normative in their thinking. They show their great respect for traditions but not too much for the future. What’s more, people focus on achieving quick results.</w:t>
      </w:r>
    </w:p>
    <w:p>
      <w:pPr>
        <w:keepLines w:val="0"/>
        <w:pageBreakBefore w:val="0"/>
        <w:widowControl w:val="0"/>
        <w:kinsoku/>
        <w:wordWrap/>
        <w:overflowPunct/>
        <w:topLinePunct w:val="0"/>
        <w:autoSpaceDE/>
        <w:autoSpaceDN/>
        <w:bidi w:val="0"/>
        <w:adjustRightInd/>
        <w:snapToGrid/>
        <w:spacing w:line="360" w:lineRule="auto"/>
        <w:ind w:right="0" w:rightChars="0" w:firstLine="36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With a very high score of 97, almost full score, Mexico culture has a definite tendency toward Indulgence. In society which is classified by a high score in Indulgence, people often show a strong willingness to make their desires and impulses come true for enjoying life and having fun. People pay more attention to their leisure time, live as they want and spend money as they wish.</w:t>
      </w:r>
    </w:p>
    <w:p>
      <w:pPr>
        <w:keepLines w:val="0"/>
        <w:pageBreakBefore w:val="0"/>
        <w:widowControl w:val="0"/>
        <w:kinsoku/>
        <w:wordWrap/>
        <w:overflowPunct/>
        <w:topLinePunct w:val="0"/>
        <w:autoSpaceDE/>
        <w:autoSpaceDN/>
        <w:bidi w:val="0"/>
        <w:adjustRightInd/>
        <w:snapToGrid/>
        <w:spacing w:line="360" w:lineRule="auto"/>
        <w:ind w:right="0" w:rightChars="0" w:firstLine="360"/>
        <w:textAlignment w:val="auto"/>
        <w:outlineLvl w:val="9"/>
        <w:rPr>
          <w:rFonts w:hint="default" w:ascii="Times New Roman" w:hAnsi="Times New Roman" w:eastAsia="微软雅黑" w:cs="Times New Roman"/>
          <w:sz w:val="24"/>
        </w:rPr>
      </w:pPr>
    </w:p>
    <w:p>
      <w:pPr>
        <w:pStyle w:val="9"/>
        <w:keepLines w:val="0"/>
        <w:pageBreakBefore w:val="0"/>
        <w:widowControl w:val="0"/>
        <w:numPr>
          <w:ilvl w:val="1"/>
          <w:numId w:val="1"/>
        </w:numPr>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b/>
          <w:sz w:val="28"/>
          <w:szCs w:val="28"/>
        </w:rPr>
      </w:pPr>
      <w:r>
        <w:rPr>
          <w:rFonts w:hint="default" w:ascii="Times New Roman" w:hAnsi="Times New Roman" w:eastAsia="微软雅黑" w:cs="Times New Roman"/>
          <w:b/>
          <w:sz w:val="28"/>
          <w:szCs w:val="28"/>
        </w:rPr>
        <w:t>Britain</w:t>
      </w:r>
    </w:p>
    <w:p>
      <w:pPr>
        <w:keepLines w:val="0"/>
        <w:pageBreakBefore w:val="0"/>
        <w:widowControl w:val="0"/>
        <w:kinsoku/>
        <w:wordWrap/>
        <w:overflowPunct/>
        <w:topLinePunct w:val="0"/>
        <w:autoSpaceDE/>
        <w:autoSpaceDN/>
        <w:bidi w:val="0"/>
        <w:adjustRightInd/>
        <w:snapToGrid/>
        <w:spacing w:line="360" w:lineRule="auto"/>
        <w:ind w:right="0" w:rightChars="0" w:firstLine="36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At 35 Britain sits in the lower ranking of PDI, where people think that the inequality amongst people should be diminished. In public’s opinion, Britain has its established and historical Britain class. But now it is true that there is an inherent tension in the Britain culture. Because people today have the opinion that how far you can travel in life should not be determined by where you are born. People are supposed to be treated equally.</w:t>
      </w:r>
    </w:p>
    <w:p>
      <w:pPr>
        <w:keepLines w:val="0"/>
        <w:pageBreakBefore w:val="0"/>
        <w:widowControl w:val="0"/>
        <w:kinsoku/>
        <w:wordWrap/>
        <w:overflowPunct/>
        <w:topLinePunct w:val="0"/>
        <w:autoSpaceDE/>
        <w:autoSpaceDN/>
        <w:bidi w:val="0"/>
        <w:adjustRightInd/>
        <w:snapToGrid/>
        <w:spacing w:line="360" w:lineRule="auto"/>
        <w:ind w:right="0" w:rightChars="0" w:firstLine="36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The UK almost has the highest of the Individualist score at a score of 89, only behind Australia and the USA. The British are a highly individual and private people. British children are taught to think for themselves and to fulfill their unique happiness in their own life. Everyone is special in the society.</w:t>
      </w:r>
    </w:p>
    <w:p>
      <w:pPr>
        <w:keepLines w:val="0"/>
        <w:pageBreakBefore w:val="0"/>
        <w:widowControl w:val="0"/>
        <w:kinsoku/>
        <w:wordWrap/>
        <w:overflowPunct/>
        <w:topLinePunct w:val="0"/>
        <w:autoSpaceDE/>
        <w:autoSpaceDN/>
        <w:bidi w:val="0"/>
        <w:adjustRightInd/>
        <w:snapToGrid/>
        <w:spacing w:line="360" w:lineRule="auto"/>
        <w:ind w:right="0" w:rightChars="0" w:firstLine="36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At 35 the UK has a low score on Uncertainty Avoidance which means that the British are comfortable in ambiguous situations. There are not too much rules to obey in Britain, except for queuing. Generally, there is a clear end goal but no detail of how to get the goal or the actual process. In a highly individualistic and curious nation, the need for innovation is strong and the level of creativity is high.</w:t>
      </w:r>
    </w:p>
    <w:p>
      <w:pPr>
        <w:keepLines w:val="0"/>
        <w:pageBreakBefore w:val="0"/>
        <w:widowControl w:val="0"/>
        <w:kinsoku/>
        <w:wordWrap/>
        <w:overflowPunct/>
        <w:topLinePunct w:val="0"/>
        <w:autoSpaceDE/>
        <w:autoSpaceDN/>
        <w:bidi w:val="0"/>
        <w:adjustRightInd/>
        <w:snapToGrid/>
        <w:spacing w:line="360" w:lineRule="auto"/>
        <w:ind w:right="0" w:rightChars="0" w:firstLine="36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At 66, Britain is a Masculine society – highly success oriented and driven. Contrary to the Scandinavian countries, British people live to work and have a strong willingness to perform well. Though this country emphasizes the modesty, it also underlies the success.</w:t>
      </w:r>
    </w:p>
    <w:p>
      <w:pPr>
        <w:keepLines w:val="0"/>
        <w:pageBreakBefore w:val="0"/>
        <w:widowControl w:val="0"/>
        <w:kinsoku/>
        <w:wordWrap/>
        <w:overflowPunct/>
        <w:topLinePunct w:val="0"/>
        <w:autoSpaceDE/>
        <w:autoSpaceDN/>
        <w:bidi w:val="0"/>
        <w:adjustRightInd/>
        <w:snapToGrid/>
        <w:spacing w:line="360" w:lineRule="auto"/>
        <w:ind w:right="0" w:rightChars="0" w:firstLine="36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With an intermediate score of 51 in LTO dimension, Britain’s feature is not that obvious.</w:t>
      </w:r>
    </w:p>
    <w:p>
      <w:pPr>
        <w:keepLines w:val="0"/>
        <w:pageBreakBefore w:val="0"/>
        <w:widowControl w:val="0"/>
        <w:kinsoku/>
        <w:wordWrap/>
        <w:overflowPunct/>
        <w:topLinePunct w:val="0"/>
        <w:autoSpaceDE/>
        <w:autoSpaceDN/>
        <w:bidi w:val="0"/>
        <w:adjustRightInd/>
        <w:snapToGrid/>
        <w:spacing w:line="360" w:lineRule="auto"/>
        <w:ind w:right="0" w:rightChars="0" w:firstLine="36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In Indulgence, though the UK does not have a very high score like Mexico, its score is also classified as high, at 69. People in Britain possess a positive attitude toward life and they prefer leisure time. They like to spend money as they wish and</w:t>
      </w:r>
      <w:r>
        <w:rPr>
          <w:rFonts w:hint="default" w:ascii="Times New Roman" w:hAnsi="Times New Roman" w:eastAsia="微软雅黑" w:cs="Times New Roman"/>
          <w:color w:val="FF0000"/>
          <w:sz w:val="24"/>
        </w:rPr>
        <w:t xml:space="preserve"> </w:t>
      </w:r>
      <w:r>
        <w:rPr>
          <w:rFonts w:hint="default" w:ascii="Times New Roman" w:hAnsi="Times New Roman" w:eastAsia="微软雅黑" w:cs="Times New Roman"/>
          <w:sz w:val="24"/>
        </w:rPr>
        <w:t>have fun.</w:t>
      </w:r>
    </w:p>
    <w:p>
      <w:pPr>
        <w:keepLines w:val="0"/>
        <w:pageBreakBefore w:val="0"/>
        <w:widowControl w:val="0"/>
        <w:kinsoku/>
        <w:wordWrap/>
        <w:overflowPunct/>
        <w:topLinePunct w:val="0"/>
        <w:autoSpaceDE/>
        <w:autoSpaceDN/>
        <w:bidi w:val="0"/>
        <w:adjustRightInd/>
        <w:snapToGrid/>
        <w:spacing w:line="360" w:lineRule="auto"/>
        <w:ind w:right="0" w:rightChars="0" w:firstLine="360"/>
        <w:textAlignment w:val="auto"/>
        <w:outlineLvl w:val="9"/>
        <w:rPr>
          <w:rFonts w:hint="default" w:ascii="Times New Roman" w:hAnsi="Times New Roman" w:eastAsia="微软雅黑" w:cs="Times New Roman"/>
          <w:sz w:val="24"/>
        </w:rPr>
      </w:pPr>
    </w:p>
    <w:p>
      <w:pPr>
        <w:pStyle w:val="9"/>
        <w:keepLines w:val="0"/>
        <w:pageBreakBefore w:val="0"/>
        <w:widowControl w:val="0"/>
        <w:numPr>
          <w:ilvl w:val="0"/>
          <w:numId w:val="1"/>
        </w:numPr>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b/>
          <w:sz w:val="28"/>
          <w:szCs w:val="28"/>
        </w:rPr>
      </w:pPr>
      <w:r>
        <w:rPr>
          <w:rFonts w:hint="default" w:ascii="Times New Roman" w:hAnsi="Times New Roman" w:eastAsia="微软雅黑" w:cs="Times New Roman"/>
          <w:b/>
          <w:sz w:val="28"/>
          <w:szCs w:val="28"/>
        </w:rPr>
        <w:t>Comparison between Mexico and Britain</w:t>
      </w:r>
    </w:p>
    <w:p>
      <w:pPr>
        <w:keepLines w:val="0"/>
        <w:pageBreakBefore w:val="0"/>
        <w:widowControl w:val="0"/>
        <w:kinsoku/>
        <w:wordWrap/>
        <w:overflowPunct/>
        <w:topLinePunct w:val="0"/>
        <w:autoSpaceDE/>
        <w:autoSpaceDN/>
        <w:bidi w:val="0"/>
        <w:adjustRightInd/>
        <w:snapToGrid/>
        <w:spacing w:line="360" w:lineRule="auto"/>
        <w:ind w:right="0" w:rightChars="0" w:firstLine="36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According to the table above, we can see that Mexico and Britain have different features in culture, which means they have different norms or habits in some specific areas.  We will compare these two countries in three aspects -trust, gifts and business.</w:t>
      </w:r>
    </w:p>
    <w:p>
      <w:pPr>
        <w:keepLines w:val="0"/>
        <w:pageBreakBefore w:val="0"/>
        <w:widowControl w:val="0"/>
        <w:kinsoku/>
        <w:wordWrap/>
        <w:overflowPunct/>
        <w:topLinePunct w:val="0"/>
        <w:autoSpaceDE/>
        <w:autoSpaceDN/>
        <w:bidi w:val="0"/>
        <w:adjustRightInd/>
        <w:snapToGrid/>
        <w:spacing w:line="360" w:lineRule="auto"/>
        <w:ind w:right="0" w:rightChars="0" w:firstLine="360"/>
        <w:textAlignment w:val="auto"/>
        <w:outlineLvl w:val="9"/>
        <w:rPr>
          <w:rFonts w:hint="default" w:ascii="Times New Roman" w:hAnsi="Times New Roman" w:eastAsia="微软雅黑" w:cs="Times New Roman"/>
          <w:sz w:val="24"/>
        </w:rPr>
      </w:pPr>
    </w:p>
    <w:p>
      <w:pPr>
        <w:pStyle w:val="9"/>
        <w:keepLines w:val="0"/>
        <w:pageBreakBefore w:val="0"/>
        <w:widowControl w:val="0"/>
        <w:numPr>
          <w:ilvl w:val="1"/>
          <w:numId w:val="1"/>
        </w:numPr>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b/>
          <w:sz w:val="28"/>
          <w:szCs w:val="28"/>
        </w:rPr>
      </w:pPr>
      <w:r>
        <w:rPr>
          <w:rFonts w:hint="default" w:ascii="Times New Roman" w:hAnsi="Times New Roman" w:eastAsia="微软雅黑" w:cs="Times New Roman"/>
          <w:b/>
          <w:sz w:val="28"/>
          <w:szCs w:val="28"/>
        </w:rPr>
        <w:t>Trust</w:t>
      </w:r>
    </w:p>
    <w:p>
      <w:pPr>
        <w:keepLines w:val="0"/>
        <w:pageBreakBefore w:val="0"/>
        <w:widowControl w:val="0"/>
        <w:kinsoku/>
        <w:wordWrap/>
        <w:overflowPunct/>
        <w:topLinePunct w:val="0"/>
        <w:autoSpaceDE/>
        <w:autoSpaceDN/>
        <w:bidi w:val="0"/>
        <w:adjustRightInd/>
        <w:snapToGrid/>
        <w:spacing w:line="360" w:lineRule="auto"/>
        <w:ind w:right="0" w:rightChars="0" w:firstLine="36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 xml:space="preserve">According to Edelman Trust Baromater Annual Global Study (2017), though there was a decline in the score of general population’s average trust, Mexico had a higher score than the UK. Mexico scored 60 in 2016, but the score decreased 8 in 2017. The score of Britain also declined from 42 to 40, below the global average at 50. </w:t>
      </w:r>
    </w:p>
    <w:p>
      <w:pPr>
        <w:keepLines w:val="0"/>
        <w:pageBreakBefore w:val="0"/>
        <w:widowControl w:val="0"/>
        <w:kinsoku/>
        <w:wordWrap/>
        <w:overflowPunct/>
        <w:topLinePunct w:val="0"/>
        <w:autoSpaceDE/>
        <w:autoSpaceDN/>
        <w:bidi w:val="0"/>
        <w:adjustRightInd/>
        <w:snapToGrid/>
        <w:spacing w:line="360" w:lineRule="auto"/>
        <w:ind w:right="0" w:rightChars="0" w:firstLine="360"/>
        <w:textAlignment w:val="auto"/>
        <w:outlineLvl w:val="9"/>
        <w:rPr>
          <w:rFonts w:hint="default" w:ascii="Times New Roman" w:hAnsi="Times New Roman" w:eastAsia="微软雅黑" w:cs="Times New Roman"/>
          <w:sz w:val="24"/>
        </w:rPr>
      </w:pPr>
    </w:p>
    <w:p>
      <w:pPr>
        <w:pStyle w:val="2"/>
        <w:keepNext/>
        <w:keepLines w:val="0"/>
        <w:pageBreakBefore w:val="0"/>
        <w:widowControl w:val="0"/>
        <w:kinsoku/>
        <w:wordWrap/>
        <w:overflowPunct/>
        <w:topLinePunct w:val="0"/>
        <w:autoSpaceDE/>
        <w:autoSpaceDN/>
        <w:bidi w:val="0"/>
        <w:adjustRightInd/>
        <w:snapToGrid/>
        <w:spacing w:after="0" w:line="360" w:lineRule="auto"/>
        <w:ind w:right="0" w:rightChars="0"/>
        <w:jc w:val="center"/>
        <w:textAlignment w:val="auto"/>
        <w:outlineLvl w:val="9"/>
        <w:rPr>
          <w:rFonts w:hint="default" w:ascii="Times New Roman" w:hAnsi="Times New Roman" w:cs="Times New Roman"/>
          <w:color w:val="auto"/>
        </w:rPr>
      </w:pPr>
      <w:r>
        <w:rPr>
          <w:rFonts w:hint="default" w:ascii="Times New Roman" w:hAnsi="Times New Roman" w:cs="Times New Roman"/>
          <w:color w:val="auto"/>
        </w:rPr>
        <w:t xml:space="preserve">Table </w:t>
      </w: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SEQ Table \* ARABIC </w:instrText>
      </w:r>
      <w:r>
        <w:rPr>
          <w:rFonts w:hint="default" w:ascii="Times New Roman" w:hAnsi="Times New Roman" w:cs="Times New Roman"/>
          <w:color w:val="auto"/>
        </w:rPr>
        <w:fldChar w:fldCharType="separate"/>
      </w:r>
      <w:r>
        <w:rPr>
          <w:rFonts w:hint="default" w:ascii="Times New Roman" w:hAnsi="Times New Roman" w:cs="Times New Roman"/>
          <w:color w:val="auto"/>
        </w:rPr>
        <w:t>2</w:t>
      </w:r>
      <w:r>
        <w:rPr>
          <w:rFonts w:hint="default" w:ascii="Times New Roman" w:hAnsi="Times New Roman" w:cs="Times New Roman"/>
          <w:color w:val="auto"/>
        </w:rPr>
        <w:fldChar w:fldCharType="end"/>
      </w:r>
      <w:r>
        <w:rPr>
          <w:rFonts w:hint="default" w:ascii="Times New Roman" w:hAnsi="Times New Roman" w:cs="Times New Roman"/>
          <w:color w:val="auto"/>
        </w:rPr>
        <w:t xml:space="preserve"> scores of trust</w:t>
      </w:r>
    </w:p>
    <w:tbl>
      <w:tblPr>
        <w:tblStyle w:val="7"/>
        <w:tblW w:w="8856" w:type="dxa"/>
        <w:tblInd w:w="0" w:type="dxa"/>
        <w:tblBorders>
          <w:top w:val="single" w:color="auto" w:sz="18" w:space="0"/>
          <w:left w:val="none" w:color="auto" w:sz="0" w:space="0"/>
          <w:bottom w:val="single" w:color="auto" w:sz="18" w:space="0"/>
          <w:right w:val="none" w:color="auto" w:sz="0" w:space="0"/>
          <w:insideH w:val="none" w:color="auto" w:sz="0" w:space="0"/>
          <w:insideV w:val="none" w:color="auto" w:sz="0" w:space="0"/>
        </w:tblBorders>
        <w:tblLayout w:type="fixed"/>
        <w:tblCellMar>
          <w:top w:w="0" w:type="dxa"/>
          <w:left w:w="108" w:type="dxa"/>
          <w:bottom w:w="0" w:type="dxa"/>
          <w:right w:w="108" w:type="dxa"/>
        </w:tblCellMar>
      </w:tblPr>
      <w:tblGrid>
        <w:gridCol w:w="2952"/>
        <w:gridCol w:w="2952"/>
        <w:gridCol w:w="2952"/>
      </w:tblGrid>
      <w:tr>
        <w:tblPrEx>
          <w:tblBorders>
            <w:top w:val="single" w:color="auto" w:sz="18" w:space="0"/>
            <w:left w:val="none" w:color="auto" w:sz="0" w:space="0"/>
            <w:bottom w:val="single" w:color="auto" w:sz="18" w:space="0"/>
            <w:right w:val="none" w:color="auto" w:sz="0" w:space="0"/>
            <w:insideH w:val="none" w:color="auto" w:sz="0" w:space="0"/>
            <w:insideV w:val="none" w:color="auto" w:sz="0" w:space="0"/>
          </w:tblBorders>
          <w:tblLayout w:type="fixed"/>
        </w:tblPrEx>
        <w:tc>
          <w:tcPr>
            <w:tcW w:w="2952" w:type="dxa"/>
            <w:tcBorders>
              <w:top w:val="single" w:color="auto" w:sz="18" w:space="0"/>
              <w:left w:val="nil"/>
              <w:bottom w:val="single" w:color="auto" w:sz="18" w:space="0"/>
              <w:right w:val="nil"/>
              <w:insideH w:val="nil"/>
              <w:insideV w:val="nil"/>
            </w:tcBorders>
            <w:shd w:val="clear" w:color="auto" w:fill="000000" w:themeFill="text1"/>
          </w:tcPr>
          <w:p>
            <w:pPr>
              <w:keepLines w:val="0"/>
              <w:pageBreakBefore w:val="0"/>
              <w:widowControl w:val="0"/>
              <w:kinsoku/>
              <w:wordWrap/>
              <w:overflowPunct/>
              <w:topLinePunct w:val="0"/>
              <w:autoSpaceDE/>
              <w:autoSpaceDN/>
              <w:bidi w:val="0"/>
              <w:adjustRightInd/>
              <w:snapToGrid/>
              <w:spacing w:line="360" w:lineRule="auto"/>
              <w:ind w:right="0" w:rightChars="0"/>
              <w:jc w:val="center"/>
              <w:textAlignment w:val="auto"/>
              <w:outlineLvl w:val="9"/>
              <w:rPr>
                <w:rFonts w:hint="default" w:ascii="Times New Roman" w:hAnsi="Times New Roman" w:eastAsia="微软雅黑" w:cs="Times New Roman"/>
                <w:b/>
                <w:bCs/>
                <w:color w:val="FFFFFF" w:themeColor="background1"/>
                <w:sz w:val="24"/>
                <w14:textFill>
                  <w14:solidFill>
                    <w14:schemeClr w14:val="bg1"/>
                  </w14:solidFill>
                </w14:textFill>
              </w:rPr>
            </w:pPr>
          </w:p>
        </w:tc>
        <w:tc>
          <w:tcPr>
            <w:tcW w:w="2952" w:type="dxa"/>
            <w:tcBorders>
              <w:top w:val="single" w:color="auto" w:sz="18" w:space="0"/>
              <w:bottom w:val="single" w:color="auto" w:sz="18" w:space="0"/>
              <w:right w:val="nil"/>
              <w:insideH w:val="single" w:sz="18" w:space="0"/>
              <w:insideV w:val="nil"/>
            </w:tcBorders>
            <w:shd w:val="clear" w:color="auto" w:fill="000000" w:themeFill="text1"/>
          </w:tcPr>
          <w:p>
            <w:pPr>
              <w:keepLines w:val="0"/>
              <w:pageBreakBefore w:val="0"/>
              <w:widowControl w:val="0"/>
              <w:kinsoku/>
              <w:wordWrap/>
              <w:overflowPunct/>
              <w:topLinePunct w:val="0"/>
              <w:autoSpaceDE/>
              <w:autoSpaceDN/>
              <w:bidi w:val="0"/>
              <w:adjustRightInd/>
              <w:snapToGrid/>
              <w:spacing w:line="360" w:lineRule="auto"/>
              <w:ind w:right="0" w:rightChars="0"/>
              <w:jc w:val="center"/>
              <w:textAlignment w:val="auto"/>
              <w:outlineLvl w:val="9"/>
              <w:rPr>
                <w:rFonts w:hint="default" w:ascii="Times New Roman" w:hAnsi="Times New Roman" w:eastAsia="微软雅黑" w:cs="Times New Roman"/>
                <w:b/>
                <w:bCs/>
                <w:color w:val="FFFFFF" w:themeColor="background1"/>
                <w:sz w:val="24"/>
                <w14:textFill>
                  <w14:solidFill>
                    <w14:schemeClr w14:val="bg1"/>
                  </w14:solidFill>
                </w14:textFill>
              </w:rPr>
            </w:pPr>
            <w:r>
              <w:rPr>
                <w:rFonts w:hint="default" w:ascii="Times New Roman" w:hAnsi="Times New Roman" w:eastAsia="微软雅黑" w:cs="Times New Roman"/>
                <w:b/>
                <w:bCs/>
                <w:color w:val="FFFFFF" w:themeColor="background1"/>
                <w:sz w:val="24"/>
                <w14:textFill>
                  <w14:solidFill>
                    <w14:schemeClr w14:val="bg1"/>
                  </w14:solidFill>
                </w14:textFill>
              </w:rPr>
              <w:t>2016</w:t>
            </w:r>
          </w:p>
        </w:tc>
        <w:tc>
          <w:tcPr>
            <w:tcW w:w="2952" w:type="dxa"/>
            <w:tcBorders>
              <w:top w:val="single" w:color="auto" w:sz="18" w:space="0"/>
              <w:bottom w:val="single" w:color="auto" w:sz="18" w:space="0"/>
              <w:right w:val="nil"/>
              <w:insideH w:val="single" w:sz="18" w:space="0"/>
              <w:insideV w:val="nil"/>
            </w:tcBorders>
            <w:shd w:val="clear" w:color="auto" w:fill="000000" w:themeFill="text1"/>
          </w:tcPr>
          <w:p>
            <w:pPr>
              <w:keepLines w:val="0"/>
              <w:pageBreakBefore w:val="0"/>
              <w:widowControl w:val="0"/>
              <w:kinsoku/>
              <w:wordWrap/>
              <w:overflowPunct/>
              <w:topLinePunct w:val="0"/>
              <w:autoSpaceDE/>
              <w:autoSpaceDN/>
              <w:bidi w:val="0"/>
              <w:adjustRightInd/>
              <w:snapToGrid/>
              <w:spacing w:line="360" w:lineRule="auto"/>
              <w:ind w:right="0" w:rightChars="0"/>
              <w:jc w:val="center"/>
              <w:textAlignment w:val="auto"/>
              <w:outlineLvl w:val="9"/>
              <w:rPr>
                <w:rFonts w:hint="default" w:ascii="Times New Roman" w:hAnsi="Times New Roman" w:eastAsia="微软雅黑" w:cs="Times New Roman"/>
                <w:b/>
                <w:bCs/>
                <w:color w:val="FFFFFF" w:themeColor="background1"/>
                <w:sz w:val="24"/>
                <w14:textFill>
                  <w14:solidFill>
                    <w14:schemeClr w14:val="bg1"/>
                  </w14:solidFill>
                </w14:textFill>
              </w:rPr>
            </w:pPr>
            <w:r>
              <w:rPr>
                <w:rFonts w:hint="default" w:ascii="Times New Roman" w:hAnsi="Times New Roman" w:eastAsia="微软雅黑" w:cs="Times New Roman"/>
                <w:b/>
                <w:bCs/>
                <w:color w:val="FFFFFF" w:themeColor="background1"/>
                <w:sz w:val="24"/>
                <w14:textFill>
                  <w14:solidFill>
                    <w14:schemeClr w14:val="bg1"/>
                  </w14:solidFill>
                </w14:textFill>
              </w:rPr>
              <w:t>2017</w:t>
            </w:r>
          </w:p>
        </w:tc>
      </w:tr>
      <w:tr>
        <w:tblPrEx>
          <w:tblBorders>
            <w:top w:val="single" w:color="auto" w:sz="18" w:space="0"/>
            <w:left w:val="none" w:color="auto" w:sz="0" w:space="0"/>
            <w:bottom w:val="single" w:color="auto" w:sz="18" w:space="0"/>
            <w:right w:val="none" w:color="auto" w:sz="0" w:space="0"/>
            <w:insideH w:val="none" w:color="auto" w:sz="0" w:space="0"/>
            <w:insideV w:val="none" w:color="auto" w:sz="0" w:space="0"/>
          </w:tblBorders>
          <w:tblLayout w:type="fixed"/>
          <w:tblCellMar>
            <w:top w:w="0" w:type="dxa"/>
            <w:left w:w="108" w:type="dxa"/>
            <w:bottom w:w="0" w:type="dxa"/>
            <w:right w:w="108" w:type="dxa"/>
          </w:tblCellMar>
        </w:tblPrEx>
        <w:tc>
          <w:tcPr>
            <w:tcW w:w="2952" w:type="dxa"/>
            <w:tcBorders>
              <w:left w:val="nil"/>
              <w:bottom w:val="nil"/>
              <w:right w:val="nil"/>
              <w:insideH w:val="nil"/>
              <w:insideV w:val="nil"/>
            </w:tcBorders>
            <w:shd w:val="clear" w:color="auto" w:fill="000000" w:themeFill="text1"/>
          </w:tcPr>
          <w:p>
            <w:pPr>
              <w:keepLines w:val="0"/>
              <w:pageBreakBefore w:val="0"/>
              <w:widowControl w:val="0"/>
              <w:kinsoku/>
              <w:wordWrap/>
              <w:overflowPunct/>
              <w:topLinePunct w:val="0"/>
              <w:autoSpaceDE/>
              <w:autoSpaceDN/>
              <w:bidi w:val="0"/>
              <w:adjustRightInd/>
              <w:snapToGrid/>
              <w:spacing w:line="360" w:lineRule="auto"/>
              <w:ind w:right="0" w:rightChars="0"/>
              <w:jc w:val="center"/>
              <w:textAlignment w:val="auto"/>
              <w:outlineLvl w:val="9"/>
              <w:rPr>
                <w:rFonts w:hint="default" w:ascii="Times New Roman" w:hAnsi="Times New Roman" w:eastAsia="微软雅黑" w:cs="Times New Roman"/>
                <w:b/>
                <w:bCs/>
                <w:color w:val="FFFFFF" w:themeColor="background1"/>
                <w:sz w:val="24"/>
                <w14:textFill>
                  <w14:solidFill>
                    <w14:schemeClr w14:val="bg1"/>
                  </w14:solidFill>
                </w14:textFill>
              </w:rPr>
            </w:pPr>
            <w:r>
              <w:rPr>
                <w:rFonts w:hint="default" w:ascii="Times New Roman" w:hAnsi="Times New Roman" w:eastAsia="微软雅黑" w:cs="Times New Roman"/>
                <w:b/>
                <w:bCs/>
                <w:color w:val="FFFFFF" w:themeColor="background1"/>
                <w:sz w:val="24"/>
                <w14:textFill>
                  <w14:solidFill>
                    <w14:schemeClr w14:val="bg1"/>
                  </w14:solidFill>
                </w14:textFill>
              </w:rPr>
              <w:t>Mexico</w:t>
            </w:r>
          </w:p>
        </w:tc>
        <w:tc>
          <w:tcPr>
            <w:tcW w:w="2952" w:type="dxa"/>
            <w:shd w:val="clear" w:color="auto" w:fill="D7D7D7" w:themeFill="background1" w:themeFillShade="D8"/>
          </w:tcPr>
          <w:p>
            <w:pPr>
              <w:keepLines w:val="0"/>
              <w:pageBreakBefore w:val="0"/>
              <w:widowControl w:val="0"/>
              <w:kinsoku/>
              <w:wordWrap/>
              <w:overflowPunct/>
              <w:topLinePunct w:val="0"/>
              <w:autoSpaceDE/>
              <w:autoSpaceDN/>
              <w:bidi w:val="0"/>
              <w:adjustRightInd/>
              <w:snapToGrid/>
              <w:spacing w:line="360" w:lineRule="auto"/>
              <w:ind w:right="0" w:rightChars="0"/>
              <w:jc w:val="center"/>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60</w:t>
            </w:r>
          </w:p>
        </w:tc>
        <w:tc>
          <w:tcPr>
            <w:tcW w:w="2952" w:type="dxa"/>
            <w:shd w:val="clear" w:color="auto" w:fill="D7D7D7" w:themeFill="background1" w:themeFillShade="D8"/>
          </w:tcPr>
          <w:p>
            <w:pPr>
              <w:keepLines w:val="0"/>
              <w:pageBreakBefore w:val="0"/>
              <w:widowControl w:val="0"/>
              <w:kinsoku/>
              <w:wordWrap/>
              <w:overflowPunct/>
              <w:topLinePunct w:val="0"/>
              <w:autoSpaceDE/>
              <w:autoSpaceDN/>
              <w:bidi w:val="0"/>
              <w:adjustRightInd/>
              <w:snapToGrid/>
              <w:spacing w:line="360" w:lineRule="auto"/>
              <w:ind w:right="0" w:rightChars="0"/>
              <w:jc w:val="center"/>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52</w:t>
            </w:r>
          </w:p>
        </w:tc>
      </w:tr>
      <w:tr>
        <w:tblPrEx>
          <w:tblBorders>
            <w:top w:val="single" w:color="auto" w:sz="18" w:space="0"/>
            <w:left w:val="none" w:color="auto" w:sz="0" w:space="0"/>
            <w:bottom w:val="single" w:color="auto" w:sz="18" w:space="0"/>
            <w:right w:val="none" w:color="auto" w:sz="0" w:space="0"/>
            <w:insideH w:val="none" w:color="auto" w:sz="0" w:space="0"/>
            <w:insideV w:val="none" w:color="auto" w:sz="0" w:space="0"/>
          </w:tblBorders>
          <w:tblLayout w:type="fixed"/>
          <w:tblCellMar>
            <w:top w:w="0" w:type="dxa"/>
            <w:left w:w="108" w:type="dxa"/>
            <w:bottom w:w="0" w:type="dxa"/>
            <w:right w:w="108" w:type="dxa"/>
          </w:tblCellMar>
        </w:tblPrEx>
        <w:tc>
          <w:tcPr>
            <w:tcW w:w="2952" w:type="dxa"/>
            <w:tcBorders>
              <w:left w:val="nil"/>
              <w:bottom w:val="nil"/>
              <w:right w:val="nil"/>
              <w:insideH w:val="nil"/>
              <w:insideV w:val="nil"/>
            </w:tcBorders>
            <w:shd w:val="clear" w:color="auto" w:fill="000000" w:themeFill="text1"/>
          </w:tcPr>
          <w:p>
            <w:pPr>
              <w:keepLines w:val="0"/>
              <w:pageBreakBefore w:val="0"/>
              <w:widowControl w:val="0"/>
              <w:kinsoku/>
              <w:wordWrap/>
              <w:overflowPunct/>
              <w:topLinePunct w:val="0"/>
              <w:autoSpaceDE/>
              <w:autoSpaceDN/>
              <w:bidi w:val="0"/>
              <w:adjustRightInd/>
              <w:snapToGrid/>
              <w:spacing w:line="360" w:lineRule="auto"/>
              <w:ind w:right="0" w:rightChars="0"/>
              <w:jc w:val="center"/>
              <w:textAlignment w:val="auto"/>
              <w:outlineLvl w:val="9"/>
              <w:rPr>
                <w:rFonts w:hint="default" w:ascii="Times New Roman" w:hAnsi="Times New Roman" w:eastAsia="微软雅黑" w:cs="Times New Roman"/>
                <w:b/>
                <w:bCs/>
                <w:color w:val="FFFFFF" w:themeColor="background1"/>
                <w:sz w:val="24"/>
                <w14:textFill>
                  <w14:solidFill>
                    <w14:schemeClr w14:val="bg1"/>
                  </w14:solidFill>
                </w14:textFill>
              </w:rPr>
            </w:pPr>
            <w:r>
              <w:rPr>
                <w:rFonts w:hint="default" w:ascii="Times New Roman" w:hAnsi="Times New Roman" w:eastAsia="微软雅黑" w:cs="Times New Roman"/>
                <w:b/>
                <w:bCs/>
                <w:color w:val="FFFFFF" w:themeColor="background1"/>
                <w:sz w:val="24"/>
                <w14:textFill>
                  <w14:solidFill>
                    <w14:schemeClr w14:val="bg1"/>
                  </w14:solidFill>
                </w14:textFill>
              </w:rPr>
              <w:t>Britain</w:t>
            </w:r>
          </w:p>
        </w:tc>
        <w:tc>
          <w:tcPr>
            <w:tcW w:w="2952" w:type="dxa"/>
          </w:tcPr>
          <w:p>
            <w:pPr>
              <w:keepLines w:val="0"/>
              <w:pageBreakBefore w:val="0"/>
              <w:widowControl w:val="0"/>
              <w:kinsoku/>
              <w:wordWrap/>
              <w:overflowPunct/>
              <w:topLinePunct w:val="0"/>
              <w:autoSpaceDE/>
              <w:autoSpaceDN/>
              <w:bidi w:val="0"/>
              <w:adjustRightInd/>
              <w:snapToGrid/>
              <w:spacing w:line="360" w:lineRule="auto"/>
              <w:ind w:right="0" w:rightChars="0"/>
              <w:jc w:val="center"/>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42</w:t>
            </w:r>
          </w:p>
        </w:tc>
        <w:tc>
          <w:tcPr>
            <w:tcW w:w="2952" w:type="dxa"/>
          </w:tcPr>
          <w:p>
            <w:pPr>
              <w:keepLines w:val="0"/>
              <w:pageBreakBefore w:val="0"/>
              <w:widowControl w:val="0"/>
              <w:kinsoku/>
              <w:wordWrap/>
              <w:overflowPunct/>
              <w:topLinePunct w:val="0"/>
              <w:autoSpaceDE/>
              <w:autoSpaceDN/>
              <w:bidi w:val="0"/>
              <w:adjustRightInd/>
              <w:snapToGrid/>
              <w:spacing w:line="360" w:lineRule="auto"/>
              <w:ind w:right="0" w:rightChars="0"/>
              <w:jc w:val="center"/>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40</w:t>
            </w:r>
          </w:p>
        </w:tc>
      </w:tr>
      <w:tr>
        <w:tblPrEx>
          <w:tblBorders>
            <w:top w:val="single" w:color="auto" w:sz="18" w:space="0"/>
            <w:left w:val="none" w:color="auto" w:sz="0" w:space="0"/>
            <w:bottom w:val="single" w:color="auto" w:sz="18" w:space="0"/>
            <w:right w:val="none" w:color="auto" w:sz="0" w:space="0"/>
            <w:insideH w:val="none" w:color="auto" w:sz="0" w:space="0"/>
            <w:insideV w:val="none" w:color="auto" w:sz="0" w:space="0"/>
          </w:tblBorders>
          <w:tblLayout w:type="fixed"/>
          <w:tblCellMar>
            <w:top w:w="0" w:type="dxa"/>
            <w:left w:w="108" w:type="dxa"/>
            <w:bottom w:w="0" w:type="dxa"/>
            <w:right w:w="108" w:type="dxa"/>
          </w:tblCellMar>
        </w:tblPrEx>
        <w:tc>
          <w:tcPr>
            <w:tcW w:w="2952" w:type="dxa"/>
            <w:tcBorders>
              <w:left w:val="nil"/>
              <w:bottom w:val="single" w:color="auto" w:sz="18" w:space="0"/>
              <w:right w:val="nil"/>
              <w:insideH w:val="nil"/>
              <w:insideV w:val="nil"/>
            </w:tcBorders>
            <w:shd w:val="clear" w:color="auto" w:fill="000000" w:themeFill="text1"/>
          </w:tcPr>
          <w:p>
            <w:pPr>
              <w:keepLines w:val="0"/>
              <w:pageBreakBefore w:val="0"/>
              <w:widowControl w:val="0"/>
              <w:kinsoku/>
              <w:wordWrap/>
              <w:overflowPunct/>
              <w:topLinePunct w:val="0"/>
              <w:autoSpaceDE/>
              <w:autoSpaceDN/>
              <w:bidi w:val="0"/>
              <w:adjustRightInd/>
              <w:snapToGrid/>
              <w:spacing w:line="360" w:lineRule="auto"/>
              <w:ind w:right="0" w:rightChars="0"/>
              <w:jc w:val="center"/>
              <w:textAlignment w:val="auto"/>
              <w:outlineLvl w:val="9"/>
              <w:rPr>
                <w:rFonts w:hint="default" w:ascii="Times New Roman" w:hAnsi="Times New Roman" w:eastAsia="微软雅黑" w:cs="Times New Roman"/>
                <w:b/>
                <w:bCs/>
                <w:color w:val="FFFFFF" w:themeColor="background1"/>
                <w:sz w:val="24"/>
                <w14:textFill>
                  <w14:solidFill>
                    <w14:schemeClr w14:val="bg1"/>
                  </w14:solidFill>
                </w14:textFill>
              </w:rPr>
            </w:pPr>
            <w:r>
              <w:rPr>
                <w:rFonts w:hint="default" w:ascii="Times New Roman" w:hAnsi="Times New Roman" w:eastAsia="微软雅黑" w:cs="Times New Roman"/>
                <w:b/>
                <w:bCs/>
                <w:color w:val="FFFFFF" w:themeColor="background1"/>
                <w:sz w:val="24"/>
                <w14:textFill>
                  <w14:solidFill>
                    <w14:schemeClr w14:val="bg1"/>
                  </w14:solidFill>
                </w14:textFill>
              </w:rPr>
              <w:t>Global</w:t>
            </w:r>
          </w:p>
        </w:tc>
        <w:tc>
          <w:tcPr>
            <w:tcW w:w="2952" w:type="dxa"/>
            <w:shd w:val="clear" w:color="auto" w:fill="D7D7D7" w:themeFill="background1" w:themeFillShade="D8"/>
          </w:tcPr>
          <w:p>
            <w:pPr>
              <w:keepLines w:val="0"/>
              <w:pageBreakBefore w:val="0"/>
              <w:widowControl w:val="0"/>
              <w:kinsoku/>
              <w:wordWrap/>
              <w:overflowPunct/>
              <w:topLinePunct w:val="0"/>
              <w:autoSpaceDE/>
              <w:autoSpaceDN/>
              <w:bidi w:val="0"/>
              <w:adjustRightInd/>
              <w:snapToGrid/>
              <w:spacing w:line="360" w:lineRule="auto"/>
              <w:ind w:right="0" w:rightChars="0"/>
              <w:jc w:val="center"/>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50</w:t>
            </w:r>
          </w:p>
        </w:tc>
        <w:tc>
          <w:tcPr>
            <w:tcW w:w="2952" w:type="dxa"/>
            <w:shd w:val="clear" w:color="auto" w:fill="D7D7D7" w:themeFill="background1" w:themeFillShade="D8"/>
          </w:tcPr>
          <w:p>
            <w:pPr>
              <w:keepLines w:val="0"/>
              <w:pageBreakBefore w:val="0"/>
              <w:widowControl w:val="0"/>
              <w:kinsoku/>
              <w:wordWrap/>
              <w:overflowPunct/>
              <w:topLinePunct w:val="0"/>
              <w:autoSpaceDE/>
              <w:autoSpaceDN/>
              <w:bidi w:val="0"/>
              <w:adjustRightInd/>
              <w:snapToGrid/>
              <w:spacing w:line="360" w:lineRule="auto"/>
              <w:ind w:right="0" w:rightChars="0"/>
              <w:jc w:val="center"/>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47</w:t>
            </w:r>
          </w:p>
        </w:tc>
      </w:tr>
    </w:tbl>
    <w:p>
      <w:pPr>
        <w:keepLines w:val="0"/>
        <w:pageBreakBefore w:val="0"/>
        <w:widowControl w:val="0"/>
        <w:kinsoku/>
        <w:wordWrap/>
        <w:overflowPunct/>
        <w:topLinePunct w:val="0"/>
        <w:autoSpaceDE/>
        <w:autoSpaceDN/>
        <w:bidi w:val="0"/>
        <w:adjustRightInd/>
        <w:snapToGrid/>
        <w:spacing w:line="360" w:lineRule="auto"/>
        <w:ind w:right="0" w:rightChars="0" w:firstLine="360"/>
        <w:textAlignment w:val="auto"/>
        <w:outlineLvl w:val="9"/>
        <w:rPr>
          <w:rFonts w:hint="default" w:ascii="Times New Roman" w:hAnsi="Times New Roman" w:eastAsia="微软雅黑" w:cs="Times New Roman"/>
          <w:sz w:val="24"/>
        </w:rPr>
      </w:pPr>
    </w:p>
    <w:p>
      <w:pPr>
        <w:keepLines w:val="0"/>
        <w:pageBreakBefore w:val="0"/>
        <w:widowControl w:val="0"/>
        <w:kinsoku/>
        <w:wordWrap/>
        <w:overflowPunct/>
        <w:topLinePunct w:val="0"/>
        <w:autoSpaceDE/>
        <w:autoSpaceDN/>
        <w:bidi w:val="0"/>
        <w:adjustRightInd/>
        <w:snapToGrid/>
        <w:spacing w:line="360" w:lineRule="auto"/>
        <w:ind w:right="0" w:rightChars="0" w:firstLine="36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Interestingly, different groups in the same country have different attitude toward trust. And the feature of trust is more obvious in the group of employee. Given the data from Edelman Trust Baromater Annual Global Study (2016), Mexico employees got the highest score in the percent who trust the company for which they work, at 89, while the British employee only had 57, being classified as not trusted.</w:t>
      </w:r>
    </w:p>
    <w:p>
      <w:pPr>
        <w:keepLines w:val="0"/>
        <w:pageBreakBefore w:val="0"/>
        <w:widowControl w:val="0"/>
        <w:kinsoku/>
        <w:wordWrap/>
        <w:overflowPunct/>
        <w:topLinePunct w:val="0"/>
        <w:autoSpaceDE/>
        <w:autoSpaceDN/>
        <w:bidi w:val="0"/>
        <w:adjustRightInd/>
        <w:snapToGrid/>
        <w:spacing w:line="360" w:lineRule="auto"/>
        <w:ind w:right="0" w:rightChars="0" w:firstLine="36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In Edelman Trust Baromater Annual Global Study (2013), the factors behind trust difference between Mexico and the UK were concluded as interaction, integrity, product &amp; service, intention and operation. However, we can also explain this problem by using  Hofstede's cultural dimensions theory.</w:t>
      </w:r>
    </w:p>
    <w:p>
      <w:pPr>
        <w:keepLines w:val="0"/>
        <w:pageBreakBefore w:val="0"/>
        <w:widowControl w:val="0"/>
        <w:kinsoku/>
        <w:wordWrap/>
        <w:overflowPunct/>
        <w:topLinePunct w:val="0"/>
        <w:autoSpaceDE/>
        <w:autoSpaceDN/>
        <w:bidi w:val="0"/>
        <w:adjustRightInd/>
        <w:snapToGrid/>
        <w:spacing w:line="360" w:lineRule="auto"/>
        <w:ind w:right="0" w:rightChars="0" w:firstLine="36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Mexico has a low score in Individualism Index, which means people in this country are collectivistic. They tend to regard the group in the society as kind of family and be loyal to others. So people here are more likely to trust each other. On the contrary, British people are individualism and the only people they trust are themselves and their family members at most. Thus, they do not show too much to other people.</w:t>
      </w:r>
    </w:p>
    <w:p>
      <w:pPr>
        <w:keepLines w:val="0"/>
        <w:pageBreakBefore w:val="0"/>
        <w:widowControl w:val="0"/>
        <w:kinsoku/>
        <w:wordWrap/>
        <w:overflowPunct/>
        <w:topLinePunct w:val="0"/>
        <w:autoSpaceDE/>
        <w:autoSpaceDN/>
        <w:bidi w:val="0"/>
        <w:adjustRightInd/>
        <w:snapToGrid/>
        <w:spacing w:line="360" w:lineRule="auto"/>
        <w:ind w:right="0" w:rightChars="0" w:firstLine="36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 xml:space="preserve">What is more, the score in uncertainty avoidance index also accounts for this phenomenon. Mexican people do not like ambiguity so they choose to behave themselves to fulfill the regulations and achieve the goal. People who obey the rules are apt to assume that other people will do the same thing too so they can trust each other. But the reason why British people have a high score on this dimension is that they do not trust that much in their daily life, so they can accept the ambiguity and unexpected accidents. </w:t>
      </w:r>
    </w:p>
    <w:p>
      <w:pPr>
        <w:keepLines w:val="0"/>
        <w:pageBreakBefore w:val="0"/>
        <w:widowControl w:val="0"/>
        <w:kinsoku/>
        <w:wordWrap/>
        <w:overflowPunct/>
        <w:topLinePunct w:val="0"/>
        <w:autoSpaceDE/>
        <w:autoSpaceDN/>
        <w:bidi w:val="0"/>
        <w:adjustRightInd/>
        <w:snapToGrid/>
        <w:spacing w:line="360" w:lineRule="auto"/>
        <w:ind w:right="0" w:rightChars="0" w:firstLine="360"/>
        <w:textAlignment w:val="auto"/>
        <w:outlineLvl w:val="9"/>
        <w:rPr>
          <w:rFonts w:hint="default" w:ascii="Times New Roman" w:hAnsi="Times New Roman" w:eastAsia="微软雅黑" w:cs="Times New Roman"/>
          <w:sz w:val="24"/>
        </w:rPr>
      </w:pPr>
    </w:p>
    <w:p>
      <w:pPr>
        <w:pStyle w:val="9"/>
        <w:keepLines w:val="0"/>
        <w:pageBreakBefore w:val="0"/>
        <w:widowControl w:val="0"/>
        <w:numPr>
          <w:ilvl w:val="1"/>
          <w:numId w:val="1"/>
        </w:numPr>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b/>
          <w:sz w:val="28"/>
          <w:szCs w:val="28"/>
        </w:rPr>
      </w:pPr>
      <w:r>
        <w:rPr>
          <w:rFonts w:hint="default" w:ascii="Times New Roman" w:hAnsi="Times New Roman" w:eastAsia="微软雅黑" w:cs="Times New Roman"/>
          <w:b/>
          <w:sz w:val="28"/>
          <w:szCs w:val="28"/>
        </w:rPr>
        <w:t>Gifts</w:t>
      </w:r>
    </w:p>
    <w:p>
      <w:pPr>
        <w:keepLines w:val="0"/>
        <w:pageBreakBefore w:val="0"/>
        <w:widowControl w:val="0"/>
        <w:kinsoku/>
        <w:wordWrap/>
        <w:overflowPunct/>
        <w:topLinePunct w:val="0"/>
        <w:autoSpaceDE/>
        <w:autoSpaceDN/>
        <w:bidi w:val="0"/>
        <w:adjustRightInd/>
        <w:snapToGrid/>
        <w:spacing w:line="360" w:lineRule="auto"/>
        <w:ind w:right="0" w:rightChars="0" w:firstLine="36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In Mexico, people give gifts only on certain occasions. The first is on holidays. Mexicans celebrate Three Kings Day (as all Latin American cultures do), January 6, as the time for holiday gift giving. Birthday is another day for gifts. The second is for some social events, like private dinner parties. The best choice in this situation is expensive flowers. But make sure to have the gifts sent ahead of the day of the dinner (Foster, 2002). As for the flowers, there are some specific rules. Never send chrysanthemums, yellow-colored flowers, red roses, purple or white flowers (Zhou, 2013), for these flowers have some special meaning in Mexican culture. So do not make mistakes about this. And be sure the bouquet is odd number, like many European countries. Third, in business associates, a small gift or some chocolates for the secretary of the person you are visiting can make your business go smoothly in the future.</w:t>
      </w:r>
    </w:p>
    <w:p>
      <w:pPr>
        <w:keepLines w:val="0"/>
        <w:pageBreakBefore w:val="0"/>
        <w:widowControl w:val="0"/>
        <w:kinsoku/>
        <w:wordWrap/>
        <w:overflowPunct/>
        <w:topLinePunct w:val="0"/>
        <w:autoSpaceDE/>
        <w:autoSpaceDN/>
        <w:bidi w:val="0"/>
        <w:adjustRightInd/>
        <w:snapToGrid/>
        <w:spacing w:line="360" w:lineRule="auto"/>
        <w:ind w:right="0" w:rightChars="0" w:firstLine="36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In the UK, gifts are often given during birthday and Christmas celebration and it happens between family members and close friends. There is no need to prepare some expensive presents, but the gifts should usually reflect an attempt to find what the receiver may like. Similarly, when you are invited to other people’s home, you are supposed to take a box of chocolate, or a bottle of good wine or flowers to show your appreciation. Another tradition in the UK is that when you are in Britain, you should not show your emotions when you give or receive a gift.</w:t>
      </w:r>
    </w:p>
    <w:p>
      <w:pPr>
        <w:keepLines w:val="0"/>
        <w:pageBreakBefore w:val="0"/>
        <w:widowControl w:val="0"/>
        <w:kinsoku/>
        <w:wordWrap/>
        <w:overflowPunct/>
        <w:topLinePunct w:val="0"/>
        <w:autoSpaceDE/>
        <w:autoSpaceDN/>
        <w:bidi w:val="0"/>
        <w:adjustRightInd/>
        <w:snapToGrid/>
        <w:spacing w:line="360" w:lineRule="auto"/>
        <w:ind w:right="0" w:rightChars="0" w:firstLine="36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Above all, we can see that the differences between Mexico and Britain on gifts are the price of the gifts, when to send a gift and people’s reaction when received a gift. Because British people have a high score on the IDV index, they are not likely to give presents to the people they are not familiar. And a comparatively low score in IND makes they refrain their emotions so they do not show too much feelings. What’s more, British people are long-term oriental so they pay attention to frugality.  However, its counterpart is on the contrary to some extent.</w:t>
      </w:r>
    </w:p>
    <w:p>
      <w:pPr>
        <w:keepLines w:val="0"/>
        <w:pageBreakBefore w:val="0"/>
        <w:widowControl w:val="0"/>
        <w:kinsoku/>
        <w:wordWrap/>
        <w:overflowPunct/>
        <w:topLinePunct w:val="0"/>
        <w:autoSpaceDE/>
        <w:autoSpaceDN/>
        <w:bidi w:val="0"/>
        <w:adjustRightInd/>
        <w:snapToGrid/>
        <w:spacing w:line="360" w:lineRule="auto"/>
        <w:ind w:right="0" w:rightChars="0" w:firstLine="360"/>
        <w:textAlignment w:val="auto"/>
        <w:outlineLvl w:val="9"/>
        <w:rPr>
          <w:rFonts w:hint="default" w:ascii="Times New Roman" w:hAnsi="Times New Roman" w:eastAsia="微软雅黑" w:cs="Times New Roman"/>
          <w:sz w:val="24"/>
        </w:rPr>
      </w:pPr>
    </w:p>
    <w:p>
      <w:pPr>
        <w:pStyle w:val="9"/>
        <w:keepLines w:val="0"/>
        <w:pageBreakBefore w:val="0"/>
        <w:widowControl w:val="0"/>
        <w:numPr>
          <w:ilvl w:val="1"/>
          <w:numId w:val="1"/>
        </w:numPr>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b/>
          <w:sz w:val="28"/>
          <w:szCs w:val="28"/>
        </w:rPr>
      </w:pPr>
      <w:r>
        <w:rPr>
          <w:rFonts w:hint="default" w:ascii="Times New Roman" w:hAnsi="Times New Roman" w:eastAsia="微软雅黑" w:cs="Times New Roman"/>
          <w:b/>
          <w:sz w:val="28"/>
          <w:szCs w:val="28"/>
        </w:rPr>
        <w:t>Business</w:t>
      </w:r>
    </w:p>
    <w:p>
      <w:pPr>
        <w:keepLines w:val="0"/>
        <w:pageBreakBefore w:val="0"/>
        <w:widowControl w:val="0"/>
        <w:kinsoku/>
        <w:wordWrap/>
        <w:overflowPunct/>
        <w:topLinePunct w:val="0"/>
        <w:autoSpaceDE/>
        <w:autoSpaceDN/>
        <w:bidi w:val="0"/>
        <w:adjustRightInd/>
        <w:snapToGrid/>
        <w:spacing w:line="360" w:lineRule="auto"/>
        <w:ind w:right="0" w:rightChars="0" w:firstLine="36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b/>
          <w:sz w:val="24"/>
        </w:rPr>
        <w:t>About boss-subordinate relations.</w:t>
      </w:r>
      <w:r>
        <w:rPr>
          <w:rFonts w:hint="default" w:ascii="Times New Roman" w:hAnsi="Times New Roman" w:eastAsia="微软雅黑" w:cs="Times New Roman"/>
          <w:sz w:val="24"/>
        </w:rPr>
        <w:t xml:space="preserve"> Rank has its privileges in Mexico, definitely. There is a rigid chain of command that must be followed. No matter what you do and which position you are in, you have to communicate with certain people in a proper way. Disobeying this rule may cause more problems. The superiors are expected to distribute information and make decisions. Subordinates should follow these decisions and provide detailed information. But in the UK, hierarchy is not important and individual ambition will be respected in a team. This is related to the score of PDI. Mexico people with a high score can accept hierarchy easily, but British people like to be treated equally.</w:t>
      </w:r>
    </w:p>
    <w:p>
      <w:pPr>
        <w:keepLines w:val="0"/>
        <w:pageBreakBefore w:val="0"/>
        <w:widowControl w:val="0"/>
        <w:kinsoku/>
        <w:wordWrap/>
        <w:overflowPunct/>
        <w:topLinePunct w:val="0"/>
        <w:autoSpaceDE/>
        <w:autoSpaceDN/>
        <w:bidi w:val="0"/>
        <w:adjustRightInd/>
        <w:snapToGrid/>
        <w:spacing w:line="360" w:lineRule="auto"/>
        <w:ind w:right="0" w:rightChars="0" w:firstLine="36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b/>
          <w:sz w:val="24"/>
        </w:rPr>
        <w:t>Conducting a meeting.</w:t>
      </w:r>
      <w:r>
        <w:rPr>
          <w:rFonts w:hint="default" w:ascii="Times New Roman" w:hAnsi="Times New Roman" w:eastAsia="微软雅黑" w:cs="Times New Roman"/>
          <w:sz w:val="24"/>
        </w:rPr>
        <w:t xml:space="preserve"> In Mexico, at meetings of peers, there can be open communication and sharing of ideas; in fact, these sessions often serve as decision-making and information-sharing forums in which all individuals are expected to contribute. But in the UK, people there like to work with the people they know, they can relate to, and with whom they can identify. In other words, they are not that open like Mexicans. High score in IDV makes British people distrust the people they are unfamiliar with and only want to talk with the people the know.</w:t>
      </w:r>
    </w:p>
    <w:p>
      <w:pPr>
        <w:keepLines w:val="0"/>
        <w:pageBreakBefore w:val="0"/>
        <w:widowControl w:val="0"/>
        <w:kinsoku/>
        <w:wordWrap/>
        <w:overflowPunct/>
        <w:topLinePunct w:val="0"/>
        <w:autoSpaceDE/>
        <w:autoSpaceDN/>
        <w:bidi w:val="0"/>
        <w:adjustRightInd/>
        <w:snapToGrid/>
        <w:spacing w:line="360" w:lineRule="auto"/>
        <w:ind w:right="0" w:rightChars="0" w:firstLine="36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b/>
          <w:sz w:val="24"/>
        </w:rPr>
        <w:t>Time perception.</w:t>
      </w:r>
      <w:r>
        <w:rPr>
          <w:rFonts w:hint="default" w:ascii="Times New Roman" w:hAnsi="Times New Roman" w:eastAsia="微软雅黑" w:cs="Times New Roman"/>
          <w:sz w:val="24"/>
        </w:rPr>
        <w:t xml:space="preserve"> It is acceptable to be late about ten to fifteen minutes if you are in Mexico. Bu in the UK, you ought to show up on time, which is quite polite in this kind of culture. What is more, British managers are known for long hours work. But Mexico people will leave the office when it is time to go home. The score of IND shows that Mexico people want to use their time as they wish and they care about the happiness of their life. So they focus on the present time.</w:t>
      </w:r>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sz w:val="24"/>
        </w:rPr>
      </w:pPr>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ab/>
      </w:r>
      <w:r>
        <w:rPr>
          <w:rFonts w:hint="default" w:ascii="Times New Roman" w:hAnsi="Times New Roman" w:eastAsia="微软雅黑" w:cs="Times New Roman"/>
          <w:sz w:val="24"/>
        </w:rPr>
        <w:t>The world is multicultural and each member has its trait. This article compares Mexico’s and Britain’s culture and some examples in trust, gifts and business, which can help us know more about these two countries’ people and habits.</w:t>
      </w:r>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sz w:val="24"/>
        </w:rPr>
      </w:pPr>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br w:type="page"/>
      </w:r>
      <w:bookmarkStart w:id="0" w:name="_GoBack"/>
      <w:bookmarkEnd w:id="0"/>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b/>
          <w:bCs/>
          <w:sz w:val="28"/>
          <w:szCs w:val="28"/>
        </w:rPr>
      </w:pPr>
      <w:r>
        <w:rPr>
          <w:rFonts w:hint="default" w:ascii="Times New Roman" w:hAnsi="Times New Roman" w:eastAsia="微软雅黑" w:cs="Times New Roman"/>
          <w:b/>
          <w:bCs/>
          <w:sz w:val="28"/>
          <w:szCs w:val="28"/>
        </w:rPr>
        <w:t>References:</w:t>
      </w:r>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sz w:val="24"/>
        </w:rPr>
      </w:pPr>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Bing, J. (2004). Hofstede's consequences: The impact of his work on consulting and business practices. Academy of Management Executive, 18(1), pp.80-87.</w:t>
      </w:r>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sz w:val="24"/>
        </w:rPr>
      </w:pPr>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Britishcouncil.org. (2018). Culture at Work | British Council. [online] Available at: https://www.britishcouncil.org/organisation/policy-insight-research/research/culture-work-intercultural-skills-workplace [Accessed 16 Jan. 2018].</w:t>
      </w:r>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sz w:val="24"/>
        </w:rPr>
      </w:pPr>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Business Culture. (2018). The UK. [online] Available at: http://businessculture.org/northern-europe/uk-business-culture/ [Accessed 16 Jan. 2018].</w:t>
      </w:r>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sz w:val="24"/>
        </w:rPr>
      </w:pPr>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Cyborlink.com. (2018). Mexico - Mexican Business Etiquette, Vital Manners, Cross Cultural Communication, and Geert Hofstede Analysis. [online] Available at: http://www.cyborlink.com/besite/mexico.htm [Accessed 16 Jan. 2018].</w:t>
      </w:r>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sz w:val="24"/>
        </w:rPr>
      </w:pPr>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Edelman. (2018). 2013 Edelman Trust Barometer - Edelman. [online] Available at: https://www.edelman.com/insights/intellectual-property/trust-2013/ [Accessed 15 Jan. 2018].</w:t>
      </w:r>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sz w:val="24"/>
        </w:rPr>
      </w:pPr>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Edelman. (2018). 2017 Edelman TRUST BAROMETER - Global Results. [online] Available at: https://www.edelman.com/global-results/ [Accessed 15 Jan. 2018].</w:t>
      </w:r>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sz w:val="24"/>
        </w:rPr>
      </w:pPr>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Edelman.com. (2018). Cite This For Me. [online] Available at: https://www.edelman.com/assets/uploads/2016/01/2016-Edelman-Trust-Barometer-Global-_-Leadership-in-a-Divided-World.pdf [Accessed 15 Jan. 2018].</w:t>
      </w:r>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sz w:val="24"/>
        </w:rPr>
      </w:pPr>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Ediplomat.com. (2018). United Kingdom - Cultural Etiquette - e Diplomat. [online] Available at: http://www.ediplomat.com/np/cultural_etiquette/ce_gb.htm [Accessed 16 Jan. 2018].</w:t>
      </w:r>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sz w:val="24"/>
        </w:rPr>
      </w:pPr>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Foster, D. (2002). Global Etiquette Guide to Mexico and Latin America. New York: John Wiley &amp; Sons.</w:t>
      </w:r>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sz w:val="24"/>
        </w:rPr>
      </w:pPr>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Guide, U. and Guide, U. (2018). UK - Language, Culture, Customs and Etiquette | global-etiquette | resources. [online] Commisceo-global.com. Available at: https://www.commisceo-global.com/country-guides/uk-guide [Accessed 16 Jan. 2018].</w:t>
      </w:r>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sz w:val="24"/>
        </w:rPr>
      </w:pPr>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Hofstede Insights. (2018). Country Comparison - Hofstede Insights. [online] Available at: https://www.hofstede-insights.com/country-comparison/mexico,the-uk/ [Accessed 15 Jan. 2018].</w:t>
      </w:r>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sz w:val="24"/>
        </w:rPr>
      </w:pPr>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Hofstede, G. (2011). Dimensionalizing Cultures: The Hofstede Model in Context. Online Readings in Psychology and Culture, 2(1), pp.55-56.</w:t>
      </w:r>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sz w:val="24"/>
        </w:rPr>
      </w:pPr>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home, E., Kingdom, W., Kingdom, B. and BV, E. (2018). Business culture in the United Kingdom. [online] Expatica.com. Available at: https://www.expatica.com/uk/employment/Business-culture-in-the-United-Kingdom_103182.html [Accessed 16 Jan. 2018].</w:t>
      </w:r>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sz w:val="24"/>
        </w:rPr>
      </w:pPr>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HuffPost. (2018). Doing Business in the United Kingdom: Cross-Cultural Etiquette. [online] Available at: https://www.huffingtonpost.com/lisa-mirza-grotts/doing-business-in-the-uni_b_4881472.html [Accessed 16 Jan. 2018].</w:t>
      </w:r>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sz w:val="24"/>
        </w:rPr>
      </w:pPr>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International Scholarship Guide. (2018). 10 British Etiquette and Customs you should learn. [online] Available at: http://internationalscholarshipguide.com/10-british-etiquette-customs-shouldnt-forget/ [Accessed 16 Jan. 2018].</w:t>
      </w:r>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sz w:val="24"/>
        </w:rPr>
      </w:pPr>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Kwintessential UK. (2018). Mexico | Etiquette, Customs, Culture &amp; Business Guide. [online] Available at: http://www.kwintessential.co.uk/resources/guides/guide-to-mexico-etiquette-customs-culture-business/ [Accessed 16 Jan. 2018].</w:t>
      </w:r>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sz w:val="24"/>
        </w:rPr>
      </w:pPr>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Londonschool.com. (2018). Navigating British business culture - London School of International Communication. [online] Available at: https://www.londonschool.com/lsic/resources/blog/navigating-british-business-culture/ [Accessed 16 Jan. 2018].</w:t>
      </w:r>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sz w:val="24"/>
        </w:rPr>
      </w:pPr>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Nash, K. (2018). Three tips for surviving a British workplace. [online] Bbc.com. Available at: http://www.bbc.com/capital/story/20170309-three-tips-for-surviving-a-british-workplace [Accessed 16 Jan. 2018].</w:t>
      </w:r>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sz w:val="24"/>
        </w:rPr>
      </w:pPr>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Triandis, H. and Hofstede, G. (1993). Cultures and Organizations: Software of the Mind. Administrative Science Quarterly, 38(1), p.132.</w:t>
      </w:r>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sz w:val="24"/>
        </w:rPr>
      </w:pPr>
    </w:p>
    <w:p>
      <w:pPr>
        <w:keepLines w:val="0"/>
        <w:pageBreakBefore w:val="0"/>
        <w:widowControl w:val="0"/>
        <w:kinsoku/>
        <w:wordWrap/>
        <w:overflowPunct/>
        <w:topLinePunct w:val="0"/>
        <w:autoSpaceDE/>
        <w:autoSpaceDN/>
        <w:bidi w:val="0"/>
        <w:adjustRightInd/>
        <w:snapToGrid/>
        <w:spacing w:line="360" w:lineRule="auto"/>
        <w:ind w:right="0" w:rightChars="0"/>
        <w:textAlignment w:val="auto"/>
        <w:outlineLvl w:val="9"/>
        <w:rPr>
          <w:rFonts w:hint="default" w:ascii="Times New Roman" w:hAnsi="Times New Roman" w:eastAsia="微软雅黑" w:cs="Times New Roman"/>
          <w:sz w:val="24"/>
        </w:rPr>
      </w:pPr>
      <w:r>
        <w:rPr>
          <w:rFonts w:hint="default" w:ascii="Times New Roman" w:hAnsi="Times New Roman" w:eastAsia="微软雅黑" w:cs="Times New Roman"/>
          <w:sz w:val="24"/>
        </w:rPr>
        <w:t>Zhou, L. (2013). Xian dai ren li yi quan shu. Beijing: Bei jing yan shan chu ban she.</w:t>
      </w:r>
    </w:p>
    <w:sectPr>
      <w:pgSz w:w="12240" w:h="15840"/>
      <w:pgMar w:top="1440" w:right="1800" w:bottom="1440" w:left="180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6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微软雅黑">
    <w:panose1 w:val="020B0503020204020204"/>
    <w:charset w:val="86"/>
    <w:family w:val="swiss"/>
    <w:pitch w:val="default"/>
    <w:sig w:usb0="80000287" w:usb1="2ACF3C50" w:usb2="00000016" w:usb3="00000000" w:csb0="0004001F" w:csb1="00000000"/>
  </w:font>
  <w:font w:name="Verdana">
    <w:panose1 w:val="020B0604030504040204"/>
    <w:charset w:val="00"/>
    <w:family w:val="swiss"/>
    <w:pitch w:val="default"/>
    <w:sig w:usb0="A10006FF" w:usb1="4000205B" w:usb2="00000010" w:usb3="00000000" w:csb0="2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5A03E39"/>
    <w:multiLevelType w:val="multilevel"/>
    <w:tmpl w:val="75A03E39"/>
    <w:lvl w:ilvl="0" w:tentative="0">
      <w:start w:val="1"/>
      <w:numFmt w:val="decimal"/>
      <w:lvlText w:val="%1."/>
      <w:lvlJc w:val="left"/>
      <w:pPr>
        <w:ind w:left="720" w:hanging="360"/>
      </w:pPr>
      <w:rPr>
        <w:rFonts w:hint="default"/>
      </w:rPr>
    </w:lvl>
    <w:lvl w:ilvl="1" w:tentative="0">
      <w:start w:val="1"/>
      <w:numFmt w:val="decimal"/>
      <w:isLgl/>
      <w:lvlText w:val="%1.%2"/>
      <w:lvlJc w:val="left"/>
      <w:pPr>
        <w:ind w:left="720" w:hanging="360"/>
      </w:pPr>
      <w:rPr>
        <w:rFonts w:hint="default"/>
      </w:rPr>
    </w:lvl>
    <w:lvl w:ilvl="2" w:tentative="0">
      <w:start w:val="1"/>
      <w:numFmt w:val="decimal"/>
      <w:isLgl/>
      <w:lvlText w:val="%1.%2.%3"/>
      <w:lvlJc w:val="left"/>
      <w:pPr>
        <w:ind w:left="1080" w:hanging="720"/>
      </w:pPr>
      <w:rPr>
        <w:rFonts w:hint="default"/>
      </w:rPr>
    </w:lvl>
    <w:lvl w:ilvl="3" w:tentative="0">
      <w:start w:val="1"/>
      <w:numFmt w:val="decimal"/>
      <w:isLgl/>
      <w:lvlText w:val="%1.%2.%3.%4"/>
      <w:lvlJc w:val="left"/>
      <w:pPr>
        <w:ind w:left="1080" w:hanging="720"/>
      </w:pPr>
      <w:rPr>
        <w:rFonts w:hint="default"/>
      </w:rPr>
    </w:lvl>
    <w:lvl w:ilvl="4" w:tentative="0">
      <w:start w:val="1"/>
      <w:numFmt w:val="decimal"/>
      <w:isLgl/>
      <w:lvlText w:val="%1.%2.%3.%4.%5"/>
      <w:lvlJc w:val="left"/>
      <w:pPr>
        <w:ind w:left="1440" w:hanging="1080"/>
      </w:pPr>
      <w:rPr>
        <w:rFonts w:hint="default"/>
      </w:rPr>
    </w:lvl>
    <w:lvl w:ilvl="5" w:tentative="0">
      <w:start w:val="1"/>
      <w:numFmt w:val="decimal"/>
      <w:isLgl/>
      <w:lvlText w:val="%1.%2.%3.%4.%5.%6"/>
      <w:lvlJc w:val="left"/>
      <w:pPr>
        <w:ind w:left="1440" w:hanging="1080"/>
      </w:pPr>
      <w:rPr>
        <w:rFonts w:hint="default"/>
      </w:rPr>
    </w:lvl>
    <w:lvl w:ilvl="6" w:tentative="0">
      <w:start w:val="1"/>
      <w:numFmt w:val="decimal"/>
      <w:isLgl/>
      <w:lvlText w:val="%1.%2.%3.%4.%5.%6.%7"/>
      <w:lvlJc w:val="left"/>
      <w:pPr>
        <w:ind w:left="1800" w:hanging="1440"/>
      </w:pPr>
      <w:rPr>
        <w:rFonts w:hint="default"/>
      </w:rPr>
    </w:lvl>
    <w:lvl w:ilvl="7" w:tentative="0">
      <w:start w:val="1"/>
      <w:numFmt w:val="decimal"/>
      <w:isLgl/>
      <w:lvlText w:val="%1.%2.%3.%4.%5.%6.%7.%8"/>
      <w:lvlJc w:val="left"/>
      <w:pPr>
        <w:ind w:left="1800" w:hanging="1440"/>
      </w:pPr>
      <w:rPr>
        <w:rFonts w:hint="default"/>
      </w:rPr>
    </w:lvl>
    <w:lvl w:ilvl="8" w:tentative="0">
      <w:start w:val="1"/>
      <w:numFmt w:val="decimal"/>
      <w:isLgl/>
      <w:lvlText w:val="%1.%2.%3.%4.%5.%6.%7.%8.%9"/>
      <w:lvlJc w:val="left"/>
      <w:pPr>
        <w:ind w:left="21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documentProtection w:enforcement="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E2109"/>
    <w:rsid w:val="0000237F"/>
    <w:rsid w:val="00060900"/>
    <w:rsid w:val="00085A42"/>
    <w:rsid w:val="000B1BF4"/>
    <w:rsid w:val="000B3169"/>
    <w:rsid w:val="0011426E"/>
    <w:rsid w:val="00152AF4"/>
    <w:rsid w:val="001A7DCF"/>
    <w:rsid w:val="001F2D07"/>
    <w:rsid w:val="00247D2F"/>
    <w:rsid w:val="002D1A30"/>
    <w:rsid w:val="003316E5"/>
    <w:rsid w:val="00361E3A"/>
    <w:rsid w:val="0036481A"/>
    <w:rsid w:val="00366DE1"/>
    <w:rsid w:val="0039351C"/>
    <w:rsid w:val="003A172F"/>
    <w:rsid w:val="003A53E4"/>
    <w:rsid w:val="003D37F1"/>
    <w:rsid w:val="00482AB8"/>
    <w:rsid w:val="004E33B3"/>
    <w:rsid w:val="004E6593"/>
    <w:rsid w:val="005121F5"/>
    <w:rsid w:val="005377FD"/>
    <w:rsid w:val="005729CE"/>
    <w:rsid w:val="005B6F84"/>
    <w:rsid w:val="0062649C"/>
    <w:rsid w:val="00633E4D"/>
    <w:rsid w:val="00665FB2"/>
    <w:rsid w:val="0068461F"/>
    <w:rsid w:val="006C0367"/>
    <w:rsid w:val="00701A46"/>
    <w:rsid w:val="00777CEB"/>
    <w:rsid w:val="00792507"/>
    <w:rsid w:val="007B77C3"/>
    <w:rsid w:val="008568BB"/>
    <w:rsid w:val="00873157"/>
    <w:rsid w:val="008B6E23"/>
    <w:rsid w:val="008E2109"/>
    <w:rsid w:val="009736F3"/>
    <w:rsid w:val="0099309B"/>
    <w:rsid w:val="00994C7A"/>
    <w:rsid w:val="009E715E"/>
    <w:rsid w:val="009E7446"/>
    <w:rsid w:val="00A12FE8"/>
    <w:rsid w:val="00A25ED1"/>
    <w:rsid w:val="00A91DE1"/>
    <w:rsid w:val="00AA3D63"/>
    <w:rsid w:val="00B54CCD"/>
    <w:rsid w:val="00B64330"/>
    <w:rsid w:val="00BA4D46"/>
    <w:rsid w:val="00BB75D2"/>
    <w:rsid w:val="00BD7632"/>
    <w:rsid w:val="00BF4CF1"/>
    <w:rsid w:val="00C22958"/>
    <w:rsid w:val="00C7013D"/>
    <w:rsid w:val="00CA063F"/>
    <w:rsid w:val="00CF1FB7"/>
    <w:rsid w:val="00CF27A7"/>
    <w:rsid w:val="00D05192"/>
    <w:rsid w:val="00D829E6"/>
    <w:rsid w:val="00E025CB"/>
    <w:rsid w:val="00E06AB4"/>
    <w:rsid w:val="00E12CBC"/>
    <w:rsid w:val="00E409C8"/>
    <w:rsid w:val="00E82909"/>
    <w:rsid w:val="00EA76D5"/>
    <w:rsid w:val="00EC7DE2"/>
    <w:rsid w:val="00EE6C77"/>
    <w:rsid w:val="00F26FF5"/>
    <w:rsid w:val="00F7177D"/>
    <w:rsid w:val="00F81865"/>
    <w:rsid w:val="00F929AE"/>
    <w:rsid w:val="00FE5C1B"/>
    <w:rsid w:val="00FF07D5"/>
    <w:rsid w:val="00FF1261"/>
    <w:rsid w:val="00FF360F"/>
    <w:rsid w:val="600758DD"/>
    <w:rsid w:val="6E6B13C9"/>
    <w:rsid w:val="723166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qFormat="1"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宋体" w:cs="Times New Roman"/>
      <w:kern w:val="2"/>
      <w:sz w:val="21"/>
      <w:lang w:val="en-US" w:eastAsia="zh-CN" w:bidi="ar-SA"/>
    </w:rPr>
  </w:style>
  <w:style w:type="character" w:default="1" w:styleId="4">
    <w:name w:val="Default Paragraph Font"/>
    <w:semiHidden/>
    <w:unhideWhenUsed/>
    <w:qFormat/>
    <w:uiPriority w:val="1"/>
  </w:style>
  <w:style w:type="table" w:default="1" w:styleId="5">
    <w:name w:val="Normal Table"/>
    <w:semiHidden/>
    <w:unhideWhenUsed/>
    <w:qFormat/>
    <w:uiPriority w:val="99"/>
    <w:tblPr>
      <w:tblLayout w:type="fixed"/>
      <w:tblCellMar>
        <w:top w:w="0" w:type="dxa"/>
        <w:left w:w="108" w:type="dxa"/>
        <w:bottom w:w="0" w:type="dxa"/>
        <w:right w:w="108" w:type="dxa"/>
      </w:tblCellMar>
    </w:tblPr>
  </w:style>
  <w:style w:type="paragraph" w:styleId="2">
    <w:name w:val="caption"/>
    <w:basedOn w:val="1"/>
    <w:next w:val="1"/>
    <w:unhideWhenUsed/>
    <w:qFormat/>
    <w:uiPriority w:val="35"/>
    <w:pPr>
      <w:spacing w:after="200"/>
    </w:pPr>
    <w:rPr>
      <w:b/>
      <w:bCs/>
      <w:color w:val="4F81BD" w:themeColor="accent1"/>
      <w:sz w:val="18"/>
      <w:szCs w:val="18"/>
      <w14:textFill>
        <w14:solidFill>
          <w14:schemeClr w14:val="accent1"/>
        </w14:solidFill>
      </w14:textFill>
    </w:rPr>
  </w:style>
  <w:style w:type="paragraph" w:styleId="3">
    <w:name w:val="Title"/>
    <w:basedOn w:val="1"/>
    <w:next w:val="1"/>
    <w:link w:val="8"/>
    <w:qFormat/>
    <w:uiPriority w:val="10"/>
    <w:pPr>
      <w:spacing w:before="240" w:after="60"/>
      <w:jc w:val="center"/>
      <w:outlineLvl w:val="0"/>
    </w:pPr>
    <w:rPr>
      <w:rFonts w:asciiTheme="majorHAnsi" w:hAnsiTheme="majorHAnsi" w:cstheme="majorBidi"/>
      <w:b/>
      <w:bCs/>
      <w:sz w:val="32"/>
      <w:szCs w:val="32"/>
    </w:rPr>
  </w:style>
  <w:style w:type="table" w:styleId="6">
    <w:name w:val="Table Grid"/>
    <w:basedOn w:val="5"/>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table" w:styleId="7">
    <w:name w:val="Medium Shading 2"/>
    <w:basedOn w:val="5"/>
    <w:qFormat/>
    <w:uiPriority w:val="64"/>
    <w:tblPr>
      <w:tblBorders>
        <w:top w:val="single" w:color="auto" w:sz="18" w:space="0"/>
        <w:bottom w:val="single" w:color="auto" w:sz="18" w:space="0"/>
      </w:tblBorders>
      <w:tblLayout w:type="fixed"/>
    </w:tblPr>
    <w:tblStylePr w:type="firstRow">
      <w:pPr>
        <w:spacing w:before="0" w:after="0" w:line="240" w:lineRule="auto"/>
      </w:pPr>
      <w:rPr>
        <w:b/>
        <w:bCs/>
        <w:color w:val="FFFFFF" w:themeColor="background1"/>
        <w14:textFill>
          <w14:solidFill>
            <w14:schemeClr w14:val="bg1"/>
          </w14:solidFill>
        </w14:textFill>
      </w:rPr>
      <w:tblPr>
        <w:tblLayout w:type="fixed"/>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blLayout w:type="fixed"/>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blLayout w:type="fixed"/>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14:textFill>
          <w14:solidFill>
            <w14:schemeClr w14:val="bg1"/>
          </w14:solidFill>
        </w14:textFill>
      </w:rPr>
      <w:tblPr>
        <w:tblLayout w:type="fixed"/>
      </w:tblPr>
      <w:tcPr>
        <w:tcBorders>
          <w:left w:val="nil"/>
          <w:right w:val="nil"/>
          <w:insideH w:val="nil"/>
          <w:insideV w:val="nil"/>
        </w:tcBorders>
        <w:shd w:val="clear" w:color="auto" w:fill="000000" w:themeFill="text1"/>
      </w:tcPr>
    </w:tblStylePr>
    <w:tblStylePr w:type="band1Vert">
      <w:tblPr>
        <w:tblLayout w:type="fixed"/>
      </w:tblPr>
      <w:tcPr>
        <w:tcBorders>
          <w:left w:val="nil"/>
          <w:right w:val="nil"/>
          <w:insideH w:val="nil"/>
          <w:insideV w:val="nil"/>
        </w:tcBorders>
        <w:shd w:val="clear" w:color="auto" w:fill="D7D7D7" w:themeFill="background1" w:themeFillShade="D8"/>
      </w:tcPr>
    </w:tblStylePr>
    <w:tblStylePr w:type="band1Horz">
      <w:tblPr>
        <w:tblLayout w:type="fixed"/>
      </w:tblPr>
      <w:tcPr>
        <w:shd w:val="clear" w:color="auto" w:fill="D7D7D7" w:themeFill="background1" w:themeFillShade="D8"/>
      </w:tcPr>
    </w:tblStylePr>
    <w:tblStylePr w:type="neCell">
      <w:tblPr>
        <w:tblLayout w:type="fixed"/>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blLayout w:type="fixed"/>
      </w:tblPr>
      <w:tcPr>
        <w:tcBorders>
          <w:top w:val="single" w:color="auto" w:sz="18" w:space="0"/>
          <w:left w:val="nil"/>
          <w:bottom w:val="single" w:color="auto" w:sz="18" w:space="0"/>
          <w:right w:val="nil"/>
          <w:insideH w:val="nil"/>
          <w:insideV w:val="nil"/>
        </w:tcBorders>
      </w:tcPr>
    </w:tblStylePr>
  </w:style>
  <w:style w:type="character" w:customStyle="1" w:styleId="8">
    <w:name w:val="Title Char"/>
    <w:basedOn w:val="4"/>
    <w:link w:val="3"/>
    <w:qFormat/>
    <w:uiPriority w:val="10"/>
    <w:rPr>
      <w:rFonts w:asciiTheme="majorHAnsi" w:hAnsiTheme="majorHAnsi" w:cstheme="majorBidi"/>
      <w:b/>
      <w:bCs/>
      <w:kern w:val="2"/>
      <w:sz w:val="32"/>
      <w:szCs w:val="32"/>
    </w:rPr>
  </w:style>
  <w:style w:type="paragraph" w:styleId="9">
    <w:name w:val="List Paragraph"/>
    <w:basedOn w:val="1"/>
    <w:qFormat/>
    <w:uiPriority w:val="99"/>
    <w:pPr>
      <w:ind w:left="720"/>
      <w:contextualSpacing/>
    </w:pPr>
  </w:style>
  <w:style w:type="character" w:customStyle="1" w:styleId="10">
    <w:name w:val="apple-converted-space"/>
    <w:basedOn w:val="4"/>
    <w:uiPriority w:val="0"/>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Microsoft</Company>
  <Pages>8</Pages>
  <Words>2939</Words>
  <Characters>16758</Characters>
  <Lines>139</Lines>
  <Paragraphs>39</Paragraphs>
  <ScaleCrop>false</ScaleCrop>
  <LinksUpToDate>false</LinksUpToDate>
  <CharactersWithSpaces>19658</CharactersWithSpaces>
  <Application>WPS Office_10.1.0.7106_F1E327BC-269C-435d-A152-05C5408002CA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2018-01-16T03:47:00Z</dcterms:created>
  <dc:creator>dell</dc:creator>
  <cp:lastModifiedBy>求神不如拜我</cp:lastModifiedBy>
  <dcterms:modified xsi:type="dcterms:W3CDTF">2018-01-19T21:02:39Z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2052-10.1.0.7106</vt:lpwstr>
  </property>
</Properties>
</file>