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CA7ED" w14:textId="39DE5050" w:rsidR="003D64AC" w:rsidRDefault="00326DD1">
      <w:proofErr w:type="gramStart"/>
      <w:r>
        <w:t>AC(</w:t>
      </w:r>
      <w:proofErr w:type="gramEnd"/>
      <w:r>
        <w:t xml:space="preserve">1.1): </w:t>
      </w:r>
    </w:p>
    <w:p w14:paraId="378C71D5" w14:textId="2F87353A" w:rsidR="00326DD1" w:rsidRDefault="00326DD1">
      <w:r>
        <w:t xml:space="preserve">Reward refers to the full range of financial and non-financial returns that employees receive in exchange for their contribution to an </w:t>
      </w:r>
      <w:proofErr w:type="gramStart"/>
      <w:r>
        <w:t>organisation</w:t>
      </w:r>
      <w:r w:rsidR="00F01A85">
        <w:t>(</w:t>
      </w:r>
      <w:proofErr w:type="gramEnd"/>
      <w:r w:rsidR="00F01A85">
        <w:t xml:space="preserve">CIPD,2025). </w:t>
      </w:r>
      <w:r>
        <w:t xml:space="preserve"> According to Armstrong’s Handbook of Reward Management Practice, effective reward management is grounded in a set of clear principles that ensure reward systems are fair, motivating and aligned with organisational objectives. </w:t>
      </w:r>
    </w:p>
    <w:p w14:paraId="09695584" w14:textId="55A84EA3" w:rsidR="00326DD1" w:rsidRDefault="00326DD1">
      <w:r>
        <w:t xml:space="preserve">A central principle is the total reward approach, which recognises that employees are motivated by more than pay alone. </w:t>
      </w:r>
      <w:r w:rsidR="00534451">
        <w:t>According to (Armstrong and Brown,2019)</w:t>
      </w:r>
      <w:r w:rsidR="00A45BC3">
        <w:t>,</w:t>
      </w:r>
      <w:r w:rsidR="00534451">
        <w:t xml:space="preserve"> </w:t>
      </w:r>
      <w:r>
        <w:t xml:space="preserve">Total reward combines extrinsic rewards, such as base pay, incentives, pensions and benefits, with intrinsic rewards, including meaningful work recognition, development opportunities and job satisfaction. For </w:t>
      </w:r>
      <w:proofErr w:type="spellStart"/>
      <w:r w:rsidR="00A45BC3">
        <w:t>GreenFriendlyEco</w:t>
      </w:r>
      <w:proofErr w:type="spellEnd"/>
      <w:r>
        <w:t xml:space="preserve">, which currently relies on measured day word and provides limited differentiation in reward, adopting a total reward perspective would help address declining morale and turnover by recognising a broader range of employee contributions. </w:t>
      </w:r>
    </w:p>
    <w:p w14:paraId="6805D910" w14:textId="380F4F08" w:rsidR="00A53A45" w:rsidRDefault="00F01A85">
      <w:r>
        <w:t xml:space="preserve">According to the (CIPD,2025), </w:t>
      </w:r>
      <w:r w:rsidR="00326DD1">
        <w:t xml:space="preserve">Fairness, consistency and transparency are also fundamental principles of reward. Employees need to understand how pay and rewards are determined and to feel that outcomes are equitable. Internal fairness helps to build trust and reduce perceptions of </w:t>
      </w:r>
      <w:proofErr w:type="gramStart"/>
      <w:r w:rsidR="00326DD1">
        <w:t>favouritism</w:t>
      </w:r>
      <w:r>
        <w:t>(</w:t>
      </w:r>
      <w:proofErr w:type="gramEnd"/>
      <w:r>
        <w:t>CIPD,2025).</w:t>
      </w:r>
      <w:r w:rsidR="00326DD1">
        <w:t xml:space="preserve"> At </w:t>
      </w:r>
      <w:proofErr w:type="spellStart"/>
      <w:r w:rsidR="00A45BC3">
        <w:t>GreenFriendlyEco</w:t>
      </w:r>
      <w:proofErr w:type="spellEnd"/>
      <w:r w:rsidR="00326DD1">
        <w:t xml:space="preserve">, where enhanced schemes appear </w:t>
      </w:r>
      <w:r w:rsidR="00A53A45">
        <w:t xml:space="preserve">to be available only to senior staff, a lack of transparency may be contributing to dissatisfaction and a negative organisational culture. </w:t>
      </w:r>
    </w:p>
    <w:p w14:paraId="244490E1" w14:textId="473BEB5E" w:rsidR="00A53A45" w:rsidRDefault="00A53A45">
      <w:r>
        <w:t>Reward principles also require organisations to balance internal equity with external competitiveness</w:t>
      </w:r>
      <w:r w:rsidR="00534451">
        <w:t xml:space="preserve"> (Armstrong and Brown,2019). </w:t>
      </w:r>
      <w:r>
        <w:t>This means ensuring pay structures reflect job value internally while remaining aligned with market rates to attract and retain talent. Without this balance, organisations risk either losing skilled employees or incurring unnecessary costs</w:t>
      </w:r>
      <w:r w:rsidR="00534451">
        <w:t>.</w:t>
      </w:r>
    </w:p>
    <w:p w14:paraId="3609889B" w14:textId="5C25EADA" w:rsidR="00A53A45" w:rsidRDefault="00534451">
      <w:r>
        <w:t xml:space="preserve">According to the </w:t>
      </w:r>
      <w:r w:rsidR="00DD08F2">
        <w:t>(</w:t>
      </w:r>
      <w:r>
        <w:t>CIPD,202</w:t>
      </w:r>
      <w:r w:rsidR="00DD08F2">
        <w:t>4)</w:t>
      </w:r>
      <w:r>
        <w:t>, a</w:t>
      </w:r>
      <w:r w:rsidR="00A53A45">
        <w:t xml:space="preserve">nother key principle is the integration of reward with business objectives and performance management. Reward systems should </w:t>
      </w:r>
      <w:r w:rsidR="00F01A85">
        <w:t>reinforce</w:t>
      </w:r>
      <w:r w:rsidR="00A53A45">
        <w:t xml:space="preserve"> desired behaviours and outcomes by recognising performance, contribution </w:t>
      </w:r>
      <w:r w:rsidR="00F01A85">
        <w:t>and</w:t>
      </w:r>
      <w:r w:rsidR="00A53A45">
        <w:t xml:space="preserve"> value creation. As highlighted by the </w:t>
      </w:r>
      <w:proofErr w:type="gramStart"/>
      <w:r w:rsidR="00A53A45">
        <w:t>CIPD</w:t>
      </w:r>
      <w:r w:rsidR="00F01A85">
        <w:t>(</w:t>
      </w:r>
      <w:proofErr w:type="gramEnd"/>
      <w:r w:rsidR="00F01A85">
        <w:t>2024)</w:t>
      </w:r>
      <w:r w:rsidR="00A53A45">
        <w:t xml:space="preserve">, reward strategies play critical role in promoting ‘’good work’’ by supporting employee wellbeing, engagement and sustainable performance. </w:t>
      </w:r>
    </w:p>
    <w:p w14:paraId="04E5F6A9" w14:textId="44673676" w:rsidR="00326DD1" w:rsidRDefault="00A53A45">
      <w:r>
        <w:t xml:space="preserve">The importance of reward to organisational culture lies in its ability to signal what the organisation </w:t>
      </w:r>
      <w:proofErr w:type="gramStart"/>
      <w:r>
        <w:t>values</w:t>
      </w:r>
      <w:r w:rsidR="00DD08F2">
        <w:t>(</w:t>
      </w:r>
      <w:proofErr w:type="gramEnd"/>
      <w:r w:rsidR="00DD08F2">
        <w:t>CIPD,2025)</w:t>
      </w:r>
      <w:r>
        <w:t>. When reward systems recognise effort, skills, and contribution fairly, they help foster a culture of trust, engagement and accountability. In performance management</w:t>
      </w:r>
      <w:r w:rsidR="00F01A85">
        <w:t xml:space="preserve">, reward acts as a lever to stimulate higher performance by reinforcing expectations, recognising achievement and encouraging continuous improvement. For </w:t>
      </w:r>
      <w:proofErr w:type="spellStart"/>
      <w:r w:rsidR="00A45BC3">
        <w:t>GreenFriendlyEco</w:t>
      </w:r>
      <w:proofErr w:type="spellEnd"/>
      <w:r w:rsidR="00F01A85">
        <w:t xml:space="preserve">, aligning reward principles with performance management processes would support a shift towards a more positive, high-performance culture while addressing current challenges of low motivation and employee turnover. </w:t>
      </w:r>
      <w:r w:rsidR="00326DD1">
        <w:t xml:space="preserve"> </w:t>
      </w:r>
    </w:p>
    <w:p w14:paraId="53DF835C" w14:textId="77777777" w:rsidR="0052348E" w:rsidRDefault="0052348E"/>
    <w:p w14:paraId="0316CEEC" w14:textId="77777777" w:rsidR="0052348E" w:rsidRDefault="0052348E"/>
    <w:p w14:paraId="1190857F" w14:textId="77777777" w:rsidR="0052348E" w:rsidRDefault="0052348E"/>
    <w:p w14:paraId="625EBCFB" w14:textId="77777777" w:rsidR="0052348E" w:rsidRDefault="0052348E"/>
    <w:p w14:paraId="7036D56E" w14:textId="77777777" w:rsidR="0052348E" w:rsidRDefault="0052348E"/>
    <w:p w14:paraId="463374EA" w14:textId="632ACD1B" w:rsidR="0052348E" w:rsidRDefault="0052348E">
      <w:r>
        <w:lastRenderedPageBreak/>
        <w:t xml:space="preserve">2. </w:t>
      </w:r>
      <w:proofErr w:type="gramStart"/>
      <w:r>
        <w:t>AC(</w:t>
      </w:r>
      <w:proofErr w:type="gramEnd"/>
      <w:r>
        <w:t>1.2):</w:t>
      </w:r>
    </w:p>
    <w:p w14:paraId="5F84E693" w14:textId="2CD2DC65" w:rsidR="0052348E" w:rsidRDefault="0052348E">
      <w:r>
        <w:t xml:space="preserve">Extrinsic rewards refer to tangible, financial or material rewards provided by an organisation, such as a base bay, bonuses, incentives and </w:t>
      </w:r>
      <w:proofErr w:type="gramStart"/>
      <w:r>
        <w:t>benefits(</w:t>
      </w:r>
      <w:proofErr w:type="gramEnd"/>
      <w:r>
        <w:t xml:space="preserve">CIPD,2025). These rewards are often linked to performance measures and are intended to encourage employees to increase effort and productivity. At </w:t>
      </w:r>
      <w:proofErr w:type="spellStart"/>
      <w:r w:rsidR="00A45BC3">
        <w:t>GreenFriendlyEco</w:t>
      </w:r>
      <w:proofErr w:type="spellEnd"/>
      <w:r>
        <w:t xml:space="preserve">, where there </w:t>
      </w:r>
      <w:proofErr w:type="gramStart"/>
      <w:r>
        <w:t>is</w:t>
      </w:r>
      <w:proofErr w:type="gramEnd"/>
      <w:r>
        <w:t xml:space="preserve"> currently limited reward differentiation and no incentive scheme, the absence of meaningful extrinsic rewards may be contributing to reduced employee contribution and high turnover. </w:t>
      </w:r>
    </w:p>
    <w:p w14:paraId="22066699" w14:textId="4D2951F3" w:rsidR="00F01A85" w:rsidRDefault="0052348E">
      <w:r>
        <w:t xml:space="preserve">Extrinsic rewards can improve employee contribution when they are clearly linked to measurable </w:t>
      </w:r>
      <w:r w:rsidR="00891A60">
        <w:t>performance</w:t>
      </w:r>
      <w:r>
        <w:t xml:space="preserve"> </w:t>
      </w:r>
      <w:proofErr w:type="gramStart"/>
      <w:r>
        <w:t>outcomes</w:t>
      </w:r>
      <w:r w:rsidR="00FF3F39">
        <w:t>(</w:t>
      </w:r>
      <w:proofErr w:type="gramEnd"/>
      <w:r w:rsidR="00FF3F39">
        <w:t>Antoni et al.,2017).</w:t>
      </w:r>
      <w:r>
        <w:t xml:space="preserve"> According to expectancy theory</w:t>
      </w:r>
      <w:r w:rsidR="00FF3F39">
        <w:t xml:space="preserve"> by (Vroom 1964)</w:t>
      </w:r>
      <w:r>
        <w:t xml:space="preserve">, employees are more likely to increase effort when they believe that </w:t>
      </w:r>
      <w:r w:rsidR="00891A60">
        <w:t>performance</w:t>
      </w:r>
      <w:r>
        <w:t xml:space="preserve"> will </w:t>
      </w:r>
      <w:proofErr w:type="spellStart"/>
      <w:r>
        <w:t>leak</w:t>
      </w:r>
      <w:proofErr w:type="spellEnd"/>
      <w:r>
        <w:t xml:space="preserve"> to valued rewards</w:t>
      </w:r>
      <w:r w:rsidR="00FF3F39">
        <w:t xml:space="preserve">. </w:t>
      </w:r>
      <w:r>
        <w:t xml:space="preserve">Performance-related pay and bonuses can therefore stimulate short-term improvements in output, particularly in operational and manufacturing </w:t>
      </w:r>
      <w:proofErr w:type="gramStart"/>
      <w:r>
        <w:t>environments</w:t>
      </w:r>
      <w:r w:rsidR="00FF3F39">
        <w:t>(</w:t>
      </w:r>
      <w:proofErr w:type="gramEnd"/>
      <w:r w:rsidR="00FF3F39">
        <w:t xml:space="preserve">CIPD,2025). </w:t>
      </w:r>
      <w:r>
        <w:t xml:space="preserve">Research suggests that when reward systems are perceived as equitable and transparent, they can positively influence motivation and </w:t>
      </w:r>
      <w:r w:rsidR="00891A60">
        <w:t>performance</w:t>
      </w:r>
      <w:r>
        <w:t xml:space="preserve"> (Antoni</w:t>
      </w:r>
      <w:r w:rsidR="00891A60">
        <w:t xml:space="preserve"> et al.,2017). However, extrinsic rewards alone may not sustain organisational performance if they focus narrowly on individual targets, as this can undermine teamwork and encourage short-termism. Hajduk (2017) argues that poorly designed reward schemes risk disengagement when rewards are viewed as unfair or unattainable, particularly without visible senior management support. </w:t>
      </w:r>
    </w:p>
    <w:p w14:paraId="25D8CF14" w14:textId="1DF937B8" w:rsidR="00891A60" w:rsidRDefault="00891A60">
      <w:r>
        <w:t>Intrinsic rewards, by contrast,</w:t>
      </w:r>
      <w:r w:rsidR="00FF3F39">
        <w:t xml:space="preserve"> according to (Armstrong and Brown,2019),</w:t>
      </w:r>
      <w:r>
        <w:t xml:space="preserve"> are non-financial and arise from the nature of the work itself. These include recognition, autonomy, opportunities for development, meaningful work and a sense of achievement. Intrinsic rewards are </w:t>
      </w:r>
      <w:r w:rsidR="00EF2A9C">
        <w:t>strongly</w:t>
      </w:r>
      <w:r>
        <w:t xml:space="preserve"> associated with sustained organisational performance because they foster long-term engagement rather than compliance. For </w:t>
      </w:r>
      <w:proofErr w:type="spellStart"/>
      <w:r w:rsidR="00A45BC3">
        <w:t>GreenFriendlyEco</w:t>
      </w:r>
      <w:proofErr w:type="spellEnd"/>
      <w:r>
        <w:t xml:space="preserve">, intrinsic rewards could play a critical role in rebuilding morale and </w:t>
      </w:r>
      <w:r w:rsidR="00744BF5">
        <w:t xml:space="preserve">strengthening organisational culture by reinforcing shared values and </w:t>
      </w:r>
      <w:r w:rsidR="00EF2A9C">
        <w:t>encouraging</w:t>
      </w:r>
      <w:r w:rsidR="00744BF5">
        <w:t xml:space="preserve"> collaboration. </w:t>
      </w:r>
    </w:p>
    <w:p w14:paraId="533E901F" w14:textId="157BE97E" w:rsidR="00744BF5" w:rsidRDefault="00744BF5">
      <w:r>
        <w:t>Motivation theory suggests that intrinsically motivated employees are more likely to demonstrate discretionary effort and commitment</w:t>
      </w:r>
      <w:r w:rsidR="00FF3F39" w:rsidRPr="00FF3F39">
        <w:t xml:space="preserve"> </w:t>
      </w:r>
      <w:r w:rsidR="00FF3F39">
        <w:t xml:space="preserve">Hajduk (2017). </w:t>
      </w:r>
      <w:r>
        <w:t xml:space="preserve"> Self-</w:t>
      </w:r>
      <w:r w:rsidR="00EF2A9C">
        <w:t>determination</w:t>
      </w:r>
      <w:r>
        <w:t xml:space="preserve"> theory highlights the importance of </w:t>
      </w:r>
      <w:r w:rsidR="00EF2A9C">
        <w:t>autonomy</w:t>
      </w:r>
      <w:r>
        <w:t xml:space="preserve">, competence and relatedness in driving sustained motivation. When employees feel trusted, valued and supported, they are more likely to contribute consistently over time. Kerr and Slocum (2005) emphasise that reward systems influence organisational culture by </w:t>
      </w:r>
      <w:r w:rsidR="00EF2A9C">
        <w:t>signalling</w:t>
      </w:r>
      <w:r>
        <w:t xml:space="preserve"> which behaviours are valued, meaning intrinsic rewards can support teamworking, innovation and continuous improvement when aligned with organisational goals. </w:t>
      </w:r>
    </w:p>
    <w:p w14:paraId="0038B610" w14:textId="03852B88" w:rsidR="00744BF5" w:rsidRDefault="00744BF5">
      <w:r>
        <w:t xml:space="preserve">In assessing both forms of rewards, </w:t>
      </w:r>
      <w:proofErr w:type="gramStart"/>
      <w:r>
        <w:t>it is clear that extrinsic</w:t>
      </w:r>
      <w:proofErr w:type="gramEnd"/>
      <w:r>
        <w:t xml:space="preserve"> rewards can stimulate immediate improvements in contribution when linked to clear measures and perceived as fair. However, intrinsic rewards are more effective </w:t>
      </w:r>
      <w:r w:rsidR="00EF2A9C">
        <w:t xml:space="preserve">in sustaining organisational performance by embedding motivation, engagement, and cultural alignment. For </w:t>
      </w:r>
      <w:proofErr w:type="spellStart"/>
      <w:r w:rsidR="00A45BC3">
        <w:t>GreenFriendlyEco</w:t>
      </w:r>
      <w:proofErr w:type="spellEnd"/>
      <w:r w:rsidR="00EF2A9C">
        <w:t xml:space="preserve">, a balanced reward approach that integrates both extrinsic and intrinsic rewards would be most effective in improving employee contribution while supporting long-term performance and retention. </w:t>
      </w:r>
    </w:p>
    <w:p w14:paraId="1400DBE0" w14:textId="77777777" w:rsidR="006C1325" w:rsidRDefault="006C1325"/>
    <w:p w14:paraId="156658C0" w14:textId="77777777" w:rsidR="006C1325" w:rsidRDefault="006C1325"/>
    <w:p w14:paraId="23FFA04C" w14:textId="77777777" w:rsidR="006C1325" w:rsidRDefault="006C1325"/>
    <w:p w14:paraId="674DA7C7" w14:textId="4DF4B39E" w:rsidR="006C1325" w:rsidRDefault="006C1325">
      <w:r>
        <w:lastRenderedPageBreak/>
        <w:t xml:space="preserve">3. </w:t>
      </w:r>
      <w:proofErr w:type="gramStart"/>
      <w:r>
        <w:t>AC(</w:t>
      </w:r>
      <w:proofErr w:type="gramEnd"/>
      <w:r w:rsidR="00C62E38">
        <w:t>2.1):</w:t>
      </w:r>
    </w:p>
    <w:p w14:paraId="366ED558" w14:textId="0CCCF1E1" w:rsidR="00153E15" w:rsidRDefault="00150234">
      <w:r>
        <w:t xml:space="preserve">A grade and pay structure </w:t>
      </w:r>
      <w:proofErr w:type="gramStart"/>
      <w:r>
        <w:t>pro</w:t>
      </w:r>
      <w:r w:rsidR="009A7A23">
        <w:t>vides</w:t>
      </w:r>
      <w:proofErr w:type="gramEnd"/>
      <w:r w:rsidR="009A7A23">
        <w:t xml:space="preserve"> a framework for determining how roles are valued, grouped and rewarded within an organisation. Its purpose is to support fairness, consistency and </w:t>
      </w:r>
      <w:r w:rsidR="0061725B">
        <w:t xml:space="preserve">transparency in pay decisions while enabling organisations to manage reward costs and progression </w:t>
      </w:r>
      <w:proofErr w:type="gramStart"/>
      <w:r w:rsidR="0061725B">
        <w:t>effectively</w:t>
      </w:r>
      <w:r w:rsidR="006A0023">
        <w:t>(</w:t>
      </w:r>
      <w:proofErr w:type="gramEnd"/>
      <w:r w:rsidR="006A0023" w:rsidRPr="004F2B72">
        <w:t>DavidsonMorris</w:t>
      </w:r>
      <w:r w:rsidR="00F719C9">
        <w:t>,</w:t>
      </w:r>
      <w:r w:rsidR="006A0023" w:rsidRPr="004F2B72">
        <w:t>2025)</w:t>
      </w:r>
      <w:r w:rsidR="00F719C9">
        <w:t>.</w:t>
      </w:r>
      <w:r w:rsidR="0061725B">
        <w:t xml:space="preserve"> According to </w:t>
      </w:r>
      <w:r w:rsidR="00C14721">
        <w:t>(</w:t>
      </w:r>
      <w:r w:rsidR="0061725B">
        <w:t>CIPD</w:t>
      </w:r>
      <w:r w:rsidR="00C14721">
        <w:t>,202</w:t>
      </w:r>
      <w:r w:rsidR="008203F8">
        <w:t>5</w:t>
      </w:r>
      <w:r w:rsidR="00C14721">
        <w:t>a)</w:t>
      </w:r>
      <w:r w:rsidR="00381D2D">
        <w:t>, pay structures can be broadly categorised into formal and informal approaches, each with disti</w:t>
      </w:r>
      <w:r w:rsidR="006E45AC">
        <w:t xml:space="preserve">nct characteristics and implications. </w:t>
      </w:r>
    </w:p>
    <w:p w14:paraId="3011A221" w14:textId="09E8A639" w:rsidR="006E45AC" w:rsidRDefault="006E45AC">
      <w:r>
        <w:t xml:space="preserve">Formal pay structures are planned, documented systems that group jobs into grades or bands based on job evaluation or role </w:t>
      </w:r>
      <w:proofErr w:type="gramStart"/>
      <w:r>
        <w:t>size</w:t>
      </w:r>
      <w:r w:rsidR="000D70B0">
        <w:t>(</w:t>
      </w:r>
      <w:proofErr w:type="gramEnd"/>
      <w:r w:rsidR="000D70B0">
        <w:t xml:space="preserve">CIPD,2025a). </w:t>
      </w:r>
      <w:r>
        <w:t xml:space="preserve">A common example is the multi-graded (Narrow-graded) structure, which consists of many grades with relatively small pay ranges. This structure allows for fine distinctions between roles and supports clear progression pathways. However, it can be rigid, </w:t>
      </w:r>
      <w:r w:rsidR="0094692F">
        <w:t xml:space="preserve">bureaucratic and may limit flexibility, particularly in fast-changing </w:t>
      </w:r>
      <w:proofErr w:type="gramStart"/>
      <w:r w:rsidR="0094692F">
        <w:t>organisations</w:t>
      </w:r>
      <w:r w:rsidR="000D70B0">
        <w:t>(</w:t>
      </w:r>
      <w:proofErr w:type="gramEnd"/>
      <w:r w:rsidR="000D70B0" w:rsidRPr="004F2B72">
        <w:t>DavidsonMorris</w:t>
      </w:r>
      <w:r w:rsidR="000D70B0">
        <w:t>,</w:t>
      </w:r>
      <w:r w:rsidR="000D70B0" w:rsidRPr="004F2B72">
        <w:t>2025)</w:t>
      </w:r>
      <w:r w:rsidR="000D70B0">
        <w:t xml:space="preserve">. </w:t>
      </w:r>
      <w:r w:rsidR="0094692F">
        <w:t xml:space="preserve">For </w:t>
      </w:r>
      <w:proofErr w:type="spellStart"/>
      <w:r w:rsidR="00A45BC3">
        <w:t>GreenFriendlyEco</w:t>
      </w:r>
      <w:proofErr w:type="spellEnd"/>
      <w:r w:rsidR="0094692F">
        <w:t xml:space="preserve">, a narrow-graded structure could help ensure internal equity but may restrict managerial discretion and adaptability. </w:t>
      </w:r>
    </w:p>
    <w:p w14:paraId="150E73F8" w14:textId="7851D9E1" w:rsidR="0094692F" w:rsidRDefault="0094692F">
      <w:r>
        <w:t xml:space="preserve">In contrast, </w:t>
      </w:r>
      <w:r w:rsidR="000D70B0">
        <w:t>according to (</w:t>
      </w:r>
      <w:r w:rsidR="000D70B0" w:rsidRPr="004F2B72">
        <w:t>DavidsonMorris</w:t>
      </w:r>
      <w:r w:rsidR="000D70B0">
        <w:t>,</w:t>
      </w:r>
      <w:r w:rsidR="000D70B0" w:rsidRPr="004F2B72">
        <w:t>2025)</w:t>
      </w:r>
      <w:r w:rsidR="000D70B0">
        <w:t xml:space="preserve">, </w:t>
      </w:r>
      <w:r>
        <w:t xml:space="preserve">a broad-graded structure reduces the number of grades and increases the pay range within each grade. This offers </w:t>
      </w:r>
      <w:r w:rsidR="00722702">
        <w:t>greater</w:t>
      </w:r>
      <w:r>
        <w:t xml:space="preserve"> flexibility in pay progression and supports wider role </w:t>
      </w:r>
      <w:proofErr w:type="gramStart"/>
      <w:r>
        <w:t>responsibilities</w:t>
      </w:r>
      <w:r w:rsidR="008D5C19">
        <w:t>(</w:t>
      </w:r>
      <w:proofErr w:type="gramEnd"/>
      <w:r w:rsidR="008D5C19" w:rsidRPr="004F2B72">
        <w:t>DavidsonMorris</w:t>
      </w:r>
      <w:r w:rsidR="008D5C19">
        <w:t>,</w:t>
      </w:r>
      <w:r w:rsidR="008D5C19" w:rsidRPr="004F2B72">
        <w:t>2025)</w:t>
      </w:r>
      <w:r w:rsidR="008D5C19">
        <w:t xml:space="preserve">. </w:t>
      </w:r>
      <w:r>
        <w:t xml:space="preserve">Compared with narrow grading, broad grading encourages skill development and lateral movement, but it can also create pay management challenges if progression criteria are unclear. </w:t>
      </w:r>
    </w:p>
    <w:p w14:paraId="1FA64B4E" w14:textId="7AA4CD58" w:rsidR="00E95620" w:rsidRDefault="003F72B3">
      <w:r>
        <w:t>A broad-banded structure goes further by com</w:t>
      </w:r>
      <w:r w:rsidR="002568CB">
        <w:t xml:space="preserve">bining multiple grades into a small number of wide pay </w:t>
      </w:r>
      <w:proofErr w:type="gramStart"/>
      <w:r w:rsidR="002568CB">
        <w:t>bands</w:t>
      </w:r>
      <w:r w:rsidR="00266D6B">
        <w:t>(</w:t>
      </w:r>
      <w:proofErr w:type="gramEnd"/>
      <w:r w:rsidR="008416D7">
        <w:t>Randstad,2019).</w:t>
      </w:r>
      <w:r w:rsidR="002568CB">
        <w:t xml:space="preserve"> The key difference between broad-banded and broad-graded structures lies in the level of </w:t>
      </w:r>
      <w:proofErr w:type="gramStart"/>
      <w:r w:rsidR="002568CB">
        <w:t>flexibility</w:t>
      </w:r>
      <w:r w:rsidR="00F41274">
        <w:t>(</w:t>
      </w:r>
      <w:proofErr w:type="gramEnd"/>
      <w:r w:rsidR="00F41274">
        <w:t>Randstad,2019)</w:t>
      </w:r>
      <w:r w:rsidR="002568CB">
        <w:t xml:space="preserve">: broad bands provide significantly more discretion for managers to reward contribution and performance. While this can support </w:t>
      </w:r>
      <w:r w:rsidR="00E95620">
        <w:t>responsiveness</w:t>
      </w:r>
      <w:r w:rsidR="002568CB">
        <w:t xml:space="preserve"> and performance-based pay, it also increases the risk of inconsistency and perceived unfairness if not supported by clear governance and transparency.</w:t>
      </w:r>
    </w:p>
    <w:p w14:paraId="2BEBE90A" w14:textId="31F71A80" w:rsidR="0079062B" w:rsidRDefault="006622E7">
      <w:r>
        <w:t xml:space="preserve">Another formal approach is the job family structure, where roles are grouped by function or profession (for example, production, engineering, or sales), with defined levels within each </w:t>
      </w:r>
      <w:proofErr w:type="gramStart"/>
      <w:r>
        <w:t>family</w:t>
      </w:r>
      <w:r w:rsidR="00165D78">
        <w:t>(</w:t>
      </w:r>
      <w:proofErr w:type="gramEnd"/>
      <w:r w:rsidR="00165D78">
        <w:t>Randstad,2019</w:t>
      </w:r>
      <w:r w:rsidR="006C4302" w:rsidRPr="004F2B72">
        <w:t>)</w:t>
      </w:r>
      <w:r w:rsidR="006C4302">
        <w:t>.</w:t>
      </w:r>
      <w:r>
        <w:t xml:space="preserve"> This structure differs from traditional grading by supporting career development</w:t>
      </w:r>
      <w:r w:rsidR="0079062B">
        <w:t xml:space="preserve"> within specialist areas while maintain internal consistency across the organisation. </w:t>
      </w:r>
    </w:p>
    <w:p w14:paraId="4B06E673" w14:textId="7E9668F7" w:rsidR="00F01A85" w:rsidRDefault="002568CB">
      <w:r>
        <w:t xml:space="preserve"> </w:t>
      </w:r>
      <w:r w:rsidR="00635F8A">
        <w:t>According to (CIPD,2025</w:t>
      </w:r>
      <w:proofErr w:type="gramStart"/>
      <w:r w:rsidR="00635F8A">
        <w:t>),</w:t>
      </w:r>
      <w:r w:rsidR="0079062B">
        <w:t>Informal</w:t>
      </w:r>
      <w:proofErr w:type="gramEnd"/>
      <w:r w:rsidR="0079062B">
        <w:t xml:space="preserve"> pay structures are less systematic and are often used in smaller or less mature organisations. These include spot rates, where jobs are paid at a single market-based rate, and individual job </w:t>
      </w:r>
      <w:proofErr w:type="gramStart"/>
      <w:r w:rsidR="001536B5">
        <w:t>grades</w:t>
      </w:r>
      <w:r w:rsidR="0079062B">
        <w:t xml:space="preserve"> </w:t>
      </w:r>
      <w:r w:rsidR="001536B5">
        <w:t>,</w:t>
      </w:r>
      <w:r w:rsidR="0079062B">
        <w:t>where</w:t>
      </w:r>
      <w:proofErr w:type="gramEnd"/>
      <w:r w:rsidR="0079062B">
        <w:t xml:space="preserve"> pay is set role by </w:t>
      </w:r>
      <w:r w:rsidR="00183805">
        <w:t xml:space="preserve">role. While informal structures offer flexibility and responsiveness to market pressures, they lack transparency and can lead to pay inequities and employee dissatisfaction over </w:t>
      </w:r>
      <w:proofErr w:type="gramStart"/>
      <w:r w:rsidR="00183805">
        <w:t>time</w:t>
      </w:r>
      <w:r w:rsidR="00D032DA">
        <w:t>(</w:t>
      </w:r>
      <w:proofErr w:type="gramEnd"/>
      <w:r w:rsidR="00D032DA">
        <w:t xml:space="preserve">Randstad,2019). </w:t>
      </w:r>
      <w:r w:rsidR="00183805">
        <w:t xml:space="preserve">For </w:t>
      </w:r>
      <w:proofErr w:type="spellStart"/>
      <w:r w:rsidR="00A45BC3">
        <w:t>GreenFriendlyEco</w:t>
      </w:r>
      <w:proofErr w:type="spellEnd"/>
      <w:r w:rsidR="004B53FE">
        <w:t>, understanding these differences is essential when considering how pay structures can support fairness</w:t>
      </w:r>
      <w:r w:rsidR="001536B5">
        <w:t xml:space="preserve">, </w:t>
      </w:r>
      <w:r w:rsidR="004B53FE">
        <w:t xml:space="preserve">progression and organisational performance as the business evolves. </w:t>
      </w:r>
    </w:p>
    <w:p w14:paraId="05F5BB3F" w14:textId="77777777" w:rsidR="00F01A85" w:rsidRDefault="00F01A85"/>
    <w:p w14:paraId="5B205593" w14:textId="77777777" w:rsidR="00F01A85" w:rsidRDefault="00F01A85"/>
    <w:p w14:paraId="7C0C0204" w14:textId="77777777" w:rsidR="00F01A85" w:rsidRDefault="00F01A85"/>
    <w:p w14:paraId="36076D72" w14:textId="77777777" w:rsidR="00F01A85" w:rsidRDefault="00F01A85"/>
    <w:p w14:paraId="2130F21D" w14:textId="77777777" w:rsidR="00F01A85" w:rsidRDefault="00F01A85"/>
    <w:p w14:paraId="3C1834FB" w14:textId="7BCFBF64" w:rsidR="00F01A85" w:rsidRDefault="00AF3911">
      <w:r>
        <w:t>4.</w:t>
      </w:r>
      <w:r w:rsidR="0010427A" w:rsidRPr="006F30E1">
        <w:rPr>
          <w:color w:val="EE0000"/>
        </w:rPr>
        <w:t xml:space="preserve"> </w:t>
      </w:r>
      <w:proofErr w:type="gramStart"/>
      <w:r w:rsidR="0010427A" w:rsidRPr="00AF3911">
        <w:t>AC(</w:t>
      </w:r>
      <w:proofErr w:type="gramEnd"/>
      <w:r w:rsidR="0010427A" w:rsidRPr="00AF3911">
        <w:t>2.2):</w:t>
      </w:r>
    </w:p>
    <w:p w14:paraId="40571E5F" w14:textId="2F0C4DF2" w:rsidR="0010427A" w:rsidRDefault="0037486C">
      <w:r>
        <w:t>According to Armstrong and Brown (2019), c</w:t>
      </w:r>
      <w:r w:rsidR="004A38A7">
        <w:t xml:space="preserve">ontingent rewards are </w:t>
      </w:r>
      <w:r w:rsidR="00EA4ECD">
        <w:t>rewards that are provided only when predefined criteria are met</w:t>
      </w:r>
      <w:r>
        <w:t>,</w:t>
      </w:r>
      <w:r w:rsidR="00EA4ECD">
        <w:t xml:space="preserve"> </w:t>
      </w:r>
      <w:proofErr w:type="gramStart"/>
      <w:r w:rsidR="00EA4ECD">
        <w:t>Unlike</w:t>
      </w:r>
      <w:proofErr w:type="gramEnd"/>
      <w:r w:rsidR="00EA4ECD">
        <w:t xml:space="preserve"> fixed pay, they are conditional on performance, skills, contribution or other measurable outcomes, and are designed </w:t>
      </w:r>
      <w:r w:rsidR="009D367B">
        <w:t xml:space="preserve">to reinforce desired behaviours and results. When applied effectively, contingent rewards can influence performance at individual, team and organisational levels. </w:t>
      </w:r>
    </w:p>
    <w:p w14:paraId="69A16589" w14:textId="07044303" w:rsidR="009D367B" w:rsidRDefault="00B50451">
      <w:r>
        <w:t xml:space="preserve">One </w:t>
      </w:r>
      <w:r w:rsidR="003C3E9E">
        <w:t>common form of contingent reward</w:t>
      </w:r>
      <w:r w:rsidR="00041E90">
        <w:t xml:space="preserve"> is performance-related pay, where financial rewards are linked directly to individual or group performance outcomes. At an individual level, performance-related pay can increase effort and focus by clarifying ex</w:t>
      </w:r>
      <w:r w:rsidR="00097262">
        <w:t xml:space="preserve">pectations and reinforcing </w:t>
      </w:r>
      <w:proofErr w:type="gramStart"/>
      <w:r w:rsidR="00097262">
        <w:t>achievement</w:t>
      </w:r>
      <w:r w:rsidR="00686265">
        <w:t>(</w:t>
      </w:r>
      <w:proofErr w:type="gramEnd"/>
      <w:r w:rsidR="00686265">
        <w:t>CIPD,2024)</w:t>
      </w:r>
      <w:r w:rsidR="0037486C">
        <w:t>.</w:t>
      </w:r>
      <w:r w:rsidR="0037486C">
        <w:t xml:space="preserve"> </w:t>
      </w:r>
      <w:r w:rsidR="00097262">
        <w:t>Research indicates that performance-contingent rewards can enhance co</w:t>
      </w:r>
      <w:r w:rsidR="00793918">
        <w:t>gnitive control and task engagement when individuals perceive a clear link between effort and reward (</w:t>
      </w:r>
      <w:proofErr w:type="spellStart"/>
      <w:r w:rsidR="000278A7" w:rsidRPr="000278A7">
        <w:t>Fröber</w:t>
      </w:r>
      <w:proofErr w:type="spellEnd"/>
      <w:r w:rsidR="000278A7" w:rsidRPr="000278A7">
        <w:t xml:space="preserve"> and Dreisbach, 2016</w:t>
      </w:r>
      <w:r w:rsidR="000278A7">
        <w:t xml:space="preserve">). However, if targets are poorly designed or perceived as unfair, motivation may decline. </w:t>
      </w:r>
    </w:p>
    <w:p w14:paraId="357E76C2" w14:textId="7F003EBC" w:rsidR="000278A7" w:rsidRDefault="000278A7">
      <w:r>
        <w:t>Competency-related</w:t>
      </w:r>
      <w:r w:rsidR="00233239">
        <w:t xml:space="preserve"> pay rewards employees for demonstrating specific behaviours, knowledge or capabilities rather than outputs alone. </w:t>
      </w:r>
      <w:r w:rsidR="00686265">
        <w:t>(CIPD,2024) suggests that t</w:t>
      </w:r>
      <w:r w:rsidR="00233239">
        <w:t>his approach supports long-term performance by encouraging learning and capa</w:t>
      </w:r>
      <w:r w:rsidR="00D314F6">
        <w:t xml:space="preserve">bility development. At an organisational level, competency-based pay can help embed strategic skills that align with future business needs, supporting sustained performance rather than short-term results. </w:t>
      </w:r>
    </w:p>
    <w:p w14:paraId="53384970" w14:textId="0707686F" w:rsidR="00F01A85" w:rsidRDefault="00686265">
      <w:r>
        <w:t xml:space="preserve">According to </w:t>
      </w:r>
      <w:r>
        <w:t>(</w:t>
      </w:r>
      <w:proofErr w:type="spellStart"/>
      <w:r w:rsidRPr="000278A7">
        <w:t>Fröber</w:t>
      </w:r>
      <w:proofErr w:type="spellEnd"/>
      <w:r w:rsidRPr="000278A7">
        <w:t xml:space="preserve"> and Dreisbach, 2016</w:t>
      </w:r>
      <w:r>
        <w:t>)</w:t>
      </w:r>
      <w:r>
        <w:t>, c</w:t>
      </w:r>
      <w:r w:rsidR="009268D4">
        <w:t xml:space="preserve">ontribution-related pay combines elements of performance, competence and behaviours, assessing the overall value an employee brings to the organisation. This approach </w:t>
      </w:r>
      <w:r>
        <w:t xml:space="preserve">according to (CIPD,2024) </w:t>
      </w:r>
      <w:r w:rsidR="009268D4">
        <w:t xml:space="preserve">allows a more holistic assessment of performance, recognising teamwork, flexibility and discretionary effort. At team level, contribution-related pay can support collaboration when assessment criteria </w:t>
      </w:r>
      <w:r w:rsidR="00695C44">
        <w:t>explicitly</w:t>
      </w:r>
      <w:r w:rsidR="009268D4">
        <w:t xml:space="preserve"> include cooperative behaviours, although it requires clear governance to avoid subjectivity. </w:t>
      </w:r>
    </w:p>
    <w:p w14:paraId="465DEABE" w14:textId="10AEB79B" w:rsidR="009268D4" w:rsidRDefault="009268D4">
      <w:r>
        <w:t xml:space="preserve">Skill-based pay rewards employees for acquiring and applying new skills. </w:t>
      </w:r>
      <w:r w:rsidR="00686265">
        <w:t>(</w:t>
      </w:r>
      <w:r w:rsidR="00686265">
        <w:t xml:space="preserve">Armstrong and Brown </w:t>
      </w:r>
      <w:r w:rsidR="00686265">
        <w:t>,</w:t>
      </w:r>
      <w:r w:rsidR="00686265">
        <w:t>2019</w:t>
      </w:r>
      <w:r w:rsidR="00686265">
        <w:t>) suggest that t</w:t>
      </w:r>
      <w:r>
        <w:t xml:space="preserve">his type of contingent reward can improve organisational </w:t>
      </w:r>
      <w:r w:rsidR="00695C44">
        <w:t>performance</w:t>
      </w:r>
      <w:r>
        <w:t xml:space="preserve"> by increasing workforce </w:t>
      </w:r>
      <w:r w:rsidR="00891488">
        <w:t xml:space="preserve">flexibility and resilience, particularly in operational environments. At an individual level, it promotes </w:t>
      </w:r>
      <w:r w:rsidR="00695C44">
        <w:t>continuous</w:t>
      </w:r>
      <w:r w:rsidR="00891488">
        <w:t xml:space="preserve"> learning, while at team level it supports mult</w:t>
      </w:r>
      <w:r w:rsidR="00695C44">
        <w:t>i-skilling</w:t>
      </w:r>
      <w:r w:rsidR="00891488">
        <w:t xml:space="preserve"> and knowledge sharing. </w:t>
      </w:r>
    </w:p>
    <w:p w14:paraId="19073D8E" w14:textId="333D427F" w:rsidR="00891488" w:rsidRDefault="00766797">
      <w:r>
        <w:t xml:space="preserve">Service or tenure-related pay links reward to length of service. While this can support retention and organisational stability, its impact on performance is more limited, as it does not directly reward contribution or </w:t>
      </w:r>
      <w:proofErr w:type="gramStart"/>
      <w:r>
        <w:t>outcomes</w:t>
      </w:r>
      <w:r w:rsidR="00AF3911">
        <w:t>(</w:t>
      </w:r>
      <w:proofErr w:type="spellStart"/>
      <w:proofErr w:type="gramEnd"/>
      <w:r w:rsidR="00AF3911" w:rsidRPr="000278A7">
        <w:t>Fröber</w:t>
      </w:r>
      <w:proofErr w:type="spellEnd"/>
      <w:r w:rsidR="00AF3911" w:rsidRPr="000278A7">
        <w:t xml:space="preserve"> and Dreisbach, 2016</w:t>
      </w:r>
      <w:r w:rsidR="00AF3911">
        <w:t>)</w:t>
      </w:r>
      <w:r w:rsidR="00AF3911">
        <w:t xml:space="preserve">. Furthermore, </w:t>
      </w:r>
      <w:r>
        <w:t xml:space="preserve">Overreliance on tenure-based pay may reduce performance incentives if not combined with other contingent </w:t>
      </w:r>
      <w:proofErr w:type="gramStart"/>
      <w:r>
        <w:t>rewards</w:t>
      </w:r>
      <w:r w:rsidR="00AF3911">
        <w:t>(</w:t>
      </w:r>
      <w:proofErr w:type="spellStart"/>
      <w:proofErr w:type="gramEnd"/>
      <w:r w:rsidR="00AF3911" w:rsidRPr="000278A7">
        <w:t>Fröber</w:t>
      </w:r>
      <w:proofErr w:type="spellEnd"/>
      <w:r w:rsidR="00AF3911" w:rsidRPr="000278A7">
        <w:t xml:space="preserve"> and Dreisbach, 2016</w:t>
      </w:r>
      <w:r w:rsidR="00AF3911">
        <w:t>)</w:t>
      </w:r>
      <w:r w:rsidR="00AF3911">
        <w:t>.</w:t>
      </w:r>
    </w:p>
    <w:p w14:paraId="7758AE22" w14:textId="6F00E954" w:rsidR="00766797" w:rsidRDefault="00766797">
      <w:r>
        <w:t xml:space="preserve">At a team and organisational level, contingent rewards can shape culture and performance by signalling what is valued. Evidence suggest that contingent reward leadership can enhance creativity and performance when applied consistently </w:t>
      </w:r>
      <w:r w:rsidR="00645550">
        <w:t xml:space="preserve">and </w:t>
      </w:r>
      <w:proofErr w:type="gramStart"/>
      <w:r w:rsidR="00C54FDB">
        <w:t>predictably</w:t>
      </w:r>
      <w:r w:rsidR="00645550">
        <w:t>, but</w:t>
      </w:r>
      <w:proofErr w:type="gramEnd"/>
      <w:r w:rsidR="00645550">
        <w:t xml:space="preserve"> may diminish outcomes if perceived as arbitrary or </w:t>
      </w:r>
      <w:proofErr w:type="gramStart"/>
      <w:r w:rsidR="00645550">
        <w:t>inconsistent(</w:t>
      </w:r>
      <w:proofErr w:type="gramEnd"/>
      <w:r w:rsidR="00FD5EF9">
        <w:t xml:space="preserve">Ghosh et.al,2024). For </w:t>
      </w:r>
      <w:r w:rsidR="00C54FDB">
        <w:t xml:space="preserve">organisations </w:t>
      </w:r>
      <w:r w:rsidR="00FD5EF9">
        <w:t xml:space="preserve">such as </w:t>
      </w:r>
      <w:proofErr w:type="spellStart"/>
      <w:r w:rsidR="00A45BC3">
        <w:t>GreenFriendlyEco</w:t>
      </w:r>
      <w:proofErr w:type="spellEnd"/>
      <w:r w:rsidR="00BB1571">
        <w:t xml:space="preserve">, a balanced and transparent approach to contingent rewards is essential to drive individual effort, support </w:t>
      </w:r>
      <w:r w:rsidR="00C54FDB">
        <w:t xml:space="preserve">effective teamwork and sustain organisational performance. </w:t>
      </w:r>
    </w:p>
    <w:p w14:paraId="37D06EAA" w14:textId="77777777" w:rsidR="00F01A85" w:rsidRDefault="00F01A85"/>
    <w:p w14:paraId="6B30676E" w14:textId="77777777" w:rsidR="00F01A85" w:rsidRDefault="00F01A85"/>
    <w:p w14:paraId="0EADFC84" w14:textId="77777777" w:rsidR="00F01A85" w:rsidRDefault="00F01A85"/>
    <w:p w14:paraId="4493C6FD" w14:textId="77777777" w:rsidR="00F01A85" w:rsidRDefault="00F01A85"/>
    <w:p w14:paraId="303F8A3E" w14:textId="68E45EA6" w:rsidR="00F01A85" w:rsidRDefault="006F30E1">
      <w:r>
        <w:t xml:space="preserve">5. </w:t>
      </w:r>
      <w:proofErr w:type="gramStart"/>
      <w:r w:rsidR="00257902">
        <w:t>AC(</w:t>
      </w:r>
      <w:proofErr w:type="gramEnd"/>
      <w:r w:rsidR="00257902">
        <w:t>2.3):</w:t>
      </w:r>
    </w:p>
    <w:p w14:paraId="2BCE324F" w14:textId="4DB52BC0" w:rsidR="00257902" w:rsidRDefault="001F267C">
      <w:r>
        <w:t xml:space="preserve">Employee benefits </w:t>
      </w:r>
      <w:r w:rsidR="00E52AD3">
        <w:t xml:space="preserve">from a significant </w:t>
      </w:r>
      <w:r w:rsidR="0029481C">
        <w:t>element</w:t>
      </w:r>
      <w:r w:rsidR="00E52AD3">
        <w:t xml:space="preserve"> of the </w:t>
      </w:r>
      <w:r w:rsidR="003917C6">
        <w:t>total reward package and are designed to complement base pay by supporting employee motivation, wellbeing and retention. Benefits can be financial or non-financial and vary in their short</w:t>
      </w:r>
      <w:r w:rsidR="00A11CDF">
        <w:t xml:space="preserve"> and long-term impact on employee behaviour. According to Armstrong’s handbook of reward management practice, benefits </w:t>
      </w:r>
      <w:r w:rsidR="008F41C1">
        <w:t xml:space="preserve">play a critical role in demonstrating organisational commitment to employees while enhancing the perceived value of reward without permanently increasing fixed costs. </w:t>
      </w:r>
    </w:p>
    <w:p w14:paraId="52A4BD7A" w14:textId="68406CF0" w:rsidR="008F41C1" w:rsidRDefault="00054FE9">
      <w:r>
        <w:t xml:space="preserve">Financial performance-related benefits, such as performance-related pay, bonus schemes, payment by results and commission, directly link reward to achievement. </w:t>
      </w:r>
      <w:r w:rsidR="00B423AE">
        <w:t xml:space="preserve">The primary merit of these benefits is their ability </w:t>
      </w:r>
      <w:r w:rsidR="00503005">
        <w:t xml:space="preserve">to </w:t>
      </w:r>
      <w:r w:rsidR="00990D7F">
        <w:t>reinforce</w:t>
      </w:r>
      <w:r w:rsidR="00503005">
        <w:t xml:space="preserve"> performance expectations and encourage higher levels of effort and productivity. Research </w:t>
      </w:r>
      <w:r w:rsidR="002E6FD0">
        <w:t>suggests that variable pay can improve motivation when employee</w:t>
      </w:r>
      <w:r w:rsidR="000F6A52">
        <w:t xml:space="preserve">s perceive a clear and fair connection between performance and </w:t>
      </w:r>
      <w:proofErr w:type="gramStart"/>
      <w:r w:rsidR="000F6A52">
        <w:t>reward(</w:t>
      </w:r>
      <w:proofErr w:type="gramEnd"/>
      <w:r w:rsidR="000F6A52">
        <w:t>Antoni et al., 2017;</w:t>
      </w:r>
      <w:r w:rsidR="00BE4F98" w:rsidRPr="00BE4F98">
        <w:t xml:space="preserve"> </w:t>
      </w:r>
      <w:proofErr w:type="spellStart"/>
      <w:r w:rsidR="00BE4F98" w:rsidRPr="00BE4F98">
        <w:t>Fröber</w:t>
      </w:r>
      <w:proofErr w:type="spellEnd"/>
      <w:r w:rsidR="00BE4F98" w:rsidRPr="00BE4F98">
        <w:t xml:space="preserve"> and Dreisbach, 2016</w:t>
      </w:r>
      <w:r w:rsidR="00BE4F98">
        <w:t xml:space="preserve">). For </w:t>
      </w:r>
      <w:proofErr w:type="spellStart"/>
      <w:r w:rsidR="00A45BC3">
        <w:t>GreenFriendlyEco</w:t>
      </w:r>
      <w:proofErr w:type="spellEnd"/>
      <w:r w:rsidR="00BE4F98">
        <w:t xml:space="preserve">, selective use of performance-related </w:t>
      </w:r>
      <w:r w:rsidR="00073643">
        <w:t>bonuses linked to productivity or quality</w:t>
      </w:r>
      <w:r w:rsidR="00A609A5">
        <w:t xml:space="preserve"> targets could improve employee contribution while maintain control over reward expenditure. </w:t>
      </w:r>
    </w:p>
    <w:p w14:paraId="51765CD7" w14:textId="3CCE2FF7" w:rsidR="00A609A5" w:rsidRDefault="00A609A5">
      <w:r>
        <w:t xml:space="preserve">Collective financial benefits, including </w:t>
      </w:r>
      <w:r w:rsidR="008E3516">
        <w:t xml:space="preserve">profit-sharing and gainsharing schemes, reward employees based on organisational or team </w:t>
      </w:r>
      <w:r w:rsidR="00060877">
        <w:t>success rather than individual output. Their key merit lies in encou</w:t>
      </w:r>
      <w:r w:rsidR="00036FC1">
        <w:t xml:space="preserve">raging cooperation, shared responsibility and alignment with </w:t>
      </w:r>
      <w:r w:rsidR="00990D7F">
        <w:t>organisational</w:t>
      </w:r>
      <w:r w:rsidR="00036FC1">
        <w:t xml:space="preserve"> goals. Kerr and Slocum (2005) argue that such reward systems shape </w:t>
      </w:r>
      <w:r w:rsidR="00990D7F">
        <w:t>organisational</w:t>
      </w:r>
      <w:r w:rsidR="00036FC1">
        <w:t xml:space="preserve"> culture by reinforcing collective values and collaboration. </w:t>
      </w:r>
      <w:r w:rsidR="00990D7F">
        <w:t>Gainsharing</w:t>
      </w:r>
      <w:proofErr w:type="gramStart"/>
      <w:r w:rsidR="00990D7F">
        <w:t>, in particular, is</w:t>
      </w:r>
      <w:proofErr w:type="gramEnd"/>
      <w:r w:rsidR="00990D7F">
        <w:t xml:space="preserve"> well suited to manufacturing environments as it encourages efficiency improvements and teamwork, while only generating reward costs when performance gains are </w:t>
      </w:r>
      <w:proofErr w:type="gramStart"/>
      <w:r w:rsidR="00990D7F">
        <w:t>realised(</w:t>
      </w:r>
      <w:proofErr w:type="gramEnd"/>
      <w:r w:rsidR="00990D7F">
        <w:t xml:space="preserve">Armstrong and Bown,2019). </w:t>
      </w:r>
    </w:p>
    <w:p w14:paraId="6969F668" w14:textId="3A6B2858" w:rsidR="00BD4E8B" w:rsidRDefault="00BD4E8B">
      <w:r>
        <w:t xml:space="preserve">Core security benefits such as pensions, healthcare, insurance cover and enhanced sick pay provide employees with financial stability and wellbeing support. The merit of these benefits lies in their long-term value and role in improving retention and </w:t>
      </w:r>
      <w:r w:rsidR="00E0587C">
        <w:t>organisational</w:t>
      </w:r>
      <w:r>
        <w:t xml:space="preserve"> commitment. </w:t>
      </w:r>
      <w:r w:rsidR="00410654">
        <w:t xml:space="preserve">CIPD (2024) highlights that benefits addressing security and wellbeing contribute to employee engagement </w:t>
      </w:r>
      <w:r w:rsidR="002F2365">
        <w:t>and trust, particularly in organisations experiencing high turnover</w:t>
      </w:r>
      <w:r w:rsidR="00391321">
        <w:t xml:space="preserve"> or morale challenges. For </w:t>
      </w:r>
      <w:proofErr w:type="spellStart"/>
      <w:r w:rsidR="00A45BC3">
        <w:t>GreenFriendlyEco</w:t>
      </w:r>
      <w:proofErr w:type="spellEnd"/>
      <w:r w:rsidR="00391321">
        <w:t xml:space="preserve">, improving communication around existing pension provision could enhance perceived value without </w:t>
      </w:r>
      <w:r w:rsidR="00AE71BC">
        <w:t xml:space="preserve">substantial additional cost. </w:t>
      </w:r>
    </w:p>
    <w:p w14:paraId="5EC43C0A" w14:textId="798907CC" w:rsidR="00AE71BC" w:rsidRDefault="00E0587C">
      <w:r>
        <w:t>Family-friendly and lifestyle benefits</w:t>
      </w:r>
      <w:r w:rsidR="00710F55">
        <w:t xml:space="preserve">, including enhanced maternity, paternity and adoption pay, childcare, support, flexible benefits and season tick loans, recognise </w:t>
      </w:r>
      <w:r w:rsidR="00A56A03">
        <w:t>individual</w:t>
      </w:r>
      <w:r w:rsidR="00710F55">
        <w:t xml:space="preserve"> differences in employee needs. Their merit lies in improving work-life balance, attraction and retention across</w:t>
      </w:r>
      <w:r w:rsidR="00562E08">
        <w:t xml:space="preserve"> different lie stages (Armstrong and Brown,</w:t>
      </w:r>
      <w:proofErr w:type="gramStart"/>
      <w:r w:rsidR="00562E08">
        <w:t>2019;CIPD</w:t>
      </w:r>
      <w:proofErr w:type="gramEnd"/>
      <w:r w:rsidR="00562E08">
        <w:t xml:space="preserve">,2024). Flexible benefits schemes further </w:t>
      </w:r>
      <w:r w:rsidR="00C00FCD">
        <w:t xml:space="preserve">enhance value by allowing </w:t>
      </w:r>
      <w:r w:rsidR="00A56A03">
        <w:t>employees</w:t>
      </w:r>
      <w:r w:rsidR="00C00FCD">
        <w:t xml:space="preserve"> to tailor rewards to personal priorities, increasing engagement without signi</w:t>
      </w:r>
      <w:r w:rsidR="004B22C6">
        <w:t xml:space="preserve">ficantly increasing overall reward spend. </w:t>
      </w:r>
    </w:p>
    <w:p w14:paraId="51E6EBDB" w14:textId="2187FC0F" w:rsidR="004B22C6" w:rsidRDefault="004B22C6">
      <w:r>
        <w:t>Overall, the merits of offering a diverse benefits pa</w:t>
      </w:r>
      <w:r w:rsidR="00A56A03">
        <w:t xml:space="preserve">ckage include improved employee motivation, engagement and commitment, reduced employee turnover and enhanced employer attractiveness. For </w:t>
      </w:r>
      <w:proofErr w:type="spellStart"/>
      <w:r w:rsidR="00A45BC3">
        <w:t>GreenFriendlyEco</w:t>
      </w:r>
      <w:proofErr w:type="spellEnd"/>
      <w:r w:rsidR="00A56A03">
        <w:t xml:space="preserve">, a strategically prioritised and affordable benefits approach would support organisational stability and sustained performance while remaining aligned with available resources. </w:t>
      </w:r>
    </w:p>
    <w:p w14:paraId="7DF70E40" w14:textId="77777777" w:rsidR="0029481C" w:rsidRDefault="0029481C"/>
    <w:p w14:paraId="0B40CA90" w14:textId="77777777" w:rsidR="0029481C" w:rsidRDefault="0029481C"/>
    <w:p w14:paraId="6F854C67" w14:textId="77777777" w:rsidR="0029481C" w:rsidRDefault="0029481C"/>
    <w:p w14:paraId="0272F07A" w14:textId="5A64EC61" w:rsidR="0029481C" w:rsidRDefault="0029481C">
      <w:r>
        <w:t xml:space="preserve">6. </w:t>
      </w:r>
      <w:proofErr w:type="gramStart"/>
      <w:r>
        <w:t>AC.(</w:t>
      </w:r>
      <w:proofErr w:type="gramEnd"/>
      <w:r>
        <w:t>2.4):</w:t>
      </w:r>
    </w:p>
    <w:p w14:paraId="54EFF496" w14:textId="5F12480D" w:rsidR="00705B0A" w:rsidRDefault="009B52EA">
      <w:r>
        <w:t>Recognition schemes are a core element of total reward and focus on ackno</w:t>
      </w:r>
      <w:r w:rsidR="00DC6414">
        <w:t xml:space="preserve">wledging employee effort, behaviours and achievements rather than contractual pay. Effective </w:t>
      </w:r>
      <w:r w:rsidR="007F3F9E">
        <w:t>recognition supports motivation, engagement and cultural alignment at relatively low cost. As noted by Armstrong’s handbook</w:t>
      </w:r>
      <w:r w:rsidR="00D9119B">
        <w:t xml:space="preserve"> of reward and management practice, recognition is most effective </w:t>
      </w:r>
      <w:r w:rsidR="00501155">
        <w:t xml:space="preserve">when it is timely, meaningful and clearly linked to organisational values. Research also indicates that recognition plays </w:t>
      </w:r>
      <w:r w:rsidR="00CC258C">
        <w:t xml:space="preserve">a significant role in improving employee engagement and performance, particularly in organisations experiencing morale or retention challenges (Gallup,2024; </w:t>
      </w:r>
      <w:r w:rsidR="00D919DD">
        <w:t xml:space="preserve">Kerr and Slocum,2005). </w:t>
      </w:r>
    </w:p>
    <w:p w14:paraId="7F557E15" w14:textId="1E006F7F" w:rsidR="00D919DD" w:rsidRDefault="00D919DD">
      <w:r>
        <w:t xml:space="preserve">Informal, day-to-day recognition includes verbal prise, thank-you messages or immediate acknowledgement by line managers. </w:t>
      </w:r>
      <w:r w:rsidR="00A656CB">
        <w:t xml:space="preserve">Its defining feature is immediacy, allowing recognition to be closely linked to the behaviour being reinforced. The key merit </w:t>
      </w:r>
      <w:r w:rsidR="004A167E">
        <w:t xml:space="preserve">of informal recognition is its ability to strengthen trust, reinforce positive behaviours and enhance manager-employee relationships. </w:t>
      </w:r>
      <w:r w:rsidR="00B5582E">
        <w:t xml:space="preserve">Evidence suggests that frequent and sincere recognition increases discretionary effort and </w:t>
      </w:r>
      <w:proofErr w:type="gramStart"/>
      <w:r w:rsidR="00B5582E">
        <w:t>engagement(</w:t>
      </w:r>
      <w:proofErr w:type="gramEnd"/>
      <w:r w:rsidR="00BC348F" w:rsidRPr="00BC348F">
        <w:t>Gallup, 2024; Antoni et al., 2017</w:t>
      </w:r>
      <w:r w:rsidR="00BC348F">
        <w:t>)</w:t>
      </w:r>
      <w:r w:rsidR="00733546">
        <w:t xml:space="preserve">. Armstrong and </w:t>
      </w:r>
      <w:r w:rsidR="004A6197">
        <w:t>brown</w:t>
      </w:r>
      <w:r w:rsidR="00733546">
        <w:t xml:space="preserve"> (2019) further argue that informal rec</w:t>
      </w:r>
      <w:r w:rsidR="001978A6">
        <w:t xml:space="preserve">ognition can be more motivating than formal rewards when it is authentic and consistently applied. </w:t>
      </w:r>
    </w:p>
    <w:p w14:paraId="2C8310CE" w14:textId="7F4DFC90" w:rsidR="001978A6" w:rsidRDefault="00622E4D">
      <w:r>
        <w:t>Formal and public recognition schemes are more structured and include initiatives such as employee</w:t>
      </w:r>
      <w:r w:rsidR="00797753">
        <w:t xml:space="preserve">-of-the-month awards, annual recognition programmes or values-based awards presented in team meetings or organisational communications. Their key features are visibility, consistency and defined </w:t>
      </w:r>
      <w:r w:rsidR="00FC28DE">
        <w:t>criteria</w:t>
      </w:r>
      <w:r w:rsidR="00797753">
        <w:t xml:space="preserve">. </w:t>
      </w:r>
      <w:r w:rsidR="006B156B">
        <w:t xml:space="preserve">The merit of these </w:t>
      </w:r>
      <w:r w:rsidR="000C3C7B">
        <w:t xml:space="preserve">schemes lies in their ability to reinforce </w:t>
      </w:r>
      <w:r w:rsidR="00062AC3">
        <w:t xml:space="preserve">organisational values and </w:t>
      </w:r>
      <w:r w:rsidR="00EB0C62">
        <w:t>signal</w:t>
      </w:r>
      <w:r w:rsidR="00062AC3">
        <w:t xml:space="preserve"> which behaviours are rewarded. Public recognition can motivate </w:t>
      </w:r>
      <w:r w:rsidR="00E70A77">
        <w:t>both recipients and peers by creating shared norms and expectations (Ke</w:t>
      </w:r>
      <w:r w:rsidR="00F13E57">
        <w:t xml:space="preserve">rr and Slocum,2005). However, such schemes require </w:t>
      </w:r>
      <w:r w:rsidR="00A0774D">
        <w:t xml:space="preserve">transparent </w:t>
      </w:r>
      <w:r w:rsidR="00EB0C62">
        <w:t>criteria</w:t>
      </w:r>
      <w:r w:rsidR="00A0774D">
        <w:t xml:space="preserve"> to avoid perceptions of favouritism. </w:t>
      </w:r>
    </w:p>
    <w:p w14:paraId="276105BA" w14:textId="05A57376" w:rsidR="00A0774D" w:rsidRDefault="00A0774D">
      <w:r>
        <w:t xml:space="preserve">Non-cash recognition awards, such as vouchers, gifts or experience-based rewards, offer flexibility and personalisation. Their merit lies in perceived value rather than monetary cost, making them memorable and emotionally meaningful. Research suggests that </w:t>
      </w:r>
      <w:r w:rsidR="00970CA9">
        <w:t xml:space="preserve">non-cash rewards are often more effective than small cash awards in sustaining motivation, as they are less likely to be viewed as an </w:t>
      </w:r>
      <w:proofErr w:type="gramStart"/>
      <w:r w:rsidR="00970CA9">
        <w:t>entit</w:t>
      </w:r>
      <w:r w:rsidR="003D60AF">
        <w:t>lement( Hajduck</w:t>
      </w:r>
      <w:proofErr w:type="gramEnd"/>
      <w:r w:rsidR="003D60AF">
        <w:t xml:space="preserve">,2017). Tailoring non-cash rewards to individual </w:t>
      </w:r>
      <w:r w:rsidR="00EB0C62">
        <w:t>preferences</w:t>
      </w:r>
      <w:r w:rsidR="003D60AF">
        <w:t xml:space="preserve"> further enhances </w:t>
      </w:r>
      <w:proofErr w:type="gramStart"/>
      <w:r w:rsidR="003D60AF">
        <w:t>engagement(</w:t>
      </w:r>
      <w:proofErr w:type="gramEnd"/>
      <w:r w:rsidR="00643A74">
        <w:t xml:space="preserve">Gallup,2024). </w:t>
      </w:r>
    </w:p>
    <w:p w14:paraId="746C7451" w14:textId="64CB36B9" w:rsidR="00643A74" w:rsidRDefault="00643A74">
      <w:r>
        <w:t xml:space="preserve">Cash awards, while providing immediate </w:t>
      </w:r>
      <w:r w:rsidR="003E1DFD">
        <w:t>gr</w:t>
      </w:r>
      <w:r w:rsidR="00256F1F">
        <w:t xml:space="preserve">atification, may have a limited long-term motivational impact if used </w:t>
      </w:r>
      <w:r w:rsidR="00EB0C62">
        <w:t>frequently</w:t>
      </w:r>
      <w:r w:rsidR="00256F1F">
        <w:t xml:space="preserve">, as employees may quickly incorporate them into pay </w:t>
      </w:r>
      <w:proofErr w:type="gramStart"/>
      <w:r w:rsidR="00256F1F">
        <w:t>expectations(</w:t>
      </w:r>
      <w:proofErr w:type="gramEnd"/>
      <w:r w:rsidR="00256F1F">
        <w:t xml:space="preserve">Armstrong and Brown,2019). </w:t>
      </w:r>
      <w:r w:rsidR="00D5350C">
        <w:t xml:space="preserve">For </w:t>
      </w:r>
      <w:proofErr w:type="spellStart"/>
      <w:r w:rsidR="00A45BC3">
        <w:t>GreenFriendlyEco</w:t>
      </w:r>
      <w:proofErr w:type="spellEnd"/>
      <w:r w:rsidR="00D5350C">
        <w:t xml:space="preserve">, a balanced recognition approach combining informal recognition, structured public </w:t>
      </w:r>
      <w:r w:rsidR="00EB0C62">
        <w:t>schemes</w:t>
      </w:r>
      <w:r w:rsidR="00D5350C">
        <w:t xml:space="preserve"> and selective non-cash awards would offer the greatest merit by improving engagement and reinforcing culture in a cost-effective and sustainable way. </w:t>
      </w:r>
    </w:p>
    <w:p w14:paraId="0C655333" w14:textId="77777777" w:rsidR="00990D7F" w:rsidRDefault="00990D7F"/>
    <w:p w14:paraId="7B407B18" w14:textId="77777777" w:rsidR="00F01A85" w:rsidRDefault="00F01A85"/>
    <w:p w14:paraId="0A3D113F" w14:textId="77777777" w:rsidR="00F01A85" w:rsidRDefault="00F01A85"/>
    <w:p w14:paraId="0A70294A" w14:textId="77777777" w:rsidR="00F01A85" w:rsidRDefault="00F01A85"/>
    <w:p w14:paraId="104A0288" w14:textId="77777777" w:rsidR="00F01A85" w:rsidRDefault="00F01A85"/>
    <w:p w14:paraId="4A87085C" w14:textId="2C49A782" w:rsidR="00F01A85" w:rsidRDefault="00B05243">
      <w:r>
        <w:t xml:space="preserve">7. </w:t>
      </w:r>
      <w:proofErr w:type="gramStart"/>
      <w:r w:rsidR="003B685D">
        <w:t>AC(</w:t>
      </w:r>
      <w:proofErr w:type="gramEnd"/>
      <w:r w:rsidR="003B685D">
        <w:t>3.1):</w:t>
      </w:r>
    </w:p>
    <w:p w14:paraId="004F2C14" w14:textId="77A3F601" w:rsidR="003B685D" w:rsidRDefault="00E47CDE">
      <w:r>
        <w:t xml:space="preserve">The reward environment within which organisations </w:t>
      </w:r>
      <w:r w:rsidR="008A349B">
        <w:t xml:space="preserve">operate is shaped by a combination of external economic </w:t>
      </w:r>
      <w:r w:rsidR="00F143D4">
        <w:t xml:space="preserve">conditions and internal organisational factors. Understanding this context enables organisations to use benchmarking data effectively </w:t>
      </w:r>
      <w:r w:rsidR="00BD26F3">
        <w:t xml:space="preserve">to design reward approaches that are competitive, fair, </w:t>
      </w:r>
      <w:proofErr w:type="gramStart"/>
      <w:r w:rsidR="00BD26F3">
        <w:t>sustainable</w:t>
      </w:r>
      <w:r w:rsidR="001613E6">
        <w:t>(</w:t>
      </w:r>
      <w:proofErr w:type="gramEnd"/>
      <w:r w:rsidR="001613E6">
        <w:t>CIPD,2024)</w:t>
      </w:r>
      <w:r w:rsidR="00BD26F3">
        <w:t xml:space="preserve">. For </w:t>
      </w:r>
      <w:proofErr w:type="spellStart"/>
      <w:r w:rsidR="00A45BC3">
        <w:t>GreenFriendlyEco</w:t>
      </w:r>
      <w:proofErr w:type="spellEnd"/>
      <w:r w:rsidR="00BD26F3">
        <w:t xml:space="preserve">, which operates in the UK </w:t>
      </w:r>
      <w:r w:rsidR="00AD4D45">
        <w:t>private</w:t>
      </w:r>
      <w:r w:rsidR="00BD26F3">
        <w:t xml:space="preserve"> </w:t>
      </w:r>
      <w:r w:rsidR="00F421ED">
        <w:t>manufacturing</w:t>
      </w:r>
      <w:r w:rsidR="00BD26F3">
        <w:t xml:space="preserve"> sector, the reward environment is currently influenced by labour market pressures, economi</w:t>
      </w:r>
      <w:r w:rsidR="002B1388">
        <w:t xml:space="preserve">c uncertainty and evolving employee expectations. </w:t>
      </w:r>
    </w:p>
    <w:p w14:paraId="15ACA8F7" w14:textId="1A6539E4" w:rsidR="00F01A85" w:rsidRDefault="00F421ED">
      <w:r>
        <w:t xml:space="preserve">Externally, the UK labour </w:t>
      </w:r>
      <w:r w:rsidR="00AD4D45">
        <w:t>market</w:t>
      </w:r>
      <w:r>
        <w:t xml:space="preserve"> presents significant challenges for reward strategy. Recent </w:t>
      </w:r>
      <w:r w:rsidR="00AD4D45">
        <w:t>labour</w:t>
      </w:r>
      <w:r>
        <w:t xml:space="preserve"> market statistics show continued skills shortages, reduced labour market participation and increased competition for skilled workers, </w:t>
      </w:r>
      <w:r w:rsidR="00C57B4F">
        <w:t xml:space="preserve">particularly in technical and operational </w:t>
      </w:r>
      <w:proofErr w:type="gramStart"/>
      <w:r w:rsidR="00C57B4F">
        <w:t>roles(</w:t>
      </w:r>
      <w:proofErr w:type="gramEnd"/>
      <w:r w:rsidR="00C57B4F">
        <w:t>Francis</w:t>
      </w:r>
      <w:r w:rsidR="00013A2C">
        <w:t xml:space="preserve">-Devine and Powell,2024). </w:t>
      </w:r>
      <w:r w:rsidR="00FC56A9">
        <w:t xml:space="preserve">These conditions have </w:t>
      </w:r>
      <w:r w:rsidR="0025536E">
        <w:t>arisen due to dem</w:t>
      </w:r>
      <w:r w:rsidR="006C5904">
        <w:t xml:space="preserve">ographic changes, post-pandemic workforce shifts and sector-specific demand. The impact on reward is upward pressure </w:t>
      </w:r>
      <w:r w:rsidR="00AD4D45">
        <w:t xml:space="preserve">on pay levels and benefits, as organisations must remain competitive to attract and retain talent. Armstrong and Bown (2019) argue that in tight labour markets, organisations must benchmark pay and benefits carefully to avoid turnover driven by external pay competition. CIPD (2024) further highlights that reward strategies increasingly need to balance affordability with market responsiveness to maintain organisational performance. </w:t>
      </w:r>
    </w:p>
    <w:p w14:paraId="63FCA7C3" w14:textId="6897040B" w:rsidR="00F01A85" w:rsidRDefault="00727DF7">
      <w:r>
        <w:t xml:space="preserve">Economic conditions </w:t>
      </w:r>
      <w:r w:rsidR="009A4C0B">
        <w:t>and</w:t>
      </w:r>
      <w:r>
        <w:t xml:space="preserve"> business confidence also shape the reward environment. Ongoing cost pressures, inflation and uncertainty </w:t>
      </w:r>
      <w:r w:rsidR="00FF3069">
        <w:t xml:space="preserve">around economic growth have led many organisations to adopt more </w:t>
      </w:r>
      <w:r w:rsidR="009A4C0B">
        <w:t>cautious</w:t>
      </w:r>
      <w:r w:rsidR="00FF3069">
        <w:t xml:space="preserve"> pay rev</w:t>
      </w:r>
      <w:r w:rsidR="00BC4CF0">
        <w:t xml:space="preserve">iew </w:t>
      </w:r>
      <w:proofErr w:type="gramStart"/>
      <w:r w:rsidR="00BC4CF0">
        <w:t>approach</w:t>
      </w:r>
      <w:r w:rsidR="000A43DA">
        <w:t>es(</w:t>
      </w:r>
      <w:proofErr w:type="gramEnd"/>
      <w:r w:rsidR="000A43DA">
        <w:t xml:space="preserve">Francis-Devine and Powell,2024). </w:t>
      </w:r>
      <w:r w:rsidR="002A0889">
        <w:t>This context increases the importance of variable and non-con</w:t>
      </w:r>
      <w:r w:rsidR="00743961">
        <w:t>solidated reward elements, allowing organisations to control fixed costs while still recognising performance. According to To</w:t>
      </w:r>
      <w:r w:rsidR="004724A8">
        <w:t xml:space="preserve">rrington et al. (2020), organisations operating in volatile economic </w:t>
      </w:r>
      <w:r w:rsidR="00BE3E14">
        <w:t xml:space="preserve">conditions are </w:t>
      </w:r>
      <w:r w:rsidR="009A4C0B">
        <w:t xml:space="preserve">more likely to rely on flexible reward mechanisms informed by market benchmarking. For </w:t>
      </w:r>
      <w:proofErr w:type="spellStart"/>
      <w:r w:rsidR="00A45BC3">
        <w:t>GreenFriendlyEco</w:t>
      </w:r>
      <w:proofErr w:type="spellEnd"/>
      <w:r w:rsidR="009A4C0B">
        <w:t xml:space="preserve">, this context suggests the need to assess sector pay trends and reward practices to ensure sustainability without undermining engagement. </w:t>
      </w:r>
    </w:p>
    <w:p w14:paraId="20D0C916" w14:textId="384DDEAD" w:rsidR="009A4C0B" w:rsidRDefault="007842A3">
      <w:r>
        <w:t>Internal factors also significantly influence the reward environment. These include organisational culture, internal equity, the ps</w:t>
      </w:r>
      <w:r w:rsidR="00314F21">
        <w:t>ychological contract and per</w:t>
      </w:r>
      <w:r w:rsidR="002F7CEC">
        <w:t>ceptions of fairness. Where reward systems are per</w:t>
      </w:r>
      <w:r w:rsidR="00706D06">
        <w:t xml:space="preserve">ceived as inequitable or </w:t>
      </w:r>
      <w:r w:rsidR="00D077F6">
        <w:t xml:space="preserve">opaque, employee trust and </w:t>
      </w:r>
      <w:r w:rsidR="004A0874">
        <w:t>motiv</w:t>
      </w:r>
      <w:r w:rsidR="00E2089B">
        <w:t xml:space="preserve">ation can deteriorate, increasing turnover </w:t>
      </w:r>
      <w:proofErr w:type="gramStart"/>
      <w:r w:rsidR="00E2089B">
        <w:t>risk(</w:t>
      </w:r>
      <w:proofErr w:type="gramEnd"/>
      <w:r w:rsidR="00E2089B">
        <w:t>Arms</w:t>
      </w:r>
      <w:r w:rsidR="00D94CA5">
        <w:t xml:space="preserve">trong and Bown,2019). </w:t>
      </w:r>
    </w:p>
    <w:p w14:paraId="3035EA47" w14:textId="2FD6BEA6" w:rsidR="00C3365D" w:rsidRDefault="00622040">
      <w:r>
        <w:t xml:space="preserve">Equity theory suggests employees compare their rewards internally and externally, using market data as a reference </w:t>
      </w:r>
      <w:proofErr w:type="gramStart"/>
      <w:r>
        <w:t>point(</w:t>
      </w:r>
      <w:proofErr w:type="gramEnd"/>
      <w:r>
        <w:t>Torrington et al</w:t>
      </w:r>
      <w:r w:rsidR="00A92429">
        <w:t xml:space="preserve">., 2020). If </w:t>
      </w:r>
      <w:proofErr w:type="spellStart"/>
      <w:r w:rsidR="00A45BC3">
        <w:t>GreenFriendlyEco</w:t>
      </w:r>
      <w:r w:rsidR="00A92429">
        <w:t>’s</w:t>
      </w:r>
      <w:proofErr w:type="spellEnd"/>
      <w:r w:rsidR="00A92429">
        <w:t xml:space="preserve"> reward practices </w:t>
      </w:r>
      <w:proofErr w:type="gramStart"/>
      <w:r w:rsidR="00A92429">
        <w:t>lag behind</w:t>
      </w:r>
      <w:proofErr w:type="gramEnd"/>
      <w:r w:rsidR="00A92429">
        <w:t xml:space="preserve"> sector norms, benchmarking data would indicate risk to retention and engagement. CIPD (2024) emphasises that internal pay structures must be aligned with </w:t>
      </w:r>
      <w:r w:rsidR="007C48FD">
        <w:t xml:space="preserve">external benchmarks to support fairness, transparency and effective pay determination. </w:t>
      </w:r>
    </w:p>
    <w:p w14:paraId="65CBD164" w14:textId="68BDB13B" w:rsidR="007C48FD" w:rsidRDefault="00F0718A">
      <w:r>
        <w:t>In summary, the reward environment is shaped by labour market conditions, economic pressures, regulatory</w:t>
      </w:r>
      <w:r w:rsidR="00E724A1">
        <w:t xml:space="preserve"> expectations and internal organisational dynamics. For </w:t>
      </w:r>
      <w:proofErr w:type="spellStart"/>
      <w:r w:rsidR="00A45BC3">
        <w:t>GreenFriendlyEco</w:t>
      </w:r>
      <w:proofErr w:type="spellEnd"/>
      <w:r w:rsidR="00E724A1">
        <w:t xml:space="preserve">, developing insight from benchmarking data is essential to assess competitiveness, manage reward costs and address internal equity concerns. A clear understanding of this </w:t>
      </w:r>
      <w:r w:rsidR="001E04B9">
        <w:t xml:space="preserve">business </w:t>
      </w:r>
      <w:r w:rsidR="001E04B9">
        <w:lastRenderedPageBreak/>
        <w:t xml:space="preserve">context enables informed reward decisions that support attraction, retention and sustained organisational performance. </w:t>
      </w:r>
    </w:p>
    <w:p w14:paraId="5DD8FEF0" w14:textId="77777777" w:rsidR="00F01A85" w:rsidRDefault="00F01A85"/>
    <w:p w14:paraId="1FAF797A" w14:textId="77777777" w:rsidR="00F01A85" w:rsidRDefault="00F01A85"/>
    <w:p w14:paraId="43F48655" w14:textId="5280D3BC" w:rsidR="00F01A85" w:rsidRDefault="00E02EB7">
      <w:r>
        <w:t xml:space="preserve">8. </w:t>
      </w:r>
      <w:proofErr w:type="gramStart"/>
      <w:r w:rsidR="00B02A15">
        <w:t>AC(</w:t>
      </w:r>
      <w:proofErr w:type="gramEnd"/>
      <w:r w:rsidR="00B02A15">
        <w:t>3.2):</w:t>
      </w:r>
    </w:p>
    <w:p w14:paraId="61FA702B" w14:textId="10E7BAD1" w:rsidR="00B02A15" w:rsidRDefault="00212D18">
      <w:r>
        <w:t xml:space="preserve">Benchmarking </w:t>
      </w:r>
      <w:r w:rsidR="00015D73">
        <w:t xml:space="preserve">data enables organisations to make evidence-based reward decisions by comparing internal reward practices against external market </w:t>
      </w:r>
      <w:proofErr w:type="gramStart"/>
      <w:r w:rsidR="00C5792B">
        <w:t>standards</w:t>
      </w:r>
      <w:r w:rsidR="00691803">
        <w:t>(</w:t>
      </w:r>
      <w:proofErr w:type="gramEnd"/>
      <w:r w:rsidR="00691803">
        <w:t>Armstrong and Brown,2019).</w:t>
      </w:r>
      <w:r w:rsidR="00C5792B">
        <w:t xml:space="preserve"> To develop meaningful insight, organisations must evaluate the validity, reliability and applicability of available data </w:t>
      </w:r>
      <w:r w:rsidR="00227F4F">
        <w:t>sources rather than relying on a single dataset</w:t>
      </w:r>
      <w:r w:rsidR="00FE11CC">
        <w:t>.</w:t>
      </w:r>
    </w:p>
    <w:p w14:paraId="233D9A8A" w14:textId="6AAE7BA2" w:rsidR="00691803" w:rsidRDefault="00691803">
      <w:r>
        <w:t xml:space="preserve">One of the most widely used sources of benchmarking data is reward and salary </w:t>
      </w:r>
      <w:r w:rsidR="003534FF">
        <w:t>surveys</w:t>
      </w:r>
      <w:r>
        <w:t xml:space="preserve"> produced by professional bodies and </w:t>
      </w:r>
      <w:proofErr w:type="gramStart"/>
      <w:r>
        <w:t>specialists</w:t>
      </w:r>
      <w:proofErr w:type="gramEnd"/>
      <w:r>
        <w:t xml:space="preserve"> providers. </w:t>
      </w:r>
      <w:r w:rsidR="003534FF">
        <w:t>According to (CIPD,2024</w:t>
      </w:r>
      <w:r w:rsidR="00EB4D48">
        <w:t>a</w:t>
      </w:r>
      <w:proofErr w:type="gramStart"/>
      <w:r w:rsidR="003534FF">
        <w:t>)</w:t>
      </w:r>
      <w:r w:rsidR="00AD54CA">
        <w:t>,</w:t>
      </w:r>
      <w:r>
        <w:t>These</w:t>
      </w:r>
      <w:proofErr w:type="gramEnd"/>
      <w:r>
        <w:t xml:space="preserve"> surveys provi</w:t>
      </w:r>
      <w:r w:rsidR="00682B41">
        <w:t>de comparative data on pay levels, benefits and reward practices across sectors and occupations</w:t>
      </w:r>
      <w:r w:rsidR="00AD54CA">
        <w:t xml:space="preserve"> and </w:t>
      </w:r>
      <w:r w:rsidR="00682B41">
        <w:t>Their value</w:t>
      </w:r>
      <w:r w:rsidR="003534FF">
        <w:t xml:space="preserve"> lies in offering market-aligned benchmarks that support pay positioning decisions. </w:t>
      </w:r>
      <w:r w:rsidR="0079098C">
        <w:t>(CIPD,2024</w:t>
      </w:r>
      <w:r w:rsidR="00AF3911">
        <w:t>b</w:t>
      </w:r>
      <w:r w:rsidR="0079098C">
        <w:t xml:space="preserve">) suggests that salary surveys are most reliable when they are a role-matched using job evaluation and are based on sufficiently large and representative samples. </w:t>
      </w:r>
      <w:r w:rsidR="00914065">
        <w:t xml:space="preserve">However, their applicability can be limited if job roles are poorly matched or if survey data is outdated, reducing accuracy in fast-changing labour </w:t>
      </w:r>
      <w:proofErr w:type="gramStart"/>
      <w:r w:rsidR="00914065">
        <w:t>markets(</w:t>
      </w:r>
      <w:proofErr w:type="gramEnd"/>
      <w:r w:rsidR="00655B3C">
        <w:t xml:space="preserve">Armstrong and Bown,2019; Torrington et al., 2020). </w:t>
      </w:r>
    </w:p>
    <w:p w14:paraId="23FDF6C5" w14:textId="72AC3EC2" w:rsidR="00655B3C" w:rsidRDefault="00B8562C">
      <w:r>
        <w:t>A second important method is the use of government labour market stat</w:t>
      </w:r>
      <w:r w:rsidR="00BC64A3">
        <w:t xml:space="preserve">istics, including data on earnings, working hours, inflation, vacancies and </w:t>
      </w:r>
      <w:proofErr w:type="gramStart"/>
      <w:r w:rsidR="00BC64A3">
        <w:t>unemployment(</w:t>
      </w:r>
      <w:proofErr w:type="gramEnd"/>
      <w:r w:rsidR="00C84A5A">
        <w:t xml:space="preserve">Torrington et al.,2020). </w:t>
      </w:r>
      <w:r w:rsidR="00FE6350">
        <w:t xml:space="preserve">These datasets are highly reliable due to robust data collection methods and regulatory </w:t>
      </w:r>
      <w:proofErr w:type="gramStart"/>
      <w:r w:rsidR="00FE6350">
        <w:t>oversight</w:t>
      </w:r>
      <w:proofErr w:type="gramEnd"/>
      <w:r w:rsidR="00393781">
        <w:t xml:space="preserve"> and t</w:t>
      </w:r>
      <w:r w:rsidR="00E807A2">
        <w:t xml:space="preserve">heir value lies in providing macro-level insight into economic conditions and labour supply trends, which helps organisations anticipate pay pressures and recruitment </w:t>
      </w:r>
      <w:proofErr w:type="gramStart"/>
      <w:r w:rsidR="00E807A2">
        <w:t>challenges</w:t>
      </w:r>
      <w:r w:rsidR="00393781">
        <w:t>(</w:t>
      </w:r>
      <w:proofErr w:type="gramEnd"/>
      <w:r w:rsidR="00393781">
        <w:t>CIPD,2024</w:t>
      </w:r>
      <w:r w:rsidR="00EB4D48">
        <w:t>a</w:t>
      </w:r>
      <w:r w:rsidR="00393781">
        <w:t xml:space="preserve">). </w:t>
      </w:r>
      <w:r w:rsidR="00833629">
        <w:t xml:space="preserve">However, such data lacks organisational or role-specific detail, limiting its direct applicability to pay setting decisions without supplementary market </w:t>
      </w:r>
      <w:proofErr w:type="gramStart"/>
      <w:r w:rsidR="00833629">
        <w:t>data(</w:t>
      </w:r>
      <w:proofErr w:type="gramEnd"/>
      <w:r w:rsidR="00677191">
        <w:t xml:space="preserve">Torrington et al.,2020). </w:t>
      </w:r>
    </w:p>
    <w:p w14:paraId="2AB9D895" w14:textId="5423001C" w:rsidR="00EB4D48" w:rsidRDefault="00AB0D2D">
      <w:r>
        <w:t xml:space="preserve">According to CIPD,2024a, </w:t>
      </w:r>
      <w:r w:rsidR="00EA34F0">
        <w:t>Internal payroll and HR data represent</w:t>
      </w:r>
      <w:r w:rsidR="00AF3911">
        <w:t>s</w:t>
      </w:r>
      <w:r w:rsidR="00EA34F0">
        <w:t xml:space="preserve"> another valuable benchmarking sources. </w:t>
      </w:r>
      <w:r>
        <w:t>This includes information on pay distribution, pay progression, turnover rates and reward costs</w:t>
      </w:r>
      <w:r w:rsidR="007908F7">
        <w:t xml:space="preserve"> and </w:t>
      </w:r>
      <w:r>
        <w:t xml:space="preserve">Its reliability is high, as the data organisation-specific and </w:t>
      </w:r>
      <w:proofErr w:type="gramStart"/>
      <w:r>
        <w:t>current</w:t>
      </w:r>
      <w:r w:rsidR="007908F7">
        <w:t>(</w:t>
      </w:r>
      <w:proofErr w:type="gramEnd"/>
      <w:r w:rsidR="007908F7">
        <w:t xml:space="preserve">CIPD,2024a). </w:t>
      </w:r>
      <w:r w:rsidR="008F66CA">
        <w:t xml:space="preserve">internal data allows organisations to assess internal equity and identify gaps between internal pay structures and external benchmarks. </w:t>
      </w:r>
      <w:r w:rsidR="005E388F">
        <w:t>Armstrong and Brown (2019) emphasise that internal data is essential for ensuring reward decisions</w:t>
      </w:r>
      <w:r w:rsidR="00EB34BD">
        <w:t xml:space="preserve"> remain fair and sustainable. However, its limitation is that it does not provide insight into external competitiveness unless combined with market </w:t>
      </w:r>
      <w:proofErr w:type="gramStart"/>
      <w:r w:rsidR="00EB34BD">
        <w:t>data(</w:t>
      </w:r>
      <w:proofErr w:type="gramEnd"/>
      <w:r w:rsidR="00EB34BD">
        <w:t>Tor</w:t>
      </w:r>
      <w:r w:rsidR="00235BCD">
        <w:t xml:space="preserve">rington et al.,2020). </w:t>
      </w:r>
    </w:p>
    <w:p w14:paraId="22312CBF" w14:textId="7C9A4FA0" w:rsidR="00235BCD" w:rsidRDefault="00235BCD">
      <w:r>
        <w:t xml:space="preserve">Finally, </w:t>
      </w:r>
      <w:r w:rsidR="004826EF">
        <w:t>according to (</w:t>
      </w:r>
      <w:r w:rsidR="00F95069">
        <w:t xml:space="preserve">CIPD,2024a), </w:t>
      </w:r>
      <w:r>
        <w:t>recruitment and vacancy data, including time-</w:t>
      </w:r>
      <w:r w:rsidR="004826EF">
        <w:t>to hire</w:t>
      </w:r>
      <w:r>
        <w:t>, offer accep</w:t>
      </w:r>
      <w:r w:rsidR="007552B8">
        <w:t>tance rates and competitor job adverts, provides real-time insight into market demand. Its key merit is immediacy, allowing organisations to respond quickly to skills shortages or pay misalignment</w:t>
      </w:r>
      <w:r w:rsidR="002349F0">
        <w:t xml:space="preserve">. However, such data can be inconsistent and influenced by short-term market fluctuations, reducing reliability if used in </w:t>
      </w:r>
      <w:proofErr w:type="gramStart"/>
      <w:r w:rsidR="002349F0">
        <w:t>isolation(</w:t>
      </w:r>
      <w:proofErr w:type="gramEnd"/>
      <w:r w:rsidR="004826EF">
        <w:t xml:space="preserve">CIPD,2024a). </w:t>
      </w:r>
    </w:p>
    <w:p w14:paraId="28C00E70" w14:textId="0376A29D" w:rsidR="00F95069" w:rsidRDefault="003B03B3">
      <w:r>
        <w:t>In conclusion</w:t>
      </w:r>
      <w:r w:rsidR="00F95069">
        <w:t xml:space="preserve">, most effective </w:t>
      </w:r>
      <w:r>
        <w:t>benchmarking</w:t>
      </w:r>
      <w:r w:rsidR="003B189E">
        <w:t xml:space="preserve"> insight is developed by triangulating multiple data sources. For </w:t>
      </w:r>
      <w:proofErr w:type="spellStart"/>
      <w:r w:rsidR="00A45BC3">
        <w:t>GreenFriendlyEco</w:t>
      </w:r>
      <w:proofErr w:type="spellEnd"/>
      <w:r w:rsidR="003B189E">
        <w:t xml:space="preserve">, combining salary surveys, government statistics, internal payroll data and </w:t>
      </w:r>
      <w:r>
        <w:t>recruitment</w:t>
      </w:r>
      <w:r w:rsidR="003B189E">
        <w:t xml:space="preserve"> </w:t>
      </w:r>
      <w:r>
        <w:t xml:space="preserve">intelligence would provide a robust evidence base to inform reward decisions that are competitive, equitable, and sustainable. </w:t>
      </w:r>
    </w:p>
    <w:p w14:paraId="6EB15056" w14:textId="77777777" w:rsidR="00181358" w:rsidRDefault="00181358"/>
    <w:p w14:paraId="4AA203A1" w14:textId="77777777" w:rsidR="00181358" w:rsidRDefault="00181358"/>
    <w:p w14:paraId="6712750E" w14:textId="77777777" w:rsidR="00181358" w:rsidRDefault="00181358"/>
    <w:p w14:paraId="632DF2AD" w14:textId="4364925A" w:rsidR="00181358" w:rsidRDefault="00181358">
      <w:r>
        <w:t>9. (AC</w:t>
      </w:r>
      <w:r w:rsidR="00AF5974">
        <w:t xml:space="preserve">3.3): </w:t>
      </w:r>
    </w:p>
    <w:p w14:paraId="1EB32F51" w14:textId="68B23A20" w:rsidR="00F01A85" w:rsidRDefault="00885965">
      <w:r>
        <w:t>J</w:t>
      </w:r>
      <w:r w:rsidR="0086076B">
        <w:t>ob evaluation is a system</w:t>
      </w:r>
      <w:r w:rsidR="00D364B0">
        <w:t xml:space="preserve">atic process used to determine the relative value of jobs within an organisation </w:t>
      </w:r>
      <w:proofErr w:type="gramStart"/>
      <w:r w:rsidR="00D364B0">
        <w:t>in order to</w:t>
      </w:r>
      <w:proofErr w:type="gramEnd"/>
      <w:r w:rsidR="00D364B0">
        <w:t xml:space="preserve"> support fair and consistent pay structures (Armstrong and Brown,2019</w:t>
      </w:r>
      <w:r w:rsidR="00834393">
        <w:t xml:space="preserve">). For </w:t>
      </w:r>
      <w:proofErr w:type="spellStart"/>
      <w:r w:rsidR="00A45BC3">
        <w:t>GreenFriendlyEco</w:t>
      </w:r>
      <w:proofErr w:type="spellEnd"/>
      <w:r w:rsidR="00834393">
        <w:t xml:space="preserve">, which is experiencing high employee turnover and perceived inequity in reward provision, job evaluation provides </w:t>
      </w:r>
      <w:r w:rsidR="008A0BF3">
        <w:t xml:space="preserve">a critical foundation for improving internal fairness and informing external benchmarking decisions. According to ACAS (2014), job </w:t>
      </w:r>
      <w:r w:rsidR="005D3394">
        <w:t>evaluation</w:t>
      </w:r>
      <w:r w:rsidR="008A0BF3">
        <w:t xml:space="preserve"> </w:t>
      </w:r>
      <w:r w:rsidR="000F11EE">
        <w:t xml:space="preserve">enables organisations to demonstrate </w:t>
      </w:r>
      <w:r w:rsidR="003A0D31">
        <w:t xml:space="preserve">that pay </w:t>
      </w:r>
      <w:r w:rsidR="005D3394">
        <w:t>differences</w:t>
      </w:r>
      <w:r w:rsidR="003A0D31">
        <w:t xml:space="preserve"> are based on objective job-related factors rather than discriminatory practices. Armstrong and Brown (2019)</w:t>
      </w:r>
      <w:r w:rsidR="00A173AC">
        <w:t xml:space="preserve"> further argue that job evaluation supports transparency in pay determination, which is particularly important for organisations seeking to rebuild trust and engagement, CIPD (2024</w:t>
      </w:r>
      <w:r w:rsidR="00074E74">
        <w:t>a</w:t>
      </w:r>
      <w:r w:rsidR="00A173AC">
        <w:t xml:space="preserve">) highlights that job </w:t>
      </w:r>
      <w:r w:rsidR="005D3394">
        <w:t>evaluation</w:t>
      </w:r>
      <w:r w:rsidR="00A173AC">
        <w:t xml:space="preserve"> </w:t>
      </w:r>
      <w:r w:rsidR="005D3394">
        <w:t xml:space="preserve">is most effective when used alongside market pricing to balance internal equity with external competitiveness. </w:t>
      </w:r>
      <w:r w:rsidR="003A0D31">
        <w:t xml:space="preserve"> </w:t>
      </w:r>
    </w:p>
    <w:p w14:paraId="1D04FEEC" w14:textId="3DE257A8" w:rsidR="00F01A85" w:rsidRDefault="003D3091">
      <w:r>
        <w:t xml:space="preserve">A key distinction exists between formal and informal approaches to job evaluation. Formal approaches involve structured, documented systems with defined criteria, while informal approaches rely on managerial judgment or ad hoc </w:t>
      </w:r>
      <w:proofErr w:type="gramStart"/>
      <w:r>
        <w:t>comparisons</w:t>
      </w:r>
      <w:r w:rsidR="00885965">
        <w:t>(</w:t>
      </w:r>
      <w:proofErr w:type="gramEnd"/>
      <w:r w:rsidR="00885965">
        <w:t xml:space="preserve">CIPD,2024b). </w:t>
      </w:r>
      <w:r w:rsidR="005C71DC">
        <w:t xml:space="preserve">For </w:t>
      </w:r>
      <w:proofErr w:type="spellStart"/>
      <w:r w:rsidR="00A45BC3">
        <w:t>GreenFriendlyEco</w:t>
      </w:r>
      <w:proofErr w:type="spellEnd"/>
      <w:r w:rsidR="005C71DC">
        <w:t xml:space="preserve">, reliance on informal evaluation </w:t>
      </w:r>
      <w:r w:rsidR="003762EE">
        <w:t xml:space="preserve">would increase the risk of inconsistency and perceptions of unfairness, particularly </w:t>
      </w:r>
      <w:r w:rsidR="0046195E">
        <w:t xml:space="preserve">given the existence of enhanced reward arrangements for senior roles. Formal job </w:t>
      </w:r>
      <w:r w:rsidR="004874C5">
        <w:t>evaluation</w:t>
      </w:r>
      <w:r w:rsidR="0046195E">
        <w:t xml:space="preserve"> offers </w:t>
      </w:r>
      <w:r w:rsidR="004874C5">
        <w:t>greater</w:t>
      </w:r>
      <w:r w:rsidR="0046195E">
        <w:t xml:space="preserve"> consistency, transparency and legal defensibility, which is essential in addressing internal concerns around equity and reward fairness (ACAS,2014). Armstrong and Bro</w:t>
      </w:r>
      <w:r w:rsidR="0027009A">
        <w:t>w</w:t>
      </w:r>
      <w:r w:rsidR="0046195E">
        <w:t>n (2019) caution that informal approaches may undermine employee</w:t>
      </w:r>
      <w:r w:rsidR="001C69B9">
        <w:t xml:space="preserve"> confidence in reward decisions, while structures with benchmarking data and eq</w:t>
      </w:r>
      <w:r w:rsidR="004874C5">
        <w:t xml:space="preserve">uality legislation. </w:t>
      </w:r>
    </w:p>
    <w:p w14:paraId="1ADB4943" w14:textId="5E01FFD5" w:rsidR="00F01A85" w:rsidRDefault="004874C5">
      <w:r>
        <w:t xml:space="preserve">Job evaluation </w:t>
      </w:r>
      <w:r w:rsidR="006E1E1B">
        <w:t xml:space="preserve">methods can also be categorised as non-analytical or analytical. Non-analytical approaches, such as job ranking and job classification, </w:t>
      </w:r>
      <w:proofErr w:type="gramStart"/>
      <w:r w:rsidR="006E1E1B">
        <w:t>asses</w:t>
      </w:r>
      <w:proofErr w:type="gramEnd"/>
      <w:r w:rsidR="006E1E1B">
        <w:t xml:space="preserve"> </w:t>
      </w:r>
      <w:r w:rsidR="00E401E0">
        <w:t xml:space="preserve">roles as whole entities rather than breaking them into components. While these methods </w:t>
      </w:r>
      <w:r w:rsidR="007A4B19">
        <w:t xml:space="preserve">are relatively simple and cost-effective, their lack of precision limits their sustainability for organisations facing pay equity </w:t>
      </w:r>
      <w:proofErr w:type="gramStart"/>
      <w:r w:rsidR="007A4B19">
        <w:t>challenges(</w:t>
      </w:r>
      <w:proofErr w:type="gramEnd"/>
      <w:r w:rsidR="007A4B19">
        <w:t xml:space="preserve">ACAS,2014). </w:t>
      </w:r>
      <w:r w:rsidR="008D1EDA">
        <w:t>In contrast</w:t>
      </w:r>
      <w:r w:rsidR="007A4B19">
        <w:t xml:space="preserve">, analytical </w:t>
      </w:r>
      <w:r w:rsidR="00855252">
        <w:t xml:space="preserve">approaches, such as point factor schemes, assess jobs against </w:t>
      </w:r>
      <w:r w:rsidR="008D1EDA">
        <w:t>defined</w:t>
      </w:r>
      <w:r w:rsidR="00855252">
        <w:t xml:space="preserve"> factors including skill, </w:t>
      </w:r>
      <w:r w:rsidR="008D1EDA">
        <w:t>responsibility</w:t>
      </w:r>
      <w:r w:rsidR="00855252">
        <w:t xml:space="preserve">, </w:t>
      </w:r>
      <w:r w:rsidR="00C417DD">
        <w:t xml:space="preserve">effort and working conditions. These approaches </w:t>
      </w:r>
      <w:r w:rsidR="008D1EDA">
        <w:t>provide</w:t>
      </w:r>
      <w:r w:rsidR="00C417DD">
        <w:t xml:space="preserve"> a more objective and auditable basis for pay decisions and are widely </w:t>
      </w:r>
      <w:r w:rsidR="009C2A79">
        <w:t xml:space="preserve">regarded as the most robust for supporting equal pay </w:t>
      </w:r>
      <w:proofErr w:type="gramStart"/>
      <w:r w:rsidR="009C2A79">
        <w:t>defences(</w:t>
      </w:r>
      <w:proofErr w:type="gramEnd"/>
      <w:r w:rsidR="009C2A79">
        <w:t>Armstrong and Brown,2019</w:t>
      </w:r>
      <w:proofErr w:type="gramStart"/>
      <w:r w:rsidR="009C2A79">
        <w:t>);CIPD</w:t>
      </w:r>
      <w:proofErr w:type="gramEnd"/>
      <w:r w:rsidR="00ED058C">
        <w:t>,2024</w:t>
      </w:r>
      <w:r w:rsidR="004A6197">
        <w:t>b</w:t>
      </w:r>
      <w:r w:rsidR="00ED058C">
        <w:t xml:space="preserve">). For </w:t>
      </w:r>
      <w:proofErr w:type="spellStart"/>
      <w:r w:rsidR="00A45BC3">
        <w:t>GreenFriendlyEco</w:t>
      </w:r>
      <w:proofErr w:type="spellEnd"/>
      <w:r w:rsidR="00ED058C">
        <w:t xml:space="preserve">, adopting </w:t>
      </w:r>
      <w:r w:rsidR="008B5A9B">
        <w:t xml:space="preserve">an analytical job evaluation method would support the </w:t>
      </w:r>
      <w:r w:rsidR="008D1EDA">
        <w:t>development</w:t>
      </w:r>
      <w:r w:rsidR="008B5A9B">
        <w:t xml:space="preserve"> of transparent pay structures than can confi</w:t>
      </w:r>
      <w:r w:rsidR="001D2D24">
        <w:t xml:space="preserve">dently benchmarked against market data. </w:t>
      </w:r>
    </w:p>
    <w:p w14:paraId="09D82467" w14:textId="308FC896" w:rsidR="001D2D24" w:rsidRDefault="001D2D24">
      <w:r>
        <w:t xml:space="preserve">Additional analytical techniques such as job matching and job levelling enable organisations to compare internal roles with external benchmark roles and career frameworks. For </w:t>
      </w:r>
      <w:proofErr w:type="spellStart"/>
      <w:r w:rsidR="00A45BC3">
        <w:t>GreenFriendlyEco</w:t>
      </w:r>
      <w:proofErr w:type="spellEnd"/>
      <w:r>
        <w:t xml:space="preserve">, these approaches would </w:t>
      </w:r>
      <w:r w:rsidR="00732FE5">
        <w:t xml:space="preserve">help ensure that internally evaluated roles align with external labour market rates, supporting competitive pay positioning while maintain internal consistency. When applied consistently, job </w:t>
      </w:r>
      <w:r w:rsidR="00C47B6E">
        <w:t xml:space="preserve">evaluation enables </w:t>
      </w:r>
      <w:proofErr w:type="spellStart"/>
      <w:r w:rsidR="00A45BC3">
        <w:t>GreenFriendlyEco</w:t>
      </w:r>
      <w:proofErr w:type="spellEnd"/>
      <w:r w:rsidR="00C47B6E">
        <w:t xml:space="preserve"> to develop fair, transparent and legally compliant reward structures that support evidence-based reward decisions and long-term organisational performance. </w:t>
      </w:r>
    </w:p>
    <w:p w14:paraId="102FAFE4" w14:textId="77777777" w:rsidR="00505E60" w:rsidRDefault="00505E60"/>
    <w:p w14:paraId="47A49A08" w14:textId="77777777" w:rsidR="00F01A85" w:rsidRDefault="00F01A85"/>
    <w:p w14:paraId="08E86D16" w14:textId="77777777" w:rsidR="0027009A" w:rsidRDefault="0027009A"/>
    <w:p w14:paraId="395789EC" w14:textId="77777777" w:rsidR="0027009A" w:rsidRDefault="0027009A"/>
    <w:p w14:paraId="6940DFD1" w14:textId="77777777" w:rsidR="00505E60" w:rsidRDefault="00505E60"/>
    <w:p w14:paraId="53F4E832" w14:textId="6E642741" w:rsidR="00505E60" w:rsidRDefault="00505E60">
      <w:r>
        <w:t>10. (AC</w:t>
      </w:r>
      <w:r w:rsidR="00BA32D6">
        <w:t>3.4:</w:t>
      </w:r>
    </w:p>
    <w:p w14:paraId="04BD1BC9" w14:textId="1D019141" w:rsidR="00BA32D6" w:rsidRDefault="00CF055A">
      <w:r>
        <w:t xml:space="preserve">Reward practices </w:t>
      </w:r>
      <w:r w:rsidR="00B87D8E">
        <w:t>i</w:t>
      </w:r>
      <w:r>
        <w:t xml:space="preserve">n the UK are heavily influenced by employment and tax </w:t>
      </w:r>
      <w:r w:rsidR="00F978B3">
        <w:t xml:space="preserve">legislation, requiring organisations to ensure that pay and benefits are lawful, transparent and equitable. For </w:t>
      </w:r>
      <w:proofErr w:type="spellStart"/>
      <w:r w:rsidR="00A45BC3">
        <w:t>GreenFriendlyEco</w:t>
      </w:r>
      <w:proofErr w:type="spellEnd"/>
      <w:r w:rsidR="00F978B3">
        <w:t xml:space="preserve">, compliance with reward-related legislation is essential not only to mitigate legal risk but also to support </w:t>
      </w:r>
      <w:r w:rsidR="00C15D58">
        <w:t>fairness, trust</w:t>
      </w:r>
      <w:r w:rsidR="00433FEF">
        <w:t xml:space="preserve"> and effective benchmarking. Legislative requirements shape how reward systems are designed, communicated and reported, directly influencing organisational reputation and employee confidence. </w:t>
      </w:r>
    </w:p>
    <w:p w14:paraId="2B036AB4" w14:textId="0DC08093" w:rsidR="00C15D58" w:rsidRDefault="00C15D58">
      <w:r>
        <w:t xml:space="preserve">Equal pay legislation is a central requirement affecting reward practice. Under the Equality Act 2010, organisations must ensure that men and women receive equal pay for equal work, work rated as equivalent or work </w:t>
      </w:r>
      <w:r w:rsidR="00367A34">
        <w:t xml:space="preserve">of equal value. </w:t>
      </w:r>
      <w:r w:rsidR="00B23BC2">
        <w:t xml:space="preserve">The </w:t>
      </w:r>
      <w:r w:rsidR="00D77261">
        <w:t>guidance</w:t>
      </w:r>
      <w:r w:rsidR="00B23BC2">
        <w:t xml:space="preserve"> </w:t>
      </w:r>
      <w:r w:rsidR="00D77261">
        <w:t>provided by CIPD (2024</w:t>
      </w:r>
      <w:r w:rsidR="004A6197">
        <w:t>b</w:t>
      </w:r>
      <w:r w:rsidR="00D77261">
        <w:t>) highlights that employers must be able to objectively just</w:t>
      </w:r>
      <w:r w:rsidR="00E655B5">
        <w:t>ify pay diffe</w:t>
      </w:r>
      <w:r w:rsidR="005B0D7F">
        <w:t xml:space="preserve">rences using lawful factors such as job evaluation outcomes. For </w:t>
      </w:r>
      <w:proofErr w:type="spellStart"/>
      <w:r w:rsidR="00A45BC3">
        <w:t>GreenFriendlyEco</w:t>
      </w:r>
      <w:proofErr w:type="spellEnd"/>
      <w:r w:rsidR="005B0D7F">
        <w:t xml:space="preserve">, the use of </w:t>
      </w:r>
      <w:r w:rsidR="00270E77">
        <w:t xml:space="preserve">analytical job evaluation and market </w:t>
      </w:r>
      <w:r w:rsidR="00CA04E1">
        <w:t>benchmarking</w:t>
      </w:r>
      <w:r w:rsidR="00270E77">
        <w:t xml:space="preserve"> is critical in demonstrating that pay structures are based on role value rather than discriminatory factors. Failure to comply exposes organisations to costly equal pay claims and reputational </w:t>
      </w:r>
      <w:proofErr w:type="gramStart"/>
      <w:r w:rsidR="00270E77">
        <w:t>damage(</w:t>
      </w:r>
      <w:proofErr w:type="gramEnd"/>
      <w:r w:rsidR="00270E77">
        <w:t>ACAS,</w:t>
      </w:r>
      <w:proofErr w:type="gramStart"/>
      <w:r w:rsidR="00270E77">
        <w:t>20214;</w:t>
      </w:r>
      <w:r w:rsidR="00D37A78">
        <w:t>Government</w:t>
      </w:r>
      <w:proofErr w:type="gramEnd"/>
      <w:r w:rsidR="00D37A78">
        <w:t xml:space="preserve"> Equalities Office,2023). </w:t>
      </w:r>
    </w:p>
    <w:p w14:paraId="2E9F62CD" w14:textId="2D1133FC" w:rsidR="00D37A78" w:rsidRDefault="00D37A78">
      <w:r>
        <w:t xml:space="preserve">Closely linked to equal pay is gender pay gap reporting which applies to organisations with 250 or more employees. While </w:t>
      </w:r>
      <w:proofErr w:type="spellStart"/>
      <w:r w:rsidR="00A45BC3">
        <w:t>GreenFriendlyEco</w:t>
      </w:r>
      <w:proofErr w:type="spellEnd"/>
      <w:r>
        <w:t xml:space="preserve"> may or may not meet this threshold, understanding the requirement is still important </w:t>
      </w:r>
      <w:r w:rsidR="00667C29">
        <w:t xml:space="preserve">as </w:t>
      </w:r>
      <w:r w:rsidR="00CA04E1">
        <w:t>workforce</w:t>
      </w:r>
      <w:r w:rsidR="00667C29">
        <w:t xml:space="preserve"> growth could trigger reporting obligations. Gender pay gap reporting requires organisations to </w:t>
      </w:r>
      <w:r w:rsidR="00CA04E1">
        <w:t>publish</w:t>
      </w:r>
      <w:r w:rsidR="00667C29">
        <w:t xml:space="preserve"> data on pay differentials between male and female employees, </w:t>
      </w:r>
      <w:r w:rsidR="00CA04E1">
        <w:t>encouraging</w:t>
      </w:r>
      <w:r w:rsidR="00667C29">
        <w:t xml:space="preserve"> </w:t>
      </w:r>
      <w:r w:rsidR="007B0EE1">
        <w:t xml:space="preserve">transparency and </w:t>
      </w:r>
      <w:proofErr w:type="gramStart"/>
      <w:r w:rsidR="007B0EE1">
        <w:t>accountability(</w:t>
      </w:r>
      <w:proofErr w:type="gramEnd"/>
      <w:r w:rsidR="007B0EE1">
        <w:t xml:space="preserve">GOV.UK,2024). </w:t>
      </w:r>
      <w:r w:rsidR="00CA04E1">
        <w:t>Evidence</w:t>
      </w:r>
      <w:r w:rsidR="007B0EE1">
        <w:t xml:space="preserve"> suggests that </w:t>
      </w:r>
      <w:r w:rsidR="00CA04E1">
        <w:t>public</w:t>
      </w:r>
      <w:r w:rsidR="007B0EE1">
        <w:t xml:space="preserve"> reporting places pressure on organisations to review pay structures, progression opportunities and reward policies to address inequality (Govern</w:t>
      </w:r>
      <w:r w:rsidR="00CA04E1">
        <w:t>ment Equalities Office,2023; CIPD,2024</w:t>
      </w:r>
      <w:r w:rsidR="004A6197">
        <w:t>b</w:t>
      </w:r>
      <w:r w:rsidR="00CA04E1">
        <w:t xml:space="preserve">). </w:t>
      </w:r>
    </w:p>
    <w:p w14:paraId="7185154E" w14:textId="5E4B6447" w:rsidR="00CA04E1" w:rsidRDefault="00B87D8E">
      <w:r>
        <w:t>According to (</w:t>
      </w:r>
      <w:r>
        <w:t>CIPD,2024b</w:t>
      </w:r>
      <w:proofErr w:type="gramStart"/>
      <w:r>
        <w:t>),</w:t>
      </w:r>
      <w:r w:rsidR="00CA04E1">
        <w:t>Minimum</w:t>
      </w:r>
      <w:proofErr w:type="gramEnd"/>
      <w:r w:rsidR="00CA04E1">
        <w:t xml:space="preserve"> pay legislation also has a direct impact on reward practice</w:t>
      </w:r>
      <w:r>
        <w:t xml:space="preserve"> and e</w:t>
      </w:r>
      <w:r w:rsidR="00CA04E1">
        <w:t>mployers must comply with National min</w:t>
      </w:r>
      <w:r w:rsidR="000C0390">
        <w:t xml:space="preserve">imum wage and national living wage rates, which are subject to regular review. </w:t>
      </w:r>
      <w:r w:rsidR="005A4A69">
        <w:t xml:space="preserve">These requirements influence pay structures, particularly </w:t>
      </w:r>
      <w:r w:rsidR="00C407A6">
        <w:t>at lower occupational levels, and ca</w:t>
      </w:r>
      <w:r>
        <w:t>n</w:t>
      </w:r>
      <w:r w:rsidR="00C407A6">
        <w:t xml:space="preserve"> create compression between grades if pay is not </w:t>
      </w:r>
      <w:r w:rsidR="00805DB7">
        <w:t>reviewed</w:t>
      </w:r>
      <w:r w:rsidR="00C407A6">
        <w:t xml:space="preserve"> </w:t>
      </w:r>
      <w:proofErr w:type="gramStart"/>
      <w:r w:rsidR="00C407A6">
        <w:t>holistically(</w:t>
      </w:r>
      <w:proofErr w:type="gramEnd"/>
      <w:r w:rsidR="00C407A6">
        <w:t>Low Pay Comission,2023). In addition, organisations are legally required to provide itemised pay statements, ensuring transpa</w:t>
      </w:r>
      <w:r w:rsidR="00FD678F">
        <w:t xml:space="preserve">rency around pay, deductions and hours </w:t>
      </w:r>
      <w:proofErr w:type="gramStart"/>
      <w:r w:rsidR="00FD678F">
        <w:t>worked(</w:t>
      </w:r>
      <w:proofErr w:type="gramEnd"/>
      <w:r w:rsidR="00FD678F">
        <w:t>Employment Rights Act</w:t>
      </w:r>
      <w:proofErr w:type="gramStart"/>
      <w:r w:rsidR="00FD678F">
        <w:t>1996;HMRC</w:t>
      </w:r>
      <w:proofErr w:type="gramEnd"/>
      <w:r w:rsidR="00FD678F">
        <w:t>,2024). F</w:t>
      </w:r>
      <w:r w:rsidR="00805DB7">
        <w:t xml:space="preserve">or </w:t>
      </w:r>
      <w:proofErr w:type="spellStart"/>
      <w:r w:rsidR="00A45BC3">
        <w:t>GreenFriendlyEco</w:t>
      </w:r>
      <w:proofErr w:type="spellEnd"/>
      <w:r w:rsidR="00805DB7">
        <w:t xml:space="preserve">, Accurate payroll processes and clear communication are essential to maintaining employee trust and compliance. </w:t>
      </w:r>
    </w:p>
    <w:p w14:paraId="46E3891F" w14:textId="1EA6D64B" w:rsidR="00805DB7" w:rsidRDefault="00514ADE">
      <w:r>
        <w:t>F</w:t>
      </w:r>
      <w:r w:rsidR="00805DB7">
        <w:t>ina</w:t>
      </w:r>
      <w:r>
        <w:t>lly,</w:t>
      </w:r>
      <w:r w:rsidR="00B87D8E">
        <w:t xml:space="preserve"> </w:t>
      </w:r>
      <w:r>
        <w:t>taxation and reporting obligations affect how rewards are delivered and perceived. Income tax and national insurance contributions apply to most forms of pay and benefits, influencing decisions about cash versus non-cash</w:t>
      </w:r>
      <w:r w:rsidR="00903729">
        <w:t xml:space="preserve"> </w:t>
      </w:r>
      <w:proofErr w:type="gramStart"/>
      <w:r w:rsidR="00903729">
        <w:t>rewards(</w:t>
      </w:r>
      <w:proofErr w:type="gramEnd"/>
      <w:r w:rsidR="00903729">
        <w:t xml:space="preserve">HMRC,2024). </w:t>
      </w:r>
    </w:p>
    <w:p w14:paraId="130BFCCD" w14:textId="4E0A77A8" w:rsidR="00903729" w:rsidRDefault="00903729">
      <w:r>
        <w:t xml:space="preserve">Larger organisations are also subject to CEO pay ratio reporting, requiring disclosure </w:t>
      </w:r>
      <w:r w:rsidR="00886BBA">
        <w:t xml:space="preserve">of executive pay relative to median employee earnings under the companies Miscellaneous </w:t>
      </w:r>
      <w:r w:rsidR="00886BBA">
        <w:lastRenderedPageBreak/>
        <w:t>reporting</w:t>
      </w:r>
      <w:r w:rsidR="00DA6300">
        <w:t xml:space="preserve"> </w:t>
      </w:r>
      <w:r w:rsidR="000D3B40">
        <w:t>regulations</w:t>
      </w:r>
      <w:r w:rsidR="000D73B7">
        <w:t xml:space="preserve"> 2018. While </w:t>
      </w:r>
      <w:proofErr w:type="spellStart"/>
      <w:r w:rsidR="00A45BC3">
        <w:t>GreenFriendlyEco</w:t>
      </w:r>
      <w:proofErr w:type="spellEnd"/>
      <w:r w:rsidR="000D73B7">
        <w:t xml:space="preserve"> may not currently fall within scope, awareness of such requirement</w:t>
      </w:r>
      <w:r w:rsidR="00026C90">
        <w:t xml:space="preserve">s supports reward governance and </w:t>
      </w:r>
      <w:proofErr w:type="gramStart"/>
      <w:r w:rsidR="00026C90">
        <w:t>future-proofing</w:t>
      </w:r>
      <w:proofErr w:type="gramEnd"/>
      <w:r w:rsidR="00026C90">
        <w:t xml:space="preserve"> as the organisation </w:t>
      </w:r>
      <w:proofErr w:type="gramStart"/>
      <w:r w:rsidR="00026C90">
        <w:t>grows(</w:t>
      </w:r>
      <w:proofErr w:type="gramEnd"/>
      <w:r w:rsidR="00C6360C">
        <w:t>BEIS 2023; CIPD,2024</w:t>
      </w:r>
      <w:r w:rsidR="004A6197">
        <w:t>b</w:t>
      </w:r>
      <w:r w:rsidR="00C6360C">
        <w:t>).</w:t>
      </w:r>
    </w:p>
    <w:p w14:paraId="5CEE7093" w14:textId="3DBEA51C" w:rsidR="00C6360C" w:rsidRDefault="00C6360C">
      <w:r>
        <w:t>In summary, legislative requirements significantly shape reward practice enforcing minimum standards</w:t>
      </w:r>
      <w:r w:rsidR="00334ED1">
        <w:t xml:space="preserve">, promoting fairness and requiring transparency. For </w:t>
      </w:r>
      <w:proofErr w:type="spellStart"/>
      <w:r w:rsidR="00A45BC3">
        <w:t>GreenFriendlyEco</w:t>
      </w:r>
      <w:proofErr w:type="spellEnd"/>
      <w:r w:rsidR="00334ED1">
        <w:t>, aligning reward strategies with legal obligations is essential to en</w:t>
      </w:r>
      <w:r w:rsidR="000D3B40">
        <w:t xml:space="preserve">sure compliance, support equitable pay decisions and inform evidence-based reward approaches. </w:t>
      </w:r>
    </w:p>
    <w:p w14:paraId="5003EE25" w14:textId="77777777" w:rsidR="00BA32D6" w:rsidRDefault="00BA32D6"/>
    <w:p w14:paraId="765C98AA" w14:textId="77777777" w:rsidR="00BA32D6" w:rsidRDefault="00BA32D6"/>
    <w:p w14:paraId="5E133E75" w14:textId="77777777" w:rsidR="00BA32D6" w:rsidRDefault="00BA32D6"/>
    <w:p w14:paraId="5045B374" w14:textId="77777777" w:rsidR="00BA32D6" w:rsidRDefault="00BA32D6"/>
    <w:p w14:paraId="7AB0CA46" w14:textId="77777777" w:rsidR="00BA32D6" w:rsidRDefault="00BA32D6"/>
    <w:p w14:paraId="0026306D" w14:textId="77777777" w:rsidR="00BA32D6" w:rsidRDefault="00BA32D6"/>
    <w:p w14:paraId="7FDBAEA4" w14:textId="77777777" w:rsidR="0027009A" w:rsidRDefault="0027009A"/>
    <w:p w14:paraId="7038D38A" w14:textId="77777777" w:rsidR="0027009A" w:rsidRDefault="0027009A"/>
    <w:p w14:paraId="338CF972" w14:textId="77777777" w:rsidR="00F01A85" w:rsidRDefault="00F01A85"/>
    <w:p w14:paraId="4E61A3EF" w14:textId="77777777" w:rsidR="00A45BC3" w:rsidRDefault="00A45BC3"/>
    <w:p w14:paraId="710D5411" w14:textId="77777777" w:rsidR="00A45BC3" w:rsidRDefault="00A45BC3"/>
    <w:p w14:paraId="030A41C0" w14:textId="77777777" w:rsidR="00A45BC3" w:rsidRDefault="00A45BC3"/>
    <w:p w14:paraId="15969BB4" w14:textId="77777777" w:rsidR="00A45BC3" w:rsidRDefault="00A45BC3"/>
    <w:p w14:paraId="2718AAF1" w14:textId="77777777" w:rsidR="00A45BC3" w:rsidRDefault="00A45BC3"/>
    <w:p w14:paraId="791C804C" w14:textId="77777777" w:rsidR="00A45BC3" w:rsidRDefault="00A45BC3"/>
    <w:p w14:paraId="33107A85" w14:textId="77777777" w:rsidR="00A45BC3" w:rsidRDefault="00A45BC3"/>
    <w:p w14:paraId="17CD8ED3" w14:textId="77777777" w:rsidR="00A45BC3" w:rsidRDefault="00A45BC3"/>
    <w:p w14:paraId="72D9E86D" w14:textId="77777777" w:rsidR="00A45BC3" w:rsidRDefault="00A45BC3"/>
    <w:p w14:paraId="70CE6176" w14:textId="77777777" w:rsidR="00A45BC3" w:rsidRDefault="00A45BC3"/>
    <w:p w14:paraId="501E7426" w14:textId="77777777" w:rsidR="00A45BC3" w:rsidRDefault="00A45BC3"/>
    <w:p w14:paraId="1FD7CCB6" w14:textId="77777777" w:rsidR="00A45BC3" w:rsidRDefault="00A45BC3"/>
    <w:p w14:paraId="71AC6BB8" w14:textId="77777777" w:rsidR="00A45BC3" w:rsidRDefault="00A45BC3"/>
    <w:p w14:paraId="5CE9401B" w14:textId="77777777" w:rsidR="00A45BC3" w:rsidRDefault="00A45BC3"/>
    <w:p w14:paraId="5AF793F9" w14:textId="77777777" w:rsidR="00A45BC3" w:rsidRDefault="00A45BC3"/>
    <w:p w14:paraId="5284BF1B" w14:textId="77777777" w:rsidR="00A45BC3" w:rsidRDefault="00A45BC3"/>
    <w:p w14:paraId="3D30A93D" w14:textId="77777777" w:rsidR="00A45BC3" w:rsidRDefault="00A45BC3"/>
    <w:p w14:paraId="42C95EEB" w14:textId="77777777" w:rsidR="00A45BC3" w:rsidRDefault="00A45BC3"/>
    <w:p w14:paraId="577E47B9" w14:textId="77777777" w:rsidR="00A45BC3" w:rsidRDefault="00A45BC3"/>
    <w:p w14:paraId="6538E967" w14:textId="7D013D83" w:rsidR="00F01A85" w:rsidRPr="0037486C" w:rsidRDefault="00F01A85" w:rsidP="0037486C">
      <w:pPr>
        <w:jc w:val="center"/>
        <w:rPr>
          <w:b/>
          <w:bCs/>
          <w:sz w:val="28"/>
          <w:szCs w:val="28"/>
        </w:rPr>
      </w:pPr>
      <w:r w:rsidRPr="0037486C">
        <w:rPr>
          <w:b/>
          <w:bCs/>
          <w:sz w:val="28"/>
          <w:szCs w:val="28"/>
        </w:rPr>
        <w:t>Reference list:</w:t>
      </w:r>
    </w:p>
    <w:p w14:paraId="186D9591" w14:textId="77777777" w:rsidR="00F01A85" w:rsidRDefault="00F01A85"/>
    <w:p w14:paraId="1FEAACF4" w14:textId="7B624DA4" w:rsidR="0037486C" w:rsidRDefault="0037486C" w:rsidP="0037486C">
      <w:pPr>
        <w:pStyle w:val="ListParagraph"/>
        <w:numPr>
          <w:ilvl w:val="0"/>
          <w:numId w:val="1"/>
        </w:numPr>
        <w:spacing w:line="360" w:lineRule="auto"/>
      </w:pPr>
      <w:r w:rsidRPr="00F01A85">
        <w:t xml:space="preserve">Armstrong, M. and Brown, D. (2019) Armstrong’s Handbook of Reward Management Practice: Improving Performance Through Reward. Sixth edition. London: Kogan Page, Limited. </w:t>
      </w:r>
    </w:p>
    <w:p w14:paraId="08F9DE51" w14:textId="2C9964B7" w:rsidR="0037486C" w:rsidRDefault="0037486C" w:rsidP="0037486C">
      <w:pPr>
        <w:pStyle w:val="ListParagraph"/>
        <w:numPr>
          <w:ilvl w:val="0"/>
          <w:numId w:val="1"/>
        </w:numPr>
        <w:tabs>
          <w:tab w:val="left" w:pos="6203"/>
        </w:tabs>
        <w:spacing w:line="360" w:lineRule="auto"/>
      </w:pPr>
      <w:r>
        <w:t xml:space="preserve"> </w:t>
      </w:r>
      <w:r w:rsidRPr="0079110E">
        <w:t xml:space="preserve">Randstad (2019) </w:t>
      </w:r>
      <w:r w:rsidRPr="0037486C">
        <w:rPr>
          <w:i/>
          <w:iCs/>
        </w:rPr>
        <w:t>Types of different pay structure</w:t>
      </w:r>
      <w:r w:rsidRPr="0079110E">
        <w:t>. Available at:</w:t>
      </w:r>
      <w:r>
        <w:t xml:space="preserve"> </w:t>
      </w:r>
      <w:hyperlink r:id="rId6" w:history="1">
        <w:r w:rsidRPr="005B66A6">
          <w:rPr>
            <w:rStyle w:val="Hyperlink"/>
          </w:rPr>
          <w:t>https://www.randstad.co.uk/market-insights/salary-benefits/types-different-pay-structure/</w:t>
        </w:r>
      </w:hyperlink>
      <w:r>
        <w:t xml:space="preserve"> (accessed: 26 Jan 2026). </w:t>
      </w:r>
    </w:p>
    <w:p w14:paraId="74D27C73" w14:textId="13B98F29" w:rsidR="0037486C" w:rsidRDefault="0037486C" w:rsidP="0037486C">
      <w:pPr>
        <w:pStyle w:val="ListParagraph"/>
        <w:numPr>
          <w:ilvl w:val="0"/>
          <w:numId w:val="1"/>
        </w:numPr>
        <w:tabs>
          <w:tab w:val="left" w:pos="6203"/>
        </w:tabs>
        <w:spacing w:line="360" w:lineRule="auto"/>
      </w:pPr>
      <w:proofErr w:type="spellStart"/>
      <w:r w:rsidRPr="0093289A">
        <w:t>Fröber</w:t>
      </w:r>
      <w:proofErr w:type="spellEnd"/>
      <w:r w:rsidRPr="0093289A">
        <w:t xml:space="preserve">, K., &amp; Dreisbach, G. (2016). How performance (non-)contingent reward modulates cognitive control. Acta </w:t>
      </w:r>
      <w:proofErr w:type="spellStart"/>
      <w:r w:rsidRPr="0093289A">
        <w:t>psychologica</w:t>
      </w:r>
      <w:proofErr w:type="spellEnd"/>
      <w:r w:rsidRPr="0093289A">
        <w:t>, 168, 65–77. https://doi.org/10.1016/j.actpsy.2016.04.008</w:t>
      </w:r>
    </w:p>
    <w:p w14:paraId="49FD3C5E" w14:textId="5788A0FD" w:rsidR="0037486C" w:rsidRDefault="0037486C" w:rsidP="0037486C">
      <w:pPr>
        <w:pStyle w:val="ListParagraph"/>
        <w:numPr>
          <w:ilvl w:val="0"/>
          <w:numId w:val="1"/>
        </w:numPr>
        <w:spacing w:line="360" w:lineRule="auto"/>
      </w:pPr>
      <w:r>
        <w:t xml:space="preserve"> </w:t>
      </w:r>
      <w:r w:rsidRPr="0093289A">
        <w:t xml:space="preserve">Ghosh, D., Buss, M., &amp; </w:t>
      </w:r>
      <w:proofErr w:type="spellStart"/>
      <w:r w:rsidRPr="0093289A">
        <w:t>Shivhare</w:t>
      </w:r>
      <w:proofErr w:type="spellEnd"/>
      <w:r w:rsidRPr="0093289A">
        <w:t xml:space="preserve">, A. (2024). Does Contingent Reward Leadership Enhance or Diminish Team Creativity? It Depends on Leader (Un-) Predictability. Journal of Leadership &amp; Organizational Studies, 31(2), 224-237. </w:t>
      </w:r>
      <w:hyperlink r:id="rId7" w:history="1">
        <w:r w:rsidRPr="006E0E5C">
          <w:rPr>
            <w:rStyle w:val="Hyperlink"/>
          </w:rPr>
          <w:t>https://doi.org/10.1177/15480518231216868</w:t>
        </w:r>
      </w:hyperlink>
    </w:p>
    <w:p w14:paraId="1301ADE7" w14:textId="47DBE33D" w:rsidR="0037486C" w:rsidRDefault="0037486C" w:rsidP="0037486C">
      <w:pPr>
        <w:pStyle w:val="ListParagraph"/>
        <w:numPr>
          <w:ilvl w:val="0"/>
          <w:numId w:val="1"/>
        </w:numPr>
        <w:spacing w:line="360" w:lineRule="auto"/>
      </w:pPr>
      <w:r w:rsidRPr="00091763">
        <w:t>Gallup (2024) The Importance of Employee Recognition: Low Cost, High Impact. Available at: The Importance of Employee Recognition: Low Cost, High Impact (gallup.com) (Accessed: 9 July 2024)</w:t>
      </w:r>
    </w:p>
    <w:p w14:paraId="427942E5" w14:textId="45775BE1" w:rsidR="0037486C" w:rsidRDefault="0037486C" w:rsidP="0037486C">
      <w:pPr>
        <w:pStyle w:val="ListParagraph"/>
        <w:numPr>
          <w:ilvl w:val="0"/>
          <w:numId w:val="1"/>
        </w:numPr>
        <w:spacing w:line="360" w:lineRule="auto"/>
      </w:pPr>
      <w:r>
        <w:t xml:space="preserve"> </w:t>
      </w:r>
      <w:r w:rsidRPr="00117FF6">
        <w:t>Francis-Devine, B. and Powell, A. (2024) UK labour market statistics. Available at: Microsoft Word - CBP9366_May.docx (parliament.uk)</w:t>
      </w:r>
    </w:p>
    <w:p w14:paraId="41082C13" w14:textId="6FCF892A" w:rsidR="0037486C" w:rsidRDefault="0037486C" w:rsidP="0037486C">
      <w:pPr>
        <w:pStyle w:val="ListParagraph"/>
        <w:numPr>
          <w:ilvl w:val="0"/>
          <w:numId w:val="1"/>
        </w:numPr>
        <w:spacing w:line="360" w:lineRule="auto"/>
      </w:pPr>
      <w:r w:rsidRPr="00117FF6">
        <w:t xml:space="preserve">Torrington, D., Hall, L., Taylor, S. and Atkinson, C. (2020) Human Resource Management. 11th </w:t>
      </w:r>
      <w:proofErr w:type="spellStart"/>
      <w:r w:rsidRPr="00117FF6">
        <w:t>edn</w:t>
      </w:r>
      <w:proofErr w:type="spellEnd"/>
      <w:r w:rsidRPr="00117FF6">
        <w:t>. Harlow: Pearson Education.</w:t>
      </w:r>
    </w:p>
    <w:p w14:paraId="718FA96B" w14:textId="78AE4B24" w:rsidR="0037486C" w:rsidRDefault="0037486C" w:rsidP="0037486C">
      <w:pPr>
        <w:pStyle w:val="ListParagraph"/>
        <w:numPr>
          <w:ilvl w:val="0"/>
          <w:numId w:val="1"/>
        </w:numPr>
        <w:spacing w:line="360" w:lineRule="auto"/>
      </w:pPr>
      <w:r w:rsidRPr="00216822">
        <w:t>BEIS (2023) CEO pay ratio reporting guidance. Department for Business, Energy and Industrial Strategy. Available at</w:t>
      </w:r>
      <w:r>
        <w:t xml:space="preserve">: </w:t>
      </w:r>
      <w:hyperlink r:id="rId8" w:history="1">
        <w:r w:rsidRPr="002C233C">
          <w:rPr>
            <w:rStyle w:val="Hyperlink"/>
          </w:rPr>
          <w:t>https://www.gov.uk/government/collections/beis-annual-reports-and-accounts</w:t>
        </w:r>
      </w:hyperlink>
      <w:r>
        <w:t xml:space="preserve"> (</w:t>
      </w:r>
      <w:r w:rsidRPr="0001680E">
        <w:t>Accessed:</w:t>
      </w:r>
      <w:r>
        <w:t xml:space="preserve"> 29 Jan 2026)</w:t>
      </w:r>
    </w:p>
    <w:p w14:paraId="2F6369E1" w14:textId="0CD871B1" w:rsidR="0037486C" w:rsidRDefault="0037486C" w:rsidP="0037486C">
      <w:pPr>
        <w:pStyle w:val="ListParagraph"/>
        <w:numPr>
          <w:ilvl w:val="0"/>
          <w:numId w:val="1"/>
        </w:numPr>
        <w:spacing w:line="360" w:lineRule="auto"/>
      </w:pPr>
      <w:r>
        <w:t xml:space="preserve"> </w:t>
      </w:r>
      <w:r w:rsidRPr="007335F2">
        <w:t>CIPD (2024</w:t>
      </w:r>
      <w:r w:rsidR="00686265">
        <w:t>b</w:t>
      </w:r>
      <w:r w:rsidRPr="007335F2">
        <w:t>) Equal pay: UK employment law</w:t>
      </w:r>
      <w:r>
        <w:t xml:space="preserve">. </w:t>
      </w:r>
      <w:r w:rsidRPr="0001680E">
        <w:t>Available at</w:t>
      </w:r>
      <w:r>
        <w:t xml:space="preserve">: </w:t>
      </w:r>
      <w:hyperlink r:id="rId9" w:history="1">
        <w:r w:rsidRPr="002C233C">
          <w:rPr>
            <w:rStyle w:val="Hyperlink"/>
          </w:rPr>
          <w:t>https://www.cipd.org/uk/knowledge/em</w:t>
        </w:r>
        <w:r w:rsidRPr="002C233C">
          <w:rPr>
            <w:rStyle w:val="Hyperlink"/>
          </w:rPr>
          <w:t>p</w:t>
        </w:r>
        <w:r w:rsidRPr="002C233C">
          <w:rPr>
            <w:rStyle w:val="Hyperlink"/>
          </w:rPr>
          <w:t>loyment-law/equal-pay/</w:t>
        </w:r>
      </w:hyperlink>
      <w:r>
        <w:t xml:space="preserve"> (</w:t>
      </w:r>
      <w:r w:rsidRPr="0001680E">
        <w:t>Accessed:</w:t>
      </w:r>
      <w:r>
        <w:t xml:space="preserve"> 29 Jan 2026)</w:t>
      </w:r>
    </w:p>
    <w:p w14:paraId="13E1A7E5" w14:textId="2DD85E01" w:rsidR="0037486C" w:rsidRDefault="0037486C" w:rsidP="0037486C">
      <w:pPr>
        <w:pStyle w:val="ListParagraph"/>
        <w:numPr>
          <w:ilvl w:val="0"/>
          <w:numId w:val="1"/>
        </w:numPr>
        <w:spacing w:line="360" w:lineRule="auto"/>
      </w:pPr>
      <w:r w:rsidRPr="001D2A09">
        <w:t xml:space="preserve"> Government Equalities Office (2023) Gender pay gap reporting: guidance for employers. Available at</w:t>
      </w:r>
      <w:r>
        <w:t xml:space="preserve">: </w:t>
      </w:r>
      <w:hyperlink r:id="rId10" w:history="1">
        <w:r w:rsidRPr="002C233C">
          <w:rPr>
            <w:rStyle w:val="Hyperlink"/>
          </w:rPr>
          <w:t>https://www.gov.uk/government/publications/gender-pay-gap-reporting-guidance-for-employers</w:t>
        </w:r>
      </w:hyperlink>
      <w:r>
        <w:t xml:space="preserve"> (</w:t>
      </w:r>
      <w:r w:rsidRPr="0001680E">
        <w:t>Accessed:</w:t>
      </w:r>
      <w:r>
        <w:t xml:space="preserve"> 29 Jan 2026)</w:t>
      </w:r>
    </w:p>
    <w:p w14:paraId="52F2B6C9" w14:textId="3661B892" w:rsidR="0037486C" w:rsidRDefault="0037486C" w:rsidP="0037486C">
      <w:pPr>
        <w:pStyle w:val="ListParagraph"/>
        <w:numPr>
          <w:ilvl w:val="0"/>
          <w:numId w:val="1"/>
        </w:numPr>
        <w:spacing w:line="360" w:lineRule="auto"/>
      </w:pPr>
      <w:r w:rsidRPr="008553D6">
        <w:t xml:space="preserve">HMRC (2024) </w:t>
      </w:r>
      <w:r w:rsidRPr="0037486C">
        <w:rPr>
          <w:i/>
          <w:iCs/>
        </w:rPr>
        <w:t>Pay and deductions</w:t>
      </w:r>
      <w:r w:rsidRPr="008553D6">
        <w:t>. Available at</w:t>
      </w:r>
      <w:r>
        <w:t xml:space="preserve">: </w:t>
      </w:r>
      <w:hyperlink r:id="rId11" w:history="1">
        <w:r w:rsidRPr="002C233C">
          <w:rPr>
            <w:rStyle w:val="Hyperlink"/>
          </w:rPr>
          <w:t>https://www.gov.uk/government/publications/cwg2-further-guide-to-paye-and-national-</w:t>
        </w:r>
        <w:r w:rsidRPr="002C233C">
          <w:rPr>
            <w:rStyle w:val="Hyperlink"/>
          </w:rPr>
          <w:lastRenderedPageBreak/>
          <w:t>insurance-contributions/2024-to-2025-employer-further-guide-to-paye-and-national-insurance-contributions</w:t>
        </w:r>
      </w:hyperlink>
      <w:r>
        <w:t xml:space="preserve"> (</w:t>
      </w:r>
      <w:r w:rsidRPr="0001680E">
        <w:t>Accessed:</w:t>
      </w:r>
      <w:r>
        <w:t xml:space="preserve"> 29 Jan 2026)</w:t>
      </w:r>
    </w:p>
    <w:p w14:paraId="445B1882" w14:textId="668E4EB8" w:rsidR="0037486C" w:rsidRDefault="0037486C" w:rsidP="0037486C">
      <w:pPr>
        <w:pStyle w:val="ListParagraph"/>
        <w:numPr>
          <w:ilvl w:val="0"/>
          <w:numId w:val="1"/>
        </w:numPr>
        <w:spacing w:line="360" w:lineRule="auto"/>
      </w:pPr>
      <w:r w:rsidRPr="00F01A85">
        <w:t xml:space="preserve">CIPD (2024) Strategic reward and total reward. Available at: Strategic &amp; Total Reward | Factsheets | CIPD (Accessed: </w:t>
      </w:r>
      <w:r>
        <w:t>25 Jan 2026</w:t>
      </w:r>
      <w:r w:rsidRPr="00F01A85">
        <w:t>)</w:t>
      </w:r>
    </w:p>
    <w:p w14:paraId="75C804BF" w14:textId="28D13594" w:rsidR="0037486C" w:rsidRDefault="0037486C" w:rsidP="0037486C">
      <w:pPr>
        <w:pStyle w:val="ListParagraph"/>
        <w:numPr>
          <w:ilvl w:val="0"/>
          <w:numId w:val="1"/>
        </w:numPr>
        <w:spacing w:line="360" w:lineRule="auto"/>
      </w:pPr>
      <w:r>
        <w:t xml:space="preserve"> </w:t>
      </w:r>
      <w:r w:rsidRPr="00734665">
        <w:t xml:space="preserve">Low Pay Commission (2023) </w:t>
      </w:r>
      <w:r w:rsidRPr="0037486C">
        <w:rPr>
          <w:i/>
          <w:iCs/>
        </w:rPr>
        <w:t>National minimum wage and national living wage</w:t>
      </w:r>
      <w:r w:rsidRPr="00734665">
        <w:t xml:space="preserve">. Available at: </w:t>
      </w:r>
      <w:hyperlink r:id="rId12" w:history="1">
        <w:r w:rsidRPr="002C233C">
          <w:rPr>
            <w:rStyle w:val="Hyperlink"/>
          </w:rPr>
          <w:t>https://www.gov.uk/government/organisations/low-pay-commission</w:t>
        </w:r>
      </w:hyperlink>
      <w:r>
        <w:t xml:space="preserve"> (</w:t>
      </w:r>
      <w:r w:rsidRPr="0001680E">
        <w:t>Accessed:</w:t>
      </w:r>
      <w:r>
        <w:t xml:space="preserve"> 29 Jan 2026)</w:t>
      </w:r>
    </w:p>
    <w:p w14:paraId="156B0535" w14:textId="66693E31" w:rsidR="0037486C" w:rsidRDefault="0037486C" w:rsidP="0037486C">
      <w:pPr>
        <w:pStyle w:val="ListParagraph"/>
        <w:numPr>
          <w:ilvl w:val="0"/>
          <w:numId w:val="1"/>
        </w:numPr>
        <w:spacing w:line="360" w:lineRule="auto"/>
      </w:pPr>
      <w:r w:rsidRPr="0084099F">
        <w:t>CIPD (2024</w:t>
      </w:r>
      <w:r>
        <w:t>a</w:t>
      </w:r>
      <w:r w:rsidRPr="0084099F">
        <w:t xml:space="preserve">) Job evaluation and market pricing. Available at: </w:t>
      </w:r>
      <w:hyperlink r:id="rId13" w:history="1">
        <w:r w:rsidRPr="002C233C">
          <w:rPr>
            <w:rStyle w:val="Hyperlink"/>
          </w:rPr>
          <w:t>https://www.cipd.org/uk/knowledge/factsheets/market-pricing-factsheet/</w:t>
        </w:r>
      </w:hyperlink>
      <w:r>
        <w:t xml:space="preserve"> </w:t>
      </w:r>
      <w:r w:rsidRPr="00D71729">
        <w:t>(Accessed: 25 Jan 2026)</w:t>
      </w:r>
      <w:r>
        <w:t xml:space="preserve">. </w:t>
      </w:r>
    </w:p>
    <w:p w14:paraId="45B3726F" w14:textId="190609EE" w:rsidR="0037486C" w:rsidRDefault="0037486C" w:rsidP="0037486C">
      <w:pPr>
        <w:pStyle w:val="ListParagraph"/>
        <w:numPr>
          <w:ilvl w:val="0"/>
          <w:numId w:val="1"/>
        </w:numPr>
        <w:spacing w:line="360" w:lineRule="auto"/>
      </w:pPr>
      <w:r w:rsidRPr="00DD08F2">
        <w:t xml:space="preserve">CIPD (2025) </w:t>
      </w:r>
      <w:r w:rsidRPr="0037486C">
        <w:rPr>
          <w:i/>
          <w:iCs/>
        </w:rPr>
        <w:t>Reward: An introduction.</w:t>
      </w:r>
      <w:r w:rsidRPr="00DD08F2">
        <w:t xml:space="preserve"> CIPD. Available at:</w:t>
      </w:r>
      <w:r>
        <w:t xml:space="preserve"> </w:t>
      </w:r>
      <w:hyperlink r:id="rId14" w:history="1">
        <w:r w:rsidRPr="009167B1">
          <w:rPr>
            <w:rStyle w:val="Hyperlink"/>
          </w:rPr>
          <w:t>https://www.cipd.org/uk/knowledge/factsheets/reward-factsheet</w:t>
        </w:r>
      </w:hyperlink>
      <w:r>
        <w:t xml:space="preserve"> </w:t>
      </w:r>
      <w:r w:rsidRPr="00DD08F2">
        <w:t>(Accessed: 25 Jan 2026)</w:t>
      </w:r>
    </w:p>
    <w:p w14:paraId="1039DE4D" w14:textId="62CE1CB1" w:rsidR="0037486C" w:rsidRDefault="0037486C" w:rsidP="0037486C">
      <w:pPr>
        <w:pStyle w:val="ListParagraph"/>
        <w:numPr>
          <w:ilvl w:val="0"/>
          <w:numId w:val="1"/>
        </w:numPr>
        <w:spacing w:line="360" w:lineRule="auto"/>
      </w:pPr>
      <w:r w:rsidRPr="00EF2A9C">
        <w:t xml:space="preserve">Hajduk, P. (2017) What’s the real value of reward? Available at: 33161 (peoplemanagement.co.uk) (Accessed: 24 Jun 2024). </w:t>
      </w:r>
    </w:p>
    <w:p w14:paraId="1711D883" w14:textId="7FEA3509" w:rsidR="0037486C" w:rsidRDefault="0037486C" w:rsidP="0037486C">
      <w:pPr>
        <w:pStyle w:val="ListParagraph"/>
        <w:numPr>
          <w:ilvl w:val="0"/>
          <w:numId w:val="1"/>
        </w:numPr>
        <w:spacing w:line="360" w:lineRule="auto"/>
      </w:pPr>
      <w:r w:rsidRPr="00EF2A9C">
        <w:t xml:space="preserve">Kerr, J. and Slocum, J.W. (2005) ‘Managing Corporate Culture through Reward Systems’, The Academy of Management executive (1993), 19(4), pp. 130–138. Available at: </w:t>
      </w:r>
      <w:hyperlink r:id="rId15" w:history="1">
        <w:r w:rsidRPr="009167B1">
          <w:rPr>
            <w:rStyle w:val="Hyperlink"/>
          </w:rPr>
          <w:t>https://doi.org/10.5465/AME.2005.19417915</w:t>
        </w:r>
      </w:hyperlink>
      <w:r w:rsidRPr="00EF2A9C">
        <w:t>.</w:t>
      </w:r>
    </w:p>
    <w:p w14:paraId="22ABD755" w14:textId="26CF72B0" w:rsidR="0037486C" w:rsidRDefault="0037486C" w:rsidP="0037486C">
      <w:pPr>
        <w:pStyle w:val="ListParagraph"/>
        <w:numPr>
          <w:ilvl w:val="0"/>
          <w:numId w:val="1"/>
        </w:numPr>
        <w:spacing w:line="360" w:lineRule="auto"/>
      </w:pPr>
      <w:r w:rsidRPr="00EF2A9C">
        <w:t xml:space="preserve">Antoni, C.H. et al. (2017) ‘Reward Management: Linking Employee Motivation and Organizational Performance’, Journal of personnel psychology, 16(2), pp. 57–60. Available at: </w:t>
      </w:r>
      <w:hyperlink r:id="rId16" w:history="1">
        <w:r w:rsidRPr="009167B1">
          <w:rPr>
            <w:rStyle w:val="Hyperlink"/>
          </w:rPr>
          <w:t>https://doi.org/10.1027/1866-5888/a000187</w:t>
        </w:r>
      </w:hyperlink>
      <w:r w:rsidRPr="00EF2A9C">
        <w:t>.</w:t>
      </w:r>
    </w:p>
    <w:p w14:paraId="3570A522" w14:textId="17760B78" w:rsidR="0037486C" w:rsidRDefault="0037486C" w:rsidP="0037486C">
      <w:pPr>
        <w:pStyle w:val="ListParagraph"/>
        <w:numPr>
          <w:ilvl w:val="0"/>
          <w:numId w:val="1"/>
        </w:numPr>
        <w:tabs>
          <w:tab w:val="left" w:pos="6203"/>
        </w:tabs>
        <w:spacing w:line="360" w:lineRule="auto"/>
      </w:pPr>
      <w:r w:rsidRPr="00FF3F39">
        <w:t>Vroom, V.H. (1964) Work and motivation. New York: Wiley.</w:t>
      </w:r>
      <w:r>
        <w:tab/>
      </w:r>
    </w:p>
    <w:p w14:paraId="3D7BC73E" w14:textId="615DFBE0" w:rsidR="0037486C" w:rsidRDefault="0037486C" w:rsidP="0037486C">
      <w:pPr>
        <w:pStyle w:val="ListParagraph"/>
        <w:numPr>
          <w:ilvl w:val="0"/>
          <w:numId w:val="1"/>
        </w:numPr>
        <w:tabs>
          <w:tab w:val="left" w:pos="6203"/>
        </w:tabs>
        <w:spacing w:line="360" w:lineRule="auto"/>
      </w:pPr>
      <w:proofErr w:type="spellStart"/>
      <w:r w:rsidRPr="004F2B72">
        <w:t>DavidsonMorris</w:t>
      </w:r>
      <w:proofErr w:type="spellEnd"/>
      <w:r w:rsidRPr="004F2B72">
        <w:t xml:space="preserve"> (2025) Types of Pay Structure: Essential Guide. Available at</w:t>
      </w:r>
      <w:r>
        <w:t xml:space="preserve">: </w:t>
      </w:r>
      <w:hyperlink r:id="rId17" w:history="1">
        <w:r w:rsidRPr="005B66A6">
          <w:rPr>
            <w:rStyle w:val="Hyperlink"/>
          </w:rPr>
          <w:t>https://www.davidsonmorris.com/pay-structure/</w:t>
        </w:r>
      </w:hyperlink>
      <w:r>
        <w:t xml:space="preserve"> (accessed: 25 Jan 2026)</w:t>
      </w:r>
    </w:p>
    <w:p w14:paraId="509770B6" w14:textId="523B5D0A" w:rsidR="0037486C" w:rsidRDefault="0037486C" w:rsidP="0037486C">
      <w:pPr>
        <w:pStyle w:val="ListParagraph"/>
        <w:numPr>
          <w:ilvl w:val="0"/>
          <w:numId w:val="1"/>
        </w:numPr>
        <w:tabs>
          <w:tab w:val="left" w:pos="6203"/>
        </w:tabs>
        <w:spacing w:line="360" w:lineRule="auto"/>
      </w:pPr>
      <w:r w:rsidRPr="00AB17AB">
        <w:t>CIPD (202</w:t>
      </w:r>
      <w:r>
        <w:t>5a</w:t>
      </w:r>
      <w:r w:rsidRPr="00AB17AB">
        <w:t>) Pay structures and pay progression. Available at: Pay Structures and Pay Progression | Factsheets | CIPD (Accessed: 24 Jan 2026).</w:t>
      </w:r>
    </w:p>
    <w:sectPr w:rsidR="003748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63B36"/>
    <w:multiLevelType w:val="hybridMultilevel"/>
    <w:tmpl w:val="F9B8A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272333"/>
    <w:multiLevelType w:val="hybridMultilevel"/>
    <w:tmpl w:val="297867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56812360">
    <w:abstractNumId w:val="1"/>
  </w:num>
  <w:num w:numId="2" w16cid:durableId="1151676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DD1"/>
    <w:rsid w:val="00013A2C"/>
    <w:rsid w:val="00015D73"/>
    <w:rsid w:val="0001680E"/>
    <w:rsid w:val="000177AA"/>
    <w:rsid w:val="00026C90"/>
    <w:rsid w:val="000278A7"/>
    <w:rsid w:val="00036FC1"/>
    <w:rsid w:val="00041E90"/>
    <w:rsid w:val="00054FE9"/>
    <w:rsid w:val="00060877"/>
    <w:rsid w:val="00062AC3"/>
    <w:rsid w:val="0006341F"/>
    <w:rsid w:val="00073643"/>
    <w:rsid w:val="00074E74"/>
    <w:rsid w:val="00091763"/>
    <w:rsid w:val="0009396D"/>
    <w:rsid w:val="00097262"/>
    <w:rsid w:val="000A43DA"/>
    <w:rsid w:val="000C0390"/>
    <w:rsid w:val="000C3C7B"/>
    <w:rsid w:val="000D3B40"/>
    <w:rsid w:val="000D70B0"/>
    <w:rsid w:val="000D73B7"/>
    <w:rsid w:val="000F11EE"/>
    <w:rsid w:val="000F6A52"/>
    <w:rsid w:val="00101125"/>
    <w:rsid w:val="0010427A"/>
    <w:rsid w:val="00117FF6"/>
    <w:rsid w:val="00150234"/>
    <w:rsid w:val="001536B5"/>
    <w:rsid w:val="00153E15"/>
    <w:rsid w:val="001613E6"/>
    <w:rsid w:val="00165D78"/>
    <w:rsid w:val="00181358"/>
    <w:rsid w:val="00183805"/>
    <w:rsid w:val="001978A6"/>
    <w:rsid w:val="001C69B9"/>
    <w:rsid w:val="001C7D19"/>
    <w:rsid w:val="001D2A09"/>
    <w:rsid w:val="001D2D24"/>
    <w:rsid w:val="001E04B9"/>
    <w:rsid w:val="001F267C"/>
    <w:rsid w:val="00212D18"/>
    <w:rsid w:val="00216822"/>
    <w:rsid w:val="00227F4F"/>
    <w:rsid w:val="00233239"/>
    <w:rsid w:val="00233B60"/>
    <w:rsid w:val="002349F0"/>
    <w:rsid w:val="00235BCD"/>
    <w:rsid w:val="0025536E"/>
    <w:rsid w:val="002568CB"/>
    <w:rsid w:val="00256F1F"/>
    <w:rsid w:val="00257902"/>
    <w:rsid w:val="00264F86"/>
    <w:rsid w:val="00266D6B"/>
    <w:rsid w:val="0027009A"/>
    <w:rsid w:val="00270E77"/>
    <w:rsid w:val="0029481C"/>
    <w:rsid w:val="002A0889"/>
    <w:rsid w:val="002A7EE4"/>
    <w:rsid w:val="002B1388"/>
    <w:rsid w:val="002D5F65"/>
    <w:rsid w:val="002E404C"/>
    <w:rsid w:val="002E6FD0"/>
    <w:rsid w:val="002F2365"/>
    <w:rsid w:val="002F5BBA"/>
    <w:rsid w:val="002F7CEC"/>
    <w:rsid w:val="003043D9"/>
    <w:rsid w:val="00314F21"/>
    <w:rsid w:val="00326DD1"/>
    <w:rsid w:val="00334ED1"/>
    <w:rsid w:val="003534FF"/>
    <w:rsid w:val="00357AE5"/>
    <w:rsid w:val="00367A34"/>
    <w:rsid w:val="00372D2E"/>
    <w:rsid w:val="0037486C"/>
    <w:rsid w:val="003762EE"/>
    <w:rsid w:val="00381D2D"/>
    <w:rsid w:val="00391321"/>
    <w:rsid w:val="003917C6"/>
    <w:rsid w:val="00393781"/>
    <w:rsid w:val="003A0D31"/>
    <w:rsid w:val="003B03B3"/>
    <w:rsid w:val="003B189E"/>
    <w:rsid w:val="003B685D"/>
    <w:rsid w:val="003C3E9E"/>
    <w:rsid w:val="003D3091"/>
    <w:rsid w:val="003D4211"/>
    <w:rsid w:val="003D60AF"/>
    <w:rsid w:val="003D64AC"/>
    <w:rsid w:val="003E1DFD"/>
    <w:rsid w:val="003F72B3"/>
    <w:rsid w:val="00410654"/>
    <w:rsid w:val="00433FEF"/>
    <w:rsid w:val="00442BA2"/>
    <w:rsid w:val="0046195E"/>
    <w:rsid w:val="004724A8"/>
    <w:rsid w:val="004826EF"/>
    <w:rsid w:val="004874C5"/>
    <w:rsid w:val="004A0874"/>
    <w:rsid w:val="004A167E"/>
    <w:rsid w:val="004A38A7"/>
    <w:rsid w:val="004A6197"/>
    <w:rsid w:val="004B22C6"/>
    <w:rsid w:val="004B53FE"/>
    <w:rsid w:val="004F0B38"/>
    <w:rsid w:val="004F2B72"/>
    <w:rsid w:val="00501155"/>
    <w:rsid w:val="00503005"/>
    <w:rsid w:val="00505E60"/>
    <w:rsid w:val="00514ADE"/>
    <w:rsid w:val="0052348E"/>
    <w:rsid w:val="00534451"/>
    <w:rsid w:val="00562E08"/>
    <w:rsid w:val="005A4A69"/>
    <w:rsid w:val="005B0D7F"/>
    <w:rsid w:val="005C71DC"/>
    <w:rsid w:val="005D2C07"/>
    <w:rsid w:val="005D3394"/>
    <w:rsid w:val="005E388F"/>
    <w:rsid w:val="0061725B"/>
    <w:rsid w:val="00622040"/>
    <w:rsid w:val="00622E4D"/>
    <w:rsid w:val="00635F8A"/>
    <w:rsid w:val="00643A74"/>
    <w:rsid w:val="00645550"/>
    <w:rsid w:val="00655B3C"/>
    <w:rsid w:val="006622E7"/>
    <w:rsid w:val="00667C29"/>
    <w:rsid w:val="00674A5A"/>
    <w:rsid w:val="00677191"/>
    <w:rsid w:val="00682B41"/>
    <w:rsid w:val="00686265"/>
    <w:rsid w:val="00691803"/>
    <w:rsid w:val="00695C44"/>
    <w:rsid w:val="006A0023"/>
    <w:rsid w:val="006B156B"/>
    <w:rsid w:val="006C1325"/>
    <w:rsid w:val="006C4302"/>
    <w:rsid w:val="006C5904"/>
    <w:rsid w:val="006D33C7"/>
    <w:rsid w:val="006E1E1B"/>
    <w:rsid w:val="006E45AC"/>
    <w:rsid w:val="006F30E1"/>
    <w:rsid w:val="00705B0A"/>
    <w:rsid w:val="00706D06"/>
    <w:rsid w:val="00710F55"/>
    <w:rsid w:val="00722702"/>
    <w:rsid w:val="00727DF7"/>
    <w:rsid w:val="00732FE5"/>
    <w:rsid w:val="00733546"/>
    <w:rsid w:val="007335F2"/>
    <w:rsid w:val="00734665"/>
    <w:rsid w:val="00743961"/>
    <w:rsid w:val="00744BF5"/>
    <w:rsid w:val="007552B8"/>
    <w:rsid w:val="00766797"/>
    <w:rsid w:val="007769E3"/>
    <w:rsid w:val="007842A3"/>
    <w:rsid w:val="0079062B"/>
    <w:rsid w:val="007908F7"/>
    <w:rsid w:val="0079098C"/>
    <w:rsid w:val="0079110E"/>
    <w:rsid w:val="00793918"/>
    <w:rsid w:val="00797753"/>
    <w:rsid w:val="007A4B19"/>
    <w:rsid w:val="007A75E5"/>
    <w:rsid w:val="007B0EE1"/>
    <w:rsid w:val="007C48FD"/>
    <w:rsid w:val="007F3F9E"/>
    <w:rsid w:val="00801023"/>
    <w:rsid w:val="00805DB7"/>
    <w:rsid w:val="008203F8"/>
    <w:rsid w:val="00833629"/>
    <w:rsid w:val="00834393"/>
    <w:rsid w:val="0084099F"/>
    <w:rsid w:val="008416D7"/>
    <w:rsid w:val="00855252"/>
    <w:rsid w:val="008553D6"/>
    <w:rsid w:val="00856266"/>
    <w:rsid w:val="0086076B"/>
    <w:rsid w:val="00885965"/>
    <w:rsid w:val="00886BBA"/>
    <w:rsid w:val="00891488"/>
    <w:rsid w:val="00891A60"/>
    <w:rsid w:val="008A0BF3"/>
    <w:rsid w:val="008A349B"/>
    <w:rsid w:val="008B5A9B"/>
    <w:rsid w:val="008D1EDA"/>
    <w:rsid w:val="008D5C19"/>
    <w:rsid w:val="008E3516"/>
    <w:rsid w:val="008F41C1"/>
    <w:rsid w:val="008F66CA"/>
    <w:rsid w:val="00902F14"/>
    <w:rsid w:val="00903729"/>
    <w:rsid w:val="00914065"/>
    <w:rsid w:val="009268D4"/>
    <w:rsid w:val="0093289A"/>
    <w:rsid w:val="0094692F"/>
    <w:rsid w:val="009649C4"/>
    <w:rsid w:val="00970CA9"/>
    <w:rsid w:val="0098620C"/>
    <w:rsid w:val="00990D7F"/>
    <w:rsid w:val="009A4C0B"/>
    <w:rsid w:val="009A7A23"/>
    <w:rsid w:val="009B52EA"/>
    <w:rsid w:val="009C2A79"/>
    <w:rsid w:val="009D367B"/>
    <w:rsid w:val="00A0774D"/>
    <w:rsid w:val="00A11530"/>
    <w:rsid w:val="00A11CDF"/>
    <w:rsid w:val="00A173AC"/>
    <w:rsid w:val="00A45BC3"/>
    <w:rsid w:val="00A53A45"/>
    <w:rsid w:val="00A56A03"/>
    <w:rsid w:val="00A609A5"/>
    <w:rsid w:val="00A656CB"/>
    <w:rsid w:val="00A65AA5"/>
    <w:rsid w:val="00A92429"/>
    <w:rsid w:val="00AA51BF"/>
    <w:rsid w:val="00AB0D2D"/>
    <w:rsid w:val="00AB17AB"/>
    <w:rsid w:val="00AD4D45"/>
    <w:rsid w:val="00AD54CA"/>
    <w:rsid w:val="00AE71BC"/>
    <w:rsid w:val="00AF3911"/>
    <w:rsid w:val="00AF5974"/>
    <w:rsid w:val="00B02A15"/>
    <w:rsid w:val="00B05243"/>
    <w:rsid w:val="00B23BC2"/>
    <w:rsid w:val="00B31479"/>
    <w:rsid w:val="00B423AE"/>
    <w:rsid w:val="00B50451"/>
    <w:rsid w:val="00B5582E"/>
    <w:rsid w:val="00B63CDA"/>
    <w:rsid w:val="00B64E00"/>
    <w:rsid w:val="00B70B5F"/>
    <w:rsid w:val="00B8562C"/>
    <w:rsid w:val="00B87D8E"/>
    <w:rsid w:val="00B87EBD"/>
    <w:rsid w:val="00BA32D6"/>
    <w:rsid w:val="00BB1571"/>
    <w:rsid w:val="00BC348F"/>
    <w:rsid w:val="00BC4CF0"/>
    <w:rsid w:val="00BC64A3"/>
    <w:rsid w:val="00BD26F3"/>
    <w:rsid w:val="00BD4E8B"/>
    <w:rsid w:val="00BE3E14"/>
    <w:rsid w:val="00BE4F98"/>
    <w:rsid w:val="00BE610D"/>
    <w:rsid w:val="00C00FCD"/>
    <w:rsid w:val="00C135AC"/>
    <w:rsid w:val="00C143CE"/>
    <w:rsid w:val="00C14721"/>
    <w:rsid w:val="00C15042"/>
    <w:rsid w:val="00C15D58"/>
    <w:rsid w:val="00C3365D"/>
    <w:rsid w:val="00C407A6"/>
    <w:rsid w:val="00C417DD"/>
    <w:rsid w:val="00C47B6E"/>
    <w:rsid w:val="00C54FDB"/>
    <w:rsid w:val="00C5792B"/>
    <w:rsid w:val="00C57B4F"/>
    <w:rsid w:val="00C62E38"/>
    <w:rsid w:val="00C6360C"/>
    <w:rsid w:val="00C84A5A"/>
    <w:rsid w:val="00CA04E1"/>
    <w:rsid w:val="00CA765B"/>
    <w:rsid w:val="00CC258C"/>
    <w:rsid w:val="00CF055A"/>
    <w:rsid w:val="00D032DA"/>
    <w:rsid w:val="00D077F6"/>
    <w:rsid w:val="00D314F6"/>
    <w:rsid w:val="00D364B0"/>
    <w:rsid w:val="00D37A78"/>
    <w:rsid w:val="00D5350C"/>
    <w:rsid w:val="00D62CA2"/>
    <w:rsid w:val="00D71729"/>
    <w:rsid w:val="00D77261"/>
    <w:rsid w:val="00D9119B"/>
    <w:rsid w:val="00D919DD"/>
    <w:rsid w:val="00D94CA5"/>
    <w:rsid w:val="00DA6300"/>
    <w:rsid w:val="00DC6414"/>
    <w:rsid w:val="00DD08F2"/>
    <w:rsid w:val="00E02EB7"/>
    <w:rsid w:val="00E0587C"/>
    <w:rsid w:val="00E147E2"/>
    <w:rsid w:val="00E2089B"/>
    <w:rsid w:val="00E401E0"/>
    <w:rsid w:val="00E47CDE"/>
    <w:rsid w:val="00E52AD3"/>
    <w:rsid w:val="00E55708"/>
    <w:rsid w:val="00E655B5"/>
    <w:rsid w:val="00E70A77"/>
    <w:rsid w:val="00E724A1"/>
    <w:rsid w:val="00E807A2"/>
    <w:rsid w:val="00E95620"/>
    <w:rsid w:val="00EA34F0"/>
    <w:rsid w:val="00EA4ECD"/>
    <w:rsid w:val="00EB0167"/>
    <w:rsid w:val="00EB0C62"/>
    <w:rsid w:val="00EB34BD"/>
    <w:rsid w:val="00EB4D48"/>
    <w:rsid w:val="00ED058C"/>
    <w:rsid w:val="00EF2A9C"/>
    <w:rsid w:val="00F01A85"/>
    <w:rsid w:val="00F0718A"/>
    <w:rsid w:val="00F13E57"/>
    <w:rsid w:val="00F143D4"/>
    <w:rsid w:val="00F311E2"/>
    <w:rsid w:val="00F41274"/>
    <w:rsid w:val="00F421ED"/>
    <w:rsid w:val="00F54B37"/>
    <w:rsid w:val="00F65ACB"/>
    <w:rsid w:val="00F70A6B"/>
    <w:rsid w:val="00F719C9"/>
    <w:rsid w:val="00F93DC4"/>
    <w:rsid w:val="00F95069"/>
    <w:rsid w:val="00F978B3"/>
    <w:rsid w:val="00FB27AD"/>
    <w:rsid w:val="00FC28DE"/>
    <w:rsid w:val="00FC56A9"/>
    <w:rsid w:val="00FD1CB3"/>
    <w:rsid w:val="00FD2761"/>
    <w:rsid w:val="00FD5EF9"/>
    <w:rsid w:val="00FD678F"/>
    <w:rsid w:val="00FD6973"/>
    <w:rsid w:val="00FE11CC"/>
    <w:rsid w:val="00FE6350"/>
    <w:rsid w:val="00FF3069"/>
    <w:rsid w:val="00FF3F3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24FF5"/>
  <w15:chartTrackingRefBased/>
  <w15:docId w15:val="{967C346B-4DB0-4D3E-89C8-234932898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6D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6D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6D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6D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6D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6D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6D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6D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6D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6D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6D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6D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6D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6D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6D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6D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6D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6DD1"/>
    <w:rPr>
      <w:rFonts w:eastAsiaTheme="majorEastAsia" w:cstheme="majorBidi"/>
      <w:color w:val="272727" w:themeColor="text1" w:themeTint="D8"/>
    </w:rPr>
  </w:style>
  <w:style w:type="paragraph" w:styleId="Title">
    <w:name w:val="Title"/>
    <w:basedOn w:val="Normal"/>
    <w:next w:val="Normal"/>
    <w:link w:val="TitleChar"/>
    <w:uiPriority w:val="10"/>
    <w:qFormat/>
    <w:rsid w:val="00326D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6D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6D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6D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6DD1"/>
    <w:pPr>
      <w:spacing w:before="160"/>
      <w:jc w:val="center"/>
    </w:pPr>
    <w:rPr>
      <w:i/>
      <w:iCs/>
      <w:color w:val="404040" w:themeColor="text1" w:themeTint="BF"/>
    </w:rPr>
  </w:style>
  <w:style w:type="character" w:customStyle="1" w:styleId="QuoteChar">
    <w:name w:val="Quote Char"/>
    <w:basedOn w:val="DefaultParagraphFont"/>
    <w:link w:val="Quote"/>
    <w:uiPriority w:val="29"/>
    <w:rsid w:val="00326DD1"/>
    <w:rPr>
      <w:i/>
      <w:iCs/>
      <w:color w:val="404040" w:themeColor="text1" w:themeTint="BF"/>
    </w:rPr>
  </w:style>
  <w:style w:type="paragraph" w:styleId="ListParagraph">
    <w:name w:val="List Paragraph"/>
    <w:basedOn w:val="Normal"/>
    <w:uiPriority w:val="34"/>
    <w:qFormat/>
    <w:rsid w:val="00326DD1"/>
    <w:pPr>
      <w:ind w:left="720"/>
      <w:contextualSpacing/>
    </w:pPr>
  </w:style>
  <w:style w:type="character" w:styleId="IntenseEmphasis">
    <w:name w:val="Intense Emphasis"/>
    <w:basedOn w:val="DefaultParagraphFont"/>
    <w:uiPriority w:val="21"/>
    <w:qFormat/>
    <w:rsid w:val="00326DD1"/>
    <w:rPr>
      <w:i/>
      <w:iCs/>
      <w:color w:val="0F4761" w:themeColor="accent1" w:themeShade="BF"/>
    </w:rPr>
  </w:style>
  <w:style w:type="paragraph" w:styleId="IntenseQuote">
    <w:name w:val="Intense Quote"/>
    <w:basedOn w:val="Normal"/>
    <w:next w:val="Normal"/>
    <w:link w:val="IntenseQuoteChar"/>
    <w:uiPriority w:val="30"/>
    <w:qFormat/>
    <w:rsid w:val="00326D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6DD1"/>
    <w:rPr>
      <w:i/>
      <w:iCs/>
      <w:color w:val="0F4761" w:themeColor="accent1" w:themeShade="BF"/>
    </w:rPr>
  </w:style>
  <w:style w:type="character" w:styleId="IntenseReference">
    <w:name w:val="Intense Reference"/>
    <w:basedOn w:val="DefaultParagraphFont"/>
    <w:uiPriority w:val="32"/>
    <w:qFormat/>
    <w:rsid w:val="00326DD1"/>
    <w:rPr>
      <w:b/>
      <w:bCs/>
      <w:smallCaps/>
      <w:color w:val="0F4761" w:themeColor="accent1" w:themeShade="BF"/>
      <w:spacing w:val="5"/>
    </w:rPr>
  </w:style>
  <w:style w:type="character" w:styleId="Hyperlink">
    <w:name w:val="Hyperlink"/>
    <w:basedOn w:val="DefaultParagraphFont"/>
    <w:uiPriority w:val="99"/>
    <w:unhideWhenUsed/>
    <w:rsid w:val="00DD08F2"/>
    <w:rPr>
      <w:color w:val="467886" w:themeColor="hyperlink"/>
      <w:u w:val="single"/>
    </w:rPr>
  </w:style>
  <w:style w:type="character" w:styleId="UnresolvedMention">
    <w:name w:val="Unresolved Mention"/>
    <w:basedOn w:val="DefaultParagraphFont"/>
    <w:uiPriority w:val="99"/>
    <w:semiHidden/>
    <w:unhideWhenUsed/>
    <w:rsid w:val="00DD08F2"/>
    <w:rPr>
      <w:color w:val="605E5C"/>
      <w:shd w:val="clear" w:color="auto" w:fill="E1DFDD"/>
    </w:rPr>
  </w:style>
  <w:style w:type="character" w:styleId="FollowedHyperlink">
    <w:name w:val="FollowedHyperlink"/>
    <w:basedOn w:val="DefaultParagraphFont"/>
    <w:uiPriority w:val="99"/>
    <w:semiHidden/>
    <w:unhideWhenUsed/>
    <w:rsid w:val="00AF391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beis-annual-reports-and-accounts" TargetMode="External"/><Relationship Id="rId13" Type="http://schemas.openxmlformats.org/officeDocument/2006/relationships/hyperlink" Target="https://www.cipd.org/uk/knowledge/factsheets/market-pricing-factshee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177/15480518231216868" TargetMode="External"/><Relationship Id="rId12" Type="http://schemas.openxmlformats.org/officeDocument/2006/relationships/hyperlink" Target="https://www.gov.uk/government/organisations/low-pay-commission" TargetMode="External"/><Relationship Id="rId17" Type="http://schemas.openxmlformats.org/officeDocument/2006/relationships/hyperlink" Target="https://www.davidsonmorris.com/pay-structure/" TargetMode="External"/><Relationship Id="rId2" Type="http://schemas.openxmlformats.org/officeDocument/2006/relationships/numbering" Target="numbering.xml"/><Relationship Id="rId16" Type="http://schemas.openxmlformats.org/officeDocument/2006/relationships/hyperlink" Target="https://doi.org/10.1027/1866-5888/a000187" TargetMode="External"/><Relationship Id="rId1" Type="http://schemas.openxmlformats.org/officeDocument/2006/relationships/customXml" Target="../customXml/item1.xml"/><Relationship Id="rId6" Type="http://schemas.openxmlformats.org/officeDocument/2006/relationships/hyperlink" Target="https://www.randstad.co.uk/market-insights/salary-benefits/types-different-pay-structure/" TargetMode="External"/><Relationship Id="rId11" Type="http://schemas.openxmlformats.org/officeDocument/2006/relationships/hyperlink" Target="https://www.gov.uk/government/publications/cwg2-further-guide-to-paye-and-national-insurance-contributions/2024-to-2025-employer-further-guide-to-paye-and-national-insurance-contributions" TargetMode="External"/><Relationship Id="rId5" Type="http://schemas.openxmlformats.org/officeDocument/2006/relationships/webSettings" Target="webSettings.xml"/><Relationship Id="rId15" Type="http://schemas.openxmlformats.org/officeDocument/2006/relationships/hyperlink" Target="https://doi.org/10.5465/AME.2005.19417915" TargetMode="External"/><Relationship Id="rId10" Type="http://schemas.openxmlformats.org/officeDocument/2006/relationships/hyperlink" Target="https://www.gov.uk/government/publications/gender-pay-gap-reporting-guidance-for-employer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ipd.org/uk/knowledge/employment-law/equal-pay/" TargetMode="External"/><Relationship Id="rId14" Type="http://schemas.openxmlformats.org/officeDocument/2006/relationships/hyperlink" Target="https://www.cipd.org/uk/knowledge/factsheets/reward-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EBE72-7078-4403-941C-6BA1DB736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5926</Words>
  <Characters>31707</Characters>
  <Application>Microsoft Office Word</Application>
  <DocSecurity>0</DocSecurity>
  <Lines>1668</Lines>
  <Paragraphs>696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Hussein</dc:creator>
  <cp:keywords/>
  <dc:description/>
  <cp:lastModifiedBy>Mona Hussein</cp:lastModifiedBy>
  <cp:revision>2</cp:revision>
  <dcterms:created xsi:type="dcterms:W3CDTF">2026-02-01T14:20:00Z</dcterms:created>
  <dcterms:modified xsi:type="dcterms:W3CDTF">2026-02-01T14:20:00Z</dcterms:modified>
</cp:coreProperties>
</file>