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04F838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23271">
              <w:rPr>
                <w:rFonts w:ascii="Times New Roman" w:hAnsi="Times New Roman" w:cs="Times New Roman"/>
                <w:b/>
                <w:color w:val="auto"/>
                <w:sz w:val="48"/>
              </w:rPr>
              <w:t>Emily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3E3548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23271">
              <w:rPr>
                <w:rFonts w:ascii="Times New Roman" w:hAnsi="Times New Roman" w:cs="Times New Roman"/>
                <w:b/>
                <w:color w:val="auto"/>
                <w:sz w:val="48"/>
              </w:rPr>
              <w:t xml:space="preserve"> 2419267@student.uwtsd.ac.uk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C088A26" w14:textId="6EA8C89E" w:rsidR="00723271" w:rsidRPr="005D3F07" w:rsidRDefault="0072327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2419267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612C8025" w14:textId="77777777" w:rsidR="00767304" w:rsidRDefault="00767304" w:rsidP="00767304">
            <w:pPr>
              <w:rPr>
                <w:sz w:val="24"/>
                <w:szCs w:val="24"/>
              </w:rPr>
            </w:pPr>
            <w:r w:rsidRPr="00767304">
              <w:rPr>
                <w:sz w:val="24"/>
                <w:szCs w:val="24"/>
              </w:rPr>
              <w:t xml:space="preserve">2- service user. </w:t>
            </w:r>
          </w:p>
          <w:p w14:paraId="6FE09EC0" w14:textId="77777777" w:rsidR="00767304" w:rsidRDefault="00767304" w:rsidP="00767304">
            <w:pPr>
              <w:rPr>
                <w:sz w:val="24"/>
                <w:szCs w:val="24"/>
              </w:rPr>
            </w:pPr>
          </w:p>
          <w:p w14:paraId="1D1921A8" w14:textId="77777777" w:rsidR="00916867" w:rsidRDefault="00916867" w:rsidP="00916867">
            <w:pPr>
              <w:jc w:val="both"/>
              <w:rPr>
                <w:sz w:val="24"/>
                <w:szCs w:val="24"/>
              </w:rPr>
            </w:pPr>
            <w:r w:rsidRPr="00916867">
              <w:rPr>
                <w:sz w:val="24"/>
                <w:szCs w:val="24"/>
              </w:rPr>
              <w:t xml:space="preserve">I work as a social worker in a community mental health team (CMHT). It is an integrated team of National Health Service (NHS) staff, and Local Authority staff. The multidisciplinary team supports individuals who are vulnerable due to their mental health status and in need of care and support. CMHT’s are in every county across Wales and are a part of the health board’s mental health care provision (Evans, Huxley, Baker, White, Madge, Onyett &amp; Gould, 2012). To reflect on my experience of safeguarding, I will be considering 2, who is a female in her 20’s who has a diagnosis of depression, anxiety, and autistic spectrum disorder. 2 lives in twenty-four hour supported accommodation with six other adults with mental health conditions. The accommodation is located within a central area which has good transport links to bigger cities and other towns. 2 doesn’t have any family nearby, and her mother lives in the next county 50 miles away. 2 does have regular telephone contact with her mother and arranges to spend weekends at her mother’s home. 2 also pays for a private personal assistant to take her out in the community to access activities such as support groups, and to go shopping. </w:t>
            </w:r>
          </w:p>
          <w:p w14:paraId="30EF7F20" w14:textId="77777777" w:rsidR="00916867" w:rsidRPr="00916867" w:rsidRDefault="00916867" w:rsidP="00916867">
            <w:pPr>
              <w:jc w:val="both"/>
              <w:rPr>
                <w:sz w:val="24"/>
                <w:szCs w:val="24"/>
              </w:rPr>
            </w:pPr>
          </w:p>
          <w:p w14:paraId="682CEC44" w14:textId="06382FD2" w:rsidR="00916867" w:rsidRDefault="00916867" w:rsidP="00916867">
            <w:pPr>
              <w:jc w:val="both"/>
              <w:rPr>
                <w:sz w:val="24"/>
                <w:szCs w:val="24"/>
              </w:rPr>
            </w:pPr>
            <w:r w:rsidRPr="00916867">
              <w:rPr>
                <w:sz w:val="24"/>
                <w:szCs w:val="24"/>
              </w:rPr>
              <w:t xml:space="preserve">2 experiences loneliness and feelings of isolation, and historically this has led her to seek emotional warmth and attention from males who she has met on the internet. 2 has a desire to start a family and have romantic relationships to feel loved.  2 has placed herself in dangerous situations which resulted in her experiencing domestic violence (DV), and sexual </w:t>
            </w:r>
            <w:r w:rsidRPr="00916867">
              <w:rPr>
                <w:sz w:val="24"/>
                <w:szCs w:val="24"/>
              </w:rPr>
              <w:lastRenderedPageBreak/>
              <w:t>exploitation. The impact of sexual assault on a person with mental health issues can also cause them to deteriorate and make their symptoms worsen (Scott Tilley, Young, Richmond &amp; Humphrey, 2024). It is also understood in literature that vulnerable adults are more likely to engage in riskier behaviour with riskier individuals due to a poorer risk perception. They are also more likely to experience isolation and loneliness (</w:t>
            </w:r>
            <w:r w:rsidR="00616FE0">
              <w:rPr>
                <w:sz w:val="24"/>
                <w:szCs w:val="24"/>
              </w:rPr>
              <w:t xml:space="preserve">Van </w:t>
            </w:r>
            <w:r w:rsidR="009A57EA">
              <w:rPr>
                <w:sz w:val="24"/>
                <w:szCs w:val="24"/>
              </w:rPr>
              <w:t xml:space="preserve">Den Bulck, Van Emmerick, </w:t>
            </w:r>
            <w:r w:rsidR="00D2348D">
              <w:rPr>
                <w:sz w:val="24"/>
                <w:szCs w:val="24"/>
              </w:rPr>
              <w:t>Blanken</w:t>
            </w:r>
            <w:r w:rsidRPr="00916867">
              <w:rPr>
                <w:sz w:val="24"/>
                <w:szCs w:val="24"/>
              </w:rPr>
              <w:t>,</w:t>
            </w:r>
            <w:r w:rsidR="00D2348D">
              <w:rPr>
                <w:sz w:val="24"/>
                <w:szCs w:val="24"/>
              </w:rPr>
              <w:t xml:space="preserve"> Kamphuis, &amp;</w:t>
            </w:r>
            <w:r w:rsidR="00C95C5D">
              <w:rPr>
                <w:sz w:val="24"/>
                <w:szCs w:val="24"/>
              </w:rPr>
              <w:t xml:space="preserve"> Dijk, </w:t>
            </w:r>
            <w:r w:rsidR="00C95C5D" w:rsidRPr="00916867">
              <w:rPr>
                <w:sz w:val="24"/>
                <w:szCs w:val="24"/>
              </w:rPr>
              <w:t>2025</w:t>
            </w:r>
            <w:r w:rsidRPr="00916867">
              <w:rPr>
                <w:sz w:val="24"/>
                <w:szCs w:val="24"/>
              </w:rPr>
              <w:t xml:space="preserve">). </w:t>
            </w:r>
          </w:p>
          <w:p w14:paraId="08B45E5E" w14:textId="77777777" w:rsidR="00916867" w:rsidRPr="00916867" w:rsidRDefault="00916867" w:rsidP="00916867">
            <w:pPr>
              <w:jc w:val="both"/>
              <w:rPr>
                <w:sz w:val="24"/>
                <w:szCs w:val="24"/>
              </w:rPr>
            </w:pPr>
          </w:p>
          <w:p w14:paraId="1E70DC6C" w14:textId="77777777" w:rsidR="00916867" w:rsidRDefault="00916867" w:rsidP="00916867">
            <w:pPr>
              <w:jc w:val="both"/>
              <w:rPr>
                <w:sz w:val="24"/>
                <w:szCs w:val="24"/>
              </w:rPr>
            </w:pPr>
            <w:r w:rsidRPr="00916867">
              <w:rPr>
                <w:sz w:val="24"/>
                <w:szCs w:val="24"/>
              </w:rPr>
              <w:t xml:space="preserve">To support 2 through this vulnerable time, safeguarding measures were taken. When safeguarding an adult in Wales, one of the main policies that needs to be adhered to is the Wales Safeguarding procedures (WSP, 2019). The procedure provides practitioners with six principles to follow while safeguarding an adult at risk. Not all these principles will be relevant. For example, in 2’s case the concerns were not against a professional, so principle five did not apply, meanwhile principles one to four did apply. The first principle that needed to be acknowledged and applied was principle one, which is responding to safeguarding reports for adults at risk. It is also a statutory requirement for all people in Wales who have concerns about an adult at risk, to report those concerns either to social services, or the police if the person is in immediate danger. There is a possibility of becoming involved in public law issues should an adult become harmed when a responsible adult could have reported the concerns under this statutory duty (WSP, 2021). Fortunately, in 2’s case an incident of sexual assault was reported firstly by herself to me, and then the police after discussions with 2 and the staff in her home. </w:t>
            </w:r>
          </w:p>
          <w:p w14:paraId="111B0362" w14:textId="77777777" w:rsidR="00916867" w:rsidRPr="00916867" w:rsidRDefault="00916867" w:rsidP="00916867">
            <w:pPr>
              <w:jc w:val="both"/>
              <w:rPr>
                <w:sz w:val="24"/>
                <w:szCs w:val="24"/>
              </w:rPr>
            </w:pPr>
          </w:p>
          <w:p w14:paraId="6AC4EE67" w14:textId="78F8A19F" w:rsidR="00916867" w:rsidRDefault="00916867" w:rsidP="00916867">
            <w:pPr>
              <w:jc w:val="both"/>
              <w:rPr>
                <w:sz w:val="24"/>
                <w:szCs w:val="24"/>
              </w:rPr>
            </w:pPr>
            <w:r w:rsidRPr="00916867">
              <w:rPr>
                <w:sz w:val="24"/>
                <w:szCs w:val="24"/>
              </w:rPr>
              <w:t>Following this incident, the Local Authority was notified via a</w:t>
            </w:r>
            <w:r w:rsidR="00A85ABC">
              <w:rPr>
                <w:sz w:val="24"/>
                <w:szCs w:val="24"/>
              </w:rPr>
              <w:t xml:space="preserve"> multi-agency referral form</w:t>
            </w:r>
            <w:r w:rsidRPr="00916867">
              <w:rPr>
                <w:sz w:val="24"/>
                <w:szCs w:val="24"/>
              </w:rPr>
              <w:t xml:space="preserve"> </w:t>
            </w:r>
            <w:r w:rsidR="00A85ABC">
              <w:rPr>
                <w:sz w:val="24"/>
                <w:szCs w:val="24"/>
              </w:rPr>
              <w:t>(</w:t>
            </w:r>
            <w:r w:rsidRPr="00916867">
              <w:rPr>
                <w:sz w:val="24"/>
                <w:szCs w:val="24"/>
              </w:rPr>
              <w:t>MARF</w:t>
            </w:r>
            <w:r w:rsidR="00A85ABC">
              <w:rPr>
                <w:sz w:val="24"/>
                <w:szCs w:val="24"/>
              </w:rPr>
              <w:t>)</w:t>
            </w:r>
            <w:r w:rsidRPr="00916867">
              <w:rPr>
                <w:sz w:val="24"/>
                <w:szCs w:val="24"/>
              </w:rPr>
              <w:t xml:space="preserve"> that she had been sexually assaulted at the perpetrator’s residence. She later informed me that she had reported the assault to the police with the support of staff from her supported living complex, and an investigation into the perpetrator was underway. She described the incident as non-consensual sex but expressed confusion, stating that if she had been asked beforehand, she might not have said no. This indicates a struggle to fully grasp that what occurred was still a violation of consent (Parillo, 2008). Her feelings appeared to stem from an initial attraction to the perpetrator and the possibility that she had considered engaging in sexual activity with them. However, she did not give consent, and the act was not consensual. Such feelings of self-blame are commonly reported by survivors of sexual assault (Ullman, Townsend, Filipas, &amp; Starynski, 2007).</w:t>
            </w:r>
          </w:p>
          <w:p w14:paraId="225D54B7" w14:textId="77777777" w:rsidR="00916867" w:rsidRPr="00916867" w:rsidRDefault="00916867" w:rsidP="00916867">
            <w:pPr>
              <w:jc w:val="both"/>
              <w:rPr>
                <w:sz w:val="24"/>
                <w:szCs w:val="24"/>
              </w:rPr>
            </w:pPr>
          </w:p>
          <w:p w14:paraId="7CA6B44B" w14:textId="77777777" w:rsidR="00916867" w:rsidRDefault="00916867" w:rsidP="00916867">
            <w:pPr>
              <w:jc w:val="both"/>
              <w:rPr>
                <w:sz w:val="24"/>
                <w:szCs w:val="24"/>
              </w:rPr>
            </w:pPr>
            <w:r w:rsidRPr="00916867">
              <w:rPr>
                <w:sz w:val="24"/>
                <w:szCs w:val="24"/>
              </w:rPr>
              <w:t>After discussing this with 2, I assured her using empathetic communication that she did the right thing by reporting this, being empathetic in a situation like this is what I feel helped develop the trust between me and 2 (Higham, 2020). What also added to 2’s vulnerability was alcohol consumption on the night of the incident. It is recognised that alcohol consumption can drastically influence capacity, decision making, and place women especially in a more vulnerable position, in addition to 2’s additional learning needs and mental health when considering the risk of sexual assault (</w:t>
            </w:r>
            <w:r w:rsidRPr="00916867">
              <w:rPr>
                <w:color w:val="3A3A3A"/>
                <w:sz w:val="24"/>
                <w:szCs w:val="24"/>
                <w:shd w:val="clear" w:color="auto" w:fill="FFFFFF"/>
              </w:rPr>
              <w:t>Busch-Armendariz, Noel, Dinitto, Bell &amp; Bohman, 2010</w:t>
            </w:r>
            <w:r w:rsidRPr="00916867">
              <w:rPr>
                <w:sz w:val="24"/>
                <w:szCs w:val="24"/>
              </w:rPr>
              <w:t>). Upon reflection I was also able to use my communication skills and empathy skills to reassure 2, and ensure she was listened to, and that her concerns were acted upon. This is a requirement for social workers in Wales under section 3 of Social Care Wales (SCW, 2017) Code of Professional Practice.</w:t>
            </w:r>
          </w:p>
          <w:p w14:paraId="1FFAD716" w14:textId="7187AA8C" w:rsidR="00916867" w:rsidRPr="00916867" w:rsidRDefault="00916867" w:rsidP="00916867">
            <w:pPr>
              <w:jc w:val="both"/>
              <w:rPr>
                <w:sz w:val="24"/>
                <w:szCs w:val="24"/>
              </w:rPr>
            </w:pPr>
            <w:r w:rsidRPr="00916867">
              <w:rPr>
                <w:sz w:val="24"/>
                <w:szCs w:val="24"/>
              </w:rPr>
              <w:t xml:space="preserve"> </w:t>
            </w:r>
          </w:p>
          <w:p w14:paraId="751A2F98" w14:textId="186B5D74" w:rsidR="00916867" w:rsidRDefault="00916867" w:rsidP="00916867">
            <w:pPr>
              <w:jc w:val="both"/>
              <w:rPr>
                <w:sz w:val="24"/>
                <w:szCs w:val="24"/>
              </w:rPr>
            </w:pPr>
            <w:r w:rsidRPr="00916867">
              <w:rPr>
                <w:sz w:val="24"/>
                <w:szCs w:val="24"/>
              </w:rPr>
              <w:lastRenderedPageBreak/>
              <w:t>Following the incident, I felt a new course of action needed to be taken in relation to safeguarding 2. To begin a re-assessment and a new safety plan, I considered 2’s history first, and there were concerns regarding 2’s capacity in terms of making decisions regarding consensual sex, contact with partners &amp; ex partners. Due to this, the Local Authority requested for a capacity assessment to be completed, which was completed by a registered psychiatrist. The legislation to support capacity assessments is The Mental Capacity Act 2005 (MCA, 2005). It was deemed necessary to assess 2 under the MCA 2005 due to the poor decisions 2 appeared to be making whilst placing herself in dangerous unsafe situations. Assessments of mental capacity are only considered where the individual is suspected to be unable to make an informed decision (Ja</w:t>
            </w:r>
            <w:r w:rsidR="007F2C8C">
              <w:rPr>
                <w:sz w:val="24"/>
                <w:szCs w:val="24"/>
              </w:rPr>
              <w:t>y</w:t>
            </w:r>
            <w:r w:rsidRPr="00916867">
              <w:rPr>
                <w:sz w:val="24"/>
                <w:szCs w:val="24"/>
              </w:rPr>
              <w:t>es, Palmer &amp; Enderby, 2021).</w:t>
            </w:r>
          </w:p>
          <w:p w14:paraId="471B290B" w14:textId="77777777" w:rsidR="00916867" w:rsidRPr="00916867" w:rsidRDefault="00916867" w:rsidP="00916867">
            <w:pPr>
              <w:jc w:val="both"/>
              <w:rPr>
                <w:sz w:val="24"/>
                <w:szCs w:val="24"/>
              </w:rPr>
            </w:pPr>
          </w:p>
          <w:p w14:paraId="08A0DACD" w14:textId="3E534E83" w:rsidR="00916867" w:rsidRDefault="00916867" w:rsidP="00916867">
            <w:pPr>
              <w:jc w:val="both"/>
              <w:rPr>
                <w:sz w:val="24"/>
                <w:szCs w:val="24"/>
              </w:rPr>
            </w:pPr>
            <w:r w:rsidRPr="00916867">
              <w:rPr>
                <w:sz w:val="24"/>
                <w:szCs w:val="24"/>
              </w:rPr>
              <w:t>This assessment concluded that 2 had full capacity to make decisions regarding consensual sex, contact with partners, friends, and ex-partners on social media, as well as general consent to use social media. As such, 2 was considered capable of making informed choices in these aspects of her life. However, upon reflection, it became apparent that the same patterns of behaviour persisted, and 2 continued to make poor decisions following the assessment. As a result, she remains a vulnerable adult. While a reassessment of capacity under the Mental Capacity Act 2005 could be requested, 2 chose instead to continue working towards the development and implementation of a safety plan as an alternative (Ja</w:t>
            </w:r>
            <w:r w:rsidR="007F2C8C">
              <w:rPr>
                <w:sz w:val="24"/>
                <w:szCs w:val="24"/>
              </w:rPr>
              <w:t>y</w:t>
            </w:r>
            <w:r w:rsidRPr="00916867">
              <w:rPr>
                <w:sz w:val="24"/>
                <w:szCs w:val="24"/>
              </w:rPr>
              <w:t>es et al., 2021)</w:t>
            </w:r>
            <w:r>
              <w:rPr>
                <w:sz w:val="24"/>
                <w:szCs w:val="24"/>
              </w:rPr>
              <w:t>.</w:t>
            </w:r>
          </w:p>
          <w:p w14:paraId="11E2B4E3" w14:textId="77777777" w:rsidR="00916867" w:rsidRPr="00916867" w:rsidRDefault="00916867" w:rsidP="00916867">
            <w:pPr>
              <w:jc w:val="both"/>
              <w:rPr>
                <w:sz w:val="24"/>
                <w:szCs w:val="24"/>
              </w:rPr>
            </w:pPr>
          </w:p>
          <w:p w14:paraId="1DF69243" w14:textId="77777777" w:rsidR="00916867" w:rsidRDefault="00916867" w:rsidP="00916867">
            <w:pPr>
              <w:jc w:val="both"/>
              <w:rPr>
                <w:sz w:val="24"/>
                <w:szCs w:val="24"/>
              </w:rPr>
            </w:pPr>
            <w:r w:rsidRPr="00916867">
              <w:rPr>
                <w:sz w:val="24"/>
                <w:szCs w:val="24"/>
              </w:rPr>
              <w:t>While reflecting on these events, using my own professional judgement, and after seeking the guidance of my colleagues and my manager, it was decided that A needed ongoing support to manage the ongoing risk, particularly regarding her social media use and checking if she is safe (Megele &amp; Buzzi, 2020). In addition to this, working with others and being accountable for my work is a skill I have developed and one that I am continuing to develop, it is also a requirement of practice for social workers in Wales (SCW, 2017, S6). The outcome following this assessment was to continue working with 2 under an assessment via the Social Services and Well-being (</w:t>
            </w:r>
            <w:bookmarkStart w:id="0" w:name="_Hlk210204424"/>
            <w:r w:rsidRPr="00916867">
              <w:rPr>
                <w:sz w:val="24"/>
                <w:szCs w:val="24"/>
              </w:rPr>
              <w:t xml:space="preserve">Wales) Act </w:t>
            </w:r>
            <w:bookmarkEnd w:id="0"/>
            <w:r w:rsidRPr="00916867">
              <w:rPr>
                <w:sz w:val="24"/>
                <w:szCs w:val="24"/>
              </w:rPr>
              <w:t xml:space="preserve">2014 (SSWBA, 2014) in which 2 agreed with. As opposed to working with 2 under the Mental Health (Wales) Measure 2010 (MHM, 2010), which was the legislation she was previously supported under. </w:t>
            </w:r>
          </w:p>
          <w:p w14:paraId="7EA1C4D1" w14:textId="77777777" w:rsidR="00916867" w:rsidRPr="00916867" w:rsidRDefault="00916867" w:rsidP="00916867">
            <w:pPr>
              <w:jc w:val="both"/>
              <w:rPr>
                <w:sz w:val="24"/>
                <w:szCs w:val="24"/>
              </w:rPr>
            </w:pPr>
          </w:p>
          <w:p w14:paraId="1755D920" w14:textId="77777777" w:rsidR="00916867" w:rsidRPr="00916867" w:rsidRDefault="00916867" w:rsidP="00916867">
            <w:pPr>
              <w:jc w:val="both"/>
              <w:rPr>
                <w:sz w:val="24"/>
                <w:szCs w:val="24"/>
              </w:rPr>
            </w:pPr>
            <w:r w:rsidRPr="00916867">
              <w:rPr>
                <w:sz w:val="24"/>
                <w:szCs w:val="24"/>
              </w:rPr>
              <w:t xml:space="preserve">The key distinction between the two pieces of legislation is that Section 18 of the Mental Health (Wales) Measure 2010 serves as the primary legal framework enabling the involvement of the CMHT. Under this provision, 2 was previously care-coordinated by a community psychiatric nurse or social worker, who supported them in areas such as finances, accommodation, employment and education, as well as medical treatment (Legislation, 2025). Since the medical needs of 2 have been met and stabilised, the only outstanding social needs identified were to be supported on an ongoing basis. This is therefore the rationale of why 2 became supported by social services under SSWBA 2014. Section 54 of the SSWBA 2014 is the main area of the act that requires social services in Wales to develop and maintain care and support plans, which was my duty towards 2 (S.54, SSWBA, Legislation, 2025). </w:t>
            </w:r>
          </w:p>
          <w:p w14:paraId="537770B9" w14:textId="77777777" w:rsidR="00916867" w:rsidRDefault="00916867" w:rsidP="00916867">
            <w:pPr>
              <w:jc w:val="both"/>
              <w:rPr>
                <w:sz w:val="24"/>
                <w:szCs w:val="24"/>
              </w:rPr>
            </w:pPr>
            <w:r w:rsidRPr="00916867">
              <w:rPr>
                <w:sz w:val="24"/>
                <w:szCs w:val="24"/>
              </w:rPr>
              <w:t>I have now been working with 2 for several months, during which time I have had ongoing concerns about her safety within the community. Through discussions with experienced colleagues who have known 2 for several years prior to my involvement with the CMHT, I have learned that similar concerns have been raised about her in the past.</w:t>
            </w:r>
          </w:p>
          <w:p w14:paraId="267001E8" w14:textId="77777777" w:rsidR="00916867" w:rsidRPr="00916867" w:rsidRDefault="00916867" w:rsidP="00916867">
            <w:pPr>
              <w:jc w:val="both"/>
              <w:rPr>
                <w:sz w:val="24"/>
                <w:szCs w:val="24"/>
              </w:rPr>
            </w:pPr>
          </w:p>
          <w:p w14:paraId="282C49B7" w14:textId="77777777" w:rsidR="00916867" w:rsidRPr="00916867" w:rsidRDefault="00916867" w:rsidP="00916867">
            <w:pPr>
              <w:jc w:val="both"/>
              <w:rPr>
                <w:sz w:val="24"/>
                <w:szCs w:val="24"/>
              </w:rPr>
            </w:pPr>
            <w:r w:rsidRPr="00916867">
              <w:rPr>
                <w:sz w:val="24"/>
                <w:szCs w:val="24"/>
              </w:rPr>
              <w:t>The concerns primarily stem from 2’s interest in forming romantic relationships with men, as previously discussed. While her desires are natural and age-appropriate for a young single woman, her vulnerabilities have led her to place herself in potentially dangerous situations, as previously highlighted. This prompted me to reflect on my work with 2 to date and reconsider my future objectives in supporting her, as it appears that these patterns of risk may continue.</w:t>
            </w:r>
          </w:p>
          <w:p w14:paraId="4614C985" w14:textId="77777777" w:rsidR="00916867" w:rsidRDefault="00916867" w:rsidP="00916867">
            <w:pPr>
              <w:jc w:val="both"/>
              <w:rPr>
                <w:sz w:val="24"/>
                <w:szCs w:val="24"/>
              </w:rPr>
            </w:pPr>
            <w:r w:rsidRPr="00916867">
              <w:rPr>
                <w:sz w:val="24"/>
                <w:szCs w:val="24"/>
              </w:rPr>
              <w:t xml:space="preserve">I noticed this in 2’s behaviour when interacting with her following the incident that the risks were still present even following the traumatic incident she experienced. 2 was often commenting that she wants to continue looking for a man on a dating app. I realised that 2 was still going to pursue her desires despite the risks that are present and despite knowing what can happen to her when proper checks are not performed on a person. 2 was informed of Clares Law - a legislation exclusive to the United Kingdom (UK).  Claires Law was the result of an incident where a woman, Clare Wood, was murdered by her ex-partner and following her murder, her father campaigned for legislation so that people who are worried about their partner’s past can receive a disclosure from the police to safeguard them. This legislation has been successful in the UK and due to this has now been introduced outside of Europe, in Canada New South Wales, Australia. However, the legislation is known as a “right to know” scheme (Clares Law, 2025). </w:t>
            </w:r>
          </w:p>
          <w:p w14:paraId="258BFEF8" w14:textId="77777777" w:rsidR="00916867" w:rsidRPr="00916867" w:rsidRDefault="00916867" w:rsidP="00916867">
            <w:pPr>
              <w:jc w:val="both"/>
              <w:rPr>
                <w:sz w:val="24"/>
                <w:szCs w:val="24"/>
              </w:rPr>
            </w:pPr>
          </w:p>
          <w:p w14:paraId="2683DD91" w14:textId="77777777" w:rsidR="00916867" w:rsidRDefault="00916867" w:rsidP="00916867">
            <w:pPr>
              <w:jc w:val="both"/>
              <w:rPr>
                <w:sz w:val="24"/>
                <w:szCs w:val="24"/>
              </w:rPr>
            </w:pPr>
            <w:r w:rsidRPr="00916867">
              <w:rPr>
                <w:sz w:val="24"/>
                <w:szCs w:val="24"/>
              </w:rPr>
              <w:t xml:space="preserve">2 was not very keen on the idea of getting a disclosure as she felt she would be waiting a long time and already felt suspicious about the person. This however still has not deterred 2 from meeting people without any background checks which is a concern. The staff in 2’s accommodation were also informing me that 2 was still going to the local pub to drink, despite knowing that when she goes here, she ends up paying for other people’s drinks and feels taken advantage of. The complicating factor being that 2 is deemed to have capacity in sexual consent and contact with partners and friends on social media. This triggered me to recognise that I needed to have constructive conversations with 2 regarding these issues, which is not an easy thing to do with an adult and as a professional, as it is important to not impose rules or infringe on people’s liberty under The Deprivation of Liberty Safeguards (DOLS, 2005), which forms a part of the MCA 2005 (Buckton, 2023). However, it was also important for me to acknowledge that 2’s safety was paramount for me as a professional and to ensure my practice was balanced between protecting 2’s liberty and her safety (Lennard, 2015). Upon reflection, I feel that my actions in discussing the critical issues in 2’s behaviour with her and encouraging her to reflect on her own actions was not infringing upon her liberty, but encouraging a person-centred approach, placing 2 at the heart of her own decision making (World Health Organization, 2022). </w:t>
            </w:r>
          </w:p>
          <w:p w14:paraId="3C9231C9" w14:textId="77777777" w:rsidR="00916867" w:rsidRPr="00916867" w:rsidRDefault="00916867" w:rsidP="00916867">
            <w:pPr>
              <w:jc w:val="both"/>
              <w:rPr>
                <w:sz w:val="24"/>
                <w:szCs w:val="24"/>
              </w:rPr>
            </w:pPr>
          </w:p>
          <w:p w14:paraId="2BD7CCE2" w14:textId="77777777" w:rsidR="00916867" w:rsidRDefault="00916867" w:rsidP="00916867">
            <w:pPr>
              <w:jc w:val="both"/>
              <w:rPr>
                <w:sz w:val="24"/>
                <w:szCs w:val="24"/>
              </w:rPr>
            </w:pPr>
            <w:r w:rsidRPr="00916867">
              <w:rPr>
                <w:sz w:val="24"/>
                <w:szCs w:val="24"/>
              </w:rPr>
              <w:t xml:space="preserve">Upon reflection I feel that speaking to my experienced colleagues when I had a concern helped me decide my actions. I would often contact the supported living project to safety plan and make them aware of any risks and put extra safety measures in place. For example, when to report 2 missing and when to contact the police. As a concern I had while working with 2 was that due to her historic capacity assessment, the supported living project deemed it beyond their right to invade 2’s privacy by reporting her missing and giving her a curfew. 2 has the right to a private life as this is set out in United Kingdom and European legislation, The Human Rights Act 1998 (HRA, 1998) Article 8, which is a subsequent piece of legislation following The European Convention on Human Rights in 1950. However, on balance with this </w:t>
            </w:r>
            <w:r w:rsidRPr="00916867">
              <w:rPr>
                <w:sz w:val="24"/>
                <w:szCs w:val="24"/>
              </w:rPr>
              <w:lastRenderedPageBreak/>
              <w:t xml:space="preserve">right, there is also a legal obligation on social care services under S.126 part 7 of SWWBA 2014 to recognise and manage the safety of adults at risk. The definition of an adult at risk is that the adult is likely to be experiencing or may experience neglect or abuse due to their care and support needs (Wate, Boulton, &amp; Laming, 2015). </w:t>
            </w:r>
          </w:p>
          <w:p w14:paraId="6738F2F6" w14:textId="77777777" w:rsidR="00916867" w:rsidRPr="00916867" w:rsidRDefault="00916867" w:rsidP="00916867">
            <w:pPr>
              <w:jc w:val="both"/>
              <w:rPr>
                <w:sz w:val="24"/>
                <w:szCs w:val="24"/>
              </w:rPr>
            </w:pPr>
          </w:p>
          <w:p w14:paraId="10DBBF57" w14:textId="77777777" w:rsidR="00916867" w:rsidRDefault="00916867" w:rsidP="00916867">
            <w:pPr>
              <w:jc w:val="both"/>
              <w:rPr>
                <w:sz w:val="24"/>
                <w:szCs w:val="24"/>
              </w:rPr>
            </w:pPr>
            <w:r w:rsidRPr="00916867">
              <w:rPr>
                <w:sz w:val="24"/>
                <w:szCs w:val="24"/>
              </w:rPr>
              <w:t xml:space="preserve">In situations of potential danger to a vulnerable adult such as 2, the right to a private life (HRA, Article 8) must be balanced by the need to safeguard the person and uphold their other rights, such as the right to life (HRA, Article 1), and their right to be treated humanely (HRA, Article 3 (Wernaart, 2023). This was particularly important for me to consider as 2’s whereabouts were unknown, and her level of safety was unclear. Although it is important to place the individual at the heart of safeguarding decisions, it can often be difficult as it was for me in 2’s case when you do not have the opportunity to consult them regarding the actions that you need to take to protect them (Wate et al, 2015). Upon reflection, this is where forward planning with the individual needed to occur through the constructive conversations, so that 2 was informed of the process all professionals working with her will need to take depending on her own actions, allowing her to make more informed decisions (Koubel, 2016). </w:t>
            </w:r>
          </w:p>
          <w:p w14:paraId="056B74DD" w14:textId="77777777" w:rsidR="00916867" w:rsidRPr="00916867" w:rsidRDefault="00916867" w:rsidP="00916867">
            <w:pPr>
              <w:jc w:val="both"/>
              <w:rPr>
                <w:sz w:val="24"/>
                <w:szCs w:val="24"/>
              </w:rPr>
            </w:pPr>
          </w:p>
          <w:p w14:paraId="594819C9" w14:textId="77777777" w:rsidR="00916867" w:rsidRDefault="00916867" w:rsidP="00916867">
            <w:pPr>
              <w:jc w:val="both"/>
              <w:rPr>
                <w:sz w:val="24"/>
                <w:szCs w:val="24"/>
              </w:rPr>
            </w:pPr>
            <w:r w:rsidRPr="00916867">
              <w:rPr>
                <w:sz w:val="24"/>
                <w:szCs w:val="24"/>
              </w:rPr>
              <w:t xml:space="preserve">In relation to collaborative working, collectively working with 2, the police, the supported living project, and my experienced colleagues and my manager all helped me to produce a new safety plan to better safeguard 2 while she lived in her current residence which most importantly, she consented to. One of the key principles of safeguarding under SSWBA 2014 is the principle of partnership between professionals, which I feel was achieved. Seeking 2’s consent in agreeing to the safety plan and assisting her to make an informed decision on why this would keep her safe was key in promoting her safety (Wate et al, 2015)). Working with 2 in this way and supporting her in being a part of the planning process was also important in terms of empowering 2, and ensuring she has control and choice over her life and decisions made about her care (Wate et al, 2015). These were important elements of how I worked with 2 and important principles that I needed to follow under S.1, S.3, &amp; S.4, of the SCW, 2017 Code of Professional Practice. Research suggests that people who have more control and have their voice heard regarding decisions tend to stick to plans better. Therefore, I felt that 2 had been a large part of the decision making and felt more responsibility for the plan to work (Wilkins, 2016). </w:t>
            </w:r>
          </w:p>
          <w:p w14:paraId="6B161D27" w14:textId="77777777" w:rsidR="00916867" w:rsidRPr="00916867" w:rsidRDefault="00916867" w:rsidP="00916867">
            <w:pPr>
              <w:jc w:val="both"/>
              <w:rPr>
                <w:sz w:val="24"/>
                <w:szCs w:val="24"/>
              </w:rPr>
            </w:pPr>
          </w:p>
          <w:p w14:paraId="3E12222A" w14:textId="77777777" w:rsidR="00916867" w:rsidRDefault="00916867" w:rsidP="00916867">
            <w:pPr>
              <w:jc w:val="both"/>
              <w:rPr>
                <w:sz w:val="24"/>
                <w:szCs w:val="24"/>
              </w:rPr>
            </w:pPr>
            <w:r w:rsidRPr="00916867">
              <w:rPr>
                <w:sz w:val="24"/>
                <w:szCs w:val="24"/>
              </w:rPr>
              <w:t xml:space="preserve">Upon reflection, completing a new assessment and support plan for 2 was very beneficial for me as a professional and learning about her history and future needs. While completing the assessment, I used a person-centred approach to guide me. The premise of the person-centred theory is that the professional should understand what is important to the person, and what they want to achieve, as well as giving the person control and choice over the support than they receive in achieving their outcomes (Sandersen &amp; Lewis, 2012). Whilst reflecting on my approach with 2, I recognise that I was able to listen to her wishes and feelings which included 2 wanting more social interaction and to be closer to her family. I was able to acknowledge her feelings of loneliness and dissatisfaction with the care she was currently receiving in her supported living complex which then as a result, encouraged me to re-assess 2’s needs in accordance with the person-centred approach (Sandersen &amp; Lewis, 2012). </w:t>
            </w:r>
          </w:p>
          <w:p w14:paraId="482826EA" w14:textId="77777777" w:rsidR="00916867" w:rsidRPr="00916867" w:rsidRDefault="00916867" w:rsidP="00916867">
            <w:pPr>
              <w:jc w:val="both"/>
              <w:rPr>
                <w:sz w:val="24"/>
                <w:szCs w:val="24"/>
              </w:rPr>
            </w:pPr>
          </w:p>
          <w:p w14:paraId="58B57F8C" w14:textId="4769C9DB" w:rsidR="00916867" w:rsidRDefault="00916867" w:rsidP="00916867">
            <w:pPr>
              <w:jc w:val="both"/>
              <w:rPr>
                <w:sz w:val="24"/>
                <w:szCs w:val="24"/>
                <w:shd w:val="clear" w:color="auto" w:fill="FFFFFF"/>
              </w:rPr>
            </w:pPr>
            <w:r w:rsidRPr="00916867">
              <w:rPr>
                <w:sz w:val="24"/>
                <w:szCs w:val="24"/>
              </w:rPr>
              <w:lastRenderedPageBreak/>
              <w:t>In addition to using a person-centred approach, I considered theories of feminism when working with 2 to try and assist her in accessing a Clare’s law disclosure. This supported me to recognise that as much as I would have liked 2 to get a disclosure, it was her own self-determination that was important to respect, as self-determination is a key premise of feminist theory in terms of voice and control for Women (</w:t>
            </w:r>
            <w:r w:rsidRPr="005040AB">
              <w:rPr>
                <w:color w:val="000000" w:themeColor="text1"/>
                <w:sz w:val="24"/>
                <w:szCs w:val="24"/>
                <w:shd w:val="clear" w:color="auto" w:fill="FFFFFF"/>
              </w:rPr>
              <w:t>Hadjimatheou, 2022</w:t>
            </w:r>
            <w:r w:rsidRPr="00916867">
              <w:rPr>
                <w:rFonts w:ascii="Source Sans Pro" w:hAnsi="Source Sans Pro"/>
                <w:color w:val="3A3A3A"/>
                <w:sz w:val="24"/>
                <w:szCs w:val="24"/>
                <w:shd w:val="clear" w:color="auto" w:fill="FFFFFF"/>
              </w:rPr>
              <w:t xml:space="preserve">). </w:t>
            </w:r>
            <w:r w:rsidRPr="00916867">
              <w:rPr>
                <w:color w:val="3A3A3A"/>
                <w:sz w:val="24"/>
                <w:szCs w:val="24"/>
                <w:shd w:val="clear" w:color="auto" w:fill="FFFFFF"/>
              </w:rPr>
              <w:t xml:space="preserve">What </w:t>
            </w:r>
            <w:r w:rsidRPr="00916867">
              <w:rPr>
                <w:sz w:val="24"/>
                <w:szCs w:val="24"/>
                <w:shd w:val="clear" w:color="auto" w:fill="FFFFFF"/>
              </w:rPr>
              <w:t>also assisted me whilst supporting 2 was to consider systems theory, which encouraged me to consider 2’s environment, such as the supported living complex, its location, and the lack of family and support nearby which influenced some of 2’s risks (Teater, 2014)</w:t>
            </w:r>
            <w:r>
              <w:rPr>
                <w:sz w:val="24"/>
                <w:szCs w:val="24"/>
                <w:shd w:val="clear" w:color="auto" w:fill="FFFFFF"/>
              </w:rPr>
              <w:t>.</w:t>
            </w:r>
          </w:p>
          <w:p w14:paraId="64A5C96E" w14:textId="77777777" w:rsidR="00916867" w:rsidRPr="00916867" w:rsidRDefault="00916867" w:rsidP="00916867">
            <w:pPr>
              <w:jc w:val="both"/>
              <w:rPr>
                <w:sz w:val="24"/>
                <w:szCs w:val="24"/>
              </w:rPr>
            </w:pPr>
          </w:p>
          <w:p w14:paraId="45EAF2FA" w14:textId="77777777" w:rsidR="00916867" w:rsidRDefault="00916867" w:rsidP="00916867">
            <w:pPr>
              <w:jc w:val="both"/>
              <w:rPr>
                <w:sz w:val="24"/>
                <w:szCs w:val="24"/>
              </w:rPr>
            </w:pPr>
            <w:r w:rsidRPr="00916867">
              <w:rPr>
                <w:sz w:val="24"/>
                <w:szCs w:val="24"/>
              </w:rPr>
              <w:t xml:space="preserve">Going through the assessment process analytically while keeping a person-centred approach in mind, helped me to formulate ways to support 2 and identify ways to reduce some of the risks to her well-being (Lindsay, 2013). The outcomes of my assessment when analysing the information gathered from 2, included supporting 2 to relocate to move to the county where her mother resides, and to live in a new area in a new supported living project. I was hopeful that moving here would reduce her feelings of loneliness and isolation by being closer to family members as has been previously highlighted and provide her with a care arrangement that was more intimate and attentive as opposed to living with five other individuals which 2 was not happy with. Another outcome that was identified through analysis of the assessment and 2’s behaviours, was that 2 was desiring companionship, this could be a healthy way to support 2’s social needs and provide more fulfilment to her socially. For example, having companionship in a carer that can support 2 to access the community and get involved in voluntary activities and make friends in safer environments with common interests. I aimed to support 2 to find fulfilment and companionship in healthier ways, as research shows people who have happy fulfilled lives are more likely to wait for the right partner, have increased self-worth and make better decisions on who they spend time with (Mecca, Smelser, &amp; Vasconcellos, 1989). </w:t>
            </w:r>
          </w:p>
          <w:p w14:paraId="37427F9F" w14:textId="77777777" w:rsidR="00916867" w:rsidRPr="00916867" w:rsidRDefault="00916867" w:rsidP="00916867">
            <w:pPr>
              <w:jc w:val="both"/>
              <w:rPr>
                <w:sz w:val="24"/>
                <w:szCs w:val="24"/>
              </w:rPr>
            </w:pPr>
          </w:p>
          <w:p w14:paraId="617847D8" w14:textId="77777777" w:rsidR="00916867" w:rsidRDefault="00916867" w:rsidP="00916867">
            <w:pPr>
              <w:jc w:val="both"/>
              <w:rPr>
                <w:sz w:val="24"/>
                <w:szCs w:val="24"/>
              </w:rPr>
            </w:pPr>
            <w:r w:rsidRPr="00916867">
              <w:rPr>
                <w:sz w:val="24"/>
                <w:szCs w:val="24"/>
              </w:rPr>
              <w:t xml:space="preserve">Upon reflection of supporting 2, I ensured that the mental capacity assessment was acknowledged and understood but recognised that people develop and change dependent on their life stage, and the systems around them (Hutchingson, 2010). For example, I used my professional judgement as I did not feel a new capacity assessment was necessary or would it have been beneficial for 2. I based this professional judgement on my working relationship with 2, her vulnerability, and the decisions I could see that 2 was making. There were various factors influencing 2 to behave in risky ways despite being fully aware of the risks. What also influenced my judgement as previously discussed was 2’s residence location and the lack of social network. I also formed this professional judgement through collaborative working, taking on board the knowledge and advice of my colleagues and my manager. My professional judgement is something I have developed while working with 2, particularly when other services have looked to me for safeguarding advice such as 2’s former supported living complex. Taylor and Whitaker (2018) highlight that professional judgement is made up of the social worker’s autonomy as a professional, as well as collaboratively forming judgements while considering policy and legislation. This is how I aim to continue concluding my professional judgements in my future practice. </w:t>
            </w:r>
          </w:p>
          <w:p w14:paraId="2379C880" w14:textId="77777777" w:rsidR="00916867" w:rsidRPr="00916867" w:rsidRDefault="00916867" w:rsidP="00916867">
            <w:pPr>
              <w:jc w:val="both"/>
              <w:rPr>
                <w:sz w:val="24"/>
                <w:szCs w:val="24"/>
              </w:rPr>
            </w:pPr>
          </w:p>
          <w:p w14:paraId="5E69204E" w14:textId="77777777" w:rsidR="00916867" w:rsidRDefault="00916867" w:rsidP="00916867">
            <w:pPr>
              <w:jc w:val="both"/>
              <w:rPr>
                <w:sz w:val="24"/>
                <w:szCs w:val="24"/>
              </w:rPr>
            </w:pPr>
            <w:r w:rsidRPr="00916867">
              <w:rPr>
                <w:sz w:val="24"/>
                <w:szCs w:val="24"/>
              </w:rPr>
              <w:t xml:space="preserve">I have felt out of my comfort zone at times whilst supporting 2. The case was complex and managing logistical challenges such as assisting 2 to move into new accommodation and </w:t>
            </w:r>
            <w:r w:rsidRPr="00916867">
              <w:rPr>
                <w:sz w:val="24"/>
                <w:szCs w:val="24"/>
              </w:rPr>
              <w:lastRenderedPageBreak/>
              <w:t xml:space="preserve">manage big changes in her life challenged me. However, this has helped me to grow my confidence as a social worker and develop knowledge in the mental health area of social work. While reflecting I feel that I was able to complete a new assessment and support plan for 2 that she was on board with fully, and now the plan has fully materialised and is currently going very well for 2. I feel that I managed to support 2 using my professional judgement, collaborative working, and communication skills. While undertaking my work with 2, I was considering legislation and learning about this at the same time. I have learned about capacity assessments and how they are needed to not only safeguard the service user but inform safe practice for the professional (Clare, Redley, Keeling, Wagner, Wheeler, Gunn, &amp; Holland, 2013). This capacity assessment was to ensure that 2’s liberty was protected under DOLS, 2005. Also, the assessment was necessary to determine the limitations of practice with 2, such as what decisions she was allowed to make solely, without intervention, and what decisions needed to be supported by professionals (Keeling et al, 2013). A good outcome from the case, was that 2 was responsible enough to mostly consult professionals and family about her decisions following the incident, which was reassuring. This made me feel that the support I was provided was meaningful for 2 and seeing some progress was motivational for me as a professional (Collins, 2008). </w:t>
            </w:r>
          </w:p>
          <w:p w14:paraId="304FE101" w14:textId="77777777" w:rsidR="00916867" w:rsidRPr="00916867" w:rsidRDefault="00916867" w:rsidP="00916867">
            <w:pPr>
              <w:jc w:val="both"/>
              <w:rPr>
                <w:sz w:val="24"/>
                <w:szCs w:val="24"/>
              </w:rPr>
            </w:pPr>
          </w:p>
          <w:p w14:paraId="02092D53" w14:textId="77777777" w:rsidR="00916867" w:rsidRDefault="00916867" w:rsidP="00916867">
            <w:pPr>
              <w:jc w:val="both"/>
              <w:rPr>
                <w:sz w:val="24"/>
                <w:szCs w:val="24"/>
              </w:rPr>
            </w:pPr>
            <w:r w:rsidRPr="00916867">
              <w:rPr>
                <w:sz w:val="24"/>
                <w:szCs w:val="24"/>
              </w:rPr>
              <w:t>My final reflection of working with 2, is that the case has taught me the difficulties of working with adults who sometimes make risky decisions and show you that their behaviour is mostly often outside of your control as a professional (</w:t>
            </w:r>
            <w:r w:rsidRPr="00916867">
              <w:rPr>
                <w:color w:val="222222"/>
                <w:sz w:val="24"/>
                <w:szCs w:val="24"/>
                <w:shd w:val="clear" w:color="auto" w:fill="FFFFFF"/>
              </w:rPr>
              <w:t>Kleipoedszus</w:t>
            </w:r>
            <w:r w:rsidRPr="00916867">
              <w:rPr>
                <w:sz w:val="24"/>
                <w:szCs w:val="24"/>
              </w:rPr>
              <w:t xml:space="preserve">, 2024). However, it has also been very rewarding to support 2 in making safer choices and reflecting on the dangers they have faced. I reflected previously on the idea that I was glad my work with 2 was not being done in vain, as I was fortunate to see some progress for 2. However, I do recognise that for some adults I may work with in the future, it will likely feel different as every safeguarding case comes with a different individual with their own circumstances (Rogers, Whitaker, &amp; Peach, 2017). In my role I will be faced with more safeguarding challenges, and I will need to seek support from my colleagues and my manager as well as continue to reflect and consider systems theory as well as other theories relevant to the case to support me, as I have done while working with 2.  </w:t>
            </w:r>
          </w:p>
          <w:p w14:paraId="23D6033D" w14:textId="77777777" w:rsidR="00916867" w:rsidRPr="00916867" w:rsidRDefault="00916867" w:rsidP="00916867">
            <w:pPr>
              <w:jc w:val="both"/>
              <w:rPr>
                <w:sz w:val="24"/>
                <w:szCs w:val="24"/>
              </w:rPr>
            </w:pPr>
          </w:p>
          <w:p w14:paraId="351C8C97" w14:textId="77777777" w:rsidR="00916867" w:rsidRPr="00916867" w:rsidRDefault="00916867" w:rsidP="00916867">
            <w:pPr>
              <w:jc w:val="both"/>
              <w:rPr>
                <w:sz w:val="24"/>
                <w:szCs w:val="24"/>
              </w:rPr>
            </w:pPr>
            <w:r w:rsidRPr="00916867">
              <w:rPr>
                <w:sz w:val="24"/>
                <w:szCs w:val="24"/>
              </w:rPr>
              <w:t xml:space="preserve">Collaborative working has been key in safeguarding 2 and without the input and support of colleagues, managers, the family members, carers and police, it wouldn’t have been possible to effectively safeguard 2 and formulate a safety plan. Which ultimately supported 2 to move into new accommodation away from the people and places that were influencing her behaviours, as well as providing her with more structured support with a new carer (Rogers et al, 2017). The re-assessment of 2’s needs and analysis in a new assessment supported me to understand the journey 2 has been on since the last assessment, how things have changed, and highlighted the ongoing risks for 2. This allowed me to then think about ways to address the risks through assessment and care planning which has ended up being very beneficial for 2, who is now in a safer set of circumstances with safer behaviours. I found the assessment process complicated at times, but I managed to formulate my ideas through collaboration and reading previous assessments completed by my experienced colleagues. I am fully aware that risks will never be eliminated, and I can only adapt to risk and work with risk to reduce it (Brown, 2010). This has been a valuable lesson for me while working with 2, and I aim to continue practising using the experience, skills, and knowledge I have developed </w:t>
            </w:r>
            <w:r w:rsidRPr="00916867">
              <w:rPr>
                <w:sz w:val="24"/>
                <w:szCs w:val="24"/>
              </w:rPr>
              <w:lastRenderedPageBreak/>
              <w:t xml:space="preserve">while working with 2 as these are the three main areas of social work knowledge that contribute to achieving good practice (Tham &amp; Lynch, 2014). </w:t>
            </w:r>
          </w:p>
          <w:p w14:paraId="435F89AB" w14:textId="77777777" w:rsidR="009E2396" w:rsidRPr="00767304" w:rsidRDefault="009E2396" w:rsidP="00767304">
            <w:pPr>
              <w:rPr>
                <w:sz w:val="24"/>
                <w:szCs w:val="24"/>
              </w:rPr>
            </w:pPr>
          </w:p>
          <w:p w14:paraId="46DF9F4F" w14:textId="77777777" w:rsidR="00767304" w:rsidRPr="00767304" w:rsidRDefault="00767304" w:rsidP="00767304">
            <w:pPr>
              <w:jc w:val="both"/>
              <w:rPr>
                <w:sz w:val="24"/>
                <w:szCs w:val="24"/>
              </w:rPr>
            </w:pPr>
          </w:p>
          <w:p w14:paraId="0BEF8453" w14:textId="7581C138" w:rsidR="00767304" w:rsidRPr="00767304" w:rsidRDefault="00767304" w:rsidP="00767304">
            <w:pPr>
              <w:jc w:val="both"/>
              <w:rPr>
                <w:sz w:val="24"/>
                <w:szCs w:val="24"/>
              </w:rPr>
            </w:pPr>
            <w:r w:rsidRPr="00767304">
              <w:rPr>
                <w:sz w:val="24"/>
                <w:szCs w:val="24"/>
              </w:rPr>
              <w:t>Word Count: 40</w:t>
            </w:r>
            <w:r w:rsidR="009E2396">
              <w:rPr>
                <w:sz w:val="24"/>
                <w:szCs w:val="24"/>
              </w:rPr>
              <w:t>2</w:t>
            </w:r>
            <w:r w:rsidR="00C95C5D">
              <w:rPr>
                <w:sz w:val="24"/>
                <w:szCs w:val="24"/>
              </w:rPr>
              <w:t>9</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E1739" w14:textId="77777777" w:rsidR="00802FAB" w:rsidRDefault="00802FAB">
      <w:r>
        <w:separator/>
      </w:r>
    </w:p>
  </w:endnote>
  <w:endnote w:type="continuationSeparator" w:id="0">
    <w:p w14:paraId="36D45095" w14:textId="77777777" w:rsidR="00802FAB" w:rsidRDefault="00802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2B838" w14:textId="77777777" w:rsidR="00802FAB" w:rsidRDefault="00802FAB">
      <w:r>
        <w:separator/>
      </w:r>
    </w:p>
  </w:footnote>
  <w:footnote w:type="continuationSeparator" w:id="0">
    <w:p w14:paraId="49222356" w14:textId="77777777" w:rsidR="00802FAB" w:rsidRDefault="00802F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15D3"/>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0DFA"/>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A6B"/>
    <w:rsid w:val="00425160"/>
    <w:rsid w:val="0042595C"/>
    <w:rsid w:val="00430DE3"/>
    <w:rsid w:val="004348AE"/>
    <w:rsid w:val="004376C0"/>
    <w:rsid w:val="0044223A"/>
    <w:rsid w:val="004479E6"/>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0AB"/>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009B"/>
    <w:rsid w:val="00574A0C"/>
    <w:rsid w:val="0057780F"/>
    <w:rsid w:val="00581E0A"/>
    <w:rsid w:val="00586D89"/>
    <w:rsid w:val="005877C8"/>
    <w:rsid w:val="00587923"/>
    <w:rsid w:val="00594F9F"/>
    <w:rsid w:val="005A1B4C"/>
    <w:rsid w:val="005A545C"/>
    <w:rsid w:val="005B271A"/>
    <w:rsid w:val="005B3A2D"/>
    <w:rsid w:val="005B67E4"/>
    <w:rsid w:val="005C1567"/>
    <w:rsid w:val="005C28D3"/>
    <w:rsid w:val="005C6CE5"/>
    <w:rsid w:val="005D3F07"/>
    <w:rsid w:val="005D4A1E"/>
    <w:rsid w:val="005D4F72"/>
    <w:rsid w:val="005E13EA"/>
    <w:rsid w:val="005E17F1"/>
    <w:rsid w:val="005F64AA"/>
    <w:rsid w:val="005F7851"/>
    <w:rsid w:val="00606E27"/>
    <w:rsid w:val="006108C9"/>
    <w:rsid w:val="00614DF7"/>
    <w:rsid w:val="00616FE0"/>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3271"/>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730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2C8C"/>
    <w:rsid w:val="007F312E"/>
    <w:rsid w:val="007F3F7E"/>
    <w:rsid w:val="007F4BA4"/>
    <w:rsid w:val="00802FA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BD8"/>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867"/>
    <w:rsid w:val="00916FB2"/>
    <w:rsid w:val="00920E5B"/>
    <w:rsid w:val="00926436"/>
    <w:rsid w:val="00926C53"/>
    <w:rsid w:val="0093018C"/>
    <w:rsid w:val="009442E3"/>
    <w:rsid w:val="0094495F"/>
    <w:rsid w:val="009544C0"/>
    <w:rsid w:val="00954FA4"/>
    <w:rsid w:val="00956AE9"/>
    <w:rsid w:val="00964CC6"/>
    <w:rsid w:val="00967BFA"/>
    <w:rsid w:val="0098262C"/>
    <w:rsid w:val="0098427C"/>
    <w:rsid w:val="00986B43"/>
    <w:rsid w:val="00986C0B"/>
    <w:rsid w:val="00986D46"/>
    <w:rsid w:val="00991FDA"/>
    <w:rsid w:val="00992ACA"/>
    <w:rsid w:val="009A57E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84F"/>
    <w:rsid w:val="009E122F"/>
    <w:rsid w:val="009E1982"/>
    <w:rsid w:val="009E2396"/>
    <w:rsid w:val="009E4D2C"/>
    <w:rsid w:val="009F0978"/>
    <w:rsid w:val="009F3AEC"/>
    <w:rsid w:val="009F4AB1"/>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5ABC"/>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C5D"/>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FDA"/>
    <w:rsid w:val="00D0274B"/>
    <w:rsid w:val="00D0503D"/>
    <w:rsid w:val="00D052BC"/>
    <w:rsid w:val="00D07026"/>
    <w:rsid w:val="00D146AE"/>
    <w:rsid w:val="00D22C8F"/>
    <w:rsid w:val="00D2348D"/>
    <w:rsid w:val="00D3203C"/>
    <w:rsid w:val="00D33491"/>
    <w:rsid w:val="00D3442D"/>
    <w:rsid w:val="00D36F00"/>
    <w:rsid w:val="00D44B67"/>
    <w:rsid w:val="00D44F8E"/>
    <w:rsid w:val="00D51FD5"/>
    <w:rsid w:val="00D55DE0"/>
    <w:rsid w:val="00D607EF"/>
    <w:rsid w:val="00D60F88"/>
    <w:rsid w:val="00D646BD"/>
    <w:rsid w:val="00D65558"/>
    <w:rsid w:val="00D6754D"/>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3A52"/>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3818</Words>
  <Characters>21768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Evans</cp:lastModifiedBy>
  <cp:revision>15</cp:revision>
  <cp:lastPrinted>2020-02-11T19:20:00Z</cp:lastPrinted>
  <dcterms:created xsi:type="dcterms:W3CDTF">2025-09-14T14:41:00Z</dcterms:created>
  <dcterms:modified xsi:type="dcterms:W3CDTF">2025-10-06T13:49:00Z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