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A66475" w14:textId="77777777" w:rsidR="004C6E6D" w:rsidRPr="00B971B2" w:rsidRDefault="004C6E6D" w:rsidP="00B971B2">
      <w:pPr>
        <w:spacing w:after="0" w:line="480" w:lineRule="auto"/>
        <w:rPr>
          <w:rFonts w:ascii="Times New Roman" w:hAnsi="Times New Roman"/>
          <w:sz w:val="24"/>
          <w:szCs w:val="24"/>
        </w:rPr>
      </w:pPr>
    </w:p>
    <w:p w14:paraId="1C68A4D0" w14:textId="77777777" w:rsidR="00CB60C1" w:rsidRPr="00B971B2" w:rsidRDefault="00CB60C1" w:rsidP="00B971B2">
      <w:pPr>
        <w:spacing w:after="0" w:line="480" w:lineRule="auto"/>
        <w:rPr>
          <w:rFonts w:ascii="Times New Roman" w:hAnsi="Times New Roman"/>
          <w:sz w:val="24"/>
          <w:szCs w:val="24"/>
        </w:rPr>
      </w:pPr>
    </w:p>
    <w:p w14:paraId="75877DE6" w14:textId="77777777" w:rsidR="00CB60C1" w:rsidRPr="00B971B2" w:rsidRDefault="00CB60C1" w:rsidP="00B971B2">
      <w:pPr>
        <w:spacing w:after="0" w:line="480" w:lineRule="auto"/>
        <w:rPr>
          <w:rFonts w:ascii="Times New Roman" w:hAnsi="Times New Roman"/>
          <w:sz w:val="24"/>
          <w:szCs w:val="24"/>
        </w:rPr>
      </w:pPr>
    </w:p>
    <w:p w14:paraId="69F5E58D" w14:textId="77777777" w:rsidR="00CB60C1" w:rsidRPr="00B971B2" w:rsidRDefault="00CB60C1" w:rsidP="00B971B2">
      <w:pPr>
        <w:spacing w:after="0" w:line="480" w:lineRule="auto"/>
        <w:rPr>
          <w:rFonts w:ascii="Times New Roman" w:hAnsi="Times New Roman"/>
          <w:sz w:val="24"/>
          <w:szCs w:val="24"/>
        </w:rPr>
      </w:pPr>
    </w:p>
    <w:p w14:paraId="19743BF3" w14:textId="77777777" w:rsidR="00CB60C1" w:rsidRPr="00B971B2" w:rsidRDefault="00CB60C1" w:rsidP="00B971B2">
      <w:pPr>
        <w:spacing w:after="0" w:line="480" w:lineRule="auto"/>
        <w:jc w:val="center"/>
        <w:rPr>
          <w:rFonts w:ascii="Times New Roman" w:hAnsi="Times New Roman"/>
          <w:sz w:val="24"/>
          <w:szCs w:val="24"/>
        </w:rPr>
      </w:pPr>
    </w:p>
    <w:p w14:paraId="1B2C9812" w14:textId="77777777" w:rsidR="00CB60C1" w:rsidRPr="00B971B2" w:rsidRDefault="00CB60C1" w:rsidP="00B971B2">
      <w:pPr>
        <w:spacing w:after="0" w:line="480" w:lineRule="auto"/>
        <w:jc w:val="center"/>
        <w:rPr>
          <w:rFonts w:ascii="Times New Roman" w:hAnsi="Times New Roman"/>
          <w:sz w:val="24"/>
          <w:szCs w:val="24"/>
        </w:rPr>
      </w:pPr>
    </w:p>
    <w:p w14:paraId="5EBCFC01" w14:textId="77777777" w:rsidR="00311574" w:rsidRDefault="00311574" w:rsidP="00B971B2">
      <w:pPr>
        <w:spacing w:after="0" w:line="480" w:lineRule="auto"/>
        <w:jc w:val="center"/>
        <w:rPr>
          <w:rFonts w:ascii="Times New Roman" w:hAnsi="Times New Roman"/>
          <w:b/>
          <w:sz w:val="24"/>
          <w:szCs w:val="24"/>
        </w:rPr>
      </w:pPr>
    </w:p>
    <w:p w14:paraId="4BEA79A7" w14:textId="77777777" w:rsidR="00311574" w:rsidRPr="00311574" w:rsidRDefault="00311574" w:rsidP="00B971B2">
      <w:pPr>
        <w:spacing w:after="0" w:line="480" w:lineRule="auto"/>
        <w:jc w:val="center"/>
        <w:rPr>
          <w:rFonts w:asciiTheme="majorHAnsi" w:hAnsiTheme="majorHAnsi" w:cstheme="majorHAnsi"/>
          <w:b/>
          <w:sz w:val="24"/>
          <w:szCs w:val="24"/>
        </w:rPr>
      </w:pPr>
    </w:p>
    <w:p w14:paraId="18D2A642" w14:textId="131C9E1D" w:rsidR="00CB60C1" w:rsidRPr="00311574" w:rsidRDefault="00E82FBF" w:rsidP="00B971B2">
      <w:pPr>
        <w:spacing w:after="0" w:line="480" w:lineRule="auto"/>
        <w:jc w:val="center"/>
        <w:rPr>
          <w:rFonts w:asciiTheme="majorHAnsi" w:hAnsiTheme="majorHAnsi" w:cstheme="majorHAnsi"/>
          <w:b/>
          <w:sz w:val="28"/>
          <w:szCs w:val="28"/>
        </w:rPr>
      </w:pPr>
      <w:r w:rsidRPr="00311574">
        <w:rPr>
          <w:rFonts w:asciiTheme="majorHAnsi" w:hAnsiTheme="majorHAnsi" w:cstheme="majorHAnsi"/>
          <w:b/>
          <w:sz w:val="28"/>
          <w:szCs w:val="28"/>
        </w:rPr>
        <w:t>Global Responsible Business</w:t>
      </w:r>
    </w:p>
    <w:p w14:paraId="7875A83B" w14:textId="77777777" w:rsidR="00311574" w:rsidRPr="00311574" w:rsidRDefault="00311574" w:rsidP="00311574">
      <w:pPr>
        <w:spacing w:after="0" w:line="480" w:lineRule="auto"/>
        <w:jc w:val="center"/>
        <w:rPr>
          <w:rFonts w:asciiTheme="majorHAnsi" w:hAnsiTheme="majorHAnsi" w:cstheme="majorHAnsi"/>
          <w:sz w:val="28"/>
          <w:szCs w:val="28"/>
        </w:rPr>
      </w:pPr>
    </w:p>
    <w:p w14:paraId="63C647A0" w14:textId="23F64A1C" w:rsidR="00CB60C1" w:rsidRPr="00311574" w:rsidRDefault="00311574" w:rsidP="00311574">
      <w:pPr>
        <w:spacing w:after="0" w:line="480" w:lineRule="auto"/>
        <w:jc w:val="center"/>
        <w:rPr>
          <w:rFonts w:asciiTheme="majorHAnsi" w:hAnsiTheme="majorHAnsi" w:cstheme="majorHAnsi"/>
          <w:sz w:val="28"/>
          <w:szCs w:val="28"/>
        </w:rPr>
      </w:pPr>
      <w:r w:rsidRPr="00311574">
        <w:rPr>
          <w:rFonts w:asciiTheme="majorHAnsi" w:hAnsiTheme="majorHAnsi" w:cstheme="majorHAnsi"/>
          <w:sz w:val="28"/>
          <w:szCs w:val="28"/>
        </w:rPr>
        <w:t xml:space="preserve">Elan Rees-Lewis </w:t>
      </w:r>
    </w:p>
    <w:p w14:paraId="3A85E9AA" w14:textId="3E620243" w:rsidR="00311574" w:rsidRPr="00311574" w:rsidRDefault="00311574" w:rsidP="00311574">
      <w:pPr>
        <w:spacing w:after="0" w:line="480" w:lineRule="auto"/>
        <w:jc w:val="center"/>
        <w:rPr>
          <w:rFonts w:asciiTheme="majorHAnsi" w:hAnsiTheme="majorHAnsi" w:cstheme="majorHAnsi"/>
          <w:sz w:val="28"/>
          <w:szCs w:val="28"/>
        </w:rPr>
      </w:pPr>
    </w:p>
    <w:p w14:paraId="50FDA692" w14:textId="0E6A00A5" w:rsidR="00311574" w:rsidRPr="00311574" w:rsidRDefault="00311574" w:rsidP="00311574">
      <w:pPr>
        <w:spacing w:after="0" w:line="480" w:lineRule="auto"/>
        <w:jc w:val="center"/>
        <w:rPr>
          <w:rFonts w:asciiTheme="majorHAnsi" w:hAnsiTheme="majorHAnsi" w:cstheme="majorHAnsi"/>
          <w:sz w:val="28"/>
          <w:szCs w:val="28"/>
        </w:rPr>
      </w:pPr>
      <w:r w:rsidRPr="00311574">
        <w:rPr>
          <w:rFonts w:asciiTheme="majorHAnsi" w:hAnsiTheme="majorHAnsi" w:cstheme="majorHAnsi"/>
          <w:sz w:val="28"/>
          <w:szCs w:val="28"/>
        </w:rPr>
        <w:t>2019687</w:t>
      </w:r>
    </w:p>
    <w:p w14:paraId="75E0AA91" w14:textId="77777777" w:rsidR="00311574" w:rsidRPr="00311574" w:rsidRDefault="00311574" w:rsidP="00311574">
      <w:pPr>
        <w:spacing w:after="0" w:line="480" w:lineRule="auto"/>
        <w:jc w:val="center"/>
        <w:rPr>
          <w:rFonts w:asciiTheme="majorHAnsi" w:hAnsiTheme="majorHAnsi" w:cstheme="majorHAnsi"/>
          <w:sz w:val="28"/>
          <w:szCs w:val="28"/>
        </w:rPr>
      </w:pPr>
    </w:p>
    <w:p w14:paraId="6EAF7E87" w14:textId="54C3C81C" w:rsidR="00311574" w:rsidRPr="00311574" w:rsidRDefault="00311574" w:rsidP="00311574">
      <w:pPr>
        <w:spacing w:after="0" w:line="480" w:lineRule="auto"/>
        <w:jc w:val="center"/>
        <w:rPr>
          <w:rFonts w:asciiTheme="majorHAnsi" w:hAnsiTheme="majorHAnsi" w:cstheme="majorHAnsi"/>
          <w:sz w:val="28"/>
          <w:szCs w:val="28"/>
        </w:rPr>
      </w:pPr>
      <w:r w:rsidRPr="00311574">
        <w:rPr>
          <w:rFonts w:asciiTheme="majorHAnsi" w:hAnsiTheme="majorHAnsi" w:cstheme="majorHAnsi"/>
          <w:sz w:val="28"/>
          <w:szCs w:val="28"/>
        </w:rPr>
        <w:t>BMSP6001</w:t>
      </w:r>
    </w:p>
    <w:p w14:paraId="125B4EC0" w14:textId="098E354C" w:rsidR="00CB60C1" w:rsidRPr="00311574" w:rsidRDefault="00CB60C1" w:rsidP="00B971B2">
      <w:pPr>
        <w:spacing w:after="0" w:line="480" w:lineRule="auto"/>
        <w:rPr>
          <w:rFonts w:asciiTheme="majorHAnsi" w:hAnsiTheme="majorHAnsi" w:cstheme="majorHAnsi"/>
          <w:sz w:val="24"/>
          <w:szCs w:val="24"/>
        </w:rPr>
      </w:pPr>
    </w:p>
    <w:p w14:paraId="2F9F5E28" w14:textId="14ACD049" w:rsidR="00E82FBF" w:rsidRPr="00311574" w:rsidRDefault="00E82FBF" w:rsidP="00B971B2">
      <w:pPr>
        <w:spacing w:after="0" w:line="480" w:lineRule="auto"/>
        <w:rPr>
          <w:rFonts w:asciiTheme="majorHAnsi" w:hAnsiTheme="majorHAnsi" w:cstheme="majorHAnsi"/>
          <w:sz w:val="24"/>
          <w:szCs w:val="24"/>
        </w:rPr>
      </w:pPr>
    </w:p>
    <w:p w14:paraId="44BF4CA6" w14:textId="79EC44C2" w:rsidR="00E82FBF" w:rsidRPr="00311574" w:rsidRDefault="00E82FBF" w:rsidP="00B971B2">
      <w:pPr>
        <w:spacing w:after="0" w:line="480" w:lineRule="auto"/>
        <w:rPr>
          <w:rFonts w:asciiTheme="majorHAnsi" w:hAnsiTheme="majorHAnsi" w:cstheme="majorHAnsi"/>
          <w:sz w:val="24"/>
          <w:szCs w:val="24"/>
        </w:rPr>
      </w:pPr>
    </w:p>
    <w:p w14:paraId="7816B91D" w14:textId="77777777" w:rsidR="00E82FBF" w:rsidRPr="00311574" w:rsidRDefault="00E82FBF" w:rsidP="00B971B2">
      <w:pPr>
        <w:spacing w:after="0" w:line="480" w:lineRule="auto"/>
        <w:rPr>
          <w:rFonts w:asciiTheme="majorHAnsi" w:hAnsiTheme="majorHAnsi" w:cstheme="majorHAnsi"/>
          <w:sz w:val="24"/>
          <w:szCs w:val="24"/>
        </w:rPr>
      </w:pPr>
    </w:p>
    <w:p w14:paraId="68AA754A" w14:textId="6E628474" w:rsidR="00E82FBF" w:rsidRPr="00311574" w:rsidRDefault="00E82FBF" w:rsidP="00B971B2">
      <w:pPr>
        <w:spacing w:after="0" w:line="480" w:lineRule="auto"/>
        <w:rPr>
          <w:rFonts w:asciiTheme="majorHAnsi" w:hAnsiTheme="majorHAnsi" w:cstheme="majorHAnsi"/>
          <w:sz w:val="24"/>
          <w:szCs w:val="24"/>
        </w:rPr>
      </w:pPr>
    </w:p>
    <w:p w14:paraId="5480378C" w14:textId="77777777" w:rsidR="00E82FBF" w:rsidRPr="00311574" w:rsidRDefault="00E82FBF" w:rsidP="00B971B2">
      <w:pPr>
        <w:spacing w:after="0" w:line="480" w:lineRule="auto"/>
        <w:rPr>
          <w:rFonts w:asciiTheme="majorHAnsi" w:hAnsiTheme="majorHAnsi" w:cstheme="majorHAnsi"/>
          <w:sz w:val="24"/>
          <w:szCs w:val="24"/>
        </w:rPr>
      </w:pPr>
    </w:p>
    <w:p w14:paraId="53E8E5B4" w14:textId="77777777" w:rsidR="00CB60C1" w:rsidRPr="00311574" w:rsidRDefault="00CB60C1" w:rsidP="00B971B2">
      <w:pPr>
        <w:spacing w:after="0" w:line="480" w:lineRule="auto"/>
        <w:rPr>
          <w:rFonts w:asciiTheme="majorHAnsi" w:hAnsiTheme="majorHAnsi" w:cstheme="majorHAnsi"/>
          <w:sz w:val="24"/>
          <w:szCs w:val="24"/>
        </w:rPr>
      </w:pPr>
    </w:p>
    <w:p w14:paraId="28C10EF2" w14:textId="77777777" w:rsidR="00CB60C1" w:rsidRPr="00311574" w:rsidRDefault="00CB60C1" w:rsidP="00B971B2">
      <w:pPr>
        <w:spacing w:after="0" w:line="480" w:lineRule="auto"/>
        <w:rPr>
          <w:rFonts w:asciiTheme="majorHAnsi" w:hAnsiTheme="majorHAnsi" w:cstheme="majorHAnsi"/>
          <w:sz w:val="24"/>
          <w:szCs w:val="24"/>
        </w:rPr>
      </w:pPr>
    </w:p>
    <w:p w14:paraId="3C3556D2" w14:textId="48E21698" w:rsidR="00E82FBF" w:rsidRPr="00311574" w:rsidRDefault="00E82FBF" w:rsidP="00311574">
      <w:pPr>
        <w:spacing w:after="0"/>
        <w:jc w:val="center"/>
        <w:rPr>
          <w:rFonts w:asciiTheme="majorHAnsi" w:hAnsiTheme="majorHAnsi" w:cstheme="majorHAnsi"/>
          <w:sz w:val="24"/>
          <w:szCs w:val="24"/>
        </w:rPr>
      </w:pPr>
      <w:r w:rsidRPr="00311574">
        <w:rPr>
          <w:rFonts w:asciiTheme="majorHAnsi" w:hAnsiTheme="majorHAnsi" w:cstheme="majorHAnsi"/>
          <w:sz w:val="24"/>
          <w:szCs w:val="24"/>
        </w:rPr>
        <w:br w:type="page"/>
      </w:r>
      <w:r w:rsidRPr="00311574">
        <w:rPr>
          <w:rFonts w:asciiTheme="majorHAnsi" w:hAnsiTheme="majorHAnsi" w:cstheme="majorHAnsi"/>
          <w:b/>
          <w:sz w:val="24"/>
          <w:szCs w:val="24"/>
        </w:rPr>
        <w:lastRenderedPageBreak/>
        <w:t>Global Responsible Business</w:t>
      </w:r>
    </w:p>
    <w:p w14:paraId="6F54CDA1" w14:textId="6EF15ACD" w:rsidR="004C6E6D" w:rsidRPr="00311574" w:rsidRDefault="00C27213" w:rsidP="00311574">
      <w:pPr>
        <w:spacing w:after="0" w:line="480" w:lineRule="auto"/>
        <w:rPr>
          <w:rFonts w:asciiTheme="majorHAnsi" w:hAnsiTheme="majorHAnsi" w:cstheme="majorHAnsi"/>
          <w:b/>
          <w:sz w:val="24"/>
          <w:szCs w:val="24"/>
        </w:rPr>
      </w:pPr>
      <w:r w:rsidRPr="00311574">
        <w:rPr>
          <w:rFonts w:asciiTheme="majorHAnsi" w:hAnsiTheme="majorHAnsi" w:cstheme="majorHAnsi"/>
          <w:b/>
          <w:sz w:val="24"/>
          <w:szCs w:val="24"/>
        </w:rPr>
        <w:t>Executive Summary</w:t>
      </w:r>
    </w:p>
    <w:p w14:paraId="449081D4" w14:textId="77777777" w:rsidR="00E82FBF" w:rsidRPr="00311574" w:rsidRDefault="00E82FBF" w:rsidP="00B971B2">
      <w:pPr>
        <w:spacing w:after="0" w:line="480" w:lineRule="auto"/>
        <w:ind w:firstLine="720"/>
        <w:rPr>
          <w:rFonts w:asciiTheme="majorHAnsi" w:hAnsiTheme="majorHAnsi" w:cstheme="majorHAnsi"/>
          <w:sz w:val="24"/>
          <w:szCs w:val="24"/>
        </w:rPr>
      </w:pPr>
      <w:r w:rsidRPr="00311574">
        <w:rPr>
          <w:rFonts w:asciiTheme="majorHAnsi" w:hAnsiTheme="majorHAnsi" w:cstheme="majorHAnsi"/>
          <w:sz w:val="24"/>
          <w:szCs w:val="24"/>
        </w:rPr>
        <w:t>The role of business has evolved from only making a profit for the shareholders to catering to the needs of society and other stakeholders. As a result, it has become necessary for businesses to engage in social and environmental issues through CSR. The study argues that it should be mandatory for businesses to contribute to society and report their CSR practices.</w:t>
      </w:r>
    </w:p>
    <w:p w14:paraId="76D16C6B" w14:textId="77777777" w:rsidR="00E82FBF" w:rsidRPr="00311574" w:rsidRDefault="00E82FBF" w:rsidP="00311574">
      <w:pPr>
        <w:spacing w:after="0" w:line="480" w:lineRule="auto"/>
        <w:rPr>
          <w:rFonts w:asciiTheme="majorHAnsi" w:hAnsiTheme="majorHAnsi" w:cstheme="majorHAnsi"/>
          <w:b/>
          <w:bCs/>
          <w:sz w:val="24"/>
          <w:szCs w:val="24"/>
        </w:rPr>
      </w:pPr>
      <w:r w:rsidRPr="00311574">
        <w:rPr>
          <w:rFonts w:asciiTheme="majorHAnsi" w:hAnsiTheme="majorHAnsi" w:cstheme="majorHAnsi"/>
          <w:b/>
          <w:bCs/>
          <w:sz w:val="24"/>
          <w:szCs w:val="24"/>
        </w:rPr>
        <w:t>Introduction</w:t>
      </w:r>
    </w:p>
    <w:p w14:paraId="5B392CDF" w14:textId="77777777" w:rsidR="00E82FBF" w:rsidRPr="00311574" w:rsidRDefault="00E82FBF" w:rsidP="00B971B2">
      <w:pPr>
        <w:spacing w:after="0" w:line="480" w:lineRule="auto"/>
        <w:ind w:firstLine="720"/>
        <w:rPr>
          <w:rFonts w:asciiTheme="majorHAnsi" w:hAnsiTheme="majorHAnsi" w:cstheme="majorHAnsi"/>
          <w:sz w:val="24"/>
          <w:szCs w:val="24"/>
        </w:rPr>
      </w:pPr>
      <w:r w:rsidRPr="00311574">
        <w:rPr>
          <w:rFonts w:asciiTheme="majorHAnsi" w:hAnsiTheme="majorHAnsi" w:cstheme="majorHAnsi"/>
          <w:sz w:val="24"/>
          <w:szCs w:val="24"/>
        </w:rPr>
        <w:t>Businesses have many purposes as they contribute directly towards socio-economic growth. The prevailing theory by economist Friedman states that the primary value is to provide value to its owners. It means that the main concern is for businesses to maximum on profits acquired by shareholders. Friedman's theory contradicts ethics theory, which states that businesses have a moral obligation to contribute towards positive change (Carson, 2018). Currently, the world faces major challenges such as climate change, resource scarcity, and environmental degradation. In the recent past, there has been concern on how businesses should assist in solving environmental issues and other social ills such as corruption, gender equality, and child labour. Over time, the issue has been gaining consensus among scholars who believe that businesses have a responsibility towards society and the environment.</w:t>
      </w:r>
    </w:p>
    <w:p w14:paraId="3B7B4559" w14:textId="77777777" w:rsidR="00E82FBF" w:rsidRPr="00311574" w:rsidRDefault="00E82FBF" w:rsidP="00B971B2">
      <w:pPr>
        <w:spacing w:after="0" w:line="480" w:lineRule="auto"/>
        <w:ind w:firstLine="720"/>
        <w:rPr>
          <w:rFonts w:asciiTheme="majorHAnsi" w:hAnsiTheme="majorHAnsi" w:cstheme="majorHAnsi"/>
          <w:sz w:val="24"/>
          <w:szCs w:val="24"/>
        </w:rPr>
      </w:pPr>
      <w:r w:rsidRPr="00311574">
        <w:rPr>
          <w:rFonts w:asciiTheme="majorHAnsi" w:hAnsiTheme="majorHAnsi" w:cstheme="majorHAnsi"/>
          <w:sz w:val="24"/>
          <w:szCs w:val="24"/>
        </w:rPr>
        <w:t xml:space="preserve">According to Camilleri (2017), businesses have a moral duty to act ethically and contribute to society without focusing much on the benefits or consequences of their actions. The aforementioned is based on the deontological ethics theory. Equally, given that a business also needs to meet the needs of other stakeholders such as employees and the general public, it means that their activities should contribute to the common good. This </w:t>
      </w:r>
      <w:r w:rsidRPr="00311574">
        <w:rPr>
          <w:rFonts w:asciiTheme="majorHAnsi" w:hAnsiTheme="majorHAnsi" w:cstheme="majorHAnsi"/>
          <w:sz w:val="24"/>
          <w:szCs w:val="24"/>
        </w:rPr>
        <w:lastRenderedPageBreak/>
        <w:t>approach is consistent with teleological ethics theory. Business involvement in environmental and social activities have been formalised in the form of Corporate Social Responsibility (CSR).</w:t>
      </w:r>
    </w:p>
    <w:p w14:paraId="0320351D" w14:textId="77777777" w:rsidR="00E82FBF" w:rsidRPr="00311574" w:rsidRDefault="00E82FBF" w:rsidP="00B971B2">
      <w:pPr>
        <w:spacing w:after="0" w:line="480" w:lineRule="auto"/>
        <w:ind w:firstLine="720"/>
        <w:rPr>
          <w:rFonts w:asciiTheme="majorHAnsi" w:hAnsiTheme="majorHAnsi" w:cstheme="majorHAnsi"/>
          <w:sz w:val="24"/>
          <w:szCs w:val="24"/>
        </w:rPr>
      </w:pPr>
      <w:r w:rsidRPr="00311574">
        <w:rPr>
          <w:rFonts w:asciiTheme="majorHAnsi" w:hAnsiTheme="majorHAnsi" w:cstheme="majorHAnsi"/>
          <w:sz w:val="24"/>
          <w:szCs w:val="24"/>
        </w:rPr>
        <w:t xml:space="preserve">Geissdoerfer et al. (2018) define CSR as a set of practices that allow businesses to contribute towards ethical activities affecting society and the environment. Due to the benefits associated with CSR, the practices have become fully integrated into the strategy and operations of modern-day businesses (Laine, 2011). While some businesses have experienced challenges balancing between creating sustainable social progress and creating profits, the idea of CSR has been more successful because it has enabled businesses to create sustainable engagements with society. As the idea of CSR continues to gain traction, it has become important for businesses to report their social and environmental activities (Camiller, 2017). In some jurisdictions, sustainability reporting has been made mandatory. However, there have been concerns regarding mandatory reporting, given that CSR is only meant to win the trust and support of different stakeholders. The essay seeks to determine whether sustainability reporting should be mandatory or voluntary. </w:t>
      </w:r>
    </w:p>
    <w:p w14:paraId="05A23B7B" w14:textId="77777777" w:rsidR="00E82FBF" w:rsidRPr="00311574" w:rsidRDefault="00E82FBF" w:rsidP="00311574">
      <w:pPr>
        <w:spacing w:after="0" w:line="480" w:lineRule="auto"/>
        <w:rPr>
          <w:rFonts w:asciiTheme="majorHAnsi" w:hAnsiTheme="majorHAnsi" w:cstheme="majorHAnsi"/>
          <w:b/>
          <w:bCs/>
          <w:sz w:val="24"/>
          <w:szCs w:val="24"/>
        </w:rPr>
      </w:pPr>
      <w:r w:rsidRPr="00311574">
        <w:rPr>
          <w:rFonts w:asciiTheme="majorHAnsi" w:hAnsiTheme="majorHAnsi" w:cstheme="majorHAnsi"/>
          <w:b/>
          <w:bCs/>
          <w:sz w:val="24"/>
          <w:szCs w:val="24"/>
        </w:rPr>
        <w:t>Position Supporting Voluntary Reporting</w:t>
      </w:r>
    </w:p>
    <w:p w14:paraId="3BD09C07" w14:textId="6080D53C" w:rsidR="00E82FBF" w:rsidRPr="00311574" w:rsidRDefault="00E82FBF" w:rsidP="00B971B2">
      <w:pPr>
        <w:spacing w:after="0" w:line="480" w:lineRule="auto"/>
        <w:ind w:firstLine="720"/>
        <w:rPr>
          <w:rFonts w:asciiTheme="majorHAnsi" w:hAnsiTheme="majorHAnsi" w:cstheme="majorHAnsi"/>
          <w:sz w:val="24"/>
          <w:szCs w:val="24"/>
        </w:rPr>
      </w:pPr>
      <w:r w:rsidRPr="00311574">
        <w:rPr>
          <w:rFonts w:asciiTheme="majorHAnsi" w:hAnsiTheme="majorHAnsi" w:cstheme="majorHAnsi"/>
          <w:sz w:val="24"/>
          <w:szCs w:val="24"/>
        </w:rPr>
        <w:t>Proponents of CSR believes that customers will reward businesses that respond to societal needs in the marketplace. However, given that businesses have different ways of meeting the needs of their stakeholders, Ijabadeniyi and Govender (2019) argues that firms should not be forced into CSR activities. Ijabadeniyi and Govender (2019) further indicate that sustainability reporting should only be considered when a firm feels that it would meet the set objectives. In a different study, Manchiraju and Rajgopal (2017) find that mandatory reporting can be too complex and inflexible due to different standards. The following are major reasons why reporting should be voluntary.</w:t>
      </w:r>
    </w:p>
    <w:p w14:paraId="49813EC8" w14:textId="7E524C47" w:rsidR="00E82FBF" w:rsidRPr="00311574" w:rsidRDefault="00E82FBF" w:rsidP="00B971B2">
      <w:pPr>
        <w:spacing w:after="0" w:line="480" w:lineRule="auto"/>
        <w:ind w:firstLine="720"/>
        <w:rPr>
          <w:rFonts w:asciiTheme="majorHAnsi" w:hAnsiTheme="majorHAnsi" w:cstheme="majorHAnsi"/>
          <w:sz w:val="24"/>
          <w:szCs w:val="24"/>
        </w:rPr>
      </w:pPr>
    </w:p>
    <w:p w14:paraId="4CFE87CF" w14:textId="77777777" w:rsidR="00E82FBF" w:rsidRPr="00311574" w:rsidRDefault="00E82FBF" w:rsidP="00B971B2">
      <w:pPr>
        <w:spacing w:after="0" w:line="480" w:lineRule="auto"/>
        <w:rPr>
          <w:rFonts w:asciiTheme="majorHAnsi" w:hAnsiTheme="majorHAnsi" w:cstheme="majorHAnsi"/>
          <w:b/>
          <w:bCs/>
          <w:sz w:val="24"/>
          <w:szCs w:val="24"/>
        </w:rPr>
      </w:pPr>
      <w:r w:rsidRPr="00311574">
        <w:rPr>
          <w:rFonts w:asciiTheme="majorHAnsi" w:hAnsiTheme="majorHAnsi" w:cstheme="majorHAnsi"/>
          <w:b/>
          <w:bCs/>
          <w:sz w:val="24"/>
          <w:szCs w:val="24"/>
        </w:rPr>
        <w:lastRenderedPageBreak/>
        <w:t>Benefits cannot be Quantified</w:t>
      </w:r>
    </w:p>
    <w:p w14:paraId="5BACE17F" w14:textId="3FE674EE" w:rsidR="00E82FBF" w:rsidRPr="00311574" w:rsidRDefault="00E82FBF" w:rsidP="00B971B2">
      <w:pPr>
        <w:spacing w:after="0" w:line="480" w:lineRule="auto"/>
        <w:ind w:firstLine="720"/>
        <w:rPr>
          <w:rFonts w:asciiTheme="majorHAnsi" w:hAnsiTheme="majorHAnsi" w:cstheme="majorHAnsi"/>
          <w:sz w:val="24"/>
          <w:szCs w:val="24"/>
        </w:rPr>
      </w:pPr>
      <w:r w:rsidRPr="00311574">
        <w:rPr>
          <w:rFonts w:asciiTheme="majorHAnsi" w:hAnsiTheme="majorHAnsi" w:cstheme="majorHAnsi"/>
          <w:sz w:val="24"/>
          <w:szCs w:val="24"/>
        </w:rPr>
        <w:t>Manchiraju and Rajgopal (2017) find that some investors are unwilling to make financial trade-offs in solving societal challenges through CSR. The above could be linked to studies that have shown that some of the sustainability practices may not directly impact the company. For investors who are largely concerned about profits, voluntary reporting will allow them not to engage in activities that would not have a direct or measurable market return (Ijabadeniyi &amp; Govender, 2019). The above means that the company could be able to save and invest in activities that would be considered to be beneficial. The above introduces ethical reasons as to why businesses should engage in sustainability practices. The aspect of voluntary reporting would be best argued through the teleological ethics theory. The theory would require businesses to base their decisions on the outcomes of the intended actions (Baumane-Vitolina et al., 2016). Its application could mean that organisations should only engage in CSR if they foresee positive and monetary benefits. Without such direct benefits, sustainability reporting should be voluntary.</w:t>
      </w:r>
    </w:p>
    <w:p w14:paraId="1253A20D" w14:textId="77777777" w:rsidR="00E82FBF" w:rsidRPr="00311574" w:rsidRDefault="00E82FBF" w:rsidP="00B971B2">
      <w:pPr>
        <w:spacing w:after="0" w:line="480" w:lineRule="auto"/>
        <w:rPr>
          <w:rFonts w:asciiTheme="majorHAnsi" w:hAnsiTheme="majorHAnsi" w:cstheme="majorHAnsi"/>
          <w:b/>
          <w:bCs/>
          <w:sz w:val="24"/>
          <w:szCs w:val="24"/>
        </w:rPr>
      </w:pPr>
      <w:r w:rsidRPr="00311574">
        <w:rPr>
          <w:rFonts w:asciiTheme="majorHAnsi" w:hAnsiTheme="majorHAnsi" w:cstheme="majorHAnsi"/>
          <w:b/>
          <w:bCs/>
          <w:sz w:val="24"/>
          <w:szCs w:val="24"/>
        </w:rPr>
        <w:t>Do not Necessarily Form Part of Consumer Decision-Making</w:t>
      </w:r>
    </w:p>
    <w:p w14:paraId="2D7C8931" w14:textId="1ABD5F7D" w:rsidR="00E82FBF" w:rsidRPr="00311574" w:rsidRDefault="00E82FBF" w:rsidP="00B971B2">
      <w:pPr>
        <w:spacing w:after="0" w:line="480" w:lineRule="auto"/>
        <w:ind w:firstLine="720"/>
        <w:rPr>
          <w:rFonts w:asciiTheme="majorHAnsi" w:hAnsiTheme="majorHAnsi" w:cstheme="majorHAnsi"/>
          <w:sz w:val="24"/>
          <w:szCs w:val="24"/>
        </w:rPr>
      </w:pPr>
      <w:r w:rsidRPr="00311574">
        <w:rPr>
          <w:rFonts w:asciiTheme="majorHAnsi" w:hAnsiTheme="majorHAnsi" w:cstheme="majorHAnsi"/>
          <w:sz w:val="24"/>
          <w:szCs w:val="24"/>
        </w:rPr>
        <w:t>One of the reasons why reporting should be voluntary is that customers often decide to depend on how well the firm and the products meet their needs and their buying capacity (Hassan et al., 2020). For instance, even if a firm is committed to corporate responsibility activities and the products sold do not align with the customers' needs, it is difficult for them to buy the product. In contrast, it could be argued that the rising number of ethical consumers would make it mandatory for businesses to report CSR practices. However, Carson (2018) argues that the majority of the consumers eventually make their choices based on whether they can afford or access the products. Considering such factors, it could be argued that sustainability reporting is a waste of time and should be voluntary for businesses.</w:t>
      </w:r>
    </w:p>
    <w:p w14:paraId="1DA7E6AF" w14:textId="77777777" w:rsidR="00E82FBF" w:rsidRPr="00311574" w:rsidRDefault="00E82FBF" w:rsidP="00B971B2">
      <w:pPr>
        <w:spacing w:after="0" w:line="480" w:lineRule="auto"/>
        <w:rPr>
          <w:rFonts w:asciiTheme="majorHAnsi" w:hAnsiTheme="majorHAnsi" w:cstheme="majorHAnsi"/>
          <w:b/>
          <w:bCs/>
          <w:sz w:val="24"/>
          <w:szCs w:val="24"/>
        </w:rPr>
      </w:pPr>
      <w:r w:rsidRPr="00311574">
        <w:rPr>
          <w:rFonts w:asciiTheme="majorHAnsi" w:hAnsiTheme="majorHAnsi" w:cstheme="majorHAnsi"/>
          <w:b/>
          <w:bCs/>
          <w:sz w:val="24"/>
          <w:szCs w:val="24"/>
        </w:rPr>
        <w:lastRenderedPageBreak/>
        <w:t>Lack of Standard Format</w:t>
      </w:r>
    </w:p>
    <w:p w14:paraId="4D497ECC" w14:textId="0A6CA914" w:rsidR="00E82FBF" w:rsidRPr="00311574" w:rsidRDefault="00E82FBF" w:rsidP="00B971B2">
      <w:pPr>
        <w:spacing w:after="0" w:line="480" w:lineRule="auto"/>
        <w:ind w:firstLine="720"/>
        <w:rPr>
          <w:rFonts w:asciiTheme="majorHAnsi" w:hAnsiTheme="majorHAnsi" w:cstheme="majorHAnsi"/>
          <w:sz w:val="24"/>
          <w:szCs w:val="24"/>
        </w:rPr>
      </w:pPr>
      <w:r w:rsidRPr="00311574">
        <w:rPr>
          <w:rFonts w:asciiTheme="majorHAnsi" w:hAnsiTheme="majorHAnsi" w:cstheme="majorHAnsi"/>
          <w:sz w:val="24"/>
          <w:szCs w:val="24"/>
        </w:rPr>
        <w:t xml:space="preserve">One of the major challenges facing the implementation of CSR practices is the lack of common reporting conventions. The lack of common standards means that business leaders are left to cherry-pick activities that they should engage in or report (Siew, 2015). The lack of common procedures and operations makes it difficult for accountants to audit the exact costs and benefits associated with CSR practices. Similarly, due to the lack of consistent operations and formats, it is difficult to determine whether ethics purely drives activities in an organisation. A recent study by Kumar et al. (2021) shows that increased pressure for companies to engage in CSR have forced some companies into greenwashing. In the recent past, major companies such as IKEA and Shell have been accused of greenwashing to appear sustainable. Such practices contradict the ethical theory, and the CSR activities fail to attain the intended objectives. Such unethical activities would be lower when reporting is voluntary, as companies would only provide a record of what they have achieved. </w:t>
      </w:r>
    </w:p>
    <w:p w14:paraId="17922CEE" w14:textId="77777777" w:rsidR="00E82FBF" w:rsidRPr="00311574" w:rsidRDefault="00E82FBF" w:rsidP="00B971B2">
      <w:pPr>
        <w:spacing w:after="0" w:line="480" w:lineRule="auto"/>
        <w:rPr>
          <w:rFonts w:asciiTheme="majorHAnsi" w:hAnsiTheme="majorHAnsi" w:cstheme="majorHAnsi"/>
          <w:b/>
          <w:bCs/>
          <w:sz w:val="24"/>
          <w:szCs w:val="24"/>
        </w:rPr>
      </w:pPr>
      <w:r w:rsidRPr="00311574">
        <w:rPr>
          <w:rFonts w:asciiTheme="majorHAnsi" w:hAnsiTheme="majorHAnsi" w:cstheme="majorHAnsi"/>
          <w:b/>
          <w:bCs/>
          <w:sz w:val="24"/>
          <w:szCs w:val="24"/>
        </w:rPr>
        <w:t>Ease of Accessing Information</w:t>
      </w:r>
    </w:p>
    <w:p w14:paraId="609B4985" w14:textId="5DD2719D" w:rsidR="00D114B5" w:rsidRPr="00311574" w:rsidRDefault="00E82FBF" w:rsidP="00B971B2">
      <w:pPr>
        <w:spacing w:after="0" w:line="480" w:lineRule="auto"/>
        <w:ind w:firstLine="720"/>
        <w:rPr>
          <w:rFonts w:asciiTheme="majorHAnsi" w:hAnsiTheme="majorHAnsi" w:cstheme="majorHAnsi"/>
          <w:sz w:val="24"/>
          <w:szCs w:val="24"/>
        </w:rPr>
      </w:pPr>
      <w:r w:rsidRPr="00311574">
        <w:rPr>
          <w:rFonts w:asciiTheme="majorHAnsi" w:hAnsiTheme="majorHAnsi" w:cstheme="majorHAnsi"/>
          <w:sz w:val="24"/>
          <w:szCs w:val="24"/>
        </w:rPr>
        <w:t xml:space="preserve">The next reason why the reporting should be voluntary is that it is easier to find this information through other means such as social and print media. When companies engage in charity and philanthropic activities, they tend to report the activities instantly, either through their social networking platforms or by inviting the mainstream media. The stakeholders who are the main audience for sustainable reporting can get the same information through other media or means. A study by Garcia‐Torea et al. (2020) reveals that information sent directly from the company to the media would be better suited to meet the specific needs of various stakeholders. This approach is different from reporting sustainability practices in annual reports, where it is difficult to meet the specific needs of the stakeholders. Garcia‐Torea et al. (2020) refer to this kind of reporting as reporting for everyone without focusing on a specific </w:t>
      </w:r>
      <w:r w:rsidRPr="00311574">
        <w:rPr>
          <w:rFonts w:asciiTheme="majorHAnsi" w:hAnsiTheme="majorHAnsi" w:cstheme="majorHAnsi"/>
          <w:sz w:val="24"/>
          <w:szCs w:val="24"/>
        </w:rPr>
        <w:lastRenderedPageBreak/>
        <w:t>group. The argument made here is that sustainability reporting should be voluntary because the reports do not meet the specific interests of the stakeholders. Equally, changes in technology, together with increased use of the internet and social media, means that stakeholders, including the general public, would have access to almost all information reported by the firm (Siew, 2015). In another perspective, it could mean that the information presented in sustainability reports is most likely to have been made available through other media platforms. In this way, sustainability reporting should be voluntary.</w:t>
      </w:r>
      <w:r w:rsidR="00A66C2F" w:rsidRPr="00311574">
        <w:rPr>
          <w:rFonts w:asciiTheme="majorHAnsi" w:hAnsiTheme="majorHAnsi" w:cstheme="majorHAnsi"/>
          <w:sz w:val="24"/>
          <w:szCs w:val="24"/>
        </w:rPr>
        <w:t xml:space="preserve"> </w:t>
      </w:r>
    </w:p>
    <w:p w14:paraId="40605F83" w14:textId="77777777" w:rsidR="00845190" w:rsidRPr="00311574" w:rsidRDefault="00C27213" w:rsidP="00311574">
      <w:pPr>
        <w:spacing w:after="0" w:line="480" w:lineRule="auto"/>
        <w:rPr>
          <w:rFonts w:asciiTheme="majorHAnsi" w:hAnsiTheme="majorHAnsi" w:cstheme="majorHAnsi"/>
          <w:b/>
          <w:sz w:val="24"/>
          <w:szCs w:val="24"/>
        </w:rPr>
      </w:pPr>
      <w:r w:rsidRPr="00311574">
        <w:rPr>
          <w:rFonts w:asciiTheme="majorHAnsi" w:hAnsiTheme="majorHAnsi" w:cstheme="majorHAnsi"/>
          <w:b/>
          <w:sz w:val="24"/>
          <w:szCs w:val="24"/>
        </w:rPr>
        <w:t>Position Supporting Mandatory Reporting</w:t>
      </w:r>
    </w:p>
    <w:p w14:paraId="60DCAFBE" w14:textId="77777777" w:rsidR="00E82FBF" w:rsidRPr="00311574" w:rsidRDefault="00E82FBF" w:rsidP="00B971B2">
      <w:pPr>
        <w:spacing w:after="0" w:line="480" w:lineRule="auto"/>
        <w:ind w:firstLine="720"/>
        <w:rPr>
          <w:rFonts w:asciiTheme="majorHAnsi" w:hAnsiTheme="majorHAnsi" w:cstheme="majorHAnsi"/>
          <w:sz w:val="24"/>
          <w:szCs w:val="24"/>
        </w:rPr>
      </w:pPr>
      <w:r w:rsidRPr="00311574">
        <w:rPr>
          <w:rFonts w:asciiTheme="majorHAnsi" w:hAnsiTheme="majorHAnsi" w:cstheme="majorHAnsi"/>
          <w:sz w:val="24"/>
          <w:szCs w:val="24"/>
        </w:rPr>
        <w:t>Mandatory reporting enables organisations to address various disclosures related to legal requirements. Through this, they are able to do all other types of communication with different stakeholders and engage in issues that concern them (Christensen et al., 2021). It is often driven by a sense of duty and the moral obligation of a business towards society. As seen in the deontological ethics theory, businesses are mandated to report their sustainability practices regardless of their intended benefits or consequences. The following reasons support mandatory reporting.</w:t>
      </w:r>
    </w:p>
    <w:p w14:paraId="0D4EFD52" w14:textId="77777777" w:rsidR="00E82FBF" w:rsidRPr="00311574" w:rsidRDefault="00E82FBF" w:rsidP="00B971B2">
      <w:pPr>
        <w:spacing w:after="0" w:line="480" w:lineRule="auto"/>
        <w:rPr>
          <w:rFonts w:asciiTheme="majorHAnsi" w:hAnsiTheme="majorHAnsi" w:cstheme="majorHAnsi"/>
          <w:b/>
          <w:bCs/>
          <w:sz w:val="24"/>
          <w:szCs w:val="24"/>
        </w:rPr>
      </w:pPr>
      <w:r w:rsidRPr="00311574">
        <w:rPr>
          <w:rFonts w:asciiTheme="majorHAnsi" w:hAnsiTheme="majorHAnsi" w:cstheme="majorHAnsi"/>
          <w:b/>
          <w:bCs/>
          <w:sz w:val="24"/>
          <w:szCs w:val="24"/>
        </w:rPr>
        <w:t>Improved Business Performance</w:t>
      </w:r>
    </w:p>
    <w:p w14:paraId="2A58D87B" w14:textId="77777777" w:rsidR="00E82FBF" w:rsidRPr="00311574" w:rsidRDefault="00E82FBF" w:rsidP="00B971B2">
      <w:pPr>
        <w:spacing w:after="0" w:line="480" w:lineRule="auto"/>
        <w:ind w:firstLine="720"/>
        <w:rPr>
          <w:rFonts w:asciiTheme="majorHAnsi" w:hAnsiTheme="majorHAnsi" w:cstheme="majorHAnsi"/>
          <w:sz w:val="24"/>
          <w:szCs w:val="24"/>
        </w:rPr>
      </w:pPr>
      <w:r w:rsidRPr="00311574">
        <w:rPr>
          <w:rFonts w:asciiTheme="majorHAnsi" w:hAnsiTheme="majorHAnsi" w:cstheme="majorHAnsi"/>
          <w:sz w:val="24"/>
          <w:szCs w:val="24"/>
        </w:rPr>
        <w:t xml:space="preserve">A study by Christensen et al. (2021) has shown that sustainable practices increase association between a business and its stakeholders. According to Koos (2021), there has been an increase in ethical consumers who now demand that businesses engage in sustainable practices. Koos (2021) further reveals that close to 50% of the companies would not buy products from companies they believe in engaging in immoral practices. These consumer practices are most common among millennials and young consumers. It means that businesses must continuously inform stakeholders and potential buyers of their involvement in ethical and sustainable practices (Kumar et al., 2021). The aforementioned </w:t>
      </w:r>
      <w:r w:rsidRPr="00311574">
        <w:rPr>
          <w:rFonts w:asciiTheme="majorHAnsi" w:hAnsiTheme="majorHAnsi" w:cstheme="majorHAnsi"/>
          <w:sz w:val="24"/>
          <w:szCs w:val="24"/>
        </w:rPr>
        <w:lastRenderedPageBreak/>
        <w:t>would only be achieved through mandatory reporting. At this point, businesses can engage in reporting with a view of possible returns, which include attracting more customers. The above would be supported by a teleological theory, given that businesses focus on the consequences or the results of their actions (Baumane-Vitolina et al., 2016). With an increase in ethical consumerism, it is evident that mandatory reporting would attract more customers, resulting in increased profits and business performance.</w:t>
      </w:r>
    </w:p>
    <w:p w14:paraId="2D75A82C" w14:textId="77777777" w:rsidR="00E82FBF" w:rsidRPr="00311574" w:rsidRDefault="00E82FBF" w:rsidP="00B971B2">
      <w:pPr>
        <w:spacing w:after="0" w:line="480" w:lineRule="auto"/>
        <w:rPr>
          <w:rFonts w:asciiTheme="majorHAnsi" w:hAnsiTheme="majorHAnsi" w:cstheme="majorHAnsi"/>
          <w:b/>
          <w:bCs/>
          <w:sz w:val="24"/>
          <w:szCs w:val="24"/>
        </w:rPr>
      </w:pPr>
      <w:r w:rsidRPr="00311574">
        <w:rPr>
          <w:rFonts w:asciiTheme="majorHAnsi" w:hAnsiTheme="majorHAnsi" w:cstheme="majorHAnsi"/>
          <w:b/>
          <w:bCs/>
          <w:sz w:val="24"/>
          <w:szCs w:val="24"/>
        </w:rPr>
        <w:t>Influence on Businesses Activities and Social Events</w:t>
      </w:r>
    </w:p>
    <w:p w14:paraId="15C17063" w14:textId="77777777" w:rsidR="00E82FBF" w:rsidRPr="00311574" w:rsidRDefault="00E82FBF" w:rsidP="00B971B2">
      <w:pPr>
        <w:spacing w:after="0" w:line="480" w:lineRule="auto"/>
        <w:ind w:firstLine="720"/>
        <w:rPr>
          <w:rFonts w:asciiTheme="majorHAnsi" w:hAnsiTheme="majorHAnsi" w:cstheme="majorHAnsi"/>
          <w:sz w:val="24"/>
          <w:szCs w:val="24"/>
        </w:rPr>
      </w:pPr>
      <w:r w:rsidRPr="00311574">
        <w:rPr>
          <w:rFonts w:asciiTheme="majorHAnsi" w:hAnsiTheme="majorHAnsi" w:cstheme="majorHAnsi"/>
          <w:sz w:val="24"/>
          <w:szCs w:val="24"/>
        </w:rPr>
        <w:t>As Wang et al. (2018) explain, there is an association between an organisation's economic, social activities and its CSR reporting. Wang et al. (2018) further find that most businesses, especially those in manufacturing and production industries, contribute heavily towards environmental pollution. Other businesses use raw materials such as minerals and thereby contributing to the existing challenge of resource scarcity. Mandatory reporting forces companies to commit to climate and environmental-conscious practices. For instance, a company like Coca-Cola has committed to reducing its carbon footprint (Jones &amp; Comfort, 2018). The progress made is reported each year in the ESG report. With voluntary reporting, the company would not be engaged in so many sustainability practices. Equally, through mandatory reporting, industries can legitimise their operations and have better knowledge of how to offset perceived social problems within the business model (Kumar et al., 2021). Therefore, mandatory CSR reporting directly influences business activities, as companies need to appear right and ethical in the face of the public.</w:t>
      </w:r>
    </w:p>
    <w:p w14:paraId="3901359F" w14:textId="77777777" w:rsidR="00E82FBF" w:rsidRPr="00311574" w:rsidRDefault="00E82FBF" w:rsidP="00B971B2">
      <w:pPr>
        <w:spacing w:after="0" w:line="480" w:lineRule="auto"/>
        <w:rPr>
          <w:rFonts w:asciiTheme="majorHAnsi" w:hAnsiTheme="majorHAnsi" w:cstheme="majorHAnsi"/>
          <w:b/>
          <w:bCs/>
          <w:sz w:val="24"/>
          <w:szCs w:val="24"/>
        </w:rPr>
      </w:pPr>
      <w:r w:rsidRPr="00311574">
        <w:rPr>
          <w:rFonts w:asciiTheme="majorHAnsi" w:hAnsiTheme="majorHAnsi" w:cstheme="majorHAnsi"/>
          <w:b/>
          <w:bCs/>
          <w:sz w:val="24"/>
          <w:szCs w:val="24"/>
        </w:rPr>
        <w:t>Creates a Culture of Efficiency, Transparency and Accountability</w:t>
      </w:r>
    </w:p>
    <w:p w14:paraId="7E72DC51" w14:textId="77777777" w:rsidR="00E82FBF" w:rsidRPr="00311574" w:rsidRDefault="00E82FBF" w:rsidP="00B971B2">
      <w:pPr>
        <w:spacing w:after="0" w:line="480" w:lineRule="auto"/>
        <w:ind w:firstLine="720"/>
        <w:rPr>
          <w:rFonts w:asciiTheme="majorHAnsi" w:hAnsiTheme="majorHAnsi" w:cstheme="majorHAnsi"/>
          <w:sz w:val="24"/>
          <w:szCs w:val="24"/>
        </w:rPr>
      </w:pPr>
      <w:r w:rsidRPr="00311574">
        <w:rPr>
          <w:rFonts w:asciiTheme="majorHAnsi" w:hAnsiTheme="majorHAnsi" w:cstheme="majorHAnsi"/>
          <w:sz w:val="24"/>
          <w:szCs w:val="24"/>
        </w:rPr>
        <w:t xml:space="preserve">One of the unique elements of CSR is that it is largely dependent on civil oversight. It means that the success or failure of sustainability efforts can only be determined by the stakeholders, including the general public. In this case, mandatory reporting allows </w:t>
      </w:r>
      <w:r w:rsidRPr="00311574">
        <w:rPr>
          <w:rFonts w:asciiTheme="majorHAnsi" w:hAnsiTheme="majorHAnsi" w:cstheme="majorHAnsi"/>
          <w:sz w:val="24"/>
          <w:szCs w:val="24"/>
        </w:rPr>
        <w:lastRenderedPageBreak/>
        <w:t>businesses to be open and accountable for their actions (Taghian et al., 2015). For instance, through mandatory reporting, car manufacturing companies could outline efforts and steps taken to reduce the environmental pollution. Similarly, companies operating with plastics could show the steps to make their products recyclable and biodegradable. Such transparency builds trust with the public (Cho et al., 2019). Equally, being accountable and reporting progress in regard to sustainability shows that a company understands that it has a moral duty towards protecting society and the environment. Such a deontological approach is evident in sustainability efforts for major organisations such as Coca-Cola and Apple. Such levels of accountability and trust would not be gained through voluntary reporting.</w:t>
      </w:r>
    </w:p>
    <w:p w14:paraId="177AFB2D" w14:textId="77777777" w:rsidR="00E82FBF" w:rsidRPr="00311574" w:rsidRDefault="00E82FBF" w:rsidP="00B971B2">
      <w:pPr>
        <w:spacing w:after="0" w:line="480" w:lineRule="auto"/>
        <w:rPr>
          <w:rFonts w:asciiTheme="majorHAnsi" w:hAnsiTheme="majorHAnsi" w:cstheme="majorHAnsi"/>
          <w:b/>
          <w:bCs/>
          <w:sz w:val="24"/>
          <w:szCs w:val="24"/>
        </w:rPr>
      </w:pPr>
      <w:r w:rsidRPr="00311574">
        <w:rPr>
          <w:rFonts w:asciiTheme="majorHAnsi" w:hAnsiTheme="majorHAnsi" w:cstheme="majorHAnsi"/>
          <w:b/>
          <w:bCs/>
          <w:sz w:val="24"/>
          <w:szCs w:val="24"/>
        </w:rPr>
        <w:t>Acquisition of New Financiers and Investors</w:t>
      </w:r>
    </w:p>
    <w:p w14:paraId="6402A89D" w14:textId="77777777" w:rsidR="00E82FBF" w:rsidRPr="00311574" w:rsidRDefault="00E82FBF" w:rsidP="00B971B2">
      <w:pPr>
        <w:spacing w:after="0" w:line="480" w:lineRule="auto"/>
        <w:ind w:firstLine="720"/>
        <w:rPr>
          <w:rFonts w:asciiTheme="majorHAnsi" w:hAnsiTheme="majorHAnsi" w:cstheme="majorHAnsi"/>
          <w:sz w:val="24"/>
          <w:szCs w:val="24"/>
        </w:rPr>
      </w:pPr>
      <w:r w:rsidRPr="00311574">
        <w:rPr>
          <w:rFonts w:asciiTheme="majorHAnsi" w:hAnsiTheme="majorHAnsi" w:cstheme="majorHAnsi"/>
          <w:sz w:val="24"/>
          <w:szCs w:val="24"/>
        </w:rPr>
        <w:t>Findings have shown that businesses engaged in sustainability practices are likely to attract more consumers, thereby improving their profitability and performance. Similarly, the findings have revealed that businesses involved in CSR are more likely to be transparent and accountable in their practices. Such factors tend to improve the image and reputation of a business (Taghian et al., 2015). It becomes easier to attract investors and financiers with a good image and reputation. In regard to ethics theory, businesses that engage in mandatory reporting seem to have the right virtues and values that investors would be interested in. Also, given the increased importance of CSR in the modern marketplace, financiers need to be sure that they do not invest in firms engaging in unethical activities (Cho et al., 2019). The above would only be assured through sustainability reporting. It would be difficult for financiers to measure a company's commitment to sustainability practices with voluntary reporting. Therefore, mandatory reporting would be the surest way to attract new investors.</w:t>
      </w:r>
    </w:p>
    <w:p w14:paraId="7761F3B6" w14:textId="77777777" w:rsidR="00311574" w:rsidRDefault="00311574" w:rsidP="00311574">
      <w:pPr>
        <w:spacing w:after="0" w:line="480" w:lineRule="auto"/>
        <w:rPr>
          <w:rFonts w:asciiTheme="majorHAnsi" w:hAnsiTheme="majorHAnsi" w:cstheme="majorHAnsi"/>
          <w:b/>
          <w:bCs/>
          <w:sz w:val="24"/>
          <w:szCs w:val="24"/>
        </w:rPr>
      </w:pPr>
    </w:p>
    <w:p w14:paraId="49203A8F" w14:textId="77777777" w:rsidR="00311574" w:rsidRDefault="00311574" w:rsidP="00311574">
      <w:pPr>
        <w:spacing w:after="0" w:line="480" w:lineRule="auto"/>
        <w:rPr>
          <w:rFonts w:asciiTheme="majorHAnsi" w:hAnsiTheme="majorHAnsi" w:cstheme="majorHAnsi"/>
          <w:b/>
          <w:bCs/>
          <w:sz w:val="24"/>
          <w:szCs w:val="24"/>
        </w:rPr>
      </w:pPr>
    </w:p>
    <w:p w14:paraId="550B82E0" w14:textId="03CF774B" w:rsidR="00E82FBF" w:rsidRPr="00311574" w:rsidRDefault="00E82FBF" w:rsidP="00311574">
      <w:pPr>
        <w:spacing w:after="0" w:line="480" w:lineRule="auto"/>
        <w:rPr>
          <w:rFonts w:asciiTheme="majorHAnsi" w:hAnsiTheme="majorHAnsi" w:cstheme="majorHAnsi"/>
          <w:b/>
          <w:bCs/>
          <w:sz w:val="24"/>
          <w:szCs w:val="24"/>
        </w:rPr>
      </w:pPr>
      <w:r w:rsidRPr="00311574">
        <w:rPr>
          <w:rFonts w:asciiTheme="majorHAnsi" w:hAnsiTheme="majorHAnsi" w:cstheme="majorHAnsi"/>
          <w:b/>
          <w:bCs/>
          <w:sz w:val="24"/>
          <w:szCs w:val="24"/>
        </w:rPr>
        <w:lastRenderedPageBreak/>
        <w:t>Discussion</w:t>
      </w:r>
    </w:p>
    <w:p w14:paraId="35A89E2C" w14:textId="77777777" w:rsidR="00E82FBF" w:rsidRPr="00311574" w:rsidRDefault="00E82FBF" w:rsidP="00B971B2">
      <w:pPr>
        <w:spacing w:after="0" w:line="480" w:lineRule="auto"/>
        <w:ind w:firstLine="720"/>
        <w:rPr>
          <w:rFonts w:asciiTheme="majorHAnsi" w:hAnsiTheme="majorHAnsi" w:cstheme="majorHAnsi"/>
          <w:sz w:val="24"/>
          <w:szCs w:val="24"/>
        </w:rPr>
      </w:pPr>
      <w:r w:rsidRPr="00311574">
        <w:rPr>
          <w:rFonts w:asciiTheme="majorHAnsi" w:hAnsiTheme="majorHAnsi" w:cstheme="majorHAnsi"/>
          <w:sz w:val="24"/>
          <w:szCs w:val="24"/>
        </w:rPr>
        <w:t>After the aforementioned arguments, my position would be to make sustainability reporting mandatory across the business world. The study has shown that the modern-day world is already struggling with environmental challenges such as climate change, pollution, and resource scarcity. Some of these challenges have been caused by businesses in their supply chain and industrial processes. Findings have shown that mandatory reporting allows businesses to commit to sustainable practices. Such levels of commitment are absent in businesses where sustainability reporting is voluntary. Therefore, with mandatory reporting, it becomes easier to have businesses engage in activities that would secure the environment (Christensen et al., 2021). I disagree with voluntary reporting because it would make it difficult for businesses to be accountable for their actions. For instance, as the world moves towards gender and racial equality, businesses have a moral obligation to contribute to this change by ensuring equity in recruitment and promotion exercises. Similarly, mandatory reporting would help create trust with stakeholders and the general public.</w:t>
      </w:r>
    </w:p>
    <w:p w14:paraId="20C8CCD0" w14:textId="77777777" w:rsidR="00E82FBF" w:rsidRPr="00311574" w:rsidRDefault="00E82FBF" w:rsidP="00B971B2">
      <w:pPr>
        <w:spacing w:after="0" w:line="480" w:lineRule="auto"/>
        <w:ind w:firstLine="720"/>
        <w:rPr>
          <w:rFonts w:asciiTheme="majorHAnsi" w:hAnsiTheme="majorHAnsi" w:cstheme="majorHAnsi"/>
          <w:sz w:val="24"/>
          <w:szCs w:val="24"/>
        </w:rPr>
      </w:pPr>
      <w:r w:rsidRPr="00311574">
        <w:rPr>
          <w:rFonts w:asciiTheme="majorHAnsi" w:hAnsiTheme="majorHAnsi" w:cstheme="majorHAnsi"/>
          <w:sz w:val="24"/>
          <w:szCs w:val="24"/>
        </w:rPr>
        <w:t xml:space="preserve">The next reason for supporting mandatory reporting is the associated benefits. Studies have shown a strong link between CSR activities and business performance (Taghian et al., 2015). Findings by Koos (2021) indicates a rising demand for ethically produced products. Similarly, there has been a rising population of ethical consumers whose purchasing behaviour is largely shaped by the nature of a business's practices. In this case, by engaging in voluntary reporting, it becomes difficult to convince ethical consumers of a business’ commitment towards sustainability. On the contrary, mandatory reporting would attract new customers, resulting in increased profit for the business (Geissdoerfer et al., 2018). Similarly, in the current age of information, it has become easier for customers and the general public to acquire any kind of data relating to a business. While the ease of </w:t>
      </w:r>
      <w:r w:rsidRPr="00311574">
        <w:rPr>
          <w:rFonts w:asciiTheme="majorHAnsi" w:hAnsiTheme="majorHAnsi" w:cstheme="majorHAnsi"/>
          <w:sz w:val="24"/>
          <w:szCs w:val="24"/>
        </w:rPr>
        <w:lastRenderedPageBreak/>
        <w:t>accessing information has been argued for voluntary reporting, as seen above, it could easily expose businesses engaged in immoral practices. Therefore, the only way for businesses to maintain trust with the public is through mandatory sustainability reporting.</w:t>
      </w:r>
    </w:p>
    <w:p w14:paraId="5265FE56" w14:textId="77777777" w:rsidR="00E82FBF" w:rsidRPr="00311574" w:rsidRDefault="00E82FBF" w:rsidP="00311574">
      <w:pPr>
        <w:spacing w:after="0" w:line="480" w:lineRule="auto"/>
        <w:rPr>
          <w:rFonts w:asciiTheme="majorHAnsi" w:hAnsiTheme="majorHAnsi" w:cstheme="majorHAnsi"/>
          <w:b/>
          <w:bCs/>
          <w:sz w:val="24"/>
          <w:szCs w:val="24"/>
        </w:rPr>
      </w:pPr>
      <w:r w:rsidRPr="00311574">
        <w:rPr>
          <w:rFonts w:asciiTheme="majorHAnsi" w:hAnsiTheme="majorHAnsi" w:cstheme="majorHAnsi"/>
          <w:b/>
          <w:bCs/>
          <w:sz w:val="24"/>
          <w:szCs w:val="24"/>
        </w:rPr>
        <w:t>Conclusion</w:t>
      </w:r>
    </w:p>
    <w:p w14:paraId="5FCA6478" w14:textId="2DDAFA9E" w:rsidR="00C04C92" w:rsidRPr="00311574" w:rsidRDefault="00E82FBF" w:rsidP="00B971B2">
      <w:pPr>
        <w:spacing w:after="0" w:line="480" w:lineRule="auto"/>
        <w:ind w:firstLine="720"/>
        <w:rPr>
          <w:rFonts w:asciiTheme="majorHAnsi" w:hAnsiTheme="majorHAnsi" w:cstheme="majorHAnsi"/>
          <w:sz w:val="24"/>
          <w:szCs w:val="24"/>
        </w:rPr>
      </w:pPr>
      <w:r w:rsidRPr="00311574">
        <w:rPr>
          <w:rFonts w:asciiTheme="majorHAnsi" w:hAnsiTheme="majorHAnsi" w:cstheme="majorHAnsi"/>
          <w:sz w:val="24"/>
          <w:szCs w:val="24"/>
        </w:rPr>
        <w:t>The study has made a case for or against voluntary reporting. Arguments that support voluntary reporting include the fact that there are no standard procedures and conventions that support sustainability reporting, benefits of sustainability reporting cannot always be quantified, sustainability alone do not form part of consumer decision-making, and information presented in sustainable reports can be easily accessed through other means. Arguments supporting mandatory reporting include improved performance and accountability, acquisition of new investors and influence on business activities. After analysis, I disagree with John Mackey’s viewpoint and argue that sustainability reporting should be mandatory for businesses. The argument here is that as corporate citizens, businesses have a responsibility towards society and the environment. The decision on whether reporting should be voluntary or mandatory could also be measured based on a business's ability to meet the diverse needs of an increasingly ethical customer base.</w:t>
      </w:r>
      <w:r w:rsidR="006A5282" w:rsidRPr="00311574">
        <w:rPr>
          <w:rFonts w:asciiTheme="majorHAnsi" w:hAnsiTheme="majorHAnsi" w:cstheme="majorHAnsi"/>
          <w:sz w:val="24"/>
          <w:szCs w:val="24"/>
        </w:rPr>
        <w:t xml:space="preserve"> </w:t>
      </w:r>
    </w:p>
    <w:p w14:paraId="10A6BBB8" w14:textId="77777777" w:rsidR="00E82FBF" w:rsidRPr="00311574" w:rsidRDefault="00E82FBF" w:rsidP="00B971B2">
      <w:pPr>
        <w:spacing w:after="0"/>
        <w:rPr>
          <w:rFonts w:asciiTheme="majorHAnsi" w:hAnsiTheme="majorHAnsi" w:cstheme="majorHAnsi"/>
          <w:sz w:val="24"/>
          <w:szCs w:val="24"/>
        </w:rPr>
      </w:pPr>
      <w:r w:rsidRPr="00311574">
        <w:rPr>
          <w:rFonts w:asciiTheme="majorHAnsi" w:hAnsiTheme="majorHAnsi" w:cstheme="majorHAnsi"/>
          <w:sz w:val="24"/>
          <w:szCs w:val="24"/>
        </w:rPr>
        <w:br w:type="page"/>
      </w:r>
    </w:p>
    <w:p w14:paraId="769AB709" w14:textId="44CD3CEA" w:rsidR="00CB60C1" w:rsidRPr="00311574" w:rsidRDefault="00CB60C1" w:rsidP="00B971B2">
      <w:pPr>
        <w:spacing w:after="0" w:line="480" w:lineRule="auto"/>
        <w:jc w:val="center"/>
        <w:rPr>
          <w:rFonts w:asciiTheme="majorHAnsi" w:hAnsiTheme="majorHAnsi" w:cstheme="majorHAnsi"/>
          <w:b/>
          <w:sz w:val="24"/>
          <w:szCs w:val="24"/>
        </w:rPr>
      </w:pPr>
      <w:r w:rsidRPr="00311574">
        <w:rPr>
          <w:rFonts w:asciiTheme="majorHAnsi" w:hAnsiTheme="majorHAnsi" w:cstheme="majorHAnsi"/>
          <w:b/>
          <w:sz w:val="24"/>
          <w:szCs w:val="24"/>
        </w:rPr>
        <w:lastRenderedPageBreak/>
        <w:t>References</w:t>
      </w:r>
    </w:p>
    <w:p w14:paraId="2797F57F" w14:textId="2D68890F" w:rsidR="00E82FBF" w:rsidRPr="00311574" w:rsidRDefault="00E82FBF" w:rsidP="00B971B2">
      <w:pPr>
        <w:spacing w:after="0" w:line="480" w:lineRule="auto"/>
        <w:ind w:left="720" w:hanging="720"/>
        <w:rPr>
          <w:rFonts w:asciiTheme="majorHAnsi" w:hAnsiTheme="majorHAnsi" w:cstheme="majorHAnsi"/>
          <w:color w:val="000000" w:themeColor="text1"/>
          <w:sz w:val="24"/>
          <w:szCs w:val="24"/>
          <w:shd w:val="clear" w:color="auto" w:fill="FCFCFC"/>
        </w:rPr>
      </w:pPr>
      <w:r w:rsidRPr="00311574">
        <w:rPr>
          <w:rFonts w:asciiTheme="majorHAnsi" w:hAnsiTheme="majorHAnsi" w:cstheme="majorHAnsi"/>
          <w:color w:val="000000" w:themeColor="text1"/>
          <w:sz w:val="24"/>
          <w:szCs w:val="24"/>
          <w:shd w:val="clear" w:color="auto" w:fill="FFFFFF"/>
        </w:rPr>
        <w:t>Baumane-Vitolina, I., Cals, I., &amp; Sumilo, E. (2016). Is ethics rational? Teleological, deontological and virtue ethics theories reconciled in the context of traditional economic decision making.</w:t>
      </w:r>
      <w:r w:rsidR="00B971B2" w:rsidRPr="00311574">
        <w:rPr>
          <w:rFonts w:asciiTheme="majorHAnsi" w:hAnsiTheme="majorHAnsi" w:cstheme="majorHAnsi"/>
          <w:color w:val="000000" w:themeColor="text1"/>
          <w:sz w:val="24"/>
          <w:szCs w:val="24"/>
          <w:shd w:val="clear" w:color="auto" w:fill="FFFFFF"/>
        </w:rPr>
        <w:t xml:space="preserve"> </w:t>
      </w:r>
      <w:r w:rsidRPr="00311574">
        <w:rPr>
          <w:rFonts w:asciiTheme="majorHAnsi" w:hAnsiTheme="majorHAnsi" w:cstheme="majorHAnsi"/>
          <w:i/>
          <w:iCs/>
          <w:color w:val="000000" w:themeColor="text1"/>
          <w:sz w:val="24"/>
          <w:szCs w:val="24"/>
          <w:shd w:val="clear" w:color="auto" w:fill="FFFFFF"/>
        </w:rPr>
        <w:t>Procedia Economics and Finance</w:t>
      </w:r>
      <w:r w:rsidRPr="00311574">
        <w:rPr>
          <w:rFonts w:asciiTheme="majorHAnsi" w:hAnsiTheme="majorHAnsi" w:cstheme="majorHAnsi"/>
          <w:color w:val="000000" w:themeColor="text1"/>
          <w:sz w:val="24"/>
          <w:szCs w:val="24"/>
          <w:shd w:val="clear" w:color="auto" w:fill="FFFFFF"/>
        </w:rPr>
        <w:t>, </w:t>
      </w:r>
      <w:r w:rsidRPr="00311574">
        <w:rPr>
          <w:rFonts w:asciiTheme="majorHAnsi" w:hAnsiTheme="majorHAnsi" w:cstheme="majorHAnsi"/>
          <w:i/>
          <w:iCs/>
          <w:color w:val="000000" w:themeColor="text1"/>
          <w:sz w:val="24"/>
          <w:szCs w:val="24"/>
          <w:shd w:val="clear" w:color="auto" w:fill="FFFFFF"/>
        </w:rPr>
        <w:t>39</w:t>
      </w:r>
      <w:r w:rsidRPr="00311574">
        <w:rPr>
          <w:rFonts w:asciiTheme="majorHAnsi" w:hAnsiTheme="majorHAnsi" w:cstheme="majorHAnsi"/>
          <w:color w:val="000000" w:themeColor="text1"/>
          <w:sz w:val="24"/>
          <w:szCs w:val="24"/>
          <w:shd w:val="clear" w:color="auto" w:fill="FFFFFF"/>
        </w:rPr>
        <w:t xml:space="preserve">, 108-114. </w:t>
      </w:r>
      <w:hyperlink r:id="rId6" w:history="1">
        <w:r w:rsidRPr="00311574">
          <w:rPr>
            <w:rStyle w:val="Hyperlink"/>
            <w:rFonts w:asciiTheme="majorHAnsi" w:hAnsiTheme="majorHAnsi" w:cstheme="majorHAnsi"/>
            <w:color w:val="000000" w:themeColor="text1"/>
            <w:sz w:val="24"/>
            <w:szCs w:val="24"/>
            <w:u w:val="none"/>
            <w:shd w:val="clear" w:color="auto" w:fill="FFFFFF"/>
          </w:rPr>
          <w:t>https://doi.org/10.1016/S2212-5671(16)30249-0</w:t>
        </w:r>
      </w:hyperlink>
    </w:p>
    <w:p w14:paraId="0BB1C3E2" w14:textId="745797A2" w:rsidR="00E82FBF" w:rsidRPr="00311574" w:rsidRDefault="00E82FBF" w:rsidP="00B971B2">
      <w:pPr>
        <w:spacing w:after="0" w:line="480" w:lineRule="auto"/>
        <w:ind w:left="720" w:hanging="720"/>
        <w:rPr>
          <w:rFonts w:asciiTheme="majorHAnsi" w:hAnsiTheme="majorHAnsi" w:cstheme="majorHAnsi"/>
          <w:color w:val="000000" w:themeColor="text1"/>
          <w:sz w:val="24"/>
          <w:szCs w:val="24"/>
          <w:shd w:val="clear" w:color="auto" w:fill="FCFCFC"/>
        </w:rPr>
      </w:pPr>
      <w:r w:rsidRPr="00311574">
        <w:rPr>
          <w:rFonts w:asciiTheme="majorHAnsi" w:hAnsiTheme="majorHAnsi" w:cstheme="majorHAnsi"/>
          <w:color w:val="000000" w:themeColor="text1"/>
          <w:sz w:val="24"/>
          <w:szCs w:val="24"/>
          <w:shd w:val="clear" w:color="auto" w:fill="FFFFFF"/>
        </w:rPr>
        <w:t>Camilleri, M. A. (2017). Corporate sustainability and responsibility</w:t>
      </w:r>
      <w:r w:rsidR="00B971B2" w:rsidRPr="00311574">
        <w:rPr>
          <w:rFonts w:asciiTheme="majorHAnsi" w:hAnsiTheme="majorHAnsi" w:cstheme="majorHAnsi"/>
          <w:color w:val="000000" w:themeColor="text1"/>
          <w:sz w:val="24"/>
          <w:szCs w:val="24"/>
          <w:shd w:val="clear" w:color="auto" w:fill="FFFFFF"/>
        </w:rPr>
        <w:t xml:space="preserve">: Creating </w:t>
      </w:r>
      <w:r w:rsidRPr="00311574">
        <w:rPr>
          <w:rFonts w:asciiTheme="majorHAnsi" w:hAnsiTheme="majorHAnsi" w:cstheme="majorHAnsi"/>
          <w:color w:val="000000" w:themeColor="text1"/>
          <w:sz w:val="24"/>
          <w:szCs w:val="24"/>
          <w:shd w:val="clear" w:color="auto" w:fill="FFFFFF"/>
        </w:rPr>
        <w:t>value for business, society and the environment. </w:t>
      </w:r>
      <w:r w:rsidRPr="00311574">
        <w:rPr>
          <w:rFonts w:asciiTheme="majorHAnsi" w:hAnsiTheme="majorHAnsi" w:cstheme="majorHAnsi"/>
          <w:i/>
          <w:iCs/>
          <w:color w:val="000000" w:themeColor="text1"/>
          <w:sz w:val="24"/>
          <w:szCs w:val="24"/>
          <w:shd w:val="clear" w:color="auto" w:fill="FFFFFF"/>
        </w:rPr>
        <w:t>Asian Journal of Sustainability and Social Responsibility</w:t>
      </w:r>
      <w:r w:rsidRPr="00311574">
        <w:rPr>
          <w:rFonts w:asciiTheme="majorHAnsi" w:hAnsiTheme="majorHAnsi" w:cstheme="majorHAnsi"/>
          <w:color w:val="000000" w:themeColor="text1"/>
          <w:sz w:val="24"/>
          <w:szCs w:val="24"/>
          <w:shd w:val="clear" w:color="auto" w:fill="FFFFFF"/>
        </w:rPr>
        <w:t>,</w:t>
      </w:r>
      <w:r w:rsidR="00B971B2" w:rsidRPr="00311574">
        <w:rPr>
          <w:rFonts w:asciiTheme="majorHAnsi" w:hAnsiTheme="majorHAnsi" w:cstheme="majorHAnsi"/>
          <w:color w:val="000000" w:themeColor="text1"/>
          <w:sz w:val="24"/>
          <w:szCs w:val="24"/>
          <w:shd w:val="clear" w:color="auto" w:fill="FFFFFF"/>
        </w:rPr>
        <w:t xml:space="preserve"> </w:t>
      </w:r>
      <w:r w:rsidRPr="00311574">
        <w:rPr>
          <w:rFonts w:asciiTheme="majorHAnsi" w:hAnsiTheme="majorHAnsi" w:cstheme="majorHAnsi"/>
          <w:i/>
          <w:iCs/>
          <w:color w:val="000000" w:themeColor="text1"/>
          <w:sz w:val="24"/>
          <w:szCs w:val="24"/>
          <w:shd w:val="clear" w:color="auto" w:fill="FFFFFF"/>
        </w:rPr>
        <w:t>2</w:t>
      </w:r>
      <w:r w:rsidRPr="00311574">
        <w:rPr>
          <w:rFonts w:asciiTheme="majorHAnsi" w:hAnsiTheme="majorHAnsi" w:cstheme="majorHAnsi"/>
          <w:color w:val="000000" w:themeColor="text1"/>
          <w:sz w:val="24"/>
          <w:szCs w:val="24"/>
          <w:shd w:val="clear" w:color="auto" w:fill="FFFFFF"/>
        </w:rPr>
        <w:t xml:space="preserve">(1), 59-74. </w:t>
      </w:r>
      <w:hyperlink r:id="rId7" w:history="1">
        <w:r w:rsidRPr="00311574">
          <w:rPr>
            <w:rStyle w:val="Hyperlink"/>
            <w:rFonts w:asciiTheme="majorHAnsi" w:hAnsiTheme="majorHAnsi" w:cstheme="majorHAnsi"/>
            <w:color w:val="000000" w:themeColor="text1"/>
            <w:sz w:val="24"/>
            <w:szCs w:val="24"/>
            <w:u w:val="none"/>
            <w:shd w:val="clear" w:color="auto" w:fill="FCFCFC"/>
          </w:rPr>
          <w:t>https://doi.org/10.1186/s41180-017-0016-5</w:t>
        </w:r>
      </w:hyperlink>
    </w:p>
    <w:p w14:paraId="3DB4782A" w14:textId="35385473" w:rsidR="00E82FBF" w:rsidRPr="00311574" w:rsidRDefault="00E82FBF" w:rsidP="00B971B2">
      <w:pPr>
        <w:spacing w:after="0" w:line="480" w:lineRule="auto"/>
        <w:ind w:left="720" w:hanging="720"/>
        <w:rPr>
          <w:rFonts w:asciiTheme="majorHAnsi" w:hAnsiTheme="majorHAnsi" w:cstheme="majorHAnsi"/>
          <w:color w:val="000000" w:themeColor="text1"/>
          <w:sz w:val="24"/>
          <w:szCs w:val="24"/>
          <w:shd w:val="clear" w:color="auto" w:fill="FCFCFC"/>
        </w:rPr>
      </w:pPr>
      <w:r w:rsidRPr="00311574">
        <w:rPr>
          <w:rFonts w:asciiTheme="majorHAnsi" w:hAnsiTheme="majorHAnsi" w:cstheme="majorHAnsi"/>
          <w:color w:val="000000" w:themeColor="text1"/>
          <w:sz w:val="24"/>
          <w:szCs w:val="24"/>
          <w:shd w:val="clear" w:color="auto" w:fill="FFFFFF"/>
        </w:rPr>
        <w:t xml:space="preserve">Carson, T. L. (2018). My </w:t>
      </w:r>
      <w:r w:rsidR="00B971B2" w:rsidRPr="00311574">
        <w:rPr>
          <w:rFonts w:asciiTheme="majorHAnsi" w:hAnsiTheme="majorHAnsi" w:cstheme="majorHAnsi"/>
          <w:color w:val="000000" w:themeColor="text1"/>
          <w:sz w:val="24"/>
          <w:szCs w:val="24"/>
          <w:shd w:val="clear" w:color="auto" w:fill="FFFFFF"/>
        </w:rPr>
        <w:t>corr</w:t>
      </w:r>
      <w:r w:rsidRPr="00311574">
        <w:rPr>
          <w:rFonts w:asciiTheme="majorHAnsi" w:hAnsiTheme="majorHAnsi" w:cstheme="majorHAnsi"/>
          <w:color w:val="000000" w:themeColor="text1"/>
          <w:sz w:val="24"/>
          <w:szCs w:val="24"/>
          <w:shd w:val="clear" w:color="auto" w:fill="FFFFFF"/>
        </w:rPr>
        <w:t xml:space="preserve">espondence with Milton Friedman about the </w:t>
      </w:r>
      <w:r w:rsidR="00B971B2" w:rsidRPr="00311574">
        <w:rPr>
          <w:rFonts w:asciiTheme="majorHAnsi" w:hAnsiTheme="majorHAnsi" w:cstheme="majorHAnsi"/>
          <w:color w:val="000000" w:themeColor="text1"/>
          <w:sz w:val="24"/>
          <w:szCs w:val="24"/>
          <w:shd w:val="clear" w:color="auto" w:fill="FFFFFF"/>
        </w:rPr>
        <w:t>soc</w:t>
      </w:r>
      <w:r w:rsidRPr="00311574">
        <w:rPr>
          <w:rFonts w:asciiTheme="majorHAnsi" w:hAnsiTheme="majorHAnsi" w:cstheme="majorHAnsi"/>
          <w:color w:val="000000" w:themeColor="text1"/>
          <w:sz w:val="24"/>
          <w:szCs w:val="24"/>
          <w:shd w:val="clear" w:color="auto" w:fill="FFFFFF"/>
        </w:rPr>
        <w:t xml:space="preserve">ial </w:t>
      </w:r>
      <w:r w:rsidR="00B971B2" w:rsidRPr="00311574">
        <w:rPr>
          <w:rFonts w:asciiTheme="majorHAnsi" w:hAnsiTheme="majorHAnsi" w:cstheme="majorHAnsi"/>
          <w:color w:val="000000" w:themeColor="text1"/>
          <w:sz w:val="24"/>
          <w:szCs w:val="24"/>
          <w:shd w:val="clear" w:color="auto" w:fill="FFFFFF"/>
        </w:rPr>
        <w:t>responsibilities of business</w:t>
      </w:r>
      <w:r w:rsidRPr="00311574">
        <w:rPr>
          <w:rFonts w:asciiTheme="majorHAnsi" w:hAnsiTheme="majorHAnsi" w:cstheme="majorHAnsi"/>
          <w:color w:val="000000" w:themeColor="text1"/>
          <w:sz w:val="24"/>
          <w:szCs w:val="24"/>
          <w:shd w:val="clear" w:color="auto" w:fill="FFFFFF"/>
        </w:rPr>
        <w:t>. </w:t>
      </w:r>
      <w:r w:rsidRPr="00311574">
        <w:rPr>
          <w:rFonts w:asciiTheme="majorHAnsi" w:hAnsiTheme="majorHAnsi" w:cstheme="majorHAnsi"/>
          <w:i/>
          <w:iCs/>
          <w:color w:val="000000" w:themeColor="text1"/>
          <w:sz w:val="24"/>
          <w:szCs w:val="24"/>
          <w:shd w:val="clear" w:color="auto" w:fill="FFFFFF"/>
        </w:rPr>
        <w:t>Business and Society Review</w:t>
      </w:r>
      <w:r w:rsidRPr="00311574">
        <w:rPr>
          <w:rFonts w:asciiTheme="majorHAnsi" w:hAnsiTheme="majorHAnsi" w:cstheme="majorHAnsi"/>
          <w:color w:val="000000" w:themeColor="text1"/>
          <w:sz w:val="24"/>
          <w:szCs w:val="24"/>
          <w:shd w:val="clear" w:color="auto" w:fill="FFFFFF"/>
        </w:rPr>
        <w:t>, </w:t>
      </w:r>
      <w:r w:rsidRPr="00311574">
        <w:rPr>
          <w:rFonts w:asciiTheme="majorHAnsi" w:hAnsiTheme="majorHAnsi" w:cstheme="majorHAnsi"/>
          <w:i/>
          <w:iCs/>
          <w:color w:val="000000" w:themeColor="text1"/>
          <w:sz w:val="24"/>
          <w:szCs w:val="24"/>
          <w:shd w:val="clear" w:color="auto" w:fill="FFFFFF"/>
        </w:rPr>
        <w:t>123</w:t>
      </w:r>
      <w:r w:rsidRPr="00311574">
        <w:rPr>
          <w:rFonts w:asciiTheme="majorHAnsi" w:hAnsiTheme="majorHAnsi" w:cstheme="majorHAnsi"/>
          <w:color w:val="000000" w:themeColor="text1"/>
          <w:sz w:val="24"/>
          <w:szCs w:val="24"/>
          <w:shd w:val="clear" w:color="auto" w:fill="FFFFFF"/>
        </w:rPr>
        <w:t xml:space="preserve">(2), 217-242. </w:t>
      </w:r>
      <w:hyperlink w:history="1">
        <w:r w:rsidRPr="00311574">
          <w:rPr>
            <w:rStyle w:val="Hyperlink"/>
            <w:rFonts w:asciiTheme="majorHAnsi" w:hAnsiTheme="majorHAnsi" w:cstheme="majorHAnsi"/>
            <w:color w:val="000000" w:themeColor="text1"/>
            <w:sz w:val="24"/>
            <w:szCs w:val="24"/>
            <w:u w:val="none"/>
            <w:shd w:val="clear" w:color="auto" w:fill="FFFFFF"/>
          </w:rPr>
          <w:t>https://doi.org%2F10.1111%2Fbasr.12140</w:t>
        </w:r>
      </w:hyperlink>
    </w:p>
    <w:p w14:paraId="4F72AC89" w14:textId="2C33947C" w:rsidR="00E82FBF" w:rsidRPr="00311574" w:rsidRDefault="00E82FBF" w:rsidP="00B971B2">
      <w:pPr>
        <w:spacing w:after="0" w:line="480" w:lineRule="auto"/>
        <w:ind w:left="720" w:hanging="720"/>
        <w:rPr>
          <w:rFonts w:asciiTheme="majorHAnsi" w:hAnsiTheme="majorHAnsi" w:cstheme="majorHAnsi"/>
          <w:color w:val="000000" w:themeColor="text1"/>
          <w:sz w:val="24"/>
          <w:szCs w:val="24"/>
          <w:shd w:val="clear" w:color="auto" w:fill="FCFCFC"/>
        </w:rPr>
      </w:pPr>
      <w:r w:rsidRPr="00311574">
        <w:rPr>
          <w:rFonts w:asciiTheme="majorHAnsi" w:hAnsiTheme="majorHAnsi" w:cstheme="majorHAnsi"/>
          <w:color w:val="000000" w:themeColor="text1"/>
          <w:sz w:val="24"/>
          <w:szCs w:val="24"/>
          <w:shd w:val="clear" w:color="auto" w:fill="FFFFFF"/>
        </w:rPr>
        <w:t>Cho, S. J., Chung, C. Y., &amp; Young, J. (2019). Study on the</w:t>
      </w:r>
      <w:r w:rsidR="00B971B2" w:rsidRPr="00311574">
        <w:rPr>
          <w:rFonts w:asciiTheme="majorHAnsi" w:hAnsiTheme="majorHAnsi" w:cstheme="majorHAnsi"/>
          <w:color w:val="000000" w:themeColor="text1"/>
          <w:sz w:val="24"/>
          <w:szCs w:val="24"/>
          <w:shd w:val="clear" w:color="auto" w:fill="FFFFFF"/>
        </w:rPr>
        <w:t xml:space="preserve"> relationship </w:t>
      </w:r>
      <w:r w:rsidRPr="00311574">
        <w:rPr>
          <w:rFonts w:asciiTheme="majorHAnsi" w:hAnsiTheme="majorHAnsi" w:cstheme="majorHAnsi"/>
          <w:color w:val="000000" w:themeColor="text1"/>
          <w:sz w:val="24"/>
          <w:szCs w:val="24"/>
          <w:shd w:val="clear" w:color="auto" w:fill="FFFFFF"/>
        </w:rPr>
        <w:t xml:space="preserve">between CSR and </w:t>
      </w:r>
      <w:r w:rsidR="00B971B2" w:rsidRPr="00311574">
        <w:rPr>
          <w:rFonts w:asciiTheme="majorHAnsi" w:hAnsiTheme="majorHAnsi" w:cstheme="majorHAnsi"/>
          <w:color w:val="000000" w:themeColor="text1"/>
          <w:sz w:val="24"/>
          <w:szCs w:val="24"/>
          <w:shd w:val="clear" w:color="auto" w:fill="FFFFFF"/>
        </w:rPr>
        <w:t>financial performance</w:t>
      </w:r>
      <w:r w:rsidRPr="00311574">
        <w:rPr>
          <w:rFonts w:asciiTheme="majorHAnsi" w:hAnsiTheme="majorHAnsi" w:cstheme="majorHAnsi"/>
          <w:color w:val="000000" w:themeColor="text1"/>
          <w:sz w:val="24"/>
          <w:szCs w:val="24"/>
          <w:shd w:val="clear" w:color="auto" w:fill="FFFFFF"/>
        </w:rPr>
        <w:t>. </w:t>
      </w:r>
      <w:r w:rsidRPr="00311574">
        <w:rPr>
          <w:rFonts w:asciiTheme="majorHAnsi" w:hAnsiTheme="majorHAnsi" w:cstheme="majorHAnsi"/>
          <w:i/>
          <w:iCs/>
          <w:color w:val="000000" w:themeColor="text1"/>
          <w:sz w:val="24"/>
          <w:szCs w:val="24"/>
          <w:shd w:val="clear" w:color="auto" w:fill="FFFFFF"/>
        </w:rPr>
        <w:t>Sustainability</w:t>
      </w:r>
      <w:r w:rsidRPr="00311574">
        <w:rPr>
          <w:rFonts w:asciiTheme="majorHAnsi" w:hAnsiTheme="majorHAnsi" w:cstheme="majorHAnsi"/>
          <w:color w:val="000000" w:themeColor="text1"/>
          <w:sz w:val="24"/>
          <w:szCs w:val="24"/>
          <w:shd w:val="clear" w:color="auto" w:fill="FFFFFF"/>
        </w:rPr>
        <w:t>, </w:t>
      </w:r>
      <w:r w:rsidRPr="00311574">
        <w:rPr>
          <w:rFonts w:asciiTheme="majorHAnsi" w:hAnsiTheme="majorHAnsi" w:cstheme="majorHAnsi"/>
          <w:i/>
          <w:iCs/>
          <w:color w:val="000000" w:themeColor="text1"/>
          <w:sz w:val="24"/>
          <w:szCs w:val="24"/>
          <w:shd w:val="clear" w:color="auto" w:fill="FFFFFF"/>
        </w:rPr>
        <w:t>11</w:t>
      </w:r>
      <w:r w:rsidRPr="00311574">
        <w:rPr>
          <w:rFonts w:asciiTheme="majorHAnsi" w:hAnsiTheme="majorHAnsi" w:cstheme="majorHAnsi"/>
          <w:color w:val="000000" w:themeColor="text1"/>
          <w:sz w:val="24"/>
          <w:szCs w:val="24"/>
          <w:shd w:val="clear" w:color="auto" w:fill="FFFFFF"/>
        </w:rPr>
        <w:t xml:space="preserve">(2), 343. </w:t>
      </w:r>
      <w:hyperlink r:id="rId8" w:history="1">
        <w:r w:rsidRPr="00311574">
          <w:rPr>
            <w:rStyle w:val="Hyperlink"/>
            <w:rFonts w:asciiTheme="majorHAnsi" w:hAnsiTheme="majorHAnsi" w:cstheme="majorHAnsi"/>
            <w:color w:val="000000" w:themeColor="text1"/>
            <w:sz w:val="24"/>
            <w:szCs w:val="24"/>
            <w:u w:val="none"/>
            <w:shd w:val="clear" w:color="auto" w:fill="FFFFFF"/>
          </w:rPr>
          <w:t>https://doi.org/10.3390/su11020343</w:t>
        </w:r>
      </w:hyperlink>
    </w:p>
    <w:p w14:paraId="7D51F655" w14:textId="707DCBE1" w:rsidR="00E82FBF" w:rsidRPr="00311574" w:rsidRDefault="00E82FBF" w:rsidP="00B971B2">
      <w:pPr>
        <w:spacing w:after="0" w:line="480" w:lineRule="auto"/>
        <w:ind w:left="720" w:hanging="720"/>
        <w:rPr>
          <w:rFonts w:asciiTheme="majorHAnsi" w:hAnsiTheme="majorHAnsi" w:cstheme="majorHAnsi"/>
          <w:color w:val="000000" w:themeColor="text1"/>
          <w:sz w:val="24"/>
          <w:szCs w:val="24"/>
          <w:shd w:val="clear" w:color="auto" w:fill="FCFCFC"/>
        </w:rPr>
      </w:pPr>
      <w:r w:rsidRPr="00311574">
        <w:rPr>
          <w:rFonts w:asciiTheme="majorHAnsi" w:hAnsiTheme="majorHAnsi" w:cstheme="majorHAnsi"/>
          <w:color w:val="000000" w:themeColor="text1"/>
          <w:sz w:val="24"/>
          <w:szCs w:val="24"/>
          <w:shd w:val="clear" w:color="auto" w:fill="FFFFFF"/>
        </w:rPr>
        <w:t xml:space="preserve">Christensen, H. B., Hail, L., &amp; Leuz, C. (2021). Mandatory CSR and sustainability reporting: </w:t>
      </w:r>
      <w:r w:rsidR="00B971B2" w:rsidRPr="00311574">
        <w:rPr>
          <w:rFonts w:asciiTheme="majorHAnsi" w:hAnsiTheme="majorHAnsi" w:cstheme="majorHAnsi"/>
          <w:color w:val="000000" w:themeColor="text1"/>
          <w:sz w:val="24"/>
          <w:szCs w:val="24"/>
          <w:shd w:val="clear" w:color="auto" w:fill="FFFFFF"/>
        </w:rPr>
        <w:t>Ec</w:t>
      </w:r>
      <w:r w:rsidRPr="00311574">
        <w:rPr>
          <w:rFonts w:asciiTheme="majorHAnsi" w:hAnsiTheme="majorHAnsi" w:cstheme="majorHAnsi"/>
          <w:color w:val="000000" w:themeColor="text1"/>
          <w:sz w:val="24"/>
          <w:szCs w:val="24"/>
          <w:shd w:val="clear" w:color="auto" w:fill="FFFFFF"/>
        </w:rPr>
        <w:t>onomic analysis and literature review. </w:t>
      </w:r>
      <w:r w:rsidRPr="00311574">
        <w:rPr>
          <w:rFonts w:asciiTheme="majorHAnsi" w:hAnsiTheme="majorHAnsi" w:cstheme="majorHAnsi"/>
          <w:i/>
          <w:iCs/>
          <w:color w:val="000000" w:themeColor="text1"/>
          <w:sz w:val="24"/>
          <w:szCs w:val="24"/>
          <w:shd w:val="clear" w:color="auto" w:fill="FFFFFF"/>
        </w:rPr>
        <w:t>Review of Accounting Studies</w:t>
      </w:r>
      <w:r w:rsidRPr="00311574">
        <w:rPr>
          <w:rFonts w:asciiTheme="majorHAnsi" w:hAnsiTheme="majorHAnsi" w:cstheme="majorHAnsi"/>
          <w:color w:val="000000" w:themeColor="text1"/>
          <w:sz w:val="24"/>
          <w:szCs w:val="24"/>
          <w:shd w:val="clear" w:color="auto" w:fill="FFFFFF"/>
        </w:rPr>
        <w:t>, </w:t>
      </w:r>
      <w:r w:rsidRPr="00311574">
        <w:rPr>
          <w:rFonts w:asciiTheme="majorHAnsi" w:hAnsiTheme="majorHAnsi" w:cstheme="majorHAnsi"/>
          <w:i/>
          <w:iCs/>
          <w:color w:val="000000" w:themeColor="text1"/>
          <w:sz w:val="24"/>
          <w:szCs w:val="24"/>
          <w:shd w:val="clear" w:color="auto" w:fill="FFFFFF"/>
        </w:rPr>
        <w:t>26</w:t>
      </w:r>
      <w:r w:rsidRPr="00311574">
        <w:rPr>
          <w:rFonts w:asciiTheme="majorHAnsi" w:hAnsiTheme="majorHAnsi" w:cstheme="majorHAnsi"/>
          <w:color w:val="000000" w:themeColor="text1"/>
          <w:sz w:val="24"/>
          <w:szCs w:val="24"/>
          <w:shd w:val="clear" w:color="auto" w:fill="FFFFFF"/>
        </w:rPr>
        <w:t xml:space="preserve">(3), 1176-1248. </w:t>
      </w:r>
      <w:hyperlink r:id="rId9" w:history="1">
        <w:r w:rsidRPr="00311574">
          <w:rPr>
            <w:rStyle w:val="Hyperlink"/>
            <w:rFonts w:asciiTheme="majorHAnsi" w:hAnsiTheme="majorHAnsi" w:cstheme="majorHAnsi"/>
            <w:color w:val="000000" w:themeColor="text1"/>
            <w:sz w:val="24"/>
            <w:szCs w:val="24"/>
            <w:u w:val="none"/>
            <w:shd w:val="clear" w:color="auto" w:fill="FCFCFC"/>
          </w:rPr>
          <w:t>https://doi.org/10.1007/s11142-021-09609-5</w:t>
        </w:r>
      </w:hyperlink>
    </w:p>
    <w:p w14:paraId="4C6410AA" w14:textId="77777777" w:rsidR="00E82FBF" w:rsidRPr="00311574" w:rsidRDefault="00E82FBF" w:rsidP="00B971B2">
      <w:pPr>
        <w:spacing w:after="0" w:line="480" w:lineRule="auto"/>
        <w:ind w:left="720" w:hanging="720"/>
        <w:rPr>
          <w:rFonts w:asciiTheme="majorHAnsi" w:hAnsiTheme="majorHAnsi" w:cstheme="majorHAnsi"/>
          <w:color w:val="000000" w:themeColor="text1"/>
          <w:sz w:val="24"/>
          <w:szCs w:val="24"/>
          <w:shd w:val="clear" w:color="auto" w:fill="FCFCFC"/>
        </w:rPr>
      </w:pPr>
      <w:r w:rsidRPr="00311574">
        <w:rPr>
          <w:rFonts w:asciiTheme="majorHAnsi" w:hAnsiTheme="majorHAnsi" w:cstheme="majorHAnsi"/>
          <w:color w:val="000000" w:themeColor="text1"/>
          <w:sz w:val="24"/>
          <w:szCs w:val="24"/>
          <w:shd w:val="clear" w:color="auto" w:fill="FFFFFF"/>
        </w:rPr>
        <w:t>Garcia‐Torea, N., Fernandez‐Feijoo, B., &amp; De La Cuesta, M. (2020). CSR reporting communication: Defective reporting models or misapplication?. </w:t>
      </w:r>
      <w:r w:rsidRPr="00311574">
        <w:rPr>
          <w:rFonts w:asciiTheme="majorHAnsi" w:hAnsiTheme="majorHAnsi" w:cstheme="majorHAnsi"/>
          <w:i/>
          <w:iCs/>
          <w:color w:val="000000" w:themeColor="text1"/>
          <w:sz w:val="24"/>
          <w:szCs w:val="24"/>
          <w:shd w:val="clear" w:color="auto" w:fill="FFFFFF"/>
        </w:rPr>
        <w:t>Corporate Social Responsibility and Environmental Management</w:t>
      </w:r>
      <w:r w:rsidRPr="00311574">
        <w:rPr>
          <w:rFonts w:asciiTheme="majorHAnsi" w:hAnsiTheme="majorHAnsi" w:cstheme="majorHAnsi"/>
          <w:color w:val="000000" w:themeColor="text1"/>
          <w:sz w:val="24"/>
          <w:szCs w:val="24"/>
          <w:shd w:val="clear" w:color="auto" w:fill="FFFFFF"/>
        </w:rPr>
        <w:t>, </w:t>
      </w:r>
      <w:r w:rsidRPr="00311574">
        <w:rPr>
          <w:rFonts w:asciiTheme="majorHAnsi" w:hAnsiTheme="majorHAnsi" w:cstheme="majorHAnsi"/>
          <w:i/>
          <w:iCs/>
          <w:color w:val="000000" w:themeColor="text1"/>
          <w:sz w:val="24"/>
          <w:szCs w:val="24"/>
          <w:shd w:val="clear" w:color="auto" w:fill="FFFFFF"/>
        </w:rPr>
        <w:t>27</w:t>
      </w:r>
      <w:r w:rsidRPr="00311574">
        <w:rPr>
          <w:rFonts w:asciiTheme="majorHAnsi" w:hAnsiTheme="majorHAnsi" w:cstheme="majorHAnsi"/>
          <w:color w:val="000000" w:themeColor="text1"/>
          <w:sz w:val="24"/>
          <w:szCs w:val="24"/>
          <w:shd w:val="clear" w:color="auto" w:fill="FFFFFF"/>
        </w:rPr>
        <w:t xml:space="preserve">(2), 952-968. </w:t>
      </w:r>
      <w:hyperlink r:id="rId10" w:history="1">
        <w:r w:rsidRPr="00311574">
          <w:rPr>
            <w:rStyle w:val="Hyperlink"/>
            <w:rFonts w:asciiTheme="majorHAnsi" w:hAnsiTheme="majorHAnsi" w:cstheme="majorHAnsi"/>
            <w:color w:val="000000" w:themeColor="text1"/>
            <w:sz w:val="24"/>
            <w:szCs w:val="24"/>
            <w:u w:val="none"/>
            <w:shd w:val="clear" w:color="auto" w:fill="FFFFFF"/>
          </w:rPr>
          <w:t>https://doi.org/10.1002/csr.1858</w:t>
        </w:r>
      </w:hyperlink>
    </w:p>
    <w:p w14:paraId="35E03847" w14:textId="1B2BE222" w:rsidR="00E82FBF" w:rsidRPr="00311574" w:rsidRDefault="00E82FBF" w:rsidP="00B971B2">
      <w:pPr>
        <w:spacing w:after="0" w:line="480" w:lineRule="auto"/>
        <w:ind w:left="720" w:hanging="720"/>
        <w:rPr>
          <w:rFonts w:asciiTheme="majorHAnsi" w:hAnsiTheme="majorHAnsi" w:cstheme="majorHAnsi"/>
          <w:color w:val="000000" w:themeColor="text1"/>
          <w:sz w:val="24"/>
          <w:szCs w:val="24"/>
          <w:shd w:val="clear" w:color="auto" w:fill="FCFCFC"/>
        </w:rPr>
      </w:pPr>
      <w:r w:rsidRPr="00311574">
        <w:rPr>
          <w:rFonts w:asciiTheme="majorHAnsi" w:hAnsiTheme="majorHAnsi" w:cstheme="majorHAnsi"/>
          <w:color w:val="000000" w:themeColor="text1"/>
          <w:sz w:val="24"/>
          <w:szCs w:val="24"/>
          <w:shd w:val="clear" w:color="auto" w:fill="FFFFFF"/>
        </w:rPr>
        <w:t>Geissdoerfer, M., Vladimirova, D., &amp; Evans, S. (2018). Sustainable business model innovation: A review.</w:t>
      </w:r>
      <w:r w:rsidR="00B971B2" w:rsidRPr="00311574">
        <w:rPr>
          <w:rFonts w:asciiTheme="majorHAnsi" w:hAnsiTheme="majorHAnsi" w:cstheme="majorHAnsi"/>
          <w:color w:val="000000" w:themeColor="text1"/>
          <w:sz w:val="24"/>
          <w:szCs w:val="24"/>
          <w:shd w:val="clear" w:color="auto" w:fill="FFFFFF"/>
        </w:rPr>
        <w:t xml:space="preserve"> </w:t>
      </w:r>
      <w:r w:rsidRPr="00311574">
        <w:rPr>
          <w:rFonts w:asciiTheme="majorHAnsi" w:hAnsiTheme="majorHAnsi" w:cstheme="majorHAnsi"/>
          <w:i/>
          <w:iCs/>
          <w:color w:val="000000" w:themeColor="text1"/>
          <w:sz w:val="24"/>
          <w:szCs w:val="24"/>
          <w:shd w:val="clear" w:color="auto" w:fill="FFFFFF"/>
        </w:rPr>
        <w:t xml:space="preserve">Journal of </w:t>
      </w:r>
      <w:r w:rsidR="00B971B2" w:rsidRPr="00311574">
        <w:rPr>
          <w:rFonts w:asciiTheme="majorHAnsi" w:hAnsiTheme="majorHAnsi" w:cstheme="majorHAnsi"/>
          <w:i/>
          <w:iCs/>
          <w:color w:val="000000" w:themeColor="text1"/>
          <w:sz w:val="24"/>
          <w:szCs w:val="24"/>
          <w:shd w:val="clear" w:color="auto" w:fill="FFFFFF"/>
        </w:rPr>
        <w:t>Cleaner Production</w:t>
      </w:r>
      <w:r w:rsidRPr="00311574">
        <w:rPr>
          <w:rFonts w:asciiTheme="majorHAnsi" w:hAnsiTheme="majorHAnsi" w:cstheme="majorHAnsi"/>
          <w:color w:val="000000" w:themeColor="text1"/>
          <w:sz w:val="24"/>
          <w:szCs w:val="24"/>
          <w:shd w:val="clear" w:color="auto" w:fill="FFFFFF"/>
        </w:rPr>
        <w:t>, </w:t>
      </w:r>
      <w:r w:rsidRPr="00311574">
        <w:rPr>
          <w:rFonts w:asciiTheme="majorHAnsi" w:hAnsiTheme="majorHAnsi" w:cstheme="majorHAnsi"/>
          <w:i/>
          <w:iCs/>
          <w:color w:val="000000" w:themeColor="text1"/>
          <w:sz w:val="24"/>
          <w:szCs w:val="24"/>
          <w:shd w:val="clear" w:color="auto" w:fill="FFFFFF"/>
        </w:rPr>
        <w:t>198</w:t>
      </w:r>
      <w:r w:rsidRPr="00311574">
        <w:rPr>
          <w:rFonts w:asciiTheme="majorHAnsi" w:hAnsiTheme="majorHAnsi" w:cstheme="majorHAnsi"/>
          <w:color w:val="000000" w:themeColor="text1"/>
          <w:sz w:val="24"/>
          <w:szCs w:val="24"/>
          <w:shd w:val="clear" w:color="auto" w:fill="FFFFFF"/>
        </w:rPr>
        <w:t xml:space="preserve">, 401-416. </w:t>
      </w:r>
      <w:hyperlink r:id="rId11" w:history="1">
        <w:r w:rsidRPr="00311574">
          <w:rPr>
            <w:rStyle w:val="Hyperlink"/>
            <w:rFonts w:asciiTheme="majorHAnsi" w:hAnsiTheme="majorHAnsi" w:cstheme="majorHAnsi"/>
            <w:color w:val="000000" w:themeColor="text1"/>
            <w:sz w:val="24"/>
            <w:szCs w:val="24"/>
            <w:u w:val="none"/>
            <w:shd w:val="clear" w:color="auto" w:fill="FFFFFF"/>
          </w:rPr>
          <w:t>https://doi.org/10.1016/j.jclepro.2018.06.240</w:t>
        </w:r>
      </w:hyperlink>
    </w:p>
    <w:p w14:paraId="75DBD28F" w14:textId="73DE1502" w:rsidR="00E82FBF" w:rsidRPr="00311574" w:rsidRDefault="00E82FBF" w:rsidP="00B971B2">
      <w:pPr>
        <w:spacing w:after="0" w:line="480" w:lineRule="auto"/>
        <w:ind w:left="720" w:hanging="720"/>
        <w:rPr>
          <w:rFonts w:asciiTheme="majorHAnsi" w:hAnsiTheme="majorHAnsi" w:cstheme="majorHAnsi"/>
          <w:color w:val="000000" w:themeColor="text1"/>
          <w:sz w:val="24"/>
          <w:szCs w:val="24"/>
          <w:shd w:val="clear" w:color="auto" w:fill="FCFCFC"/>
        </w:rPr>
      </w:pPr>
      <w:r w:rsidRPr="00311574">
        <w:rPr>
          <w:rFonts w:asciiTheme="majorHAnsi" w:hAnsiTheme="majorHAnsi" w:cstheme="majorHAnsi"/>
          <w:color w:val="000000" w:themeColor="text1"/>
          <w:sz w:val="24"/>
          <w:szCs w:val="24"/>
          <w:shd w:val="clear" w:color="auto" w:fill="FFFFFF"/>
        </w:rPr>
        <w:lastRenderedPageBreak/>
        <w:t>Hassan, A., Elamer, A. A., Fletcher, M., &amp; Sobhan, N. (2020). Voluntary assurance of sustainability reporting: Evidence from an emerging economy. </w:t>
      </w:r>
      <w:r w:rsidRPr="00311574">
        <w:rPr>
          <w:rFonts w:asciiTheme="majorHAnsi" w:hAnsiTheme="majorHAnsi" w:cstheme="majorHAnsi"/>
          <w:i/>
          <w:iCs/>
          <w:color w:val="000000" w:themeColor="text1"/>
          <w:sz w:val="24"/>
          <w:szCs w:val="24"/>
          <w:shd w:val="clear" w:color="auto" w:fill="FFFFFF"/>
        </w:rPr>
        <w:t>Accounting Research Journal</w:t>
      </w:r>
      <w:r w:rsidR="00B971B2" w:rsidRPr="00311574">
        <w:rPr>
          <w:rFonts w:asciiTheme="majorHAnsi" w:hAnsiTheme="majorHAnsi" w:cstheme="majorHAnsi"/>
          <w:color w:val="000000" w:themeColor="text1"/>
          <w:sz w:val="24"/>
          <w:szCs w:val="24"/>
          <w:shd w:val="clear" w:color="auto" w:fill="FFFFFF"/>
        </w:rPr>
        <w:t>,</w:t>
      </w:r>
      <w:r w:rsidR="00B971B2" w:rsidRPr="00311574">
        <w:rPr>
          <w:rFonts w:asciiTheme="majorHAnsi" w:hAnsiTheme="majorHAnsi" w:cstheme="majorHAnsi"/>
          <w:i/>
          <w:iCs/>
          <w:color w:val="000000" w:themeColor="text1"/>
          <w:sz w:val="24"/>
          <w:szCs w:val="24"/>
          <w:shd w:val="clear" w:color="auto" w:fill="FFFFFF"/>
        </w:rPr>
        <w:t xml:space="preserve"> 33</w:t>
      </w:r>
      <w:r w:rsidR="00B971B2" w:rsidRPr="00311574">
        <w:rPr>
          <w:rFonts w:asciiTheme="majorHAnsi" w:hAnsiTheme="majorHAnsi" w:cstheme="majorHAnsi"/>
          <w:color w:val="000000" w:themeColor="text1"/>
          <w:sz w:val="24"/>
          <w:szCs w:val="24"/>
          <w:shd w:val="clear" w:color="auto" w:fill="FFFFFF"/>
        </w:rPr>
        <w:t>(2), 391-410.</w:t>
      </w:r>
      <w:r w:rsidRPr="00311574">
        <w:rPr>
          <w:rFonts w:asciiTheme="majorHAnsi" w:hAnsiTheme="majorHAnsi" w:cstheme="majorHAnsi"/>
          <w:color w:val="000000" w:themeColor="text1"/>
          <w:sz w:val="24"/>
          <w:szCs w:val="24"/>
          <w:shd w:val="clear" w:color="auto" w:fill="FFFFFF"/>
        </w:rPr>
        <w:t xml:space="preserve"> </w:t>
      </w:r>
      <w:hyperlink r:id="rId12" w:history="1">
        <w:r w:rsidRPr="00311574">
          <w:rPr>
            <w:rStyle w:val="Hyperlink"/>
            <w:rFonts w:asciiTheme="majorHAnsi" w:hAnsiTheme="majorHAnsi" w:cstheme="majorHAnsi"/>
            <w:color w:val="000000" w:themeColor="text1"/>
            <w:sz w:val="24"/>
            <w:szCs w:val="24"/>
            <w:u w:val="none"/>
            <w:shd w:val="clear" w:color="auto" w:fill="FFFFFF"/>
          </w:rPr>
          <w:t>https://doi.org/10.1108/ARJ-10-2018-0169</w:t>
        </w:r>
      </w:hyperlink>
    </w:p>
    <w:p w14:paraId="0D299ED4" w14:textId="559DE8F2" w:rsidR="00E82FBF" w:rsidRPr="00311574" w:rsidRDefault="00E82FBF" w:rsidP="00B971B2">
      <w:pPr>
        <w:spacing w:after="0" w:line="480" w:lineRule="auto"/>
        <w:ind w:left="720" w:hanging="720"/>
        <w:rPr>
          <w:rFonts w:asciiTheme="majorHAnsi" w:hAnsiTheme="majorHAnsi" w:cstheme="majorHAnsi"/>
          <w:color w:val="000000" w:themeColor="text1"/>
          <w:sz w:val="24"/>
          <w:szCs w:val="24"/>
          <w:shd w:val="clear" w:color="auto" w:fill="FCFCFC"/>
        </w:rPr>
      </w:pPr>
      <w:r w:rsidRPr="00311574">
        <w:rPr>
          <w:rFonts w:asciiTheme="majorHAnsi" w:hAnsiTheme="majorHAnsi" w:cstheme="majorHAnsi"/>
          <w:color w:val="000000" w:themeColor="text1"/>
          <w:sz w:val="24"/>
          <w:szCs w:val="24"/>
          <w:shd w:val="clear" w:color="auto" w:fill="FFFFFF"/>
        </w:rPr>
        <w:t>Ijabadeniyi, A., &amp; Govender, J. P. (2019). Coerced CSR:</w:t>
      </w:r>
      <w:r w:rsidR="00B971B2" w:rsidRPr="00311574">
        <w:rPr>
          <w:rFonts w:asciiTheme="majorHAnsi" w:hAnsiTheme="majorHAnsi" w:cstheme="majorHAnsi"/>
          <w:color w:val="000000" w:themeColor="text1"/>
          <w:sz w:val="24"/>
          <w:szCs w:val="24"/>
          <w:shd w:val="clear" w:color="auto" w:fill="FFFFFF"/>
        </w:rPr>
        <w:t xml:space="preserve"> Lessons </w:t>
      </w:r>
      <w:r w:rsidRPr="00311574">
        <w:rPr>
          <w:rFonts w:asciiTheme="majorHAnsi" w:hAnsiTheme="majorHAnsi" w:cstheme="majorHAnsi"/>
          <w:color w:val="000000" w:themeColor="text1"/>
          <w:sz w:val="24"/>
          <w:szCs w:val="24"/>
          <w:shd w:val="clear" w:color="auto" w:fill="FFFFFF"/>
        </w:rPr>
        <w:t xml:space="preserve">from consumer values and purchasing </w:t>
      </w:r>
      <w:r w:rsidR="00B971B2" w:rsidRPr="00311574">
        <w:rPr>
          <w:rFonts w:asciiTheme="majorHAnsi" w:hAnsiTheme="majorHAnsi" w:cstheme="majorHAnsi"/>
          <w:color w:val="000000" w:themeColor="text1"/>
          <w:sz w:val="24"/>
          <w:szCs w:val="24"/>
          <w:shd w:val="clear" w:color="auto" w:fill="FFFFFF"/>
        </w:rPr>
        <w:t>behaviour</w:t>
      </w:r>
      <w:r w:rsidRPr="00311574">
        <w:rPr>
          <w:rFonts w:asciiTheme="majorHAnsi" w:hAnsiTheme="majorHAnsi" w:cstheme="majorHAnsi"/>
          <w:color w:val="000000" w:themeColor="text1"/>
          <w:sz w:val="24"/>
          <w:szCs w:val="24"/>
          <w:shd w:val="clear" w:color="auto" w:fill="FFFFFF"/>
        </w:rPr>
        <w:t>. </w:t>
      </w:r>
      <w:r w:rsidRPr="00311574">
        <w:rPr>
          <w:rFonts w:asciiTheme="majorHAnsi" w:hAnsiTheme="majorHAnsi" w:cstheme="majorHAnsi"/>
          <w:i/>
          <w:iCs/>
          <w:color w:val="000000" w:themeColor="text1"/>
          <w:sz w:val="24"/>
          <w:szCs w:val="24"/>
          <w:shd w:val="clear" w:color="auto" w:fill="FFFFFF"/>
        </w:rPr>
        <w:t>Corporate Communications: An International Journal</w:t>
      </w:r>
      <w:r w:rsidRPr="00311574">
        <w:rPr>
          <w:rFonts w:asciiTheme="majorHAnsi" w:hAnsiTheme="majorHAnsi" w:cstheme="majorHAnsi"/>
          <w:color w:val="000000" w:themeColor="text1"/>
          <w:sz w:val="24"/>
          <w:szCs w:val="24"/>
          <w:shd w:val="clear" w:color="auto" w:fill="FFFFFF"/>
        </w:rPr>
        <w:t xml:space="preserve">. </w:t>
      </w:r>
      <w:hyperlink r:id="rId13" w:history="1">
        <w:r w:rsidRPr="00311574">
          <w:rPr>
            <w:rStyle w:val="Hyperlink"/>
            <w:rFonts w:asciiTheme="majorHAnsi" w:hAnsiTheme="majorHAnsi" w:cstheme="majorHAnsi"/>
            <w:color w:val="000000" w:themeColor="text1"/>
            <w:sz w:val="24"/>
            <w:szCs w:val="24"/>
            <w:u w:val="none"/>
            <w:shd w:val="clear" w:color="auto" w:fill="FFFFFF"/>
          </w:rPr>
          <w:t>https://doi.org/10.1108/CCIJ-10-2018-0110</w:t>
        </w:r>
      </w:hyperlink>
    </w:p>
    <w:p w14:paraId="10BEEDA1" w14:textId="153535E5" w:rsidR="00E82FBF" w:rsidRPr="00311574" w:rsidRDefault="00E82FBF" w:rsidP="00B971B2">
      <w:pPr>
        <w:spacing w:after="0" w:line="480" w:lineRule="auto"/>
        <w:ind w:left="720" w:hanging="720"/>
        <w:rPr>
          <w:rFonts w:asciiTheme="majorHAnsi" w:hAnsiTheme="majorHAnsi" w:cstheme="majorHAnsi"/>
          <w:color w:val="000000" w:themeColor="text1"/>
          <w:sz w:val="24"/>
          <w:szCs w:val="24"/>
          <w:shd w:val="clear" w:color="auto" w:fill="FCFCFC"/>
        </w:rPr>
      </w:pPr>
      <w:r w:rsidRPr="00311574">
        <w:rPr>
          <w:rFonts w:asciiTheme="majorHAnsi" w:hAnsiTheme="majorHAnsi" w:cstheme="majorHAnsi"/>
          <w:color w:val="000000" w:themeColor="text1"/>
          <w:sz w:val="24"/>
          <w:szCs w:val="24"/>
          <w:shd w:val="clear" w:color="auto" w:fill="FFFFFF"/>
        </w:rPr>
        <w:t xml:space="preserve">Jones, P., &amp; Comfort, D. (2018). The </w:t>
      </w:r>
      <w:r w:rsidR="00B971B2" w:rsidRPr="00311574">
        <w:rPr>
          <w:rFonts w:asciiTheme="majorHAnsi" w:hAnsiTheme="majorHAnsi" w:cstheme="majorHAnsi"/>
          <w:color w:val="000000" w:themeColor="text1"/>
          <w:sz w:val="24"/>
          <w:szCs w:val="24"/>
          <w:shd w:val="clear" w:color="auto" w:fill="FFFFFF"/>
        </w:rPr>
        <w:t xml:space="preserve">Coca Cola </w:t>
      </w:r>
      <w:r w:rsidRPr="00311574">
        <w:rPr>
          <w:rFonts w:asciiTheme="majorHAnsi" w:hAnsiTheme="majorHAnsi" w:cstheme="majorHAnsi"/>
          <w:color w:val="000000" w:themeColor="text1"/>
          <w:sz w:val="24"/>
          <w:szCs w:val="24"/>
          <w:shd w:val="clear" w:color="auto" w:fill="FFFFFF"/>
        </w:rPr>
        <w:t>brand and sustainability. </w:t>
      </w:r>
      <w:r w:rsidRPr="00311574">
        <w:rPr>
          <w:rFonts w:asciiTheme="majorHAnsi" w:hAnsiTheme="majorHAnsi" w:cstheme="majorHAnsi"/>
          <w:i/>
          <w:iCs/>
          <w:color w:val="000000" w:themeColor="text1"/>
          <w:sz w:val="24"/>
          <w:szCs w:val="24"/>
          <w:shd w:val="clear" w:color="auto" w:fill="FFFFFF"/>
        </w:rPr>
        <w:t>Indonesian Journal of Applied Business and Economic Research</w:t>
      </w:r>
      <w:r w:rsidRPr="00311574">
        <w:rPr>
          <w:rFonts w:asciiTheme="majorHAnsi" w:hAnsiTheme="majorHAnsi" w:cstheme="majorHAnsi"/>
          <w:color w:val="000000" w:themeColor="text1"/>
          <w:sz w:val="24"/>
          <w:szCs w:val="24"/>
          <w:shd w:val="clear" w:color="auto" w:fill="FFFFFF"/>
        </w:rPr>
        <w:t>, </w:t>
      </w:r>
      <w:r w:rsidRPr="00311574">
        <w:rPr>
          <w:rFonts w:asciiTheme="majorHAnsi" w:hAnsiTheme="majorHAnsi" w:cstheme="majorHAnsi"/>
          <w:i/>
          <w:iCs/>
          <w:color w:val="000000" w:themeColor="text1"/>
          <w:sz w:val="24"/>
          <w:szCs w:val="24"/>
          <w:shd w:val="clear" w:color="auto" w:fill="FFFFFF"/>
        </w:rPr>
        <w:t>1</w:t>
      </w:r>
      <w:r w:rsidRPr="00311574">
        <w:rPr>
          <w:rFonts w:asciiTheme="majorHAnsi" w:hAnsiTheme="majorHAnsi" w:cstheme="majorHAnsi"/>
          <w:color w:val="000000" w:themeColor="text1"/>
          <w:sz w:val="24"/>
          <w:szCs w:val="24"/>
          <w:shd w:val="clear" w:color="auto" w:fill="FFFFFF"/>
        </w:rPr>
        <w:t xml:space="preserve">(1), 34-46. </w:t>
      </w:r>
      <w:hyperlink r:id="rId14" w:history="1">
        <w:r w:rsidRPr="00311574">
          <w:rPr>
            <w:rStyle w:val="Hyperlink"/>
            <w:rFonts w:asciiTheme="majorHAnsi" w:hAnsiTheme="majorHAnsi" w:cstheme="majorHAnsi"/>
            <w:color w:val="000000" w:themeColor="text1"/>
            <w:sz w:val="24"/>
            <w:szCs w:val="24"/>
            <w:u w:val="none"/>
            <w:shd w:val="clear" w:color="auto" w:fill="FFFFFF"/>
          </w:rPr>
          <w:t>https://doi.org/10.32456/.v1i1.1</w:t>
        </w:r>
      </w:hyperlink>
    </w:p>
    <w:p w14:paraId="07AEFF53" w14:textId="03B54B6D" w:rsidR="00E82FBF" w:rsidRPr="00311574" w:rsidRDefault="00E82FBF" w:rsidP="00B971B2">
      <w:pPr>
        <w:spacing w:after="0" w:line="480" w:lineRule="auto"/>
        <w:ind w:left="720" w:hanging="720"/>
        <w:rPr>
          <w:rFonts w:asciiTheme="majorHAnsi" w:hAnsiTheme="majorHAnsi" w:cstheme="majorHAnsi"/>
          <w:color w:val="000000" w:themeColor="text1"/>
          <w:sz w:val="24"/>
          <w:szCs w:val="24"/>
          <w:shd w:val="clear" w:color="auto" w:fill="FCFCFC"/>
        </w:rPr>
      </w:pPr>
      <w:r w:rsidRPr="00311574">
        <w:rPr>
          <w:rFonts w:asciiTheme="majorHAnsi" w:hAnsiTheme="majorHAnsi" w:cstheme="majorHAnsi"/>
          <w:color w:val="000000" w:themeColor="text1"/>
          <w:sz w:val="24"/>
          <w:szCs w:val="24"/>
          <w:shd w:val="clear" w:color="auto" w:fill="FFFFFF"/>
        </w:rPr>
        <w:t xml:space="preserve">Koos, S. (2021). Moralising </w:t>
      </w:r>
      <w:r w:rsidR="00B971B2" w:rsidRPr="00311574">
        <w:rPr>
          <w:rFonts w:asciiTheme="majorHAnsi" w:hAnsiTheme="majorHAnsi" w:cstheme="majorHAnsi"/>
          <w:color w:val="000000" w:themeColor="text1"/>
          <w:sz w:val="24"/>
          <w:szCs w:val="24"/>
          <w:shd w:val="clear" w:color="auto" w:fill="FFFFFF"/>
        </w:rPr>
        <w:t>markets, marketising morality</w:t>
      </w:r>
      <w:r w:rsidRPr="00311574">
        <w:rPr>
          <w:rFonts w:asciiTheme="majorHAnsi" w:hAnsiTheme="majorHAnsi" w:cstheme="majorHAnsi"/>
          <w:color w:val="000000" w:themeColor="text1"/>
          <w:sz w:val="24"/>
          <w:szCs w:val="24"/>
          <w:shd w:val="clear" w:color="auto" w:fill="FFFFFF"/>
        </w:rPr>
        <w:t xml:space="preserve">. The </w:t>
      </w:r>
      <w:r w:rsidR="00B971B2" w:rsidRPr="00311574">
        <w:rPr>
          <w:rFonts w:asciiTheme="majorHAnsi" w:hAnsiTheme="majorHAnsi" w:cstheme="majorHAnsi"/>
          <w:color w:val="000000" w:themeColor="text1"/>
          <w:sz w:val="24"/>
          <w:szCs w:val="24"/>
          <w:shd w:val="clear" w:color="auto" w:fill="FFFFFF"/>
        </w:rPr>
        <w:t>fair trade movement</w:t>
      </w:r>
      <w:r w:rsidRPr="00311574">
        <w:rPr>
          <w:rFonts w:asciiTheme="majorHAnsi" w:hAnsiTheme="majorHAnsi" w:cstheme="majorHAnsi"/>
          <w:color w:val="000000" w:themeColor="text1"/>
          <w:sz w:val="24"/>
          <w:szCs w:val="24"/>
          <w:shd w:val="clear" w:color="auto" w:fill="FFFFFF"/>
        </w:rPr>
        <w:t xml:space="preserve">, </w:t>
      </w:r>
      <w:r w:rsidR="00B971B2" w:rsidRPr="00311574">
        <w:rPr>
          <w:rFonts w:asciiTheme="majorHAnsi" w:hAnsiTheme="majorHAnsi" w:cstheme="majorHAnsi"/>
          <w:color w:val="000000" w:themeColor="text1"/>
          <w:sz w:val="24"/>
          <w:szCs w:val="24"/>
          <w:shd w:val="clear" w:color="auto" w:fill="FFFFFF"/>
        </w:rPr>
        <w:t xml:space="preserve">product labelling and the emergence of ethical consumerism </w:t>
      </w:r>
      <w:r w:rsidRPr="00311574">
        <w:rPr>
          <w:rFonts w:asciiTheme="majorHAnsi" w:hAnsiTheme="majorHAnsi" w:cstheme="majorHAnsi"/>
          <w:color w:val="000000" w:themeColor="text1"/>
          <w:sz w:val="24"/>
          <w:szCs w:val="24"/>
          <w:shd w:val="clear" w:color="auto" w:fill="FFFFFF"/>
        </w:rPr>
        <w:t>in Europe. </w:t>
      </w:r>
      <w:r w:rsidRPr="00311574">
        <w:rPr>
          <w:rFonts w:asciiTheme="majorHAnsi" w:hAnsiTheme="majorHAnsi" w:cstheme="majorHAnsi"/>
          <w:i/>
          <w:iCs/>
          <w:color w:val="000000" w:themeColor="text1"/>
          <w:sz w:val="24"/>
          <w:szCs w:val="24"/>
          <w:shd w:val="clear" w:color="auto" w:fill="FFFFFF"/>
        </w:rPr>
        <w:t>Journal of Nonprofit &amp; Public Sector Marketing</w:t>
      </w:r>
      <w:r w:rsidRPr="00311574">
        <w:rPr>
          <w:rFonts w:asciiTheme="majorHAnsi" w:hAnsiTheme="majorHAnsi" w:cstheme="majorHAnsi"/>
          <w:color w:val="000000" w:themeColor="text1"/>
          <w:sz w:val="24"/>
          <w:szCs w:val="24"/>
          <w:shd w:val="clear" w:color="auto" w:fill="FFFFFF"/>
        </w:rPr>
        <w:t>, </w:t>
      </w:r>
      <w:r w:rsidRPr="00311574">
        <w:rPr>
          <w:rFonts w:asciiTheme="majorHAnsi" w:hAnsiTheme="majorHAnsi" w:cstheme="majorHAnsi"/>
          <w:i/>
          <w:iCs/>
          <w:color w:val="000000" w:themeColor="text1"/>
          <w:sz w:val="24"/>
          <w:szCs w:val="24"/>
          <w:shd w:val="clear" w:color="auto" w:fill="FFFFFF"/>
        </w:rPr>
        <w:t>33</w:t>
      </w:r>
      <w:r w:rsidRPr="00311574">
        <w:rPr>
          <w:rFonts w:asciiTheme="majorHAnsi" w:hAnsiTheme="majorHAnsi" w:cstheme="majorHAnsi"/>
          <w:color w:val="000000" w:themeColor="text1"/>
          <w:sz w:val="24"/>
          <w:szCs w:val="24"/>
          <w:shd w:val="clear" w:color="auto" w:fill="FFFFFF"/>
        </w:rPr>
        <w:t xml:space="preserve">(2), 168-192. </w:t>
      </w:r>
      <w:hyperlink r:id="rId15" w:history="1">
        <w:r w:rsidRPr="00311574">
          <w:rPr>
            <w:rStyle w:val="Hyperlink"/>
            <w:rFonts w:asciiTheme="majorHAnsi" w:hAnsiTheme="majorHAnsi" w:cstheme="majorHAnsi"/>
            <w:color w:val="000000" w:themeColor="text1"/>
            <w:sz w:val="24"/>
            <w:szCs w:val="24"/>
            <w:u w:val="none"/>
            <w:shd w:val="clear" w:color="auto" w:fill="FFFFFF"/>
          </w:rPr>
          <w:t>https://doi.org/10.1080/10495142.2020.1865235</w:t>
        </w:r>
      </w:hyperlink>
    </w:p>
    <w:p w14:paraId="5F85D1B7" w14:textId="0EE72567" w:rsidR="00E82FBF" w:rsidRPr="00311574" w:rsidRDefault="00E82FBF" w:rsidP="00B971B2">
      <w:pPr>
        <w:spacing w:after="0" w:line="480" w:lineRule="auto"/>
        <w:ind w:left="720" w:hanging="720"/>
        <w:rPr>
          <w:rFonts w:asciiTheme="majorHAnsi" w:hAnsiTheme="majorHAnsi" w:cstheme="majorHAnsi"/>
          <w:color w:val="000000" w:themeColor="text1"/>
          <w:sz w:val="24"/>
          <w:szCs w:val="24"/>
          <w:shd w:val="clear" w:color="auto" w:fill="FCFCFC"/>
        </w:rPr>
      </w:pPr>
      <w:r w:rsidRPr="00311574">
        <w:rPr>
          <w:rFonts w:asciiTheme="majorHAnsi" w:hAnsiTheme="majorHAnsi" w:cstheme="majorHAnsi"/>
          <w:color w:val="000000" w:themeColor="text1"/>
          <w:sz w:val="24"/>
          <w:szCs w:val="24"/>
          <w:shd w:val="clear" w:color="auto" w:fill="FFFFFF"/>
        </w:rPr>
        <w:t xml:space="preserve">Kumar, S., Sureka, R., Lim, W. M., Kumar Mangla, S., &amp; Goyal, N. (2021). What do we know about business strategy and environmental research? Insights from </w:t>
      </w:r>
      <w:r w:rsidR="00B971B2" w:rsidRPr="00311574">
        <w:rPr>
          <w:rFonts w:asciiTheme="majorHAnsi" w:hAnsiTheme="majorHAnsi" w:cstheme="majorHAnsi"/>
          <w:color w:val="000000" w:themeColor="text1"/>
          <w:sz w:val="24"/>
          <w:szCs w:val="24"/>
          <w:shd w:val="clear" w:color="auto" w:fill="FFFFFF"/>
        </w:rPr>
        <w:t>business strategy and the environ</w:t>
      </w:r>
      <w:r w:rsidRPr="00311574">
        <w:rPr>
          <w:rFonts w:asciiTheme="majorHAnsi" w:hAnsiTheme="majorHAnsi" w:cstheme="majorHAnsi"/>
          <w:color w:val="000000" w:themeColor="text1"/>
          <w:sz w:val="24"/>
          <w:szCs w:val="24"/>
          <w:shd w:val="clear" w:color="auto" w:fill="FFFFFF"/>
        </w:rPr>
        <w:t>ment. </w:t>
      </w:r>
      <w:r w:rsidRPr="00311574">
        <w:rPr>
          <w:rFonts w:asciiTheme="majorHAnsi" w:hAnsiTheme="majorHAnsi" w:cstheme="majorHAnsi"/>
          <w:i/>
          <w:iCs/>
          <w:color w:val="000000" w:themeColor="text1"/>
          <w:sz w:val="24"/>
          <w:szCs w:val="24"/>
          <w:shd w:val="clear" w:color="auto" w:fill="FFFFFF"/>
        </w:rPr>
        <w:t>Business Strategy and the Environment</w:t>
      </w:r>
      <w:r w:rsidRPr="00311574">
        <w:rPr>
          <w:rFonts w:asciiTheme="majorHAnsi" w:hAnsiTheme="majorHAnsi" w:cstheme="majorHAnsi"/>
          <w:color w:val="000000" w:themeColor="text1"/>
          <w:sz w:val="24"/>
          <w:szCs w:val="24"/>
          <w:shd w:val="clear" w:color="auto" w:fill="FFFFFF"/>
        </w:rPr>
        <w:t>, </w:t>
      </w:r>
      <w:r w:rsidRPr="00311574">
        <w:rPr>
          <w:rFonts w:asciiTheme="majorHAnsi" w:hAnsiTheme="majorHAnsi" w:cstheme="majorHAnsi"/>
          <w:i/>
          <w:iCs/>
          <w:color w:val="000000" w:themeColor="text1"/>
          <w:sz w:val="24"/>
          <w:szCs w:val="24"/>
          <w:shd w:val="clear" w:color="auto" w:fill="FFFFFF"/>
        </w:rPr>
        <w:t>30</w:t>
      </w:r>
      <w:r w:rsidRPr="00311574">
        <w:rPr>
          <w:rFonts w:asciiTheme="majorHAnsi" w:hAnsiTheme="majorHAnsi" w:cstheme="majorHAnsi"/>
          <w:color w:val="000000" w:themeColor="text1"/>
          <w:sz w:val="24"/>
          <w:szCs w:val="24"/>
          <w:shd w:val="clear" w:color="auto" w:fill="FFFFFF"/>
        </w:rPr>
        <w:t xml:space="preserve">(8), 3454-3469. </w:t>
      </w:r>
      <w:hyperlink r:id="rId16" w:history="1">
        <w:r w:rsidRPr="00311574">
          <w:rPr>
            <w:rStyle w:val="Hyperlink"/>
            <w:rFonts w:asciiTheme="majorHAnsi" w:hAnsiTheme="majorHAnsi" w:cstheme="majorHAnsi"/>
            <w:color w:val="000000" w:themeColor="text1"/>
            <w:sz w:val="24"/>
            <w:szCs w:val="24"/>
            <w:u w:val="none"/>
            <w:shd w:val="clear" w:color="auto" w:fill="FFFFFF"/>
          </w:rPr>
          <w:t>https://doi.org/10.1002/bse.2813</w:t>
        </w:r>
      </w:hyperlink>
    </w:p>
    <w:p w14:paraId="2BCB4D05" w14:textId="13686B58" w:rsidR="00E82FBF" w:rsidRPr="00311574" w:rsidRDefault="00B971B2" w:rsidP="00B971B2">
      <w:pPr>
        <w:spacing w:after="0" w:line="480" w:lineRule="auto"/>
        <w:ind w:left="720" w:hanging="720"/>
        <w:rPr>
          <w:rFonts w:asciiTheme="majorHAnsi" w:hAnsiTheme="majorHAnsi" w:cstheme="majorHAnsi"/>
          <w:color w:val="000000" w:themeColor="text1"/>
          <w:sz w:val="24"/>
          <w:szCs w:val="24"/>
          <w:shd w:val="clear" w:color="auto" w:fill="FCFCFC"/>
        </w:rPr>
      </w:pPr>
      <w:r w:rsidRPr="00311574">
        <w:rPr>
          <w:rFonts w:asciiTheme="majorHAnsi" w:hAnsiTheme="majorHAnsi" w:cstheme="majorHAnsi"/>
          <w:color w:val="000000" w:themeColor="text1"/>
          <w:sz w:val="24"/>
          <w:szCs w:val="24"/>
          <w:shd w:val="clear" w:color="auto" w:fill="FFFFFF"/>
        </w:rPr>
        <w:t>Laine, M. (2011). A New Era of sustainability: CEO reflections on progress to date, challenges ahead and the impact of the journey toward a sustainable economy. </w:t>
      </w:r>
      <w:r w:rsidRPr="00311574">
        <w:rPr>
          <w:rFonts w:asciiTheme="majorHAnsi" w:hAnsiTheme="majorHAnsi" w:cstheme="majorHAnsi"/>
          <w:i/>
          <w:iCs/>
          <w:color w:val="000000" w:themeColor="text1"/>
          <w:sz w:val="24"/>
          <w:szCs w:val="24"/>
          <w:shd w:val="clear" w:color="auto" w:fill="FFFFFF"/>
        </w:rPr>
        <w:t>Social and Environmental Accountability Journal</w:t>
      </w:r>
      <w:r w:rsidRPr="00311574">
        <w:rPr>
          <w:rFonts w:asciiTheme="majorHAnsi" w:hAnsiTheme="majorHAnsi" w:cstheme="majorHAnsi"/>
          <w:color w:val="000000" w:themeColor="text1"/>
          <w:sz w:val="24"/>
          <w:szCs w:val="24"/>
          <w:shd w:val="clear" w:color="auto" w:fill="FFFFFF"/>
        </w:rPr>
        <w:t>, </w:t>
      </w:r>
      <w:r w:rsidRPr="00311574">
        <w:rPr>
          <w:rFonts w:asciiTheme="majorHAnsi" w:hAnsiTheme="majorHAnsi" w:cstheme="majorHAnsi"/>
          <w:i/>
          <w:iCs/>
          <w:color w:val="000000" w:themeColor="text1"/>
          <w:sz w:val="24"/>
          <w:szCs w:val="24"/>
          <w:shd w:val="clear" w:color="auto" w:fill="FFFFFF"/>
        </w:rPr>
        <w:t>31</w:t>
      </w:r>
      <w:r w:rsidRPr="00311574">
        <w:rPr>
          <w:rFonts w:asciiTheme="majorHAnsi" w:hAnsiTheme="majorHAnsi" w:cstheme="majorHAnsi"/>
          <w:color w:val="000000" w:themeColor="text1"/>
          <w:sz w:val="24"/>
          <w:szCs w:val="24"/>
          <w:shd w:val="clear" w:color="auto" w:fill="FFFFFF"/>
        </w:rPr>
        <w:t>(1), 106–107. https://doi.org/10.1080/0969160x.2011.556433</w:t>
      </w:r>
    </w:p>
    <w:p w14:paraId="3156961A" w14:textId="41FC3383" w:rsidR="00E82FBF" w:rsidRPr="00311574" w:rsidRDefault="00E82FBF" w:rsidP="00B971B2">
      <w:pPr>
        <w:spacing w:after="0" w:line="480" w:lineRule="auto"/>
        <w:ind w:left="720" w:hanging="720"/>
        <w:rPr>
          <w:rFonts w:asciiTheme="majorHAnsi" w:hAnsiTheme="majorHAnsi" w:cstheme="majorHAnsi"/>
          <w:color w:val="000000" w:themeColor="text1"/>
          <w:sz w:val="24"/>
          <w:szCs w:val="24"/>
          <w:shd w:val="clear" w:color="auto" w:fill="FCFCFC"/>
        </w:rPr>
      </w:pPr>
      <w:r w:rsidRPr="00311574">
        <w:rPr>
          <w:rFonts w:asciiTheme="majorHAnsi" w:hAnsiTheme="majorHAnsi" w:cstheme="majorHAnsi"/>
          <w:color w:val="000000" w:themeColor="text1"/>
          <w:sz w:val="24"/>
          <w:szCs w:val="24"/>
          <w:shd w:val="clear" w:color="auto" w:fill="FFFFFF"/>
        </w:rPr>
        <w:t>Manchiraju, H., &amp; Rajgopal, S. (2017). Does corporate social responsibility (CSR) create shareholder value? Evidence from the Indian Companies Act 2013. </w:t>
      </w:r>
      <w:r w:rsidRPr="00311574">
        <w:rPr>
          <w:rFonts w:asciiTheme="majorHAnsi" w:hAnsiTheme="majorHAnsi" w:cstheme="majorHAnsi"/>
          <w:i/>
          <w:iCs/>
          <w:color w:val="000000" w:themeColor="text1"/>
          <w:sz w:val="24"/>
          <w:szCs w:val="24"/>
          <w:shd w:val="clear" w:color="auto" w:fill="FFFFFF"/>
        </w:rPr>
        <w:t>Journal of Accounting Research</w:t>
      </w:r>
      <w:r w:rsidRPr="00311574">
        <w:rPr>
          <w:rFonts w:asciiTheme="majorHAnsi" w:hAnsiTheme="majorHAnsi" w:cstheme="majorHAnsi"/>
          <w:color w:val="000000" w:themeColor="text1"/>
          <w:sz w:val="24"/>
          <w:szCs w:val="24"/>
          <w:shd w:val="clear" w:color="auto" w:fill="FFFFFF"/>
        </w:rPr>
        <w:t>,</w:t>
      </w:r>
      <w:r w:rsidR="00B971B2" w:rsidRPr="00311574">
        <w:rPr>
          <w:rFonts w:asciiTheme="majorHAnsi" w:hAnsiTheme="majorHAnsi" w:cstheme="majorHAnsi"/>
          <w:color w:val="000000" w:themeColor="text1"/>
          <w:sz w:val="24"/>
          <w:szCs w:val="24"/>
          <w:shd w:val="clear" w:color="auto" w:fill="FFFFFF"/>
        </w:rPr>
        <w:t xml:space="preserve"> </w:t>
      </w:r>
      <w:r w:rsidRPr="00311574">
        <w:rPr>
          <w:rFonts w:asciiTheme="majorHAnsi" w:hAnsiTheme="majorHAnsi" w:cstheme="majorHAnsi"/>
          <w:i/>
          <w:iCs/>
          <w:color w:val="000000" w:themeColor="text1"/>
          <w:sz w:val="24"/>
          <w:szCs w:val="24"/>
          <w:shd w:val="clear" w:color="auto" w:fill="FFFFFF"/>
        </w:rPr>
        <w:t>55</w:t>
      </w:r>
      <w:r w:rsidRPr="00311574">
        <w:rPr>
          <w:rFonts w:asciiTheme="majorHAnsi" w:hAnsiTheme="majorHAnsi" w:cstheme="majorHAnsi"/>
          <w:color w:val="000000" w:themeColor="text1"/>
          <w:sz w:val="24"/>
          <w:szCs w:val="24"/>
          <w:shd w:val="clear" w:color="auto" w:fill="FFFFFF"/>
        </w:rPr>
        <w:t xml:space="preserve">(5), 1257-1300. </w:t>
      </w:r>
      <w:hyperlink r:id="rId17" w:history="1">
        <w:r w:rsidRPr="00311574">
          <w:rPr>
            <w:rStyle w:val="Hyperlink"/>
            <w:rFonts w:asciiTheme="majorHAnsi" w:hAnsiTheme="majorHAnsi" w:cstheme="majorHAnsi"/>
            <w:color w:val="000000" w:themeColor="text1"/>
            <w:sz w:val="24"/>
            <w:szCs w:val="24"/>
            <w:u w:val="none"/>
            <w:shd w:val="clear" w:color="auto" w:fill="FFFFFF"/>
          </w:rPr>
          <w:t>https://doi.org/10.1111/1475-679X.12174</w:t>
        </w:r>
      </w:hyperlink>
    </w:p>
    <w:p w14:paraId="61C942C1" w14:textId="0C2270F1" w:rsidR="00E82FBF" w:rsidRPr="00311574" w:rsidRDefault="00E82FBF" w:rsidP="00B971B2">
      <w:pPr>
        <w:spacing w:after="0" w:line="480" w:lineRule="auto"/>
        <w:ind w:left="720" w:hanging="720"/>
        <w:rPr>
          <w:rFonts w:asciiTheme="majorHAnsi" w:hAnsiTheme="majorHAnsi" w:cstheme="majorHAnsi"/>
          <w:color w:val="000000" w:themeColor="text1"/>
          <w:sz w:val="24"/>
          <w:szCs w:val="24"/>
          <w:shd w:val="clear" w:color="auto" w:fill="FCFCFC"/>
        </w:rPr>
      </w:pPr>
      <w:r w:rsidRPr="00311574">
        <w:rPr>
          <w:rFonts w:asciiTheme="majorHAnsi" w:hAnsiTheme="majorHAnsi" w:cstheme="majorHAnsi"/>
          <w:color w:val="000000" w:themeColor="text1"/>
          <w:sz w:val="24"/>
          <w:szCs w:val="24"/>
          <w:shd w:val="clear" w:color="auto" w:fill="FFFFFF"/>
        </w:rPr>
        <w:lastRenderedPageBreak/>
        <w:t>Siew, R. Y. (2015). A review of corporate sustainability reporting tools (SRTs). </w:t>
      </w:r>
      <w:r w:rsidRPr="00311574">
        <w:rPr>
          <w:rFonts w:asciiTheme="majorHAnsi" w:hAnsiTheme="majorHAnsi" w:cstheme="majorHAnsi"/>
          <w:i/>
          <w:iCs/>
          <w:color w:val="000000" w:themeColor="text1"/>
          <w:sz w:val="24"/>
          <w:szCs w:val="24"/>
          <w:shd w:val="clear" w:color="auto" w:fill="FFFFFF"/>
        </w:rPr>
        <w:t xml:space="preserve">Journal of </w:t>
      </w:r>
      <w:r w:rsidR="00B971B2" w:rsidRPr="00311574">
        <w:rPr>
          <w:rFonts w:asciiTheme="majorHAnsi" w:hAnsiTheme="majorHAnsi" w:cstheme="majorHAnsi"/>
          <w:i/>
          <w:iCs/>
          <w:color w:val="000000" w:themeColor="text1"/>
          <w:sz w:val="24"/>
          <w:szCs w:val="24"/>
          <w:shd w:val="clear" w:color="auto" w:fill="FFFFFF"/>
        </w:rPr>
        <w:t>Environmental Management</w:t>
      </w:r>
      <w:r w:rsidRPr="00311574">
        <w:rPr>
          <w:rFonts w:asciiTheme="majorHAnsi" w:hAnsiTheme="majorHAnsi" w:cstheme="majorHAnsi"/>
          <w:color w:val="000000" w:themeColor="text1"/>
          <w:sz w:val="24"/>
          <w:szCs w:val="24"/>
          <w:shd w:val="clear" w:color="auto" w:fill="FFFFFF"/>
        </w:rPr>
        <w:t>, </w:t>
      </w:r>
      <w:r w:rsidRPr="00311574">
        <w:rPr>
          <w:rFonts w:asciiTheme="majorHAnsi" w:hAnsiTheme="majorHAnsi" w:cstheme="majorHAnsi"/>
          <w:i/>
          <w:iCs/>
          <w:color w:val="000000" w:themeColor="text1"/>
          <w:sz w:val="24"/>
          <w:szCs w:val="24"/>
          <w:shd w:val="clear" w:color="auto" w:fill="FFFFFF"/>
        </w:rPr>
        <w:t>164</w:t>
      </w:r>
      <w:r w:rsidRPr="00311574">
        <w:rPr>
          <w:rFonts w:asciiTheme="majorHAnsi" w:hAnsiTheme="majorHAnsi" w:cstheme="majorHAnsi"/>
          <w:color w:val="000000" w:themeColor="text1"/>
          <w:sz w:val="24"/>
          <w:szCs w:val="24"/>
          <w:shd w:val="clear" w:color="auto" w:fill="FFFFFF"/>
        </w:rPr>
        <w:t xml:space="preserve">, 180-195. </w:t>
      </w:r>
      <w:hyperlink r:id="rId18" w:history="1">
        <w:r w:rsidRPr="00311574">
          <w:rPr>
            <w:rStyle w:val="Hyperlink"/>
            <w:rFonts w:asciiTheme="majorHAnsi" w:hAnsiTheme="majorHAnsi" w:cstheme="majorHAnsi"/>
            <w:color w:val="000000" w:themeColor="text1"/>
            <w:sz w:val="24"/>
            <w:szCs w:val="24"/>
            <w:u w:val="none"/>
            <w:shd w:val="clear" w:color="auto" w:fill="FFFFFF"/>
          </w:rPr>
          <w:t>https://doi.org/10.1016/j.jenvman.2015.09.010</w:t>
        </w:r>
      </w:hyperlink>
    </w:p>
    <w:p w14:paraId="0112C1C1" w14:textId="732EE601" w:rsidR="00E82FBF" w:rsidRPr="00311574" w:rsidRDefault="00E82FBF" w:rsidP="00B971B2">
      <w:pPr>
        <w:spacing w:after="0" w:line="480" w:lineRule="auto"/>
        <w:ind w:left="720" w:hanging="720"/>
        <w:rPr>
          <w:rFonts w:asciiTheme="majorHAnsi" w:hAnsiTheme="majorHAnsi" w:cstheme="majorHAnsi"/>
          <w:color w:val="000000" w:themeColor="text1"/>
          <w:sz w:val="24"/>
          <w:szCs w:val="24"/>
          <w:shd w:val="clear" w:color="auto" w:fill="FCFCFC"/>
        </w:rPr>
      </w:pPr>
      <w:r w:rsidRPr="00311574">
        <w:rPr>
          <w:rFonts w:asciiTheme="majorHAnsi" w:hAnsiTheme="majorHAnsi" w:cstheme="majorHAnsi"/>
          <w:color w:val="000000" w:themeColor="text1"/>
          <w:sz w:val="24"/>
          <w:szCs w:val="24"/>
          <w:shd w:val="clear" w:color="auto" w:fill="FFFFFF"/>
        </w:rPr>
        <w:t>Taghian, M., D’Souza, C., &amp; Polonsky, M. (2015). A stakeholder approach to corporate social responsibility, reputation and business performance. </w:t>
      </w:r>
      <w:r w:rsidRPr="00311574">
        <w:rPr>
          <w:rFonts w:asciiTheme="majorHAnsi" w:hAnsiTheme="majorHAnsi" w:cstheme="majorHAnsi"/>
          <w:i/>
          <w:iCs/>
          <w:color w:val="000000" w:themeColor="text1"/>
          <w:sz w:val="24"/>
          <w:szCs w:val="24"/>
          <w:shd w:val="clear" w:color="auto" w:fill="FFFFFF"/>
        </w:rPr>
        <w:t>Social Responsibility Journal</w:t>
      </w:r>
      <w:r w:rsidR="00B971B2" w:rsidRPr="00311574">
        <w:rPr>
          <w:rFonts w:asciiTheme="majorHAnsi" w:hAnsiTheme="majorHAnsi" w:cstheme="majorHAnsi"/>
          <w:color w:val="000000" w:themeColor="text1"/>
          <w:sz w:val="24"/>
          <w:szCs w:val="24"/>
          <w:shd w:val="clear" w:color="auto" w:fill="FFFFFF"/>
        </w:rPr>
        <w:t xml:space="preserve">, </w:t>
      </w:r>
      <w:r w:rsidR="00B971B2" w:rsidRPr="00311574">
        <w:rPr>
          <w:rFonts w:asciiTheme="majorHAnsi" w:hAnsiTheme="majorHAnsi" w:cstheme="majorHAnsi"/>
          <w:i/>
          <w:iCs/>
          <w:color w:val="000000" w:themeColor="text1"/>
          <w:sz w:val="24"/>
          <w:szCs w:val="24"/>
          <w:shd w:val="clear" w:color="auto" w:fill="FFFFFF"/>
        </w:rPr>
        <w:t>11</w:t>
      </w:r>
      <w:r w:rsidR="00B971B2" w:rsidRPr="00311574">
        <w:rPr>
          <w:rFonts w:asciiTheme="majorHAnsi" w:hAnsiTheme="majorHAnsi" w:cstheme="majorHAnsi"/>
          <w:color w:val="000000" w:themeColor="text1"/>
          <w:sz w:val="24"/>
          <w:szCs w:val="24"/>
          <w:shd w:val="clear" w:color="auto" w:fill="FFFFFF"/>
        </w:rPr>
        <w:t>(2), 340-363.</w:t>
      </w:r>
      <w:r w:rsidRPr="00311574">
        <w:rPr>
          <w:rFonts w:asciiTheme="majorHAnsi" w:hAnsiTheme="majorHAnsi" w:cstheme="majorHAnsi"/>
          <w:color w:val="000000" w:themeColor="text1"/>
          <w:sz w:val="24"/>
          <w:szCs w:val="24"/>
          <w:shd w:val="clear" w:color="auto" w:fill="FFFFFF"/>
        </w:rPr>
        <w:t xml:space="preserve"> </w:t>
      </w:r>
      <w:hyperlink r:id="rId19" w:history="1">
        <w:r w:rsidRPr="00311574">
          <w:rPr>
            <w:rStyle w:val="Hyperlink"/>
            <w:rFonts w:asciiTheme="majorHAnsi" w:hAnsiTheme="majorHAnsi" w:cstheme="majorHAnsi"/>
            <w:color w:val="000000" w:themeColor="text1"/>
            <w:sz w:val="24"/>
            <w:szCs w:val="24"/>
            <w:u w:val="none"/>
            <w:shd w:val="clear" w:color="auto" w:fill="FFFFFF"/>
          </w:rPr>
          <w:t>https://doi.org/10.1108/SRJ-06-2012-0068</w:t>
        </w:r>
      </w:hyperlink>
      <w:r w:rsidRPr="00311574">
        <w:rPr>
          <w:rFonts w:asciiTheme="majorHAnsi" w:hAnsiTheme="majorHAnsi" w:cstheme="majorHAnsi"/>
          <w:color w:val="000000" w:themeColor="text1"/>
          <w:sz w:val="24"/>
          <w:szCs w:val="24"/>
          <w:shd w:val="clear" w:color="auto" w:fill="FFFFFF"/>
        </w:rPr>
        <w:t xml:space="preserve"> </w:t>
      </w:r>
    </w:p>
    <w:p w14:paraId="479FC235" w14:textId="4CBCF1DC" w:rsidR="00E82FBF" w:rsidRPr="00311574" w:rsidRDefault="00E82FBF" w:rsidP="00B971B2">
      <w:pPr>
        <w:spacing w:after="0" w:line="480" w:lineRule="auto"/>
        <w:ind w:left="720" w:hanging="720"/>
        <w:rPr>
          <w:rFonts w:asciiTheme="majorHAnsi" w:hAnsiTheme="majorHAnsi" w:cstheme="majorHAnsi"/>
          <w:color w:val="000000" w:themeColor="text1"/>
          <w:sz w:val="24"/>
          <w:szCs w:val="24"/>
          <w:shd w:val="clear" w:color="auto" w:fill="FCFCFC"/>
        </w:rPr>
      </w:pPr>
      <w:r w:rsidRPr="00311574">
        <w:rPr>
          <w:rFonts w:asciiTheme="majorHAnsi" w:hAnsiTheme="majorHAnsi" w:cstheme="majorHAnsi"/>
          <w:color w:val="000000" w:themeColor="text1"/>
          <w:sz w:val="24"/>
          <w:szCs w:val="24"/>
          <w:shd w:val="clear" w:color="auto" w:fill="FFFFFF"/>
        </w:rPr>
        <w:t xml:space="preserve">Wang, X., Cao, F., &amp; Ye, K. (2018). Mandatory corporate social responsibility (CSR) reporting and financial reporting quality: Evidence from a quasi-natural experiment. </w:t>
      </w:r>
      <w:r w:rsidRPr="00311574">
        <w:rPr>
          <w:rFonts w:asciiTheme="majorHAnsi" w:hAnsiTheme="majorHAnsi" w:cstheme="majorHAnsi"/>
          <w:i/>
          <w:iCs/>
          <w:color w:val="000000" w:themeColor="text1"/>
          <w:sz w:val="24"/>
          <w:szCs w:val="24"/>
          <w:shd w:val="clear" w:color="auto" w:fill="FFFFFF"/>
        </w:rPr>
        <w:t>Journal of Business Ethics</w:t>
      </w:r>
      <w:r w:rsidRPr="00311574">
        <w:rPr>
          <w:rFonts w:asciiTheme="majorHAnsi" w:hAnsiTheme="majorHAnsi" w:cstheme="majorHAnsi"/>
          <w:color w:val="000000" w:themeColor="text1"/>
          <w:sz w:val="24"/>
          <w:szCs w:val="24"/>
          <w:shd w:val="clear" w:color="auto" w:fill="FFFFFF"/>
        </w:rPr>
        <w:t>, </w:t>
      </w:r>
      <w:r w:rsidRPr="00311574">
        <w:rPr>
          <w:rFonts w:asciiTheme="majorHAnsi" w:hAnsiTheme="majorHAnsi" w:cstheme="majorHAnsi"/>
          <w:i/>
          <w:iCs/>
          <w:color w:val="000000" w:themeColor="text1"/>
          <w:sz w:val="24"/>
          <w:szCs w:val="24"/>
          <w:shd w:val="clear" w:color="auto" w:fill="FFFFFF"/>
        </w:rPr>
        <w:t>152</w:t>
      </w:r>
      <w:r w:rsidRPr="00311574">
        <w:rPr>
          <w:rFonts w:asciiTheme="majorHAnsi" w:hAnsiTheme="majorHAnsi" w:cstheme="majorHAnsi"/>
          <w:color w:val="000000" w:themeColor="text1"/>
          <w:sz w:val="24"/>
          <w:szCs w:val="24"/>
          <w:shd w:val="clear" w:color="auto" w:fill="FFFFFF"/>
        </w:rPr>
        <w:t xml:space="preserve">(1), 253-274. </w:t>
      </w:r>
      <w:hyperlink r:id="rId20" w:history="1">
        <w:r w:rsidRPr="00311574">
          <w:rPr>
            <w:rStyle w:val="Hyperlink"/>
            <w:rFonts w:asciiTheme="majorHAnsi" w:hAnsiTheme="majorHAnsi" w:cstheme="majorHAnsi"/>
            <w:color w:val="000000" w:themeColor="text1"/>
            <w:sz w:val="24"/>
            <w:szCs w:val="24"/>
            <w:u w:val="none"/>
            <w:shd w:val="clear" w:color="auto" w:fill="FCFCFC"/>
          </w:rPr>
          <w:t>https://doi.org/10.1007/s10551-016-3296-2</w:t>
        </w:r>
      </w:hyperlink>
    </w:p>
    <w:p w14:paraId="1D2EF296" w14:textId="77777777" w:rsidR="00CB60C1" w:rsidRPr="00311574" w:rsidRDefault="00CB60C1" w:rsidP="00B971B2">
      <w:pPr>
        <w:spacing w:after="0" w:line="480" w:lineRule="auto"/>
        <w:rPr>
          <w:rFonts w:asciiTheme="majorHAnsi" w:hAnsiTheme="majorHAnsi" w:cstheme="majorHAnsi"/>
          <w:sz w:val="24"/>
          <w:szCs w:val="24"/>
        </w:rPr>
      </w:pPr>
    </w:p>
    <w:sectPr w:rsidR="00CB60C1" w:rsidRPr="00311574" w:rsidSect="00E82FBF">
      <w:headerReference w:type="default" r:id="rId21"/>
      <w:footerReference w:type="default" r:id="rId22"/>
      <w:pgSz w:w="11906" w:h="16838"/>
      <w:pgMar w:top="1440" w:right="1440" w:bottom="1440" w:left="1440"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719AD3" w14:textId="77777777" w:rsidR="00A84A23" w:rsidRDefault="00A84A23" w:rsidP="00CB60C1">
      <w:pPr>
        <w:spacing w:after="0" w:line="240" w:lineRule="auto"/>
      </w:pPr>
      <w:r>
        <w:separator/>
      </w:r>
    </w:p>
  </w:endnote>
  <w:endnote w:type="continuationSeparator" w:id="0">
    <w:p w14:paraId="2843EBC4" w14:textId="77777777" w:rsidR="00A84A23" w:rsidRDefault="00A84A23" w:rsidP="00CB60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853488"/>
      <w:docPartObj>
        <w:docPartGallery w:val="Page Numbers (Bottom of Page)"/>
        <w:docPartUnique/>
      </w:docPartObj>
    </w:sdtPr>
    <w:sdtEndPr>
      <w:rPr>
        <w:noProof/>
      </w:rPr>
    </w:sdtEndPr>
    <w:sdtContent>
      <w:p w14:paraId="734A579B" w14:textId="27DDDB95" w:rsidR="00311574" w:rsidRDefault="0031157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C04D64" w14:textId="77777777" w:rsidR="00311574" w:rsidRDefault="003115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9A2AB3" w14:textId="77777777" w:rsidR="00A84A23" w:rsidRDefault="00A84A23" w:rsidP="00CB60C1">
      <w:pPr>
        <w:spacing w:after="0" w:line="240" w:lineRule="auto"/>
      </w:pPr>
      <w:r>
        <w:separator/>
      </w:r>
    </w:p>
  </w:footnote>
  <w:footnote w:type="continuationSeparator" w:id="0">
    <w:p w14:paraId="70549EFF" w14:textId="77777777" w:rsidR="00A84A23" w:rsidRDefault="00A84A23" w:rsidP="00CB60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7703419"/>
      <w:docPartObj>
        <w:docPartGallery w:val="Page Numbers (Top of Page)"/>
        <w:docPartUnique/>
      </w:docPartObj>
    </w:sdtPr>
    <w:sdtEndPr>
      <w:rPr>
        <w:rFonts w:ascii="Times New Roman" w:hAnsi="Times New Roman" w:cs="Times New Roman"/>
        <w:noProof/>
        <w:sz w:val="24"/>
        <w:szCs w:val="24"/>
      </w:rPr>
    </w:sdtEndPr>
    <w:sdtContent>
      <w:p w14:paraId="67A43DD0" w14:textId="440BC838" w:rsidR="00CB60C1" w:rsidRPr="00E82FBF" w:rsidRDefault="00CB60C1" w:rsidP="00E82FBF">
        <w:pPr>
          <w:pStyle w:val="Header"/>
          <w:jc w:val="right"/>
          <w:rPr>
            <w:rFonts w:ascii="Times New Roman" w:hAnsi="Times New Roman" w:cs="Times New Roman"/>
            <w:sz w:val="24"/>
            <w:szCs w:val="24"/>
          </w:rPr>
        </w:pPr>
        <w:r w:rsidRPr="00311574">
          <w:rPr>
            <w:rFonts w:asciiTheme="majorHAnsi" w:hAnsiTheme="majorHAnsi" w:cstheme="majorHAnsi"/>
            <w:sz w:val="24"/>
            <w:szCs w:val="24"/>
            <w:lang w:val="en-US"/>
          </w:rPr>
          <w:t>GLOBAL RESPONSIBLE BUSINESS</w:t>
        </w:r>
        <w:r w:rsidR="00311574">
          <w:rPr>
            <w:rFonts w:asciiTheme="majorHAnsi" w:hAnsiTheme="majorHAnsi" w:cstheme="majorHAnsi"/>
            <w:sz w:val="24"/>
            <w:szCs w:val="24"/>
            <w:lang w:val="en-US"/>
          </w:rPr>
          <w:tab/>
        </w:r>
        <w:r w:rsidR="00311574">
          <w:rPr>
            <w:rFonts w:asciiTheme="majorHAnsi" w:hAnsiTheme="majorHAnsi" w:cstheme="majorHAnsi"/>
            <w:sz w:val="24"/>
            <w:szCs w:val="24"/>
            <w:lang w:val="en-US"/>
          </w:rPr>
          <w:tab/>
        </w:r>
        <w:r w:rsidR="00311574" w:rsidRPr="00311574">
          <w:rPr>
            <w:rFonts w:asciiTheme="majorHAnsi" w:hAnsiTheme="majorHAnsi" w:cstheme="majorHAnsi"/>
            <w:sz w:val="24"/>
            <w:szCs w:val="24"/>
          </w:rPr>
          <w:t>BMSP6001</w:t>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D4E"/>
    <w:rsid w:val="00005B76"/>
    <w:rsid w:val="000C6E5A"/>
    <w:rsid w:val="00105CF9"/>
    <w:rsid w:val="00122F5C"/>
    <w:rsid w:val="00132D4E"/>
    <w:rsid w:val="001613D5"/>
    <w:rsid w:val="00182F24"/>
    <w:rsid w:val="001E37AA"/>
    <w:rsid w:val="00220463"/>
    <w:rsid w:val="00267545"/>
    <w:rsid w:val="0028260E"/>
    <w:rsid w:val="002C1D40"/>
    <w:rsid w:val="002F41AB"/>
    <w:rsid w:val="002F6874"/>
    <w:rsid w:val="00311574"/>
    <w:rsid w:val="003452B6"/>
    <w:rsid w:val="00377A59"/>
    <w:rsid w:val="003A5886"/>
    <w:rsid w:val="003C03CE"/>
    <w:rsid w:val="003C4F6A"/>
    <w:rsid w:val="003D35C6"/>
    <w:rsid w:val="00425F33"/>
    <w:rsid w:val="00485F76"/>
    <w:rsid w:val="004B71DC"/>
    <w:rsid w:val="004C6E6D"/>
    <w:rsid w:val="004E4CE4"/>
    <w:rsid w:val="004F264D"/>
    <w:rsid w:val="00532EE1"/>
    <w:rsid w:val="00547B26"/>
    <w:rsid w:val="00567625"/>
    <w:rsid w:val="005861D9"/>
    <w:rsid w:val="005A4A08"/>
    <w:rsid w:val="005F78B4"/>
    <w:rsid w:val="00616320"/>
    <w:rsid w:val="00622DF4"/>
    <w:rsid w:val="00626083"/>
    <w:rsid w:val="00631F77"/>
    <w:rsid w:val="006A5282"/>
    <w:rsid w:val="006C2439"/>
    <w:rsid w:val="006C7D3C"/>
    <w:rsid w:val="006F594D"/>
    <w:rsid w:val="00721123"/>
    <w:rsid w:val="00735AF3"/>
    <w:rsid w:val="00773454"/>
    <w:rsid w:val="007921C5"/>
    <w:rsid w:val="00797406"/>
    <w:rsid w:val="007978E8"/>
    <w:rsid w:val="007B5F47"/>
    <w:rsid w:val="007D4388"/>
    <w:rsid w:val="007E31CC"/>
    <w:rsid w:val="007E33D1"/>
    <w:rsid w:val="00845190"/>
    <w:rsid w:val="00850320"/>
    <w:rsid w:val="00885AB5"/>
    <w:rsid w:val="00957902"/>
    <w:rsid w:val="0096477D"/>
    <w:rsid w:val="00A66C2F"/>
    <w:rsid w:val="00A84A23"/>
    <w:rsid w:val="00A9683F"/>
    <w:rsid w:val="00AA2541"/>
    <w:rsid w:val="00AF1361"/>
    <w:rsid w:val="00B250BC"/>
    <w:rsid w:val="00B644DC"/>
    <w:rsid w:val="00B86B67"/>
    <w:rsid w:val="00B87A04"/>
    <w:rsid w:val="00B971B2"/>
    <w:rsid w:val="00BA3BED"/>
    <w:rsid w:val="00BA438F"/>
    <w:rsid w:val="00BB1DCC"/>
    <w:rsid w:val="00BD19B9"/>
    <w:rsid w:val="00BE38C0"/>
    <w:rsid w:val="00BF5BC2"/>
    <w:rsid w:val="00C028ED"/>
    <w:rsid w:val="00C04C92"/>
    <w:rsid w:val="00C27213"/>
    <w:rsid w:val="00CA2DE6"/>
    <w:rsid w:val="00CB3B26"/>
    <w:rsid w:val="00CB5CA4"/>
    <w:rsid w:val="00CB60C1"/>
    <w:rsid w:val="00CC4508"/>
    <w:rsid w:val="00D03956"/>
    <w:rsid w:val="00D03DE4"/>
    <w:rsid w:val="00D114B5"/>
    <w:rsid w:val="00D240C7"/>
    <w:rsid w:val="00D6733F"/>
    <w:rsid w:val="00D80953"/>
    <w:rsid w:val="00DC1F50"/>
    <w:rsid w:val="00DC4748"/>
    <w:rsid w:val="00DD5E30"/>
    <w:rsid w:val="00DF7E7B"/>
    <w:rsid w:val="00E1518F"/>
    <w:rsid w:val="00E27B0A"/>
    <w:rsid w:val="00E3228B"/>
    <w:rsid w:val="00E4630C"/>
    <w:rsid w:val="00E4645D"/>
    <w:rsid w:val="00E542AA"/>
    <w:rsid w:val="00E7754A"/>
    <w:rsid w:val="00E82FBF"/>
    <w:rsid w:val="00EA6657"/>
    <w:rsid w:val="00EC3353"/>
    <w:rsid w:val="00ED21CB"/>
    <w:rsid w:val="00EE313A"/>
    <w:rsid w:val="00F04DA0"/>
    <w:rsid w:val="00F70A19"/>
    <w:rsid w:val="00F87504"/>
    <w:rsid w:val="00FA7413"/>
    <w:rsid w:val="00FC74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0D11B"/>
  <w15:chartTrackingRefBased/>
  <w15:docId w15:val="{EB691AC6-E4E6-46D4-A123-F2C95386D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B60C1"/>
    <w:rPr>
      <w:color w:val="0563C1" w:themeColor="hyperlink"/>
      <w:u w:val="single"/>
    </w:rPr>
  </w:style>
  <w:style w:type="paragraph" w:styleId="ListParagraph">
    <w:name w:val="List Paragraph"/>
    <w:basedOn w:val="Normal"/>
    <w:uiPriority w:val="34"/>
    <w:qFormat/>
    <w:rsid w:val="00CB60C1"/>
    <w:pPr>
      <w:ind w:left="720"/>
      <w:contextualSpacing/>
    </w:pPr>
  </w:style>
  <w:style w:type="paragraph" w:styleId="Header">
    <w:name w:val="header"/>
    <w:basedOn w:val="Normal"/>
    <w:link w:val="HeaderChar"/>
    <w:uiPriority w:val="99"/>
    <w:unhideWhenUsed/>
    <w:rsid w:val="00CB60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60C1"/>
  </w:style>
  <w:style w:type="paragraph" w:styleId="Footer">
    <w:name w:val="footer"/>
    <w:basedOn w:val="Normal"/>
    <w:link w:val="FooterChar"/>
    <w:uiPriority w:val="99"/>
    <w:unhideWhenUsed/>
    <w:rsid w:val="00CB60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60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1020343" TargetMode="External"/><Relationship Id="rId13" Type="http://schemas.openxmlformats.org/officeDocument/2006/relationships/hyperlink" Target="https://doi.org/10.1108/CCIJ-10-2018-0110" TargetMode="External"/><Relationship Id="rId18" Type="http://schemas.openxmlformats.org/officeDocument/2006/relationships/hyperlink" Target="https://doi.org/10.1016/j.jenvman.2015.09.010"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doi.org/10.1186/s41180-017-0016-5" TargetMode="External"/><Relationship Id="rId12" Type="http://schemas.openxmlformats.org/officeDocument/2006/relationships/hyperlink" Target="https://doi.org/10.1108/ARJ-10-2018-0169" TargetMode="External"/><Relationship Id="rId17" Type="http://schemas.openxmlformats.org/officeDocument/2006/relationships/hyperlink" Target="https://doi.org/10.1111/1475-679X.12174" TargetMode="External"/><Relationship Id="rId2" Type="http://schemas.openxmlformats.org/officeDocument/2006/relationships/settings" Target="settings.xml"/><Relationship Id="rId16" Type="http://schemas.openxmlformats.org/officeDocument/2006/relationships/hyperlink" Target="https://doi.org/10.1002/bse.2813" TargetMode="External"/><Relationship Id="rId20" Type="http://schemas.openxmlformats.org/officeDocument/2006/relationships/hyperlink" Target="https://doi.org/10.1007/s10551-016-3296-2" TargetMode="External"/><Relationship Id="rId1" Type="http://schemas.openxmlformats.org/officeDocument/2006/relationships/styles" Target="styles.xml"/><Relationship Id="rId6" Type="http://schemas.openxmlformats.org/officeDocument/2006/relationships/hyperlink" Target="https://doi.org/10.1016/S2212-5671(16)30249-0" TargetMode="External"/><Relationship Id="rId11" Type="http://schemas.openxmlformats.org/officeDocument/2006/relationships/hyperlink" Target="https://doi.org/10.1016/j.jclepro.2018.06.240"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doi.org/10.1080/10495142.2020.1865235" TargetMode="External"/><Relationship Id="rId23" Type="http://schemas.openxmlformats.org/officeDocument/2006/relationships/fontTable" Target="fontTable.xml"/><Relationship Id="rId10" Type="http://schemas.openxmlformats.org/officeDocument/2006/relationships/hyperlink" Target="https://doi.org/10.1002/csr.1858" TargetMode="External"/><Relationship Id="rId19" Type="http://schemas.openxmlformats.org/officeDocument/2006/relationships/hyperlink" Target="https://doi.org/10.1108/SRJ-06-2012-0068" TargetMode="External"/><Relationship Id="rId4" Type="http://schemas.openxmlformats.org/officeDocument/2006/relationships/footnotes" Target="footnotes.xml"/><Relationship Id="rId9" Type="http://schemas.openxmlformats.org/officeDocument/2006/relationships/hyperlink" Target="https://doi.org/10.1007/s11142-021-09609-5" TargetMode="External"/><Relationship Id="rId14" Type="http://schemas.openxmlformats.org/officeDocument/2006/relationships/hyperlink" Target="https://doi.org/10.32456/.v1i1.1"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3277</Words>
  <Characters>18682</Characters>
  <Application>Microsoft Office Word</Application>
  <DocSecurity>0</DocSecurity>
  <Lines>155</Lines>
  <Paragraphs>43</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21916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egree</dc:creator>
  <cp:lastModifiedBy>egreeslewis14@gmail.com</cp:lastModifiedBy>
  <cp:revision>2</cp:revision>
  <dcterms:created xsi:type="dcterms:W3CDTF">2022-02-11T18:17:00Z</dcterms:created>
  <dcterms:modified xsi:type="dcterms:W3CDTF">2022-02-11T18:17:00Z</dcterms:modified>
</cp:coreProperties>
</file>