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96A54" w14:textId="526A56F2" w:rsidR="00636CFA" w:rsidRPr="004F344F" w:rsidRDefault="00636CFA" w:rsidP="004F344F">
      <w:pPr>
        <w:spacing w:line="360" w:lineRule="auto"/>
        <w:jc w:val="center"/>
        <w:rPr>
          <w:rFonts w:ascii="Times New Roman" w:hAnsi="Times New Roman" w:cs="Times New Roman"/>
          <w:b/>
          <w:bCs/>
          <w:u w:val="single"/>
        </w:rPr>
      </w:pPr>
      <w:r w:rsidRPr="004F344F">
        <w:rPr>
          <w:rFonts w:ascii="Times New Roman" w:hAnsi="Times New Roman" w:cs="Times New Roman"/>
          <w:b/>
          <w:bCs/>
          <w:u w:val="single"/>
        </w:rPr>
        <w:t>A Critical Review of Willams &amp; Richardson (2024) Journal: What do JNC youth workers conceive of as ‘professional maturity’ in youth work practice.</w:t>
      </w:r>
    </w:p>
    <w:p w14:paraId="522C48BF" w14:textId="3662EF8F" w:rsidR="00636CFA" w:rsidRPr="004F344F" w:rsidRDefault="00636CFA" w:rsidP="004F344F">
      <w:pPr>
        <w:spacing w:line="360" w:lineRule="auto"/>
        <w:rPr>
          <w:rFonts w:ascii="Times New Roman" w:hAnsi="Times New Roman" w:cs="Times New Roman"/>
          <w:b/>
          <w:bCs/>
          <w:u w:val="single"/>
        </w:rPr>
      </w:pPr>
    </w:p>
    <w:p w14:paraId="1B695325" w14:textId="14BFF4FF" w:rsidR="00636CFA" w:rsidRPr="004F344F" w:rsidRDefault="00636CFA" w:rsidP="004F344F">
      <w:pPr>
        <w:spacing w:line="360" w:lineRule="auto"/>
        <w:jc w:val="center"/>
        <w:rPr>
          <w:rFonts w:ascii="Times New Roman" w:hAnsi="Times New Roman" w:cs="Times New Roman"/>
          <w:b/>
          <w:bCs/>
          <w:u w:val="single"/>
        </w:rPr>
      </w:pPr>
      <w:r w:rsidRPr="004F344F">
        <w:rPr>
          <w:rFonts w:ascii="Times New Roman" w:hAnsi="Times New Roman" w:cs="Times New Roman"/>
          <w:b/>
          <w:bCs/>
          <w:u w:val="single"/>
        </w:rPr>
        <w:t>Introduction</w:t>
      </w:r>
    </w:p>
    <w:p w14:paraId="56E1E49E" w14:textId="57F8F520" w:rsidR="00AA5317" w:rsidRPr="004F344F" w:rsidRDefault="00636CFA" w:rsidP="004F344F">
      <w:pPr>
        <w:spacing w:line="360" w:lineRule="auto"/>
        <w:rPr>
          <w:rFonts w:ascii="Times New Roman" w:hAnsi="Times New Roman" w:cs="Times New Roman"/>
        </w:rPr>
      </w:pPr>
      <w:r w:rsidRPr="004F344F">
        <w:rPr>
          <w:rFonts w:ascii="Times New Roman" w:hAnsi="Times New Roman" w:cs="Times New Roman"/>
        </w:rPr>
        <w:t xml:space="preserve">This review will critically evaluate Williams </w:t>
      </w:r>
      <w:r w:rsidR="00483119">
        <w:rPr>
          <w:rFonts w:ascii="Times New Roman" w:hAnsi="Times New Roman" w:cs="Times New Roman"/>
        </w:rPr>
        <w:t>and</w:t>
      </w:r>
      <w:r w:rsidRPr="004F344F">
        <w:rPr>
          <w:rFonts w:ascii="Times New Roman" w:hAnsi="Times New Roman" w:cs="Times New Roman"/>
        </w:rPr>
        <w:t xml:space="preserve"> Richardson’s (2024) journal, </w:t>
      </w:r>
      <w:r w:rsidRPr="004F344F">
        <w:rPr>
          <w:rFonts w:ascii="Times New Roman" w:hAnsi="Times New Roman" w:cs="Times New Roman"/>
          <w:i/>
          <w:iCs/>
        </w:rPr>
        <w:t>What Do JNC Youth Workers Conceive of as ‘Professional Maturity’ in Youth Work Practice.</w:t>
      </w:r>
      <w:r w:rsidR="00E94DF7" w:rsidRPr="004F344F">
        <w:rPr>
          <w:rFonts w:ascii="Times New Roman" w:hAnsi="Times New Roman" w:cs="Times New Roman"/>
          <w:i/>
          <w:iCs/>
        </w:rPr>
        <w:t xml:space="preserve"> </w:t>
      </w:r>
      <w:r w:rsidR="00E94DF7" w:rsidRPr="004F344F">
        <w:rPr>
          <w:rFonts w:ascii="Times New Roman" w:hAnsi="Times New Roman" w:cs="Times New Roman"/>
        </w:rPr>
        <w:t>Overall, the articl</w:t>
      </w:r>
      <w:r w:rsidR="00541A27" w:rsidRPr="004F344F">
        <w:rPr>
          <w:rFonts w:ascii="Times New Roman" w:hAnsi="Times New Roman" w:cs="Times New Roman"/>
        </w:rPr>
        <w:t>e explores</w:t>
      </w:r>
      <w:r w:rsidR="0071439E" w:rsidRPr="004F344F">
        <w:rPr>
          <w:rFonts w:ascii="Times New Roman" w:hAnsi="Times New Roman" w:cs="Times New Roman"/>
        </w:rPr>
        <w:t xml:space="preserve"> </w:t>
      </w:r>
      <w:r w:rsidR="006B2CE1" w:rsidRPr="004F344F">
        <w:rPr>
          <w:rFonts w:ascii="Times New Roman" w:hAnsi="Times New Roman" w:cs="Times New Roman"/>
        </w:rPr>
        <w:t>how professionally</w:t>
      </w:r>
      <w:r w:rsidR="00541A27" w:rsidRPr="004F344F">
        <w:rPr>
          <w:rFonts w:ascii="Times New Roman" w:hAnsi="Times New Roman" w:cs="Times New Roman"/>
        </w:rPr>
        <w:t xml:space="preserve"> qualified youth workers </w:t>
      </w:r>
      <w:r w:rsidR="006B2CE1" w:rsidRPr="004F344F">
        <w:rPr>
          <w:rFonts w:ascii="Times New Roman" w:hAnsi="Times New Roman" w:cs="Times New Roman"/>
        </w:rPr>
        <w:t>(</w:t>
      </w:r>
      <w:r w:rsidR="00020090" w:rsidRPr="004F344F">
        <w:rPr>
          <w:rFonts w:ascii="Times New Roman" w:hAnsi="Times New Roman" w:cs="Times New Roman"/>
        </w:rPr>
        <w:t>in</w:t>
      </w:r>
      <w:r w:rsidR="00537015" w:rsidRPr="004F344F">
        <w:rPr>
          <w:rFonts w:ascii="Times New Roman" w:hAnsi="Times New Roman" w:cs="Times New Roman"/>
        </w:rPr>
        <w:t xml:space="preserve"> the UK</w:t>
      </w:r>
      <w:r w:rsidR="006B2CE1" w:rsidRPr="004F344F">
        <w:rPr>
          <w:rFonts w:ascii="Times New Roman" w:hAnsi="Times New Roman" w:cs="Times New Roman"/>
        </w:rPr>
        <w:t>)</w:t>
      </w:r>
      <w:r w:rsidR="00537015" w:rsidRPr="004F344F">
        <w:rPr>
          <w:rFonts w:ascii="Times New Roman" w:hAnsi="Times New Roman" w:cs="Times New Roman"/>
        </w:rPr>
        <w:t xml:space="preserve"> understand the meaning</w:t>
      </w:r>
      <w:r w:rsidR="00980CBB" w:rsidRPr="004F344F">
        <w:rPr>
          <w:rFonts w:ascii="Times New Roman" w:hAnsi="Times New Roman" w:cs="Times New Roman"/>
        </w:rPr>
        <w:t xml:space="preserve"> </w:t>
      </w:r>
      <w:r w:rsidR="00B76BA8" w:rsidRPr="004F344F">
        <w:rPr>
          <w:rFonts w:ascii="Times New Roman" w:hAnsi="Times New Roman" w:cs="Times New Roman"/>
        </w:rPr>
        <w:t xml:space="preserve">yet concept </w:t>
      </w:r>
      <w:r w:rsidR="00537015" w:rsidRPr="004F344F">
        <w:rPr>
          <w:rFonts w:ascii="Times New Roman" w:hAnsi="Times New Roman" w:cs="Times New Roman"/>
        </w:rPr>
        <w:t xml:space="preserve">of professional maturity </w:t>
      </w:r>
      <w:r w:rsidR="00020090" w:rsidRPr="004F344F">
        <w:rPr>
          <w:rFonts w:ascii="Times New Roman" w:hAnsi="Times New Roman" w:cs="Times New Roman"/>
        </w:rPr>
        <w:t>and how this influence</w:t>
      </w:r>
      <w:r w:rsidR="009E76A8" w:rsidRPr="004F344F">
        <w:rPr>
          <w:rFonts w:ascii="Times New Roman" w:hAnsi="Times New Roman" w:cs="Times New Roman"/>
        </w:rPr>
        <w:t>s</w:t>
      </w:r>
      <w:r w:rsidR="00020090" w:rsidRPr="004F344F">
        <w:rPr>
          <w:rFonts w:ascii="Times New Roman" w:hAnsi="Times New Roman" w:cs="Times New Roman"/>
        </w:rPr>
        <w:t xml:space="preserve"> practice within their role.</w:t>
      </w:r>
      <w:r w:rsidR="00A15D76" w:rsidRPr="004F344F">
        <w:rPr>
          <w:rFonts w:ascii="Times New Roman" w:hAnsi="Times New Roman" w:cs="Times New Roman"/>
        </w:rPr>
        <w:t xml:space="preserve"> </w:t>
      </w:r>
      <w:r w:rsidR="00791664" w:rsidRPr="004F344F">
        <w:rPr>
          <w:rFonts w:ascii="Times New Roman" w:hAnsi="Times New Roman" w:cs="Times New Roman"/>
        </w:rPr>
        <w:t>The topic</w:t>
      </w:r>
      <w:r w:rsidR="00E859FB" w:rsidRPr="004F344F">
        <w:rPr>
          <w:rFonts w:ascii="Times New Roman" w:hAnsi="Times New Roman" w:cs="Times New Roman"/>
        </w:rPr>
        <w:t xml:space="preserve"> </w:t>
      </w:r>
      <w:r w:rsidR="005D2C1B" w:rsidRPr="004F344F">
        <w:rPr>
          <w:rFonts w:ascii="Times New Roman" w:hAnsi="Times New Roman" w:cs="Times New Roman"/>
        </w:rPr>
        <w:t xml:space="preserve">could be seen as </w:t>
      </w:r>
      <w:r w:rsidR="006129FE" w:rsidRPr="004F344F">
        <w:rPr>
          <w:rFonts w:ascii="Times New Roman" w:hAnsi="Times New Roman" w:cs="Times New Roman"/>
        </w:rPr>
        <w:t>significant due</w:t>
      </w:r>
      <w:r w:rsidR="00E66C52" w:rsidRPr="004F344F">
        <w:rPr>
          <w:rFonts w:ascii="Times New Roman" w:hAnsi="Times New Roman" w:cs="Times New Roman"/>
        </w:rPr>
        <w:t xml:space="preserve"> to </w:t>
      </w:r>
      <w:r w:rsidR="00793FDE" w:rsidRPr="004F344F">
        <w:rPr>
          <w:rFonts w:ascii="Times New Roman" w:hAnsi="Times New Roman" w:cs="Times New Roman"/>
        </w:rPr>
        <w:t>youth work</w:t>
      </w:r>
      <w:r w:rsidR="00902DBC" w:rsidRPr="004F344F">
        <w:rPr>
          <w:rFonts w:ascii="Times New Roman" w:hAnsi="Times New Roman" w:cs="Times New Roman"/>
        </w:rPr>
        <w:t xml:space="preserve"> </w:t>
      </w:r>
      <w:r w:rsidR="00E66C52" w:rsidRPr="004F344F">
        <w:rPr>
          <w:rFonts w:ascii="Times New Roman" w:hAnsi="Times New Roman" w:cs="Times New Roman"/>
        </w:rPr>
        <w:t xml:space="preserve">being </w:t>
      </w:r>
      <w:r w:rsidR="00902DBC" w:rsidRPr="004F344F">
        <w:rPr>
          <w:rFonts w:ascii="Times New Roman" w:hAnsi="Times New Roman" w:cs="Times New Roman"/>
        </w:rPr>
        <w:t>defined as a professional occupation</w:t>
      </w:r>
      <w:r w:rsidR="000D31A0" w:rsidRPr="004F344F">
        <w:rPr>
          <w:rFonts w:ascii="Times New Roman" w:hAnsi="Times New Roman" w:cs="Times New Roman"/>
        </w:rPr>
        <w:t xml:space="preserve"> when compared to occupations such as teaching, nursing or </w:t>
      </w:r>
      <w:r w:rsidR="006D4FAF" w:rsidRPr="004F344F">
        <w:rPr>
          <w:rFonts w:ascii="Times New Roman" w:hAnsi="Times New Roman" w:cs="Times New Roman"/>
        </w:rPr>
        <w:t>social work (Bradford, 2007; Copper, 2012)</w:t>
      </w:r>
      <w:r w:rsidR="003A734F" w:rsidRPr="004F344F">
        <w:rPr>
          <w:rFonts w:ascii="Times New Roman" w:hAnsi="Times New Roman" w:cs="Times New Roman"/>
        </w:rPr>
        <w:t xml:space="preserve">. </w:t>
      </w:r>
      <w:r w:rsidR="009973D2" w:rsidRPr="004F344F">
        <w:rPr>
          <w:rFonts w:ascii="Times New Roman" w:hAnsi="Times New Roman" w:cs="Times New Roman"/>
        </w:rPr>
        <w:t xml:space="preserve">In terms of practice, </w:t>
      </w:r>
      <w:r w:rsidR="002774A1" w:rsidRPr="004F344F">
        <w:rPr>
          <w:rFonts w:ascii="Times New Roman" w:hAnsi="Times New Roman" w:cs="Times New Roman"/>
        </w:rPr>
        <w:t>youth work</w:t>
      </w:r>
      <w:r w:rsidR="009B0134" w:rsidRPr="004F344F">
        <w:rPr>
          <w:rFonts w:ascii="Times New Roman" w:hAnsi="Times New Roman" w:cs="Times New Roman"/>
        </w:rPr>
        <w:t xml:space="preserve"> often balances</w:t>
      </w:r>
      <w:r w:rsidR="003A734F" w:rsidRPr="004F344F">
        <w:rPr>
          <w:rFonts w:ascii="Times New Roman" w:hAnsi="Times New Roman" w:cs="Times New Roman"/>
        </w:rPr>
        <w:t xml:space="preserve"> </w:t>
      </w:r>
      <w:r w:rsidR="004E273E" w:rsidRPr="004F344F">
        <w:rPr>
          <w:rFonts w:ascii="Times New Roman" w:hAnsi="Times New Roman" w:cs="Times New Roman"/>
        </w:rPr>
        <w:t xml:space="preserve">values </w:t>
      </w:r>
      <w:r w:rsidR="005E5E83" w:rsidRPr="004F344F">
        <w:rPr>
          <w:rFonts w:ascii="Times New Roman" w:hAnsi="Times New Roman" w:cs="Times New Roman"/>
        </w:rPr>
        <w:t>of informal</w:t>
      </w:r>
      <w:r w:rsidR="003D3A8C" w:rsidRPr="004F344F">
        <w:rPr>
          <w:rFonts w:ascii="Times New Roman" w:hAnsi="Times New Roman" w:cs="Times New Roman"/>
        </w:rPr>
        <w:t xml:space="preserve"> education with increasing expectations of accountability</w:t>
      </w:r>
      <w:r w:rsidR="009B0134" w:rsidRPr="004F344F">
        <w:rPr>
          <w:rFonts w:ascii="Times New Roman" w:hAnsi="Times New Roman" w:cs="Times New Roman"/>
        </w:rPr>
        <w:t xml:space="preserve">, </w:t>
      </w:r>
      <w:r w:rsidR="00186960" w:rsidRPr="004F344F">
        <w:rPr>
          <w:rFonts w:ascii="Times New Roman" w:hAnsi="Times New Roman" w:cs="Times New Roman"/>
        </w:rPr>
        <w:t>continued oversight and measurable outcomes (</w:t>
      </w:r>
      <w:proofErr w:type="spellStart"/>
      <w:r w:rsidR="00186960" w:rsidRPr="004F344F">
        <w:rPr>
          <w:rFonts w:ascii="Times New Roman" w:hAnsi="Times New Roman" w:cs="Times New Roman"/>
        </w:rPr>
        <w:t>Serecombe</w:t>
      </w:r>
      <w:proofErr w:type="spellEnd"/>
      <w:r w:rsidR="00186960" w:rsidRPr="004F344F">
        <w:rPr>
          <w:rFonts w:ascii="Times New Roman" w:hAnsi="Times New Roman" w:cs="Times New Roman"/>
        </w:rPr>
        <w:t xml:space="preserve">, 2010; </w:t>
      </w:r>
      <w:r w:rsidR="00A9654E" w:rsidRPr="004F344F">
        <w:rPr>
          <w:rFonts w:ascii="Times New Roman" w:hAnsi="Times New Roman" w:cs="Times New Roman"/>
        </w:rPr>
        <w:t xml:space="preserve">De St Croix, 2016). </w:t>
      </w:r>
      <w:r w:rsidR="00C466D1" w:rsidRPr="004F344F">
        <w:rPr>
          <w:rFonts w:ascii="Times New Roman" w:hAnsi="Times New Roman" w:cs="Times New Roman"/>
        </w:rPr>
        <w:t xml:space="preserve"> </w:t>
      </w:r>
      <w:r w:rsidR="00AF7FA8" w:rsidRPr="004F344F">
        <w:rPr>
          <w:rFonts w:ascii="Times New Roman" w:hAnsi="Times New Roman" w:cs="Times New Roman"/>
        </w:rPr>
        <w:t xml:space="preserve">Due to this, continuous debates about </w:t>
      </w:r>
      <w:r w:rsidR="005E5E83" w:rsidRPr="004F344F">
        <w:rPr>
          <w:rFonts w:ascii="Times New Roman" w:hAnsi="Times New Roman" w:cs="Times New Roman"/>
        </w:rPr>
        <w:t>expertise, legitimacy and professional identity remain highly relevant</w:t>
      </w:r>
      <w:r w:rsidR="00AA6B70" w:rsidRPr="004F344F">
        <w:rPr>
          <w:rFonts w:ascii="Times New Roman" w:hAnsi="Times New Roman" w:cs="Times New Roman"/>
        </w:rPr>
        <w:t xml:space="preserve"> (Metz</w:t>
      </w:r>
      <w:r w:rsidR="00C544EE" w:rsidRPr="004F344F">
        <w:rPr>
          <w:rFonts w:ascii="Times New Roman" w:hAnsi="Times New Roman" w:cs="Times New Roman"/>
        </w:rPr>
        <w:t xml:space="preserve">, 2017). </w:t>
      </w:r>
    </w:p>
    <w:p w14:paraId="7B66DE29" w14:textId="4B5C1A8D" w:rsidR="00636CFA" w:rsidRPr="004F344F" w:rsidRDefault="00AA5317" w:rsidP="004F344F">
      <w:pPr>
        <w:spacing w:line="360" w:lineRule="auto"/>
        <w:rPr>
          <w:rFonts w:ascii="Times New Roman" w:hAnsi="Times New Roman" w:cs="Times New Roman"/>
          <w:i/>
          <w:iCs/>
        </w:rPr>
      </w:pPr>
      <w:r w:rsidRPr="004F344F">
        <w:rPr>
          <w:rFonts w:ascii="Times New Roman" w:hAnsi="Times New Roman" w:cs="Times New Roman"/>
        </w:rPr>
        <w:tab/>
      </w:r>
      <w:r w:rsidR="004A4A4C" w:rsidRPr="004F344F">
        <w:rPr>
          <w:rFonts w:ascii="Times New Roman" w:hAnsi="Times New Roman" w:cs="Times New Roman"/>
        </w:rPr>
        <w:t>Throughout the review, a brief oversight of the</w:t>
      </w:r>
      <w:r w:rsidR="00316AF1" w:rsidRPr="004F344F">
        <w:rPr>
          <w:rFonts w:ascii="Times New Roman" w:hAnsi="Times New Roman" w:cs="Times New Roman"/>
        </w:rPr>
        <w:t xml:space="preserve"> literature review will be made to contextualise the study </w:t>
      </w:r>
      <w:r w:rsidR="00606ED5" w:rsidRPr="004F344F">
        <w:rPr>
          <w:rFonts w:ascii="Times New Roman" w:hAnsi="Times New Roman" w:cs="Times New Roman"/>
        </w:rPr>
        <w:t xml:space="preserve">and to distinguish </w:t>
      </w:r>
      <w:r w:rsidR="00B1248D" w:rsidRPr="004F344F">
        <w:rPr>
          <w:rFonts w:ascii="Times New Roman" w:hAnsi="Times New Roman" w:cs="Times New Roman"/>
        </w:rPr>
        <w:t>yet address the</w:t>
      </w:r>
      <w:r w:rsidR="005F1E6D" w:rsidRPr="004F344F">
        <w:rPr>
          <w:rFonts w:ascii="Times New Roman" w:hAnsi="Times New Roman" w:cs="Times New Roman"/>
        </w:rPr>
        <w:t xml:space="preserve"> gaps in </w:t>
      </w:r>
      <w:r w:rsidR="00B83BDF" w:rsidRPr="004F344F">
        <w:rPr>
          <w:rFonts w:ascii="Times New Roman" w:hAnsi="Times New Roman" w:cs="Times New Roman"/>
        </w:rPr>
        <w:t>knowledge. While professionalism and maturity have each been examined independentl</w:t>
      </w:r>
      <w:r w:rsidR="0000085B" w:rsidRPr="004F344F">
        <w:rPr>
          <w:rFonts w:ascii="Times New Roman" w:hAnsi="Times New Roman" w:cs="Times New Roman"/>
        </w:rPr>
        <w:t>y, limited</w:t>
      </w:r>
      <w:r w:rsidR="000B7168" w:rsidRPr="004F344F">
        <w:rPr>
          <w:rFonts w:ascii="Times New Roman" w:hAnsi="Times New Roman" w:cs="Times New Roman"/>
        </w:rPr>
        <w:t xml:space="preserve"> research </w:t>
      </w:r>
      <w:r w:rsidR="008F7E37" w:rsidRPr="004F344F">
        <w:rPr>
          <w:rFonts w:ascii="Times New Roman" w:hAnsi="Times New Roman" w:cs="Times New Roman"/>
        </w:rPr>
        <w:t xml:space="preserve">has explored the combined concept of professional maturity within youth work. </w:t>
      </w:r>
      <w:r w:rsidR="009D3F44" w:rsidRPr="004F344F">
        <w:rPr>
          <w:rFonts w:ascii="Times New Roman" w:hAnsi="Times New Roman" w:cs="Times New Roman"/>
        </w:rPr>
        <w:t>Therefore</w:t>
      </w:r>
      <w:r w:rsidR="008D7E8A" w:rsidRPr="004F344F">
        <w:rPr>
          <w:rFonts w:ascii="Times New Roman" w:hAnsi="Times New Roman" w:cs="Times New Roman"/>
        </w:rPr>
        <w:t>, the research question</w:t>
      </w:r>
      <w:r w:rsidR="003A6AA9" w:rsidRPr="004F344F">
        <w:rPr>
          <w:rFonts w:ascii="Times New Roman" w:hAnsi="Times New Roman" w:cs="Times New Roman"/>
        </w:rPr>
        <w:t xml:space="preserve"> can be identified as </w:t>
      </w:r>
      <w:r w:rsidR="009D3F44" w:rsidRPr="004F344F">
        <w:rPr>
          <w:rFonts w:ascii="Times New Roman" w:hAnsi="Times New Roman" w:cs="Times New Roman"/>
        </w:rPr>
        <w:t>‘</w:t>
      </w:r>
      <w:r w:rsidR="009D3F44" w:rsidRPr="004F344F">
        <w:rPr>
          <w:rFonts w:ascii="Times New Roman" w:hAnsi="Times New Roman" w:cs="Times New Roman"/>
          <w:i/>
          <w:iCs/>
        </w:rPr>
        <w:t>How</w:t>
      </w:r>
      <w:r w:rsidR="003A6AA9" w:rsidRPr="004F344F">
        <w:rPr>
          <w:rFonts w:ascii="Times New Roman" w:hAnsi="Times New Roman" w:cs="Times New Roman"/>
          <w:i/>
          <w:iCs/>
        </w:rPr>
        <w:t xml:space="preserve"> do JNC- qualified youth workers conceive of professional maturity and </w:t>
      </w:r>
      <w:r w:rsidR="005035B4" w:rsidRPr="004F344F">
        <w:rPr>
          <w:rFonts w:ascii="Times New Roman" w:hAnsi="Times New Roman" w:cs="Times New Roman"/>
          <w:i/>
          <w:iCs/>
        </w:rPr>
        <w:t xml:space="preserve">does this perception affect practice?’ </w:t>
      </w:r>
      <w:r w:rsidR="0000085B" w:rsidRPr="004F344F">
        <w:rPr>
          <w:rFonts w:ascii="Times New Roman" w:hAnsi="Times New Roman" w:cs="Times New Roman"/>
          <w:i/>
          <w:iCs/>
        </w:rPr>
        <w:t xml:space="preserve"> </w:t>
      </w:r>
    </w:p>
    <w:p w14:paraId="0ECC2D5F" w14:textId="268F5D29" w:rsidR="00567D59" w:rsidRPr="004F344F" w:rsidRDefault="00E42A2F" w:rsidP="004F344F">
      <w:pPr>
        <w:spacing w:line="360" w:lineRule="auto"/>
        <w:ind w:firstLine="720"/>
        <w:rPr>
          <w:rFonts w:ascii="Times New Roman" w:hAnsi="Times New Roman" w:cs="Times New Roman"/>
        </w:rPr>
      </w:pPr>
      <w:r w:rsidRPr="004F344F">
        <w:rPr>
          <w:rFonts w:ascii="Times New Roman" w:hAnsi="Times New Roman" w:cs="Times New Roman"/>
        </w:rPr>
        <w:t>The aim of this review is to</w:t>
      </w:r>
      <w:r w:rsidR="00784C62" w:rsidRPr="004F344F">
        <w:rPr>
          <w:rFonts w:ascii="Times New Roman" w:hAnsi="Times New Roman" w:cs="Times New Roman"/>
        </w:rPr>
        <w:t xml:space="preserve"> focus on the met</w:t>
      </w:r>
      <w:r w:rsidR="00467AF3" w:rsidRPr="004F344F">
        <w:rPr>
          <w:rFonts w:ascii="Times New Roman" w:hAnsi="Times New Roman" w:cs="Times New Roman"/>
        </w:rPr>
        <w:t>hods</w:t>
      </w:r>
      <w:r w:rsidR="00784C62" w:rsidRPr="004F344F">
        <w:rPr>
          <w:rFonts w:ascii="Times New Roman" w:hAnsi="Times New Roman" w:cs="Times New Roman"/>
        </w:rPr>
        <w:t xml:space="preserve"> </w:t>
      </w:r>
      <w:r w:rsidR="00467AF3" w:rsidRPr="004F344F">
        <w:rPr>
          <w:rFonts w:ascii="Times New Roman" w:hAnsi="Times New Roman" w:cs="Times New Roman"/>
        </w:rPr>
        <w:t>a</w:t>
      </w:r>
      <w:r w:rsidR="00784C62" w:rsidRPr="004F344F">
        <w:rPr>
          <w:rFonts w:ascii="Times New Roman" w:hAnsi="Times New Roman" w:cs="Times New Roman"/>
        </w:rPr>
        <w:t>nd ethics used</w:t>
      </w:r>
      <w:r w:rsidR="00467AF3" w:rsidRPr="004F344F">
        <w:rPr>
          <w:rFonts w:ascii="Times New Roman" w:hAnsi="Times New Roman" w:cs="Times New Roman"/>
        </w:rPr>
        <w:t xml:space="preserve"> in </w:t>
      </w:r>
      <w:r w:rsidR="005B6C3B" w:rsidRPr="004F344F">
        <w:rPr>
          <w:rFonts w:ascii="Times New Roman" w:hAnsi="Times New Roman" w:cs="Times New Roman"/>
        </w:rPr>
        <w:t>the</w:t>
      </w:r>
      <w:r w:rsidR="00467AF3" w:rsidRPr="004F344F">
        <w:rPr>
          <w:rFonts w:ascii="Times New Roman" w:hAnsi="Times New Roman" w:cs="Times New Roman"/>
        </w:rPr>
        <w:t xml:space="preserve"> article</w:t>
      </w:r>
      <w:r w:rsidR="000E6EE0" w:rsidRPr="004F344F">
        <w:rPr>
          <w:rFonts w:ascii="Times New Roman" w:hAnsi="Times New Roman" w:cs="Times New Roman"/>
        </w:rPr>
        <w:t xml:space="preserve"> </w:t>
      </w:r>
      <w:r w:rsidR="00DB738D" w:rsidRPr="004F344F">
        <w:rPr>
          <w:rFonts w:ascii="Times New Roman" w:hAnsi="Times New Roman" w:cs="Times New Roman"/>
        </w:rPr>
        <w:t xml:space="preserve">and evaluate their effectiveness </w:t>
      </w:r>
      <w:r w:rsidR="00DA19C0" w:rsidRPr="004F344F">
        <w:rPr>
          <w:rFonts w:ascii="Times New Roman" w:hAnsi="Times New Roman" w:cs="Times New Roman"/>
        </w:rPr>
        <w:t>for future studies</w:t>
      </w:r>
      <w:r w:rsidR="00145B7E" w:rsidRPr="004F344F">
        <w:rPr>
          <w:rFonts w:ascii="Times New Roman" w:hAnsi="Times New Roman" w:cs="Times New Roman"/>
        </w:rPr>
        <w:t xml:space="preserve"> and for</w:t>
      </w:r>
      <w:r w:rsidR="00DA19C0" w:rsidRPr="004F344F">
        <w:rPr>
          <w:rFonts w:ascii="Times New Roman" w:hAnsi="Times New Roman" w:cs="Times New Roman"/>
        </w:rPr>
        <w:t xml:space="preserve"> answering the desired research question. </w:t>
      </w:r>
      <w:r w:rsidR="00E478D5" w:rsidRPr="004F344F">
        <w:rPr>
          <w:rFonts w:ascii="Times New Roman" w:hAnsi="Times New Roman" w:cs="Times New Roman"/>
        </w:rPr>
        <w:t xml:space="preserve">Attention </w:t>
      </w:r>
      <w:bookmarkStart w:id="0" w:name="_Int_qcbLVg01"/>
      <w:r w:rsidR="00E478D5" w:rsidRPr="004F344F">
        <w:rPr>
          <w:rFonts w:ascii="Times New Roman" w:hAnsi="Times New Roman" w:cs="Times New Roman"/>
        </w:rPr>
        <w:t xml:space="preserve">is </w:t>
      </w:r>
      <w:r w:rsidR="00F85E1C" w:rsidRPr="004F344F">
        <w:rPr>
          <w:rFonts w:ascii="Times New Roman" w:hAnsi="Times New Roman" w:cs="Times New Roman"/>
        </w:rPr>
        <w:t>particularly</w:t>
      </w:r>
      <w:r w:rsidR="00E478D5" w:rsidRPr="004F344F">
        <w:rPr>
          <w:rFonts w:ascii="Times New Roman" w:hAnsi="Times New Roman" w:cs="Times New Roman"/>
        </w:rPr>
        <w:t xml:space="preserve"> given</w:t>
      </w:r>
      <w:bookmarkEnd w:id="0"/>
      <w:r w:rsidR="00E478D5" w:rsidRPr="004F344F">
        <w:rPr>
          <w:rFonts w:ascii="Times New Roman" w:hAnsi="Times New Roman" w:cs="Times New Roman"/>
        </w:rPr>
        <w:t xml:space="preserve"> to the relationship between the research question and the stated </w:t>
      </w:r>
      <w:r w:rsidR="00585844" w:rsidRPr="004F344F">
        <w:rPr>
          <w:rFonts w:ascii="Times New Roman" w:hAnsi="Times New Roman" w:cs="Times New Roman"/>
        </w:rPr>
        <w:t xml:space="preserve">phenomenological </w:t>
      </w:r>
      <w:r w:rsidR="00F85E1C" w:rsidRPr="004F344F">
        <w:rPr>
          <w:rFonts w:ascii="Times New Roman" w:hAnsi="Times New Roman" w:cs="Times New Roman"/>
        </w:rPr>
        <w:t>approach</w:t>
      </w:r>
      <w:r w:rsidR="00585844" w:rsidRPr="004F344F">
        <w:rPr>
          <w:rFonts w:ascii="Times New Roman" w:hAnsi="Times New Roman" w:cs="Times New Roman"/>
        </w:rPr>
        <w:t xml:space="preserve">, the </w:t>
      </w:r>
      <w:r w:rsidR="00F85E1C" w:rsidRPr="004F344F">
        <w:rPr>
          <w:rFonts w:ascii="Times New Roman" w:hAnsi="Times New Roman" w:cs="Times New Roman"/>
        </w:rPr>
        <w:t>suitability</w:t>
      </w:r>
      <w:r w:rsidR="00585844" w:rsidRPr="004F344F">
        <w:rPr>
          <w:rFonts w:ascii="Times New Roman" w:hAnsi="Times New Roman" w:cs="Times New Roman"/>
        </w:rPr>
        <w:t xml:space="preserve"> of the </w:t>
      </w:r>
      <w:r w:rsidR="00F85E1C" w:rsidRPr="004F344F">
        <w:rPr>
          <w:rFonts w:ascii="Times New Roman" w:hAnsi="Times New Roman" w:cs="Times New Roman"/>
        </w:rPr>
        <w:t>questionnaires</w:t>
      </w:r>
      <w:r w:rsidR="00585844" w:rsidRPr="004F344F">
        <w:rPr>
          <w:rFonts w:ascii="Times New Roman" w:hAnsi="Times New Roman" w:cs="Times New Roman"/>
        </w:rPr>
        <w:t xml:space="preserve"> and interviews, limitations in sampling procedures, and ethical issues</w:t>
      </w:r>
      <w:r w:rsidR="0019569E" w:rsidRPr="004F344F">
        <w:rPr>
          <w:rFonts w:ascii="Times New Roman" w:hAnsi="Times New Roman" w:cs="Times New Roman"/>
        </w:rPr>
        <w:t xml:space="preserve"> including confidentiality, consent, gatekeeping and researcher power</w:t>
      </w:r>
      <w:r w:rsidR="00F85E1C" w:rsidRPr="004F344F">
        <w:rPr>
          <w:rFonts w:ascii="Times New Roman" w:hAnsi="Times New Roman" w:cs="Times New Roman"/>
        </w:rPr>
        <w:t xml:space="preserve">. </w:t>
      </w:r>
      <w:r w:rsidR="00076918" w:rsidRPr="004F344F">
        <w:rPr>
          <w:rFonts w:ascii="Times New Roman" w:hAnsi="Times New Roman" w:cs="Times New Roman"/>
        </w:rPr>
        <w:t>Compar</w:t>
      </w:r>
      <w:r w:rsidR="00B345E1" w:rsidRPr="004F344F">
        <w:rPr>
          <w:rFonts w:ascii="Times New Roman" w:hAnsi="Times New Roman" w:cs="Times New Roman"/>
        </w:rPr>
        <w:t>ed</w:t>
      </w:r>
      <w:r w:rsidR="00F85E1C" w:rsidRPr="004F344F">
        <w:rPr>
          <w:rFonts w:ascii="Times New Roman" w:hAnsi="Times New Roman" w:cs="Times New Roman"/>
        </w:rPr>
        <w:t xml:space="preserve"> to</w:t>
      </w:r>
      <w:r w:rsidR="001F0069" w:rsidRPr="004F344F">
        <w:rPr>
          <w:rFonts w:ascii="Times New Roman" w:hAnsi="Times New Roman" w:cs="Times New Roman"/>
        </w:rPr>
        <w:t xml:space="preserve"> </w:t>
      </w:r>
      <w:r w:rsidR="00076918" w:rsidRPr="004F344F">
        <w:rPr>
          <w:rFonts w:ascii="Times New Roman" w:hAnsi="Times New Roman" w:cs="Times New Roman"/>
        </w:rPr>
        <w:t>recognised</w:t>
      </w:r>
      <w:r w:rsidR="001F0069" w:rsidRPr="004F344F">
        <w:rPr>
          <w:rFonts w:ascii="Times New Roman" w:hAnsi="Times New Roman" w:cs="Times New Roman"/>
        </w:rPr>
        <w:t xml:space="preserve"> </w:t>
      </w:r>
      <w:r w:rsidR="00076918" w:rsidRPr="004F344F">
        <w:rPr>
          <w:rFonts w:ascii="Times New Roman" w:hAnsi="Times New Roman" w:cs="Times New Roman"/>
        </w:rPr>
        <w:t>methodological</w:t>
      </w:r>
      <w:r w:rsidR="001F0069" w:rsidRPr="004F344F">
        <w:rPr>
          <w:rFonts w:ascii="Times New Roman" w:hAnsi="Times New Roman" w:cs="Times New Roman"/>
        </w:rPr>
        <w:t xml:space="preserve"> literature</w:t>
      </w:r>
      <w:r w:rsidR="007A158C" w:rsidRPr="004F344F">
        <w:rPr>
          <w:rFonts w:ascii="Times New Roman" w:hAnsi="Times New Roman" w:cs="Times New Roman"/>
        </w:rPr>
        <w:t xml:space="preserve">, this review highlights that </w:t>
      </w:r>
      <w:r w:rsidR="00076918" w:rsidRPr="004F344F">
        <w:rPr>
          <w:rFonts w:ascii="Times New Roman" w:hAnsi="Times New Roman" w:cs="Times New Roman"/>
        </w:rPr>
        <w:t>although</w:t>
      </w:r>
      <w:r w:rsidR="007A158C" w:rsidRPr="004F344F">
        <w:rPr>
          <w:rFonts w:ascii="Times New Roman" w:hAnsi="Times New Roman" w:cs="Times New Roman"/>
        </w:rPr>
        <w:t xml:space="preserve"> the article makes a </w:t>
      </w:r>
      <w:r w:rsidR="00AA0F36" w:rsidRPr="004F344F">
        <w:rPr>
          <w:rFonts w:ascii="Times New Roman" w:hAnsi="Times New Roman" w:cs="Times New Roman"/>
        </w:rPr>
        <w:t xml:space="preserve">useful contribution to youth work research, weaknesses in methodological </w:t>
      </w:r>
      <w:r w:rsidR="00A814A9" w:rsidRPr="004F344F">
        <w:rPr>
          <w:rFonts w:ascii="Times New Roman" w:hAnsi="Times New Roman" w:cs="Times New Roman"/>
        </w:rPr>
        <w:t xml:space="preserve">coherence, sampling </w:t>
      </w:r>
      <w:r w:rsidR="004A0F93" w:rsidRPr="004F344F">
        <w:rPr>
          <w:rFonts w:ascii="Times New Roman" w:hAnsi="Times New Roman" w:cs="Times New Roman"/>
        </w:rPr>
        <w:t xml:space="preserve">range and ethical </w:t>
      </w:r>
      <w:r w:rsidR="000544BB" w:rsidRPr="004F344F">
        <w:rPr>
          <w:rFonts w:ascii="Times New Roman" w:hAnsi="Times New Roman" w:cs="Times New Roman"/>
        </w:rPr>
        <w:t xml:space="preserve">reflexivity limit </w:t>
      </w:r>
      <w:r w:rsidR="00E41B3C" w:rsidRPr="004F344F">
        <w:rPr>
          <w:rFonts w:ascii="Times New Roman" w:hAnsi="Times New Roman" w:cs="Times New Roman"/>
        </w:rPr>
        <w:t>the reliability and transferability of its findings</w:t>
      </w:r>
      <w:r w:rsidR="00076918" w:rsidRPr="004F344F">
        <w:rPr>
          <w:rFonts w:ascii="Times New Roman" w:hAnsi="Times New Roman" w:cs="Times New Roman"/>
        </w:rPr>
        <w:t xml:space="preserve"> </w:t>
      </w:r>
      <w:r w:rsidR="008714DF" w:rsidRPr="004F344F">
        <w:rPr>
          <w:rFonts w:ascii="Times New Roman" w:hAnsi="Times New Roman" w:cs="Times New Roman"/>
        </w:rPr>
        <w:t xml:space="preserve">(Creswell </w:t>
      </w:r>
      <w:r w:rsidR="008714DF" w:rsidRPr="004F344F">
        <w:rPr>
          <w:rFonts w:ascii="Times New Roman" w:hAnsi="Times New Roman" w:cs="Times New Roman"/>
        </w:rPr>
        <w:t>&amp;</w:t>
      </w:r>
      <w:r w:rsidR="008714DF" w:rsidRPr="004F344F">
        <w:rPr>
          <w:rFonts w:ascii="Times New Roman" w:hAnsi="Times New Roman" w:cs="Times New Roman"/>
        </w:rPr>
        <w:t xml:space="preserve"> Creswell, 2018; Cohen, Manion </w:t>
      </w:r>
      <w:r w:rsidR="008714DF" w:rsidRPr="004F344F">
        <w:rPr>
          <w:rFonts w:ascii="Times New Roman" w:hAnsi="Times New Roman" w:cs="Times New Roman"/>
        </w:rPr>
        <w:t>&amp;</w:t>
      </w:r>
      <w:r w:rsidR="008714DF" w:rsidRPr="004F344F">
        <w:rPr>
          <w:rFonts w:ascii="Times New Roman" w:hAnsi="Times New Roman" w:cs="Times New Roman"/>
        </w:rPr>
        <w:t xml:space="preserve"> Morrison, 2018).</w:t>
      </w:r>
    </w:p>
    <w:p w14:paraId="637D45D3" w14:textId="77777777" w:rsidR="00D1104C" w:rsidRPr="004F344F" w:rsidRDefault="00D1104C" w:rsidP="004F344F">
      <w:pPr>
        <w:spacing w:line="360" w:lineRule="auto"/>
        <w:rPr>
          <w:rFonts w:ascii="Times New Roman" w:hAnsi="Times New Roman" w:cs="Times New Roman"/>
          <w:b/>
          <w:bCs/>
          <w:u w:val="single"/>
        </w:rPr>
      </w:pPr>
    </w:p>
    <w:p w14:paraId="7E0F60CA" w14:textId="08392EAA" w:rsidR="00D1104C" w:rsidRPr="004F344F" w:rsidRDefault="00D1104C" w:rsidP="004F344F">
      <w:pPr>
        <w:spacing w:line="360" w:lineRule="auto"/>
        <w:jc w:val="center"/>
        <w:rPr>
          <w:rFonts w:ascii="Times New Roman" w:hAnsi="Times New Roman" w:cs="Times New Roman"/>
          <w:b/>
          <w:bCs/>
          <w:u w:val="single"/>
        </w:rPr>
      </w:pPr>
      <w:r w:rsidRPr="004F344F">
        <w:rPr>
          <w:rFonts w:ascii="Times New Roman" w:hAnsi="Times New Roman" w:cs="Times New Roman"/>
          <w:b/>
          <w:bCs/>
          <w:u w:val="single"/>
        </w:rPr>
        <w:lastRenderedPageBreak/>
        <w:t>Literature Review</w:t>
      </w:r>
    </w:p>
    <w:p w14:paraId="4B566983"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Youth work has long held an ambiguous professional identity. Practitioners may undertake safeguarding, advocacy, informal education and complex relational work, yet the field has often been viewed as less formalised than teaching or social work (Cooper, 2012; Sercombe, 2010). Bradford (2007) argues that professionalism in youth work has historically been linked to autonomy, expertise and occupational legitimacy, although these meanings are shaped by wider political and organisational pressures. Davies (2008) similarly suggests that youth work is socially constructed and continually reshaped by changing policy agendas.</w:t>
      </w:r>
    </w:p>
    <w:p w14:paraId="4D1AA7FF" w14:textId="7F0780B7" w:rsidR="00B87FE5" w:rsidRPr="0018605C" w:rsidRDefault="00B87FE5" w:rsidP="0034479E">
      <w:pPr>
        <w:spacing w:line="360" w:lineRule="auto"/>
        <w:ind w:firstLine="720"/>
        <w:rPr>
          <w:rFonts w:ascii="Times New Roman" w:hAnsi="Times New Roman" w:cs="Times New Roman"/>
        </w:rPr>
      </w:pPr>
      <w:r w:rsidRPr="0018605C">
        <w:rPr>
          <w:rFonts w:ascii="Times New Roman" w:hAnsi="Times New Roman" w:cs="Times New Roman"/>
        </w:rPr>
        <w:t>Williams and Richardson (2024) argue that professionalism and maturity are “well researched when considered separately” (p.157), yet that professional maturity is not strongly represented in existing youth work literature (p.159). This identifies a clear gap in</w:t>
      </w:r>
      <w:r w:rsidR="00A65E60">
        <w:rPr>
          <w:rFonts w:ascii="Times New Roman" w:hAnsi="Times New Roman" w:cs="Times New Roman"/>
        </w:rPr>
        <w:t xml:space="preserve"> </w:t>
      </w:r>
      <w:r w:rsidRPr="0018605C">
        <w:rPr>
          <w:rFonts w:ascii="Times New Roman" w:hAnsi="Times New Roman" w:cs="Times New Roman"/>
        </w:rPr>
        <w:t>knowledge. Professionalism is commonly discussed through competence, accountability and values (Corney, 2004), while maturity is often associated with judgement, responsibility and independence (</w:t>
      </w:r>
      <w:proofErr w:type="spellStart"/>
      <w:r w:rsidRPr="0018605C">
        <w:rPr>
          <w:rFonts w:ascii="Times New Roman" w:hAnsi="Times New Roman" w:cs="Times New Roman"/>
        </w:rPr>
        <w:t>Raiu</w:t>
      </w:r>
      <w:proofErr w:type="spellEnd"/>
      <w:r w:rsidRPr="0018605C">
        <w:rPr>
          <w:rFonts w:ascii="Times New Roman" w:hAnsi="Times New Roman" w:cs="Times New Roman"/>
        </w:rPr>
        <w:t xml:space="preserve">, Roth </w:t>
      </w:r>
      <w:r w:rsidR="00CB1C90" w:rsidRPr="004F344F">
        <w:rPr>
          <w:rFonts w:ascii="Times New Roman" w:hAnsi="Times New Roman" w:cs="Times New Roman"/>
        </w:rPr>
        <w:t>&amp;</w:t>
      </w:r>
      <w:r w:rsidRPr="0018605C">
        <w:rPr>
          <w:rFonts w:ascii="Times New Roman" w:hAnsi="Times New Roman" w:cs="Times New Roman"/>
        </w:rPr>
        <w:t xml:space="preserve"> </w:t>
      </w:r>
      <w:proofErr w:type="spellStart"/>
      <w:r w:rsidRPr="0018605C">
        <w:rPr>
          <w:rFonts w:ascii="Times New Roman" w:hAnsi="Times New Roman" w:cs="Times New Roman"/>
        </w:rPr>
        <w:t>Haragus</w:t>
      </w:r>
      <w:proofErr w:type="spellEnd"/>
      <w:r w:rsidRPr="0018605C">
        <w:rPr>
          <w:rFonts w:ascii="Times New Roman" w:hAnsi="Times New Roman" w:cs="Times New Roman"/>
        </w:rPr>
        <w:t>, 2014). However, much less attention has been given to how practitioners themselves understand the relationship between these ideas in day-to-day practice</w:t>
      </w:r>
      <w:r w:rsidR="00526EA7">
        <w:rPr>
          <w:rFonts w:ascii="Times New Roman" w:hAnsi="Times New Roman" w:cs="Times New Roman"/>
        </w:rPr>
        <w:t xml:space="preserve"> (William &amp; Richardson, 2024).</w:t>
      </w:r>
    </w:p>
    <w:p w14:paraId="12ABC093" w14:textId="0DCF861D" w:rsidR="00B87FE5" w:rsidRPr="0018605C" w:rsidRDefault="00B87FE5" w:rsidP="0034479E">
      <w:pPr>
        <w:spacing w:line="360" w:lineRule="auto"/>
        <w:ind w:firstLine="720"/>
        <w:rPr>
          <w:rFonts w:ascii="Times New Roman" w:hAnsi="Times New Roman" w:cs="Times New Roman"/>
        </w:rPr>
      </w:pPr>
      <w:r w:rsidRPr="0018605C">
        <w:rPr>
          <w:rFonts w:ascii="Times New Roman" w:hAnsi="Times New Roman" w:cs="Times New Roman"/>
        </w:rPr>
        <w:t xml:space="preserve">The study is particularly relevant because youth work in the UK has faced significant funding reductions, fragmented provision and growing pressure to evidence outcomes (de St Croix, 2016; Jeffs </w:t>
      </w:r>
      <w:r w:rsidR="00BE36A4">
        <w:rPr>
          <w:rFonts w:ascii="Times New Roman" w:hAnsi="Times New Roman" w:cs="Times New Roman"/>
        </w:rPr>
        <w:t>&amp;</w:t>
      </w:r>
      <w:r w:rsidRPr="0018605C">
        <w:rPr>
          <w:rFonts w:ascii="Times New Roman" w:hAnsi="Times New Roman" w:cs="Times New Roman"/>
        </w:rPr>
        <w:t xml:space="preserve"> Smith, 2010). In this context, ideas such as professional maturity may function as markers of quality and legitimacy, while also </w:t>
      </w:r>
      <w:r w:rsidR="00A65E60">
        <w:rPr>
          <w:rFonts w:ascii="Times New Roman" w:hAnsi="Times New Roman" w:cs="Times New Roman"/>
        </w:rPr>
        <w:t xml:space="preserve">favouring </w:t>
      </w:r>
      <w:r w:rsidRPr="0018605C">
        <w:rPr>
          <w:rFonts w:ascii="Times New Roman" w:hAnsi="Times New Roman" w:cs="Times New Roman"/>
        </w:rPr>
        <w:t>certain qualifications or forms of knowledge (Bradford, 2007).</w:t>
      </w:r>
    </w:p>
    <w:p w14:paraId="62078032" w14:textId="2E75C0FF" w:rsidR="00B87FE5" w:rsidRPr="0018605C" w:rsidRDefault="00B87FE5" w:rsidP="00A65E60">
      <w:pPr>
        <w:spacing w:line="360" w:lineRule="auto"/>
        <w:ind w:firstLine="720"/>
        <w:rPr>
          <w:rFonts w:ascii="Times New Roman" w:hAnsi="Times New Roman" w:cs="Times New Roman"/>
        </w:rPr>
      </w:pPr>
      <w:r w:rsidRPr="0018605C">
        <w:rPr>
          <w:rFonts w:ascii="Times New Roman" w:hAnsi="Times New Roman" w:cs="Times New Roman"/>
        </w:rPr>
        <w:t xml:space="preserve">Professionalism in youth work remains </w:t>
      </w:r>
      <w:r w:rsidR="005F694D">
        <w:rPr>
          <w:rFonts w:ascii="Times New Roman" w:hAnsi="Times New Roman" w:cs="Times New Roman"/>
        </w:rPr>
        <w:t>subjective</w:t>
      </w:r>
      <w:r w:rsidRPr="0018605C">
        <w:rPr>
          <w:rFonts w:ascii="Times New Roman" w:hAnsi="Times New Roman" w:cs="Times New Roman"/>
        </w:rPr>
        <w:t xml:space="preserve"> </w:t>
      </w:r>
      <w:r w:rsidR="005F694D">
        <w:rPr>
          <w:rFonts w:ascii="Times New Roman" w:hAnsi="Times New Roman" w:cs="Times New Roman"/>
        </w:rPr>
        <w:t>as</w:t>
      </w:r>
      <w:r w:rsidRPr="0018605C">
        <w:rPr>
          <w:rFonts w:ascii="Times New Roman" w:hAnsi="Times New Roman" w:cs="Times New Roman"/>
        </w:rPr>
        <w:t xml:space="preserve"> the field has historically resisted narrow occupational definitions. Jeffs </w:t>
      </w:r>
      <w:r w:rsidR="00AE65F6">
        <w:rPr>
          <w:rFonts w:ascii="Times New Roman" w:hAnsi="Times New Roman" w:cs="Times New Roman"/>
        </w:rPr>
        <w:t>and</w:t>
      </w:r>
      <w:r w:rsidRPr="0018605C">
        <w:rPr>
          <w:rFonts w:ascii="Times New Roman" w:hAnsi="Times New Roman" w:cs="Times New Roman"/>
        </w:rPr>
        <w:t xml:space="preserve"> Smith (2010) argue that youth work is grounded in informal education, voluntary engagement and relationships, all of which can sit uneasily beside managerial demands for standardisation and performance measurement. This matters because concepts such as professional maturity may be interpreted either as a valuable developmental idea or as a way of regulating practice that prioritises formal cr</w:t>
      </w:r>
      <w:r w:rsidR="00C438AD">
        <w:rPr>
          <w:rFonts w:ascii="Times New Roman" w:hAnsi="Times New Roman" w:cs="Times New Roman"/>
        </w:rPr>
        <w:t>iteria</w:t>
      </w:r>
      <w:r w:rsidRPr="0018605C">
        <w:rPr>
          <w:rFonts w:ascii="Times New Roman" w:hAnsi="Times New Roman" w:cs="Times New Roman"/>
        </w:rPr>
        <w:t xml:space="preserve"> over relational expertise. Sercombe (2010) similarly argues that ethical judgement in youth work is inseparable from context, meaning professional practice cannot be reduced to technical competence alone.</w:t>
      </w:r>
    </w:p>
    <w:p w14:paraId="54CDF23A" w14:textId="456CD26C"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Viewed in this way, Williams and Richardson’s (2024) study is significant not only </w:t>
      </w:r>
      <w:r w:rsidR="00E564AB">
        <w:rPr>
          <w:rFonts w:ascii="Times New Roman" w:hAnsi="Times New Roman" w:cs="Times New Roman"/>
        </w:rPr>
        <w:t>due to</w:t>
      </w:r>
      <w:r w:rsidRPr="0018605C">
        <w:rPr>
          <w:rFonts w:ascii="Times New Roman" w:hAnsi="Times New Roman" w:cs="Times New Roman"/>
        </w:rPr>
        <w:t xml:space="preserve"> it</w:t>
      </w:r>
      <w:r w:rsidR="00E564AB">
        <w:rPr>
          <w:rFonts w:ascii="Times New Roman" w:hAnsi="Times New Roman" w:cs="Times New Roman"/>
        </w:rPr>
        <w:t>s</w:t>
      </w:r>
      <w:r w:rsidRPr="0018605C">
        <w:rPr>
          <w:rFonts w:ascii="Times New Roman" w:hAnsi="Times New Roman" w:cs="Times New Roman"/>
        </w:rPr>
        <w:t xml:space="preserve"> explor</w:t>
      </w:r>
      <w:r w:rsidR="00E564AB">
        <w:rPr>
          <w:rFonts w:ascii="Times New Roman" w:hAnsi="Times New Roman" w:cs="Times New Roman"/>
        </w:rPr>
        <w:t>ation as</w:t>
      </w:r>
      <w:r w:rsidRPr="0018605C">
        <w:rPr>
          <w:rFonts w:ascii="Times New Roman" w:hAnsi="Times New Roman" w:cs="Times New Roman"/>
        </w:rPr>
        <w:t xml:space="preserve"> an under-researched concept, but</w:t>
      </w:r>
      <w:r w:rsidR="000111B2">
        <w:rPr>
          <w:rFonts w:ascii="Times New Roman" w:hAnsi="Times New Roman" w:cs="Times New Roman"/>
        </w:rPr>
        <w:t xml:space="preserve"> also, </w:t>
      </w:r>
      <w:r w:rsidRPr="0018605C">
        <w:rPr>
          <w:rFonts w:ascii="Times New Roman" w:hAnsi="Times New Roman" w:cs="Times New Roman"/>
        </w:rPr>
        <w:t xml:space="preserve">it highlights how practitioners negotiate </w:t>
      </w:r>
      <w:r w:rsidRPr="0018605C">
        <w:rPr>
          <w:rFonts w:ascii="Times New Roman" w:hAnsi="Times New Roman" w:cs="Times New Roman"/>
        </w:rPr>
        <w:lastRenderedPageBreak/>
        <w:t>competing ideas of legitimacy, expertise and values within a changing professional landscape</w:t>
      </w:r>
      <w:r w:rsidR="00192C36">
        <w:rPr>
          <w:rFonts w:ascii="Times New Roman" w:hAnsi="Times New Roman" w:cs="Times New Roman"/>
        </w:rPr>
        <w:t xml:space="preserve"> (</w:t>
      </w:r>
      <w:r w:rsidR="00192C36" w:rsidRPr="00192C36">
        <w:rPr>
          <w:rFonts w:ascii="Times New Roman" w:hAnsi="Times New Roman" w:cs="Times New Roman"/>
        </w:rPr>
        <w:t>Evetts, 2013</w:t>
      </w:r>
      <w:r w:rsidR="00192C36">
        <w:rPr>
          <w:rFonts w:ascii="Times New Roman" w:hAnsi="Times New Roman" w:cs="Times New Roman"/>
        </w:rPr>
        <w:t>).</w:t>
      </w:r>
    </w:p>
    <w:p w14:paraId="7BD282C5"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The implied research question can therefore be summarised as: </w:t>
      </w:r>
      <w:r w:rsidRPr="0018605C">
        <w:rPr>
          <w:rFonts w:ascii="Times New Roman" w:hAnsi="Times New Roman" w:cs="Times New Roman"/>
          <w:i/>
          <w:iCs/>
        </w:rPr>
        <w:t>What do JNC-qualified youth workers understand by professional maturity, and does this understanding influence practice?</w:t>
      </w:r>
    </w:p>
    <w:p w14:paraId="55EFA864" w14:textId="77777777" w:rsidR="00B87FE5" w:rsidRPr="0018605C" w:rsidRDefault="00B87FE5" w:rsidP="004F344F">
      <w:pPr>
        <w:spacing w:line="360" w:lineRule="auto"/>
        <w:jc w:val="center"/>
        <w:rPr>
          <w:rFonts w:ascii="Times New Roman" w:hAnsi="Times New Roman" w:cs="Times New Roman"/>
          <w:b/>
          <w:bCs/>
          <w:u w:val="single"/>
        </w:rPr>
      </w:pPr>
      <w:r w:rsidRPr="0018605C">
        <w:rPr>
          <w:rFonts w:ascii="Times New Roman" w:hAnsi="Times New Roman" w:cs="Times New Roman"/>
          <w:b/>
          <w:bCs/>
          <w:u w:val="single"/>
        </w:rPr>
        <w:t>Methodology</w:t>
      </w:r>
    </w:p>
    <w:p w14:paraId="661BE2A9" w14:textId="30028BAC"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Methodology refers to the philosophical assumptions that guide how knowledge is produced, interpreted and understood within research (Crotty, 1998). Williams </w:t>
      </w:r>
      <w:r w:rsidR="00AE65F6">
        <w:rPr>
          <w:rFonts w:ascii="Times New Roman" w:hAnsi="Times New Roman" w:cs="Times New Roman"/>
        </w:rPr>
        <w:t>and</w:t>
      </w:r>
      <w:r w:rsidRPr="0018605C">
        <w:rPr>
          <w:rFonts w:ascii="Times New Roman" w:hAnsi="Times New Roman" w:cs="Times New Roman"/>
        </w:rPr>
        <w:t xml:space="preserve"> Richardson (2024) state that they adopted a phenomenological approach, arguing that this enabled them to capture “a specific moment within the field” while exploring how practitioners understood professional maturity (p.159). They cite Bryman (2012), who describes phenomenology as concerned with how individuals make sense of their social world.</w:t>
      </w:r>
    </w:p>
    <w:p w14:paraId="56D36188" w14:textId="1C55F0BB"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 xml:space="preserve">A clear research question is important because methodology, methods and analysis should work together as a coherent chain of reasoning (Creswell </w:t>
      </w:r>
      <w:r w:rsidR="00FE06F1">
        <w:rPr>
          <w:rFonts w:ascii="Times New Roman" w:hAnsi="Times New Roman" w:cs="Times New Roman"/>
        </w:rPr>
        <w:t>&amp;</w:t>
      </w:r>
      <w:r w:rsidRPr="0018605C">
        <w:rPr>
          <w:rFonts w:ascii="Times New Roman" w:hAnsi="Times New Roman" w:cs="Times New Roman"/>
        </w:rPr>
        <w:t xml:space="preserve"> Creswell, 2018). As the study aimed to explore how youth workers conceive of professional maturity, an interpretivist position appears appropriate. Interpretivism assumes that social reality is shaped through meaning, interaction and lived experience rather than existing as objective fact (Schwandt, 2014). From this perspective, a qualitative approach was well suited to the topic.</w:t>
      </w:r>
    </w:p>
    <w:p w14:paraId="06518D14" w14:textId="77777777"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However, the specific claim to phenomenology is less convincing. Phenomenological research usually seeks rich first-person accounts of lived experience through in-depth interviews, sustained engagement and careful reflection on researcher assumptions, often referred to as bracketing (Moustakas, 1994; Finlay, 2011). It tends to prioritise depth over breadth. In contrast, Williams and Richardson (2024) relied mainly on an online questionnaire with 51 respondents, supported by one online interview involving five participants.</w:t>
      </w:r>
    </w:p>
    <w:p w14:paraId="019DF69C" w14:textId="410F4E77"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 xml:space="preserve">Smith, Flowers </w:t>
      </w:r>
      <w:r w:rsidR="004F6A13">
        <w:rPr>
          <w:rFonts w:ascii="Times New Roman" w:hAnsi="Times New Roman" w:cs="Times New Roman"/>
        </w:rPr>
        <w:t xml:space="preserve">and </w:t>
      </w:r>
      <w:r w:rsidRPr="0018605C">
        <w:rPr>
          <w:rFonts w:ascii="Times New Roman" w:hAnsi="Times New Roman" w:cs="Times New Roman"/>
        </w:rPr>
        <w:t xml:space="preserve">Larkin (2009) note that phenomenological approaches such as Interpretative Phenomenological Analysis commonly use small purposive samples and detailed idiographic analysis. The broader survey-style design used in this study does not closely align with that tradition. Where there is a mismatch between stated methodology and actual methods, the coherence of the research design can be weakened because readers may </w:t>
      </w:r>
      <w:r w:rsidRPr="0018605C">
        <w:rPr>
          <w:rFonts w:ascii="Times New Roman" w:hAnsi="Times New Roman" w:cs="Times New Roman"/>
        </w:rPr>
        <w:lastRenderedPageBreak/>
        <w:t xml:space="preserve">be unclear about what type of knowledge claim is being made (Creswell </w:t>
      </w:r>
      <w:r w:rsidR="004F6A13">
        <w:rPr>
          <w:rFonts w:ascii="Times New Roman" w:hAnsi="Times New Roman" w:cs="Times New Roman"/>
        </w:rPr>
        <w:t>&amp;</w:t>
      </w:r>
      <w:r w:rsidRPr="0018605C">
        <w:rPr>
          <w:rFonts w:ascii="Times New Roman" w:hAnsi="Times New Roman" w:cs="Times New Roman"/>
        </w:rPr>
        <w:t xml:space="preserve"> Creswell, 2018; Cohen, Manion </w:t>
      </w:r>
      <w:r w:rsidR="004F6A13">
        <w:rPr>
          <w:rFonts w:ascii="Times New Roman" w:hAnsi="Times New Roman" w:cs="Times New Roman"/>
        </w:rPr>
        <w:t xml:space="preserve">&amp; </w:t>
      </w:r>
      <w:r w:rsidRPr="0018605C">
        <w:rPr>
          <w:rFonts w:ascii="Times New Roman" w:hAnsi="Times New Roman" w:cs="Times New Roman"/>
        </w:rPr>
        <w:t>Morrison, 2018).</w:t>
      </w:r>
    </w:p>
    <w:p w14:paraId="240A76F2" w14:textId="77777777"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The article also explains that themes emerged inductively and were later used to develop a model of professional maturity. This resembles aspects of grounded theory, where concepts are systematically developed from data through iterative coding and constant comparison (Charmaz, 2014). However, grounded theory is not explicitly identified, and there is no discussion of theoretical sampling, memo-writing or saturation. Drawing selectively from different qualitative traditions without a clear rationale can create methodological ambiguity (Crotty, 1998).</w:t>
      </w:r>
    </w:p>
    <w:p w14:paraId="4081E533" w14:textId="76CB36A9"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 xml:space="preserve">This matters because different qualitative approaches aim to produce different kinds of knowledge. If the study is phenomenological, the findings should illuminate lived experience. If it is thematic, the aim is to identify patterns of meaning. If it is grounded theory, the goal is to explain social processes. Without clarity, the trustworthiness of the findings is harder to </w:t>
      </w:r>
      <w:proofErr w:type="gramStart"/>
      <w:r w:rsidRPr="0018605C">
        <w:rPr>
          <w:rFonts w:ascii="Times New Roman" w:hAnsi="Times New Roman" w:cs="Times New Roman"/>
        </w:rPr>
        <w:t>assess</w:t>
      </w:r>
      <w:proofErr w:type="gramEnd"/>
      <w:r w:rsidRPr="0018605C">
        <w:rPr>
          <w:rFonts w:ascii="Times New Roman" w:hAnsi="Times New Roman" w:cs="Times New Roman"/>
        </w:rPr>
        <w:t xml:space="preserve"> and readers may have less confidence in the conclusions reached (Lincoln </w:t>
      </w:r>
      <w:r w:rsidR="004F6A13">
        <w:rPr>
          <w:rFonts w:ascii="Times New Roman" w:hAnsi="Times New Roman" w:cs="Times New Roman"/>
        </w:rPr>
        <w:t>&amp;</w:t>
      </w:r>
      <w:r w:rsidRPr="0018605C">
        <w:rPr>
          <w:rFonts w:ascii="Times New Roman" w:hAnsi="Times New Roman" w:cs="Times New Roman"/>
        </w:rPr>
        <w:t xml:space="preserve"> Guba, 1985).</w:t>
      </w:r>
    </w:p>
    <w:p w14:paraId="5242BF37" w14:textId="2C12C4CD" w:rsidR="00B87FE5" w:rsidRPr="0018605C" w:rsidRDefault="00B87FE5" w:rsidP="009622C4">
      <w:pPr>
        <w:spacing w:line="360" w:lineRule="auto"/>
        <w:ind w:firstLine="720"/>
        <w:rPr>
          <w:rFonts w:ascii="Times New Roman" w:hAnsi="Times New Roman" w:cs="Times New Roman"/>
        </w:rPr>
      </w:pPr>
      <w:r w:rsidRPr="0018605C">
        <w:rPr>
          <w:rFonts w:ascii="Times New Roman" w:hAnsi="Times New Roman" w:cs="Times New Roman"/>
        </w:rPr>
        <w:t xml:space="preserve">Despite this, the broader qualitative orientation remained appropriate. A purely quantitative design would have struggled to capture the nuanced meanings attached to a socially constructed concept such as professional maturity (Denzin </w:t>
      </w:r>
      <w:r w:rsidR="004F6A13">
        <w:rPr>
          <w:rFonts w:ascii="Times New Roman" w:hAnsi="Times New Roman" w:cs="Times New Roman"/>
        </w:rPr>
        <w:t>&amp;</w:t>
      </w:r>
      <w:r w:rsidRPr="0018605C">
        <w:rPr>
          <w:rFonts w:ascii="Times New Roman" w:hAnsi="Times New Roman" w:cs="Times New Roman"/>
        </w:rPr>
        <w:t xml:space="preserve"> Lincoln, 2018). A more accurate description of the study may therefore have been exploratory qualitative research using thematic analysis within an interpretivist framework. This would better reflect the actual design while maintaining consistency between the question, methods and findings.</w:t>
      </w:r>
    </w:p>
    <w:p w14:paraId="65AE6F81" w14:textId="77777777" w:rsidR="00B87FE5" w:rsidRPr="0018605C" w:rsidRDefault="00B87FE5" w:rsidP="00053EC4">
      <w:pPr>
        <w:spacing w:line="360" w:lineRule="auto"/>
        <w:ind w:firstLine="720"/>
        <w:rPr>
          <w:rFonts w:ascii="Times New Roman" w:hAnsi="Times New Roman" w:cs="Times New Roman"/>
        </w:rPr>
      </w:pPr>
      <w:r w:rsidRPr="0018605C">
        <w:rPr>
          <w:rFonts w:ascii="Times New Roman" w:hAnsi="Times New Roman" w:cs="Times New Roman"/>
        </w:rPr>
        <w:t>Another limitation concerns reflexivity. Qualitative researchers are not neutral observers but active participants in the production of meaning, so explicit reflection on positionality can strengthen credibility (Finlay, 2002). Although the authors acknowledge their backgrounds in youth work and higher education, there is limited discussion of how these positions may have shaped the design of questions, interactions with participants or interpretation of the data.</w:t>
      </w:r>
    </w:p>
    <w:p w14:paraId="6FF88F7D" w14:textId="77777777" w:rsidR="00B87FE5" w:rsidRPr="0018605C" w:rsidRDefault="00B87FE5" w:rsidP="00053EC4">
      <w:pPr>
        <w:spacing w:line="360" w:lineRule="auto"/>
        <w:ind w:firstLine="720"/>
        <w:rPr>
          <w:rFonts w:ascii="Times New Roman" w:hAnsi="Times New Roman" w:cs="Times New Roman"/>
        </w:rPr>
      </w:pPr>
      <w:r w:rsidRPr="0018605C">
        <w:rPr>
          <w:rFonts w:ascii="Times New Roman" w:hAnsi="Times New Roman" w:cs="Times New Roman"/>
        </w:rPr>
        <w:t xml:space="preserve">Methodological clarity becomes even more important when researchers move beyond description and attempt to build models. Williams and Richardson (2024) do not simply report participant views; they use their analysis to create a model of professional maturity. As Charmaz (2014) argues, where qualitative research develops conceptual models, researchers should explain clearly how they moved from raw data to higher-level abstraction. Without </w:t>
      </w:r>
      <w:r w:rsidRPr="0018605C">
        <w:rPr>
          <w:rFonts w:ascii="Times New Roman" w:hAnsi="Times New Roman" w:cs="Times New Roman"/>
        </w:rPr>
        <w:lastRenderedPageBreak/>
        <w:t>fuller explanation of coding, comparison and category development, readers cannot easily judge whether the model emerged systematically or reflects a looser thematic summary shaped by researcher interpretation.</w:t>
      </w:r>
    </w:p>
    <w:p w14:paraId="2DA59045" w14:textId="77777777" w:rsidR="00B87FE5" w:rsidRPr="0018605C" w:rsidRDefault="00B87FE5" w:rsidP="00053EC4">
      <w:pPr>
        <w:spacing w:line="360" w:lineRule="auto"/>
        <w:ind w:firstLine="720"/>
        <w:rPr>
          <w:rFonts w:ascii="Times New Roman" w:hAnsi="Times New Roman" w:cs="Times New Roman"/>
        </w:rPr>
      </w:pPr>
      <w:r w:rsidRPr="0018605C">
        <w:rPr>
          <w:rFonts w:ascii="Times New Roman" w:hAnsi="Times New Roman" w:cs="Times New Roman"/>
        </w:rPr>
        <w:t>In addition, phenomenological inquiry usually requires sustained engagement with participant meaning rather than short written responses alone. Questionnaire excerpts may provide useful insight, but they often lack the narrative depth needed to explore contradiction, emotional nuance and lived experience in detail (Finlay, 2011). This suggests the design may have been better suited to mapping perceptions across a sample than undertaking phenomenological interpretation in a stricter sense.</w:t>
      </w:r>
    </w:p>
    <w:p w14:paraId="439C633C" w14:textId="77777777" w:rsidR="00B87FE5" w:rsidRPr="0018605C" w:rsidRDefault="00B87FE5" w:rsidP="00053EC4">
      <w:pPr>
        <w:spacing w:line="360" w:lineRule="auto"/>
        <w:ind w:firstLine="720"/>
        <w:rPr>
          <w:rFonts w:ascii="Times New Roman" w:hAnsi="Times New Roman" w:cs="Times New Roman"/>
        </w:rPr>
      </w:pPr>
      <w:r w:rsidRPr="0018605C">
        <w:rPr>
          <w:rFonts w:ascii="Times New Roman" w:hAnsi="Times New Roman" w:cs="Times New Roman"/>
        </w:rPr>
        <w:t>Overall, while the qualitative stance was appropriate, the article appears to overstate its phenomenological credentials. The study is stronger when read as an exploratory investigation into professional perceptions rather than as a rigorous phenomenological inquiry.</w:t>
      </w:r>
    </w:p>
    <w:p w14:paraId="6197C92A" w14:textId="7DCF1596"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Data Collection Methods</w:t>
      </w:r>
      <w:r w:rsidR="004F344F" w:rsidRPr="004F344F">
        <w:rPr>
          <w:rFonts w:ascii="Times New Roman" w:hAnsi="Times New Roman" w:cs="Times New Roman"/>
          <w:b/>
          <w:bCs/>
        </w:rPr>
        <w:t>:</w:t>
      </w:r>
    </w:p>
    <w:p w14:paraId="170D3E55" w14:textId="37945C3C"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Williams and Richardson (2024) used two methods of data </w:t>
      </w:r>
      <w:proofErr w:type="gramStart"/>
      <w:r w:rsidRPr="0018605C">
        <w:rPr>
          <w:rFonts w:ascii="Times New Roman" w:hAnsi="Times New Roman" w:cs="Times New Roman"/>
        </w:rPr>
        <w:t>collection</w:t>
      </w:r>
      <w:r w:rsidR="00F2109B">
        <w:rPr>
          <w:rFonts w:ascii="Times New Roman" w:hAnsi="Times New Roman" w:cs="Times New Roman"/>
        </w:rPr>
        <w:t>,</w:t>
      </w:r>
      <w:proofErr w:type="gramEnd"/>
      <w:r w:rsidRPr="0018605C">
        <w:rPr>
          <w:rFonts w:ascii="Times New Roman" w:hAnsi="Times New Roman" w:cs="Times New Roman"/>
        </w:rPr>
        <w:t xml:space="preserve"> an online questionnaire distributed through professional networks and an online semi-structured interview involving five participants. Using more than one method can strengthen a study through </w:t>
      </w:r>
      <w:r w:rsidR="00A31CC8">
        <w:rPr>
          <w:rFonts w:ascii="Times New Roman" w:hAnsi="Times New Roman" w:cs="Times New Roman"/>
        </w:rPr>
        <w:t>different perspectives</w:t>
      </w:r>
      <w:r w:rsidRPr="0018605C">
        <w:rPr>
          <w:rFonts w:ascii="Times New Roman" w:hAnsi="Times New Roman" w:cs="Times New Roman"/>
        </w:rPr>
        <w:t xml:space="preserve">, as different forms of evidence may illuminate the same issue from different angles (Denzin, 1978). In principle, combining questionnaires for </w:t>
      </w:r>
      <w:r w:rsidRPr="0018605C">
        <w:rPr>
          <w:rFonts w:ascii="Times New Roman" w:hAnsi="Times New Roman" w:cs="Times New Roman"/>
        </w:rPr>
        <w:t>br</w:t>
      </w:r>
      <w:r w:rsidR="00980FA6">
        <w:rPr>
          <w:rFonts w:ascii="Times New Roman" w:hAnsi="Times New Roman" w:cs="Times New Roman"/>
        </w:rPr>
        <w:t>oadness</w:t>
      </w:r>
      <w:r w:rsidRPr="0018605C">
        <w:rPr>
          <w:rFonts w:ascii="Times New Roman" w:hAnsi="Times New Roman" w:cs="Times New Roman"/>
        </w:rPr>
        <w:t xml:space="preserve"> with interviews for depth was an appropriate design choice for an exploratory study.</w:t>
      </w:r>
    </w:p>
    <w:p w14:paraId="721CEFD5" w14:textId="0C7C22AB"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Online Questionnaire</w:t>
      </w:r>
      <w:r w:rsidR="004F344F" w:rsidRPr="004F344F">
        <w:rPr>
          <w:rFonts w:ascii="Times New Roman" w:hAnsi="Times New Roman" w:cs="Times New Roman"/>
          <w:b/>
          <w:bCs/>
        </w:rPr>
        <w:t>:</w:t>
      </w:r>
    </w:p>
    <w:p w14:paraId="5B29BDFB" w14:textId="0118889B"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The questionnaire </w:t>
      </w:r>
      <w:bookmarkStart w:id="1" w:name="_Int_nD501Nhj"/>
      <w:r w:rsidRPr="0018605C">
        <w:rPr>
          <w:rFonts w:ascii="Times New Roman" w:hAnsi="Times New Roman" w:cs="Times New Roman"/>
        </w:rPr>
        <w:t>was hosted</w:t>
      </w:r>
      <w:bookmarkEnd w:id="1"/>
      <w:r w:rsidRPr="0018605C">
        <w:rPr>
          <w:rFonts w:ascii="Times New Roman" w:hAnsi="Times New Roman" w:cs="Times New Roman"/>
        </w:rPr>
        <w:t xml:space="preserve"> on Microsoft Forms for three weeks and generated 51 responses. The authors explain that open-ended questions </w:t>
      </w:r>
      <w:bookmarkStart w:id="2" w:name="_Int_0BIEYmTL"/>
      <w:r w:rsidRPr="0018605C">
        <w:rPr>
          <w:rFonts w:ascii="Times New Roman" w:hAnsi="Times New Roman" w:cs="Times New Roman"/>
        </w:rPr>
        <w:t>were used</w:t>
      </w:r>
      <w:bookmarkEnd w:id="2"/>
      <w:r w:rsidRPr="0018605C">
        <w:rPr>
          <w:rFonts w:ascii="Times New Roman" w:hAnsi="Times New Roman" w:cs="Times New Roman"/>
        </w:rPr>
        <w:t xml:space="preserve"> so that participants could respond in their own words (Williams </w:t>
      </w:r>
      <w:r w:rsidR="00AE3E2F">
        <w:rPr>
          <w:rFonts w:ascii="Times New Roman" w:hAnsi="Times New Roman" w:cs="Times New Roman"/>
        </w:rPr>
        <w:t>&amp;</w:t>
      </w:r>
      <w:r w:rsidRPr="0018605C">
        <w:rPr>
          <w:rFonts w:ascii="Times New Roman" w:hAnsi="Times New Roman" w:cs="Times New Roman"/>
        </w:rPr>
        <w:t xml:space="preserve"> Richardson, 2024, p.163). Open-ended questions can be valuable in qualitative research because they allow respondents to express views without </w:t>
      </w:r>
      <w:bookmarkStart w:id="3" w:name="_Int_aUB3ggzW"/>
      <w:r w:rsidRPr="0018605C">
        <w:rPr>
          <w:rFonts w:ascii="Times New Roman" w:hAnsi="Times New Roman" w:cs="Times New Roman"/>
        </w:rPr>
        <w:t>being overly restricted</w:t>
      </w:r>
      <w:bookmarkEnd w:id="3"/>
      <w:r w:rsidRPr="0018605C">
        <w:rPr>
          <w:rFonts w:ascii="Times New Roman" w:hAnsi="Times New Roman" w:cs="Times New Roman"/>
        </w:rPr>
        <w:t xml:space="preserve"> by predefined categories (Bryman, 2016).</w:t>
      </w:r>
    </w:p>
    <w:p w14:paraId="6B6A2CE8" w14:textId="406215BA" w:rsidR="00B87FE5" w:rsidRPr="0018605C" w:rsidRDefault="00B87FE5" w:rsidP="008741E0">
      <w:pPr>
        <w:spacing w:line="360" w:lineRule="auto"/>
        <w:ind w:firstLine="720"/>
        <w:rPr>
          <w:rFonts w:ascii="Times New Roman" w:hAnsi="Times New Roman" w:cs="Times New Roman"/>
        </w:rPr>
      </w:pPr>
      <w:r w:rsidRPr="0018605C">
        <w:rPr>
          <w:rFonts w:ascii="Times New Roman" w:hAnsi="Times New Roman" w:cs="Times New Roman"/>
        </w:rPr>
        <w:t xml:space="preserve">However, </w:t>
      </w:r>
      <w:bookmarkStart w:id="4" w:name="_Int_5RfwSIiN"/>
      <w:proofErr w:type="gramStart"/>
      <w:r w:rsidRPr="0018605C">
        <w:rPr>
          <w:rFonts w:ascii="Times New Roman" w:hAnsi="Times New Roman" w:cs="Times New Roman"/>
        </w:rPr>
        <w:t>a number of</w:t>
      </w:r>
      <w:bookmarkEnd w:id="4"/>
      <w:proofErr w:type="gramEnd"/>
      <w:r w:rsidRPr="0018605C">
        <w:rPr>
          <w:rFonts w:ascii="Times New Roman" w:hAnsi="Times New Roman" w:cs="Times New Roman"/>
        </w:rPr>
        <w:t xml:space="preserve"> limitations are evident. First, participants were recruited through the Institute for Youth Work and associated professional networks. This reflects convenience sampling, where participants are selected because they are easily accessible rather than strategically chosen. Convenience samples can overrepresent those already engaged with the topic while excluding less visible or less connected voices, reducing </w:t>
      </w:r>
      <w:r w:rsidRPr="0018605C">
        <w:rPr>
          <w:rFonts w:ascii="Times New Roman" w:hAnsi="Times New Roman" w:cs="Times New Roman"/>
        </w:rPr>
        <w:lastRenderedPageBreak/>
        <w:t>representativeness and transferability (</w:t>
      </w:r>
      <w:proofErr w:type="spellStart"/>
      <w:r w:rsidRPr="0018605C">
        <w:rPr>
          <w:rFonts w:ascii="Times New Roman" w:hAnsi="Times New Roman" w:cs="Times New Roman"/>
        </w:rPr>
        <w:t>Etikan</w:t>
      </w:r>
      <w:proofErr w:type="spellEnd"/>
      <w:r w:rsidRPr="0018605C">
        <w:rPr>
          <w:rFonts w:ascii="Times New Roman" w:hAnsi="Times New Roman" w:cs="Times New Roman"/>
        </w:rPr>
        <w:t xml:space="preserve">, Musa </w:t>
      </w:r>
      <w:r w:rsidR="00925745">
        <w:rPr>
          <w:rFonts w:ascii="Times New Roman" w:hAnsi="Times New Roman" w:cs="Times New Roman"/>
        </w:rPr>
        <w:t>&amp;</w:t>
      </w:r>
      <w:r w:rsidRPr="0018605C">
        <w:rPr>
          <w:rFonts w:ascii="Times New Roman" w:hAnsi="Times New Roman" w:cs="Times New Roman"/>
        </w:rPr>
        <w:t>Alkassim, 2016; Robinson, 2014). In this case, practitioners linked to professional bodies may be more likely to value qualifications and formal professionalism than those working outside such networks.</w:t>
      </w:r>
    </w:p>
    <w:p w14:paraId="6349C19B" w14:textId="77777777" w:rsidR="00B87FE5" w:rsidRPr="0018605C" w:rsidRDefault="00B87FE5" w:rsidP="008741E0">
      <w:pPr>
        <w:spacing w:line="360" w:lineRule="auto"/>
        <w:ind w:firstLine="720"/>
        <w:rPr>
          <w:rFonts w:ascii="Times New Roman" w:hAnsi="Times New Roman" w:cs="Times New Roman"/>
        </w:rPr>
      </w:pPr>
      <w:r w:rsidRPr="0018605C">
        <w:rPr>
          <w:rFonts w:ascii="Times New Roman" w:hAnsi="Times New Roman" w:cs="Times New Roman"/>
        </w:rPr>
        <w:t>Second, the sample was heavily weighted towards level 6 and level 7 qualified respondents, while only two level 2 practitioners participated. Sampling should reflect forms of diversity relevant to the research question (Robinson, 2014). Where one subgroup dominates, findings may privilege those perspectives over others. As a result, the model of professional maturity produced by the study may reflect the views of highly qualified practitioners rather than the broader youth work workforce.</w:t>
      </w:r>
    </w:p>
    <w:p w14:paraId="1F9544EE" w14:textId="77777777" w:rsidR="00B87FE5" w:rsidRPr="0018605C" w:rsidRDefault="00B87FE5" w:rsidP="008741E0">
      <w:pPr>
        <w:spacing w:line="360" w:lineRule="auto"/>
        <w:ind w:firstLine="720"/>
        <w:rPr>
          <w:rFonts w:ascii="Times New Roman" w:hAnsi="Times New Roman" w:cs="Times New Roman"/>
        </w:rPr>
      </w:pPr>
      <w:r w:rsidRPr="0018605C">
        <w:rPr>
          <w:rFonts w:ascii="Times New Roman" w:hAnsi="Times New Roman" w:cs="Times New Roman"/>
        </w:rPr>
        <w:t xml:space="preserve">This also raises questions about the claims made from the sample. Practitioners working in different sectors, employment settings and qualification levels may attach very different meanings to maturity, professionalism and expertise. If most respondents are already professionally qualified and connected to sector networks, the data may favour understandings of maturity linked to formal recognition and established professional identity. The study may therefore tell us more about how one section of the profession talks about maturity than how the sector </w:t>
      </w:r>
      <w:proofErr w:type="gramStart"/>
      <w:r w:rsidRPr="0018605C">
        <w:rPr>
          <w:rFonts w:ascii="Times New Roman" w:hAnsi="Times New Roman" w:cs="Times New Roman"/>
        </w:rPr>
        <w:t>as a whole understands</w:t>
      </w:r>
      <w:proofErr w:type="gramEnd"/>
      <w:r w:rsidRPr="0018605C">
        <w:rPr>
          <w:rFonts w:ascii="Times New Roman" w:hAnsi="Times New Roman" w:cs="Times New Roman"/>
        </w:rPr>
        <w:t xml:space="preserve"> it.</w:t>
      </w:r>
    </w:p>
    <w:p w14:paraId="3C822E56" w14:textId="4FFF8F1B" w:rsidR="00B87FE5" w:rsidRPr="0018605C" w:rsidRDefault="00B87FE5" w:rsidP="008741E0">
      <w:pPr>
        <w:spacing w:line="360" w:lineRule="auto"/>
        <w:ind w:firstLine="720"/>
        <w:rPr>
          <w:rFonts w:ascii="Times New Roman" w:hAnsi="Times New Roman" w:cs="Times New Roman"/>
        </w:rPr>
      </w:pPr>
      <w:r w:rsidRPr="0018605C">
        <w:rPr>
          <w:rFonts w:ascii="Times New Roman" w:hAnsi="Times New Roman" w:cs="Times New Roman"/>
        </w:rPr>
        <w:t xml:space="preserve">Third, online surveys can create self-selection bias, as those with stronger views are often more likely to participate (Evans </w:t>
      </w:r>
      <w:r w:rsidR="00925745">
        <w:rPr>
          <w:rFonts w:ascii="Times New Roman" w:hAnsi="Times New Roman" w:cs="Times New Roman"/>
        </w:rPr>
        <w:t>&amp;</w:t>
      </w:r>
      <w:r w:rsidRPr="0018605C">
        <w:rPr>
          <w:rFonts w:ascii="Times New Roman" w:hAnsi="Times New Roman" w:cs="Times New Roman"/>
        </w:rPr>
        <w:t xml:space="preserve"> Mathur, 2018). Individuals indifferent to professional identity debates, or critical of formal professional structures, may therefore be underrepresented.</w:t>
      </w:r>
    </w:p>
    <w:p w14:paraId="693864D8" w14:textId="223E060E"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 xml:space="preserve">Fourth, digital methods may exclude those with lower confidence in technology, inconsistent internet access or limited time (Fricker </w:t>
      </w:r>
      <w:r w:rsidR="00925745">
        <w:rPr>
          <w:rFonts w:ascii="Times New Roman" w:hAnsi="Times New Roman" w:cs="Times New Roman"/>
        </w:rPr>
        <w:t xml:space="preserve">&amp; </w:t>
      </w:r>
      <w:r w:rsidRPr="0018605C">
        <w:rPr>
          <w:rFonts w:ascii="Times New Roman" w:hAnsi="Times New Roman" w:cs="Times New Roman"/>
        </w:rPr>
        <w:t>Schonlau, 2002). This is relevant in a sector containing part-time, voluntary and community-based workers whose digital access may vary considerably.</w:t>
      </w:r>
    </w:p>
    <w:p w14:paraId="338196E0" w14:textId="114AA150"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Semi-Structured Interview</w:t>
      </w:r>
      <w:r w:rsidR="004F344F" w:rsidRPr="004F344F">
        <w:rPr>
          <w:rFonts w:ascii="Times New Roman" w:hAnsi="Times New Roman" w:cs="Times New Roman"/>
          <w:b/>
          <w:bCs/>
        </w:rPr>
        <w:t>:</w:t>
      </w:r>
    </w:p>
    <w:p w14:paraId="0D85D224"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The study also included an online semi-structured interview conducted through Microsoft Teams with five participants. Semi-structured interviews are useful when researchers want a balance between consistency and flexibility, allowing key topics to be covered while still probing new ideas as they emerge (Kallio et al., 2016).</w:t>
      </w:r>
    </w:p>
    <w:p w14:paraId="61DB5C7C" w14:textId="77777777"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 xml:space="preserve">However, the adequacy of qualitative interview samples depends not only on numbers, but on depth, diversity and purpose (Mason, 2010). The article does not clearly </w:t>
      </w:r>
      <w:r w:rsidRPr="0018605C">
        <w:rPr>
          <w:rFonts w:ascii="Times New Roman" w:hAnsi="Times New Roman" w:cs="Times New Roman"/>
        </w:rPr>
        <w:lastRenderedPageBreak/>
        <w:t>explain how these five participants were selected. If they self-selected from the questionnaire stage, they may represent those who were already highly motivated or held particularly strong opinions.</w:t>
      </w:r>
    </w:p>
    <w:p w14:paraId="3777DDBC" w14:textId="77777777"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The interview also appears to have taken place in a group format. Group interviews can generate interaction, debate and shared reflection, but they may also discourage disagreement where participants fear judgement or embarrassment in front of peers (Morgan, 1997; Wilkinson, 1998). This is particularly relevant when discussing professionalism, competence or qualifications, where participants may wish to present themselves positively.</w:t>
      </w:r>
    </w:p>
    <w:p w14:paraId="0C82433A" w14:textId="77777777"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Online interviewing also presents mixed strengths and weaknesses. While it can improve access and convenience, it may reduce rapport and make it harder to interpret non-verbal cues compared with face-to-face settings (Archibald et al., 2019). Participants may also join from workplaces or homes where privacy is limited, reducing their willingness to speak openly about employers, colleagues or professional standards.</w:t>
      </w:r>
    </w:p>
    <w:p w14:paraId="7C59B7F2" w14:textId="771B2D76"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Researcher Power and Positionality</w:t>
      </w:r>
      <w:r w:rsidR="004F344F" w:rsidRPr="004F344F">
        <w:rPr>
          <w:rFonts w:ascii="Times New Roman" w:hAnsi="Times New Roman" w:cs="Times New Roman"/>
          <w:b/>
          <w:bCs/>
        </w:rPr>
        <w:t>:</w:t>
      </w:r>
    </w:p>
    <w:p w14:paraId="18F2C1BE"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Both authors identify themselves as qualified practitioners involved in higher education. Researcher identity can shape the research encounter and influence what participants choose to disclose (Berger, 2015). Participants may have viewed the researchers as connected to professional legitimacy or qualification pathways, potentially encouraging socially desirable responses about standards, maturity or professionalism.</w:t>
      </w:r>
    </w:p>
    <w:p w14:paraId="33FF4F32" w14:textId="77777777"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Although positionality is acknowledged, reflexivity is only briefly addressed. Finlay (2002) argues that reflexivity is central to qualitative rigour because researchers influence what is asked, what is noticed and how meanings are interpreted.</w:t>
      </w:r>
    </w:p>
    <w:p w14:paraId="2879C669" w14:textId="3240B292" w:rsidR="004F344F"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Data Analysis</w:t>
      </w:r>
      <w:r w:rsidR="004F344F" w:rsidRPr="004F344F">
        <w:rPr>
          <w:rFonts w:ascii="Times New Roman" w:hAnsi="Times New Roman" w:cs="Times New Roman"/>
          <w:b/>
          <w:bCs/>
        </w:rPr>
        <w:t>:</w:t>
      </w:r>
    </w:p>
    <w:p w14:paraId="35F03211" w14:textId="71BFB43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 xml:space="preserve">The article states that thematic analysis was used to generate six themes. Braun </w:t>
      </w:r>
      <w:r w:rsidR="00AE3E2F">
        <w:rPr>
          <w:rFonts w:ascii="Times New Roman" w:hAnsi="Times New Roman" w:cs="Times New Roman"/>
        </w:rPr>
        <w:t xml:space="preserve">and </w:t>
      </w:r>
      <w:r w:rsidRPr="0018605C">
        <w:rPr>
          <w:rFonts w:ascii="Times New Roman" w:hAnsi="Times New Roman" w:cs="Times New Roman"/>
        </w:rPr>
        <w:t>Clarke (2006) describe thematic analysis as both flexible and rigorous when applied systematically. However, its quality depends on transparent coding procedures, theme refinement and clear analytic reasoning.</w:t>
      </w:r>
    </w:p>
    <w:p w14:paraId="5ABD7A82" w14:textId="149AEF20"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 xml:space="preserve">The paper provides limited detail about coding stages, how disagreements between researchers were handled, or whether any audit trail was maintained. Lincoln </w:t>
      </w:r>
      <w:r w:rsidR="00AE3E2F">
        <w:rPr>
          <w:rFonts w:ascii="Times New Roman" w:hAnsi="Times New Roman" w:cs="Times New Roman"/>
        </w:rPr>
        <w:t>and</w:t>
      </w:r>
      <w:r w:rsidRPr="0018605C">
        <w:rPr>
          <w:rFonts w:ascii="Times New Roman" w:hAnsi="Times New Roman" w:cs="Times New Roman"/>
        </w:rPr>
        <w:t xml:space="preserve"> Guba (1985) argue that dependability and confirmability require sufficient transparency for readers </w:t>
      </w:r>
      <w:r w:rsidRPr="0018605C">
        <w:rPr>
          <w:rFonts w:ascii="Times New Roman" w:hAnsi="Times New Roman" w:cs="Times New Roman"/>
        </w:rPr>
        <w:lastRenderedPageBreak/>
        <w:t>to understand how interpretations were reached. Without this detail, the rigour of the analysis is difficult to judge.</w:t>
      </w:r>
    </w:p>
    <w:p w14:paraId="3211C03E" w14:textId="770F6181"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Overall Evaluation of Methods</w:t>
      </w:r>
      <w:r w:rsidR="004F344F" w:rsidRPr="004F344F">
        <w:rPr>
          <w:rFonts w:ascii="Times New Roman" w:hAnsi="Times New Roman" w:cs="Times New Roman"/>
          <w:b/>
          <w:bCs/>
        </w:rPr>
        <w:t>:</w:t>
      </w:r>
    </w:p>
    <w:p w14:paraId="6E08DD64"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Overall, the methods were broadly suitable for exploratory inquiry. However, convenience sampling, qualification imbalance, self-selection bias, possible conformity pressures, limited reflexivity and underdeveloped analytic transparency all reduce confidence in the findings. The resulting model of professional maturity should therefore be treated as a provisional interpretation rather than a definitive account of the youth work sector.</w:t>
      </w:r>
    </w:p>
    <w:p w14:paraId="6522417B" w14:textId="77777777" w:rsidR="00B87FE5" w:rsidRPr="0018605C" w:rsidRDefault="00B87FE5" w:rsidP="008C3D2E">
      <w:pPr>
        <w:spacing w:line="360" w:lineRule="auto"/>
        <w:ind w:firstLine="720"/>
        <w:rPr>
          <w:rFonts w:ascii="Times New Roman" w:hAnsi="Times New Roman" w:cs="Times New Roman"/>
        </w:rPr>
      </w:pPr>
      <w:r w:rsidRPr="0018605C">
        <w:rPr>
          <w:rFonts w:ascii="Times New Roman" w:hAnsi="Times New Roman" w:cs="Times New Roman"/>
        </w:rPr>
        <w:t>A stronger design may have included purposive sampling across qualification levels and sectors, wider recruitment beyond professional networks, confidential one-to-one interviews, clearer coding procedures, member checking, and triangulation with documentary or observational data.</w:t>
      </w:r>
    </w:p>
    <w:p w14:paraId="6E370B22" w14:textId="77777777" w:rsidR="00B87FE5" w:rsidRPr="004F344F" w:rsidRDefault="00B87FE5" w:rsidP="004F344F">
      <w:pPr>
        <w:spacing w:line="360" w:lineRule="auto"/>
        <w:rPr>
          <w:rFonts w:ascii="Times New Roman" w:hAnsi="Times New Roman" w:cs="Times New Roman"/>
          <w:u w:val="single"/>
        </w:rPr>
      </w:pPr>
    </w:p>
    <w:p w14:paraId="50B3166E" w14:textId="77777777" w:rsidR="00B87FE5" w:rsidRPr="0018605C" w:rsidRDefault="00B87FE5" w:rsidP="004F344F">
      <w:pPr>
        <w:spacing w:line="360" w:lineRule="auto"/>
        <w:jc w:val="center"/>
        <w:rPr>
          <w:rFonts w:ascii="Times New Roman" w:hAnsi="Times New Roman" w:cs="Times New Roman"/>
          <w:b/>
          <w:bCs/>
          <w:u w:val="single"/>
        </w:rPr>
      </w:pPr>
      <w:r w:rsidRPr="0018605C">
        <w:rPr>
          <w:rFonts w:ascii="Times New Roman" w:hAnsi="Times New Roman" w:cs="Times New Roman"/>
          <w:b/>
          <w:bCs/>
          <w:u w:val="single"/>
        </w:rPr>
        <w:t>Ethical Considerations</w:t>
      </w:r>
    </w:p>
    <w:p w14:paraId="01705634"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Ethics concerns the protection of participant dignity, rights and wellbeing throughout the research process. Williams and Richardson (2024) state that ethical approval was obtained from the University of Derby and that support was available through the Institute for Youth Work. While formal approval is an important starting point, ethical practice extends beyond committee clearance. The British Educational Research Association Ethical Guidelines for Educational Research emphasise that ethics is an ongoing, relational and reflexive process requiring researchers to anticipate harm, respect autonomy and remain accountable throughout a study.</w:t>
      </w:r>
    </w:p>
    <w:p w14:paraId="4DA7AD01" w14:textId="241C833B"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Power Relationships Between Researcher and Participant</w:t>
      </w:r>
      <w:r w:rsidR="004F344F" w:rsidRPr="004F344F">
        <w:rPr>
          <w:rFonts w:ascii="Times New Roman" w:hAnsi="Times New Roman" w:cs="Times New Roman"/>
          <w:b/>
          <w:bCs/>
        </w:rPr>
        <w:t>:</w:t>
      </w:r>
    </w:p>
    <w:p w14:paraId="34A4EE56" w14:textId="72602FBC" w:rsidR="00B87FE5" w:rsidRPr="0018605C" w:rsidRDefault="00BF46C3" w:rsidP="004F344F">
      <w:pPr>
        <w:spacing w:line="360" w:lineRule="auto"/>
        <w:rPr>
          <w:rFonts w:ascii="Times New Roman" w:hAnsi="Times New Roman" w:cs="Times New Roman"/>
        </w:rPr>
      </w:pPr>
      <w:r>
        <w:rPr>
          <w:rFonts w:ascii="Times New Roman" w:hAnsi="Times New Roman" w:cs="Times New Roman"/>
        </w:rPr>
        <w:t xml:space="preserve">The </w:t>
      </w:r>
      <w:r w:rsidR="00B87FE5" w:rsidRPr="0018605C">
        <w:rPr>
          <w:rFonts w:ascii="Times New Roman" w:hAnsi="Times New Roman" w:cs="Times New Roman"/>
        </w:rPr>
        <w:t>British Educational Research Association (2024) stresses that researchers must remain alert to unequal power relationships. Both authors were experienced practitioners involved in higher education, which may have positioned them as authority figures linked to qualifications, professional credibility</w:t>
      </w:r>
      <w:r w:rsidR="0065381F" w:rsidRPr="0018605C">
        <w:rPr>
          <w:rFonts w:ascii="Times New Roman" w:hAnsi="Times New Roman" w:cs="Times New Roman"/>
        </w:rPr>
        <w:t>,</w:t>
      </w:r>
      <w:r w:rsidR="00B87FE5" w:rsidRPr="0018605C">
        <w:rPr>
          <w:rFonts w:ascii="Times New Roman" w:hAnsi="Times New Roman" w:cs="Times New Roman"/>
        </w:rPr>
        <w:t xml:space="preserve"> or career progression.</w:t>
      </w:r>
    </w:p>
    <w:p w14:paraId="3658188F" w14:textId="48DC4392"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Participants may therefore have shaped their responses to appear reflective, competent</w:t>
      </w:r>
      <w:r w:rsidR="0065381F" w:rsidRPr="0018605C">
        <w:rPr>
          <w:rFonts w:ascii="Times New Roman" w:hAnsi="Times New Roman" w:cs="Times New Roman"/>
        </w:rPr>
        <w:t>,</w:t>
      </w:r>
      <w:r w:rsidRPr="0018605C">
        <w:rPr>
          <w:rFonts w:ascii="Times New Roman" w:hAnsi="Times New Roman" w:cs="Times New Roman"/>
        </w:rPr>
        <w:t xml:space="preserve"> or professionally aligned. Grimm (2010) identifies social desirability bias as common where respondents seek approval from those perceived to hold status. Although the </w:t>
      </w:r>
      <w:r w:rsidRPr="0018605C">
        <w:rPr>
          <w:rFonts w:ascii="Times New Roman" w:hAnsi="Times New Roman" w:cs="Times New Roman"/>
        </w:rPr>
        <w:lastRenderedPageBreak/>
        <w:t xml:space="preserve">authors acknowledge their professional positions, the article gives limited explanation of how such power imbalances </w:t>
      </w:r>
      <w:bookmarkStart w:id="5" w:name="_Int_xjNNgNgX"/>
      <w:r w:rsidRPr="0018605C">
        <w:rPr>
          <w:rFonts w:ascii="Times New Roman" w:hAnsi="Times New Roman" w:cs="Times New Roman"/>
        </w:rPr>
        <w:t>were reduced</w:t>
      </w:r>
      <w:bookmarkEnd w:id="5"/>
      <w:r w:rsidRPr="0018605C">
        <w:rPr>
          <w:rFonts w:ascii="Times New Roman" w:hAnsi="Times New Roman" w:cs="Times New Roman"/>
        </w:rPr>
        <w:t xml:space="preserve">. Independent facilitation, anonymous follow-up opportunities or stronger assurances that critical views were welcome may have helped address this issue (Hammersley and </w:t>
      </w:r>
      <w:proofErr w:type="spellStart"/>
      <w:r w:rsidRPr="0018605C">
        <w:rPr>
          <w:rFonts w:ascii="Times New Roman" w:hAnsi="Times New Roman" w:cs="Times New Roman"/>
        </w:rPr>
        <w:t>Traianou</w:t>
      </w:r>
      <w:proofErr w:type="spellEnd"/>
      <w:r w:rsidRPr="0018605C">
        <w:rPr>
          <w:rFonts w:ascii="Times New Roman" w:hAnsi="Times New Roman" w:cs="Times New Roman"/>
        </w:rPr>
        <w:t>, 2012).</w:t>
      </w:r>
    </w:p>
    <w:p w14:paraId="6CB2EC14" w14:textId="74E34187"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Gatekeepers</w:t>
      </w:r>
      <w:r w:rsidR="004F344F" w:rsidRPr="004F344F">
        <w:rPr>
          <w:rFonts w:ascii="Times New Roman" w:hAnsi="Times New Roman" w:cs="Times New Roman"/>
          <w:b/>
          <w:bCs/>
        </w:rPr>
        <w:t>:</w:t>
      </w:r>
    </w:p>
    <w:p w14:paraId="5496BB4E" w14:textId="143D35FE" w:rsidR="00B87FE5" w:rsidRPr="0018605C" w:rsidRDefault="00BF46C3" w:rsidP="004F344F">
      <w:pPr>
        <w:spacing w:line="360" w:lineRule="auto"/>
        <w:rPr>
          <w:rFonts w:ascii="Times New Roman" w:hAnsi="Times New Roman" w:cs="Times New Roman"/>
        </w:rPr>
      </w:pPr>
      <w:r>
        <w:rPr>
          <w:rFonts w:ascii="Times New Roman" w:hAnsi="Times New Roman" w:cs="Times New Roman"/>
        </w:rPr>
        <w:t xml:space="preserve">The </w:t>
      </w:r>
      <w:r w:rsidR="00B87FE5" w:rsidRPr="0018605C">
        <w:rPr>
          <w:rFonts w:ascii="Times New Roman" w:hAnsi="Times New Roman" w:cs="Times New Roman"/>
        </w:rPr>
        <w:t>British Educational Research Association (2024) also advises researchers to consider the role of gatekeepers carefully, as those controlling access can shape who participates and create subtle pressure to take part. Recruitment through the Institute for Youth Work may have privileged participants already engaged with professional identity discourses, while excluding detached practitioners or those critical of increasing formalisation.</w:t>
      </w:r>
      <w:r w:rsidR="004F344F" w:rsidRPr="004F344F">
        <w:rPr>
          <w:rFonts w:ascii="Times New Roman" w:hAnsi="Times New Roman" w:cs="Times New Roman"/>
        </w:rPr>
        <w:t xml:space="preserve"> </w:t>
      </w:r>
      <w:r w:rsidR="00B87FE5" w:rsidRPr="0018605C">
        <w:rPr>
          <w:rFonts w:ascii="Times New Roman" w:hAnsi="Times New Roman" w:cs="Times New Roman"/>
        </w:rPr>
        <w:t>Wider recruitment through community organisations, local authorities and voluntary sector providers would have improved inclusivity and fairness of access.</w:t>
      </w:r>
    </w:p>
    <w:p w14:paraId="359C8517" w14:textId="6E7F7FF8"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Informed Consent</w:t>
      </w:r>
      <w:r w:rsidR="004F344F" w:rsidRPr="004F344F">
        <w:rPr>
          <w:rFonts w:ascii="Times New Roman" w:hAnsi="Times New Roman" w:cs="Times New Roman"/>
          <w:b/>
          <w:bCs/>
        </w:rPr>
        <w:t>:</w:t>
      </w:r>
    </w:p>
    <w:p w14:paraId="50AA9075" w14:textId="67056A36" w:rsidR="00B87FE5" w:rsidRPr="0018605C" w:rsidRDefault="00C71D64" w:rsidP="004F344F">
      <w:pPr>
        <w:spacing w:line="360" w:lineRule="auto"/>
        <w:rPr>
          <w:rFonts w:ascii="Times New Roman" w:hAnsi="Times New Roman" w:cs="Times New Roman"/>
        </w:rPr>
      </w:pPr>
      <w:r>
        <w:rPr>
          <w:rFonts w:ascii="Times New Roman" w:hAnsi="Times New Roman" w:cs="Times New Roman"/>
        </w:rPr>
        <w:t xml:space="preserve">The </w:t>
      </w:r>
      <w:r w:rsidR="00B87FE5" w:rsidRPr="0018605C">
        <w:rPr>
          <w:rFonts w:ascii="Times New Roman" w:hAnsi="Times New Roman" w:cs="Times New Roman"/>
        </w:rPr>
        <w:t>British Educational Research Association states that consent should be informed, voluntary and ongoing rather than treated as a one-off administrative step. Williams and Richardson (2024) report that participants received introductory information and gave informed consent.</w:t>
      </w:r>
    </w:p>
    <w:p w14:paraId="3A74AED2" w14:textId="77777777"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However, digital consent processes can be weaker where participants quickly skim online forms or engage with limited reflection (Roberts and Allen, 2015). Ongoing reminders of withdrawal rights and opportunities to ask questions would have strengthened the process. British Educational Research Association also notes that consent may need to be revisited during research if participants become uncomfortable or if the intended use of data changes.</w:t>
      </w:r>
    </w:p>
    <w:p w14:paraId="296391B8" w14:textId="1CFDB9A6"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Anonymity and Confidentiality</w:t>
      </w:r>
      <w:r w:rsidR="00E171EC" w:rsidRPr="004F344F">
        <w:rPr>
          <w:rFonts w:ascii="Times New Roman" w:hAnsi="Times New Roman" w:cs="Times New Roman"/>
          <w:b/>
          <w:bCs/>
        </w:rPr>
        <w:t>:</w:t>
      </w:r>
    </w:p>
    <w:p w14:paraId="6BDA1B1B" w14:textId="14D4D9BB" w:rsidR="00B87FE5" w:rsidRPr="0018605C" w:rsidRDefault="00A82699" w:rsidP="004F344F">
      <w:pPr>
        <w:spacing w:line="360" w:lineRule="auto"/>
        <w:rPr>
          <w:rFonts w:ascii="Times New Roman" w:hAnsi="Times New Roman" w:cs="Times New Roman"/>
        </w:rPr>
      </w:pPr>
      <w:r>
        <w:rPr>
          <w:rFonts w:ascii="Times New Roman" w:hAnsi="Times New Roman" w:cs="Times New Roman"/>
        </w:rPr>
        <w:t xml:space="preserve">The </w:t>
      </w:r>
      <w:r w:rsidR="00B87FE5" w:rsidRPr="0018605C">
        <w:rPr>
          <w:rFonts w:ascii="Times New Roman" w:hAnsi="Times New Roman" w:cs="Times New Roman"/>
        </w:rPr>
        <w:t>British Educational Research Association highlights the responsibility to protect identities while recognising that anonymity cannot always be fully guaranteed. The article uses labels such as “Questionnaire Respondent #18”, which supports confidentiality.</w:t>
      </w:r>
    </w:p>
    <w:p w14:paraId="294EBDCA" w14:textId="2AC33615"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 xml:space="preserve">However, in small professional </w:t>
      </w:r>
      <w:r w:rsidR="00C80391" w:rsidRPr="0018605C">
        <w:rPr>
          <w:rFonts w:ascii="Times New Roman" w:hAnsi="Times New Roman" w:cs="Times New Roman"/>
        </w:rPr>
        <w:t>communities’</w:t>
      </w:r>
      <w:r w:rsidRPr="0018605C">
        <w:rPr>
          <w:rFonts w:ascii="Times New Roman" w:hAnsi="Times New Roman" w:cs="Times New Roman"/>
        </w:rPr>
        <w:t xml:space="preserve"> participants may still be identifiable through contextual details such as job role, qualification level or distinctive quotations (Kaiser, 2009). This risk receives limited attention in the article.</w:t>
      </w:r>
    </w:p>
    <w:p w14:paraId="4CD3C646" w14:textId="5A2D660D"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lastRenderedPageBreak/>
        <w:t>Confidentiality is particularly complex in group interviews because researchers cannot guarantee that participants will not repeat others’ comments outside the session (Morgan, 1997). Good ethical practice requires transparency where confidentiality has practical limits.</w:t>
      </w:r>
    </w:p>
    <w:p w14:paraId="736A47BD" w14:textId="084011F6"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Right of Withdrawal</w:t>
      </w:r>
      <w:r w:rsidR="00E171EC" w:rsidRPr="004F344F">
        <w:rPr>
          <w:rFonts w:ascii="Times New Roman" w:hAnsi="Times New Roman" w:cs="Times New Roman"/>
          <w:b/>
          <w:bCs/>
        </w:rPr>
        <w:t>:</w:t>
      </w:r>
    </w:p>
    <w:p w14:paraId="4F4F1578"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The British Educational Research Association framework states that participants should know they may withdraw without disadvantage, subject to practical limits once anonymised analysis has begun. The article notes that withdrawal rights were explained, which is positive. However, clearer deadlines for withdrawal would have improved transparency.</w:t>
      </w:r>
    </w:p>
    <w:p w14:paraId="27F78785" w14:textId="0D837C31"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Data Protection / GDPR</w:t>
      </w:r>
      <w:r w:rsidR="00E171EC" w:rsidRPr="004F344F">
        <w:rPr>
          <w:rFonts w:ascii="Times New Roman" w:hAnsi="Times New Roman" w:cs="Times New Roman"/>
          <w:b/>
          <w:bCs/>
        </w:rPr>
        <w:t>:</w:t>
      </w:r>
    </w:p>
    <w:p w14:paraId="5E16B482" w14:textId="56DCA195" w:rsidR="00B87FE5" w:rsidRPr="0018605C" w:rsidRDefault="00D909A8" w:rsidP="004F344F">
      <w:pPr>
        <w:spacing w:line="360" w:lineRule="auto"/>
        <w:rPr>
          <w:rFonts w:ascii="Times New Roman" w:hAnsi="Times New Roman" w:cs="Times New Roman"/>
        </w:rPr>
      </w:pPr>
      <w:r>
        <w:rPr>
          <w:rFonts w:ascii="Times New Roman" w:hAnsi="Times New Roman" w:cs="Times New Roman"/>
        </w:rPr>
        <w:t xml:space="preserve">The </w:t>
      </w:r>
      <w:r w:rsidR="00B87FE5" w:rsidRPr="0018605C">
        <w:rPr>
          <w:rFonts w:ascii="Times New Roman" w:hAnsi="Times New Roman" w:cs="Times New Roman"/>
        </w:rPr>
        <w:t>British Educational Research Association also emphasises lawful and secure data handling. As the study used Microsoft Forms and Microsoft Teams, UK GDPR principles of minimisation, secure storage and lawful processing were particularly relevant. The Information Commissioner's Office provides guidance on these responsibilities.</w:t>
      </w:r>
    </w:p>
    <w:p w14:paraId="2817CC19" w14:textId="5E402CB7"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The article refers to GDPR rights but offers limited detail about retention schedules, access controls</w:t>
      </w:r>
      <w:r w:rsidR="00096953" w:rsidRPr="0018605C">
        <w:rPr>
          <w:rFonts w:ascii="Times New Roman" w:hAnsi="Times New Roman" w:cs="Times New Roman"/>
        </w:rPr>
        <w:t>,</w:t>
      </w:r>
      <w:r w:rsidRPr="0018605C">
        <w:rPr>
          <w:rFonts w:ascii="Times New Roman" w:hAnsi="Times New Roman" w:cs="Times New Roman"/>
        </w:rPr>
        <w:t xml:space="preserve"> or data destruction procedures. Given the sensitivity of professional opinions within a small field, fuller reporting of digital data management would have strengthened ethical confidence. Clarifying whether recordings were encrypted, how transcripts were stored, and who had access to the data would also have improved accountability.</w:t>
      </w:r>
    </w:p>
    <w:p w14:paraId="33FDB200" w14:textId="3922F7A6" w:rsidR="00B87FE5" w:rsidRPr="0018605C" w:rsidRDefault="00B87FE5" w:rsidP="004F344F">
      <w:pPr>
        <w:spacing w:line="360" w:lineRule="auto"/>
        <w:rPr>
          <w:rFonts w:ascii="Times New Roman" w:hAnsi="Times New Roman" w:cs="Times New Roman"/>
          <w:b/>
          <w:bCs/>
        </w:rPr>
      </w:pPr>
      <w:r w:rsidRPr="0018605C">
        <w:rPr>
          <w:rFonts w:ascii="Times New Roman" w:hAnsi="Times New Roman" w:cs="Times New Roman"/>
          <w:b/>
          <w:bCs/>
        </w:rPr>
        <w:t>Overall Ethical Evaluation</w:t>
      </w:r>
      <w:r w:rsidR="00E171EC" w:rsidRPr="004F344F">
        <w:rPr>
          <w:rFonts w:ascii="Times New Roman" w:hAnsi="Times New Roman" w:cs="Times New Roman"/>
          <w:b/>
          <w:bCs/>
        </w:rPr>
        <w:t>:</w:t>
      </w:r>
    </w:p>
    <w:p w14:paraId="26A27874"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Overall, the study appears procedurally competent because approval, consent and anonymised reporting were addressed. However, relational ethics involving researcher power, gatekeeping, contextual anonymity and digital confidentiality required fuller discussion. Ethical compliance was therefore adequate, but not fully comprehensive in reflexive terms.</w:t>
      </w:r>
    </w:p>
    <w:p w14:paraId="41F3B46F" w14:textId="77777777" w:rsidR="00B87FE5" w:rsidRPr="0018605C" w:rsidRDefault="00B87FE5" w:rsidP="004F344F">
      <w:pPr>
        <w:spacing w:line="360" w:lineRule="auto"/>
        <w:jc w:val="center"/>
        <w:rPr>
          <w:rFonts w:ascii="Times New Roman" w:hAnsi="Times New Roman" w:cs="Times New Roman"/>
          <w:b/>
          <w:bCs/>
          <w:u w:val="single"/>
        </w:rPr>
      </w:pPr>
      <w:r w:rsidRPr="0018605C">
        <w:rPr>
          <w:rFonts w:ascii="Times New Roman" w:hAnsi="Times New Roman" w:cs="Times New Roman"/>
          <w:b/>
          <w:bCs/>
          <w:u w:val="single"/>
        </w:rPr>
        <w:t>Conclusion</w:t>
      </w:r>
    </w:p>
    <w:p w14:paraId="3D5DEC4D" w14:textId="77777777" w:rsidR="00B87FE5" w:rsidRPr="0018605C" w:rsidRDefault="00B87FE5" w:rsidP="004F344F">
      <w:pPr>
        <w:spacing w:line="360" w:lineRule="auto"/>
        <w:rPr>
          <w:rFonts w:ascii="Times New Roman" w:hAnsi="Times New Roman" w:cs="Times New Roman"/>
        </w:rPr>
      </w:pPr>
      <w:r w:rsidRPr="0018605C">
        <w:rPr>
          <w:rFonts w:ascii="Times New Roman" w:hAnsi="Times New Roman" w:cs="Times New Roman"/>
        </w:rPr>
        <w:t>This review has critically examined Williams and Richardson’s (2024) study of how JNC-qualified youth workers understand professional maturity. The article addresses an under-researched topic and makes a useful contribution to current debates about occupational identity, values and workforce development within youth work. Its main strength lies in recognising professional maturity as an evolving and socially constructed process rather than a fixed endpoint.</w:t>
      </w:r>
    </w:p>
    <w:p w14:paraId="573F27FA" w14:textId="09D9C09B"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lastRenderedPageBreak/>
        <w:t xml:space="preserve">However, several limitations reduce the strength of its conclusions. Although the study is presented as phenomenological, the methods used more closely resemble exploratory qualitative research using thematic analysis. This lack of alignment between methodology and methods weakens the overall coherence of the design and makes the nature of the knowledge claims less clear (Creswell and Creswell, 2018). Phenomenology usually depends on rich accounts of lived experience gathered through in-depth interviews, </w:t>
      </w:r>
      <w:r w:rsidR="00D909A8" w:rsidRPr="0018605C">
        <w:rPr>
          <w:rFonts w:ascii="Times New Roman" w:hAnsi="Times New Roman" w:cs="Times New Roman"/>
        </w:rPr>
        <w:t>while</w:t>
      </w:r>
      <w:r w:rsidRPr="0018605C">
        <w:rPr>
          <w:rFonts w:ascii="Times New Roman" w:hAnsi="Times New Roman" w:cs="Times New Roman"/>
        </w:rPr>
        <w:t xml:space="preserve"> this study relied on questionnaire responses and a small group interview.</w:t>
      </w:r>
    </w:p>
    <w:p w14:paraId="2CED9224" w14:textId="77777777"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The data collection methods were broadly appropriate for exploring practitioner perceptions, yet convenience sampling through professional networks and the overrepresentation of highly qualified respondents narrowed the range of voices included. As a result, the model of professional maturity may reflect more professionalised viewpoints rather than the full diversity of youth work practice.</w:t>
      </w:r>
    </w:p>
    <w:p w14:paraId="310C2D45" w14:textId="77777777"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Ethically, the study appears procedurally sound, with formal approval, informed consent and anonymised reporting in place. However, stronger reflexive consideration of researcher authority, contextual anonymity and digital data governance would have improved its ethical robustness.</w:t>
      </w:r>
    </w:p>
    <w:p w14:paraId="3B3180C4" w14:textId="42D2E8B0" w:rsidR="00B87FE5" w:rsidRPr="0018605C" w:rsidRDefault="00B87FE5" w:rsidP="00C80391">
      <w:pPr>
        <w:spacing w:line="360" w:lineRule="auto"/>
        <w:ind w:firstLine="720"/>
        <w:rPr>
          <w:rFonts w:ascii="Times New Roman" w:hAnsi="Times New Roman" w:cs="Times New Roman"/>
        </w:rPr>
      </w:pPr>
      <w:r w:rsidRPr="0018605C">
        <w:rPr>
          <w:rFonts w:ascii="Times New Roman" w:hAnsi="Times New Roman" w:cs="Times New Roman"/>
        </w:rPr>
        <w:t xml:space="preserve">The wider significance of this topic should not </w:t>
      </w:r>
      <w:bookmarkStart w:id="6" w:name="_Int_QcHm4czj"/>
      <w:r w:rsidRPr="0018605C">
        <w:rPr>
          <w:rFonts w:ascii="Times New Roman" w:hAnsi="Times New Roman" w:cs="Times New Roman"/>
        </w:rPr>
        <w:t>be overlooked</w:t>
      </w:r>
      <w:bookmarkEnd w:id="6"/>
      <w:r w:rsidRPr="0018605C">
        <w:rPr>
          <w:rFonts w:ascii="Times New Roman" w:hAnsi="Times New Roman" w:cs="Times New Roman"/>
        </w:rPr>
        <w:t>. Professional identity shapes recruitment, supervision, training pathways</w:t>
      </w:r>
      <w:r w:rsidR="00B85FF2" w:rsidRPr="0018605C">
        <w:rPr>
          <w:rFonts w:ascii="Times New Roman" w:hAnsi="Times New Roman" w:cs="Times New Roman"/>
        </w:rPr>
        <w:t>,</w:t>
      </w:r>
      <w:r w:rsidRPr="0018605C">
        <w:rPr>
          <w:rFonts w:ascii="Times New Roman" w:hAnsi="Times New Roman" w:cs="Times New Roman"/>
        </w:rPr>
        <w:t xml:space="preserve"> and occupational legitimacy. If ideas such as professional maturity </w:t>
      </w:r>
      <w:bookmarkStart w:id="7" w:name="_Int_GfPRt513"/>
      <w:r w:rsidRPr="0018605C">
        <w:rPr>
          <w:rFonts w:ascii="Times New Roman" w:hAnsi="Times New Roman" w:cs="Times New Roman"/>
        </w:rPr>
        <w:t>are accepted</w:t>
      </w:r>
      <w:bookmarkEnd w:id="7"/>
      <w:r w:rsidRPr="0018605C">
        <w:rPr>
          <w:rFonts w:ascii="Times New Roman" w:hAnsi="Times New Roman" w:cs="Times New Roman"/>
        </w:rPr>
        <w:t xml:space="preserve"> uncritically, they may privilege certain qualifications or career routes while marginalising alternative forms of knowledge and experience. This has implications for youth workers, educators, employers, policymakers</w:t>
      </w:r>
      <w:r w:rsidR="00B85FF2" w:rsidRPr="0018605C">
        <w:rPr>
          <w:rFonts w:ascii="Times New Roman" w:hAnsi="Times New Roman" w:cs="Times New Roman"/>
        </w:rPr>
        <w:t>,</w:t>
      </w:r>
      <w:r w:rsidRPr="0018605C">
        <w:rPr>
          <w:rFonts w:ascii="Times New Roman" w:hAnsi="Times New Roman" w:cs="Times New Roman"/>
        </w:rPr>
        <w:t xml:space="preserve"> and young people who engage with services.</w:t>
      </w:r>
    </w:p>
    <w:p w14:paraId="22D08E82" w14:textId="736DA87D" w:rsidR="002621E2" w:rsidRDefault="00B87FE5" w:rsidP="00525733">
      <w:pPr>
        <w:spacing w:line="360" w:lineRule="auto"/>
        <w:ind w:firstLine="720"/>
        <w:rPr>
          <w:rFonts w:ascii="Times New Roman" w:hAnsi="Times New Roman" w:cs="Times New Roman"/>
        </w:rPr>
      </w:pPr>
      <w:r w:rsidRPr="0018605C">
        <w:rPr>
          <w:rFonts w:ascii="Times New Roman" w:hAnsi="Times New Roman" w:cs="Times New Roman"/>
        </w:rPr>
        <w:t>Future research should widen participation beyond JNC-qualified practitioners, include confidential one-to-one interviews, and explore how factors such as class, race, gender, austerity and managerialism shape understandings of professionalism. Overall, while the article provides a valuable starting point for discussion, its findings should be treated with caution and built upon through more methodologically rigorous future research</w:t>
      </w:r>
      <w:r w:rsidR="00D06F70">
        <w:rPr>
          <w:rFonts w:ascii="Times New Roman" w:hAnsi="Times New Roman" w:cs="Times New Roman"/>
        </w:rPr>
        <w:t>.</w:t>
      </w:r>
    </w:p>
    <w:p w14:paraId="4E9895BF" w14:textId="77777777" w:rsidR="00525733" w:rsidRDefault="00525733" w:rsidP="00525733">
      <w:pPr>
        <w:spacing w:line="360" w:lineRule="auto"/>
        <w:ind w:firstLine="720"/>
        <w:rPr>
          <w:rFonts w:ascii="Times New Roman" w:hAnsi="Times New Roman" w:cs="Times New Roman"/>
        </w:rPr>
      </w:pPr>
    </w:p>
    <w:p w14:paraId="297A02C4" w14:textId="77777777" w:rsidR="00525733" w:rsidRDefault="00525733" w:rsidP="00525733">
      <w:pPr>
        <w:spacing w:line="360" w:lineRule="auto"/>
        <w:ind w:firstLine="720"/>
        <w:rPr>
          <w:rFonts w:ascii="Times New Roman" w:hAnsi="Times New Roman" w:cs="Times New Roman"/>
        </w:rPr>
      </w:pPr>
    </w:p>
    <w:p w14:paraId="43EDB245" w14:textId="77777777" w:rsidR="008F6CC8" w:rsidRDefault="008F6CC8" w:rsidP="00525733">
      <w:pPr>
        <w:spacing w:line="360" w:lineRule="auto"/>
        <w:ind w:firstLine="720"/>
        <w:jc w:val="center"/>
        <w:rPr>
          <w:rFonts w:ascii="Times New Roman" w:hAnsi="Times New Roman" w:cs="Times New Roman"/>
          <w:b/>
        </w:rPr>
      </w:pPr>
    </w:p>
    <w:p w14:paraId="60741AEA" w14:textId="2D8434E3" w:rsidR="00525733" w:rsidRPr="00007FA7" w:rsidRDefault="00525733" w:rsidP="00525733">
      <w:pPr>
        <w:spacing w:line="360" w:lineRule="auto"/>
        <w:ind w:firstLine="720"/>
        <w:jc w:val="center"/>
        <w:rPr>
          <w:rFonts w:ascii="Times New Roman" w:hAnsi="Times New Roman" w:cs="Times New Roman"/>
          <w:b/>
        </w:rPr>
      </w:pPr>
      <w:r w:rsidRPr="00007FA7">
        <w:rPr>
          <w:rFonts w:ascii="Times New Roman" w:hAnsi="Times New Roman" w:cs="Times New Roman"/>
          <w:b/>
        </w:rPr>
        <w:lastRenderedPageBreak/>
        <w:t>Reference list</w:t>
      </w:r>
    </w:p>
    <w:p w14:paraId="0F63BC28" w14:textId="17A98EC0"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Archibald, M.M., </w:t>
      </w:r>
      <w:proofErr w:type="spellStart"/>
      <w:r w:rsidRPr="00762A4C">
        <w:rPr>
          <w:rFonts w:ascii="Times New Roman" w:hAnsi="Times New Roman" w:cs="Times New Roman"/>
        </w:rPr>
        <w:t>Ambagtsheer</w:t>
      </w:r>
      <w:proofErr w:type="spellEnd"/>
      <w:r w:rsidRPr="00762A4C">
        <w:rPr>
          <w:rFonts w:ascii="Times New Roman" w:hAnsi="Times New Roman" w:cs="Times New Roman"/>
        </w:rPr>
        <w:t xml:space="preserve">, R.C., Casey, M.G. and Lawless, M. (2019) ‘Using Zoom </w:t>
      </w:r>
      <w:r w:rsidR="00FD771B">
        <w:rPr>
          <w:rFonts w:ascii="Times New Roman" w:hAnsi="Times New Roman" w:cs="Times New Roman"/>
        </w:rPr>
        <w:tab/>
      </w:r>
      <w:r w:rsidRPr="00762A4C">
        <w:rPr>
          <w:rFonts w:ascii="Times New Roman" w:hAnsi="Times New Roman" w:cs="Times New Roman"/>
        </w:rPr>
        <w:t xml:space="preserve">videoconferencing for qualitative data collection: perceptions and experiences of researchers and participants’, </w:t>
      </w:r>
      <w:r w:rsidRPr="00762A4C">
        <w:rPr>
          <w:rFonts w:ascii="Times New Roman" w:hAnsi="Times New Roman" w:cs="Times New Roman"/>
          <w:i/>
          <w:iCs/>
        </w:rPr>
        <w:t>International Journal of Qualitative Methods</w:t>
      </w:r>
      <w:r w:rsidRPr="00762A4C">
        <w:rPr>
          <w:rFonts w:ascii="Times New Roman" w:hAnsi="Times New Roman" w:cs="Times New Roman"/>
        </w:rPr>
        <w:t>, 18, pp. 1–8.</w:t>
      </w:r>
    </w:p>
    <w:p w14:paraId="00360D85" w14:textId="58435103"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BERA (2024) </w:t>
      </w:r>
      <w:r w:rsidRPr="00762A4C">
        <w:rPr>
          <w:rFonts w:ascii="Times New Roman" w:hAnsi="Times New Roman" w:cs="Times New Roman"/>
          <w:i/>
          <w:iCs/>
        </w:rPr>
        <w:t>Ethical Guidelines for Educational Research</w:t>
      </w:r>
      <w:r w:rsidRPr="00762A4C">
        <w:rPr>
          <w:rFonts w:ascii="Times New Roman" w:hAnsi="Times New Roman" w:cs="Times New Roman"/>
        </w:rPr>
        <w:t xml:space="preserve">. 5th </w:t>
      </w:r>
      <w:proofErr w:type="spellStart"/>
      <w:r w:rsidRPr="00762A4C">
        <w:rPr>
          <w:rFonts w:ascii="Times New Roman" w:hAnsi="Times New Roman" w:cs="Times New Roman"/>
        </w:rPr>
        <w:t>edn</w:t>
      </w:r>
      <w:proofErr w:type="spellEnd"/>
      <w:r w:rsidRPr="00762A4C">
        <w:rPr>
          <w:rFonts w:ascii="Times New Roman" w:hAnsi="Times New Roman" w:cs="Times New Roman"/>
        </w:rPr>
        <w:t>. London: British</w:t>
      </w:r>
      <w:r w:rsidR="00FD771B">
        <w:rPr>
          <w:rFonts w:ascii="Times New Roman" w:hAnsi="Times New Roman" w:cs="Times New Roman"/>
        </w:rPr>
        <w:tab/>
      </w:r>
      <w:r w:rsidR="00FD771B">
        <w:rPr>
          <w:rFonts w:ascii="Times New Roman" w:hAnsi="Times New Roman" w:cs="Times New Roman"/>
        </w:rPr>
        <w:tab/>
      </w:r>
      <w:r w:rsidRPr="00762A4C">
        <w:rPr>
          <w:rFonts w:ascii="Times New Roman" w:hAnsi="Times New Roman" w:cs="Times New Roman"/>
        </w:rPr>
        <w:t xml:space="preserve"> Educational Research Association.</w:t>
      </w:r>
    </w:p>
    <w:p w14:paraId="34B169A1" w14:textId="2987CC5D"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Berger, R. (2015) ‘Now I see it, now I don’t: researcher’s position and reflexivity in </w:t>
      </w:r>
      <w:r w:rsidR="00FD771B">
        <w:rPr>
          <w:rFonts w:ascii="Times New Roman" w:hAnsi="Times New Roman" w:cs="Times New Roman"/>
        </w:rPr>
        <w:tab/>
      </w:r>
      <w:r w:rsidRPr="00762A4C">
        <w:rPr>
          <w:rFonts w:ascii="Times New Roman" w:hAnsi="Times New Roman" w:cs="Times New Roman"/>
        </w:rPr>
        <w:t xml:space="preserve">qualitative research’, </w:t>
      </w:r>
      <w:r w:rsidRPr="00762A4C">
        <w:rPr>
          <w:rFonts w:ascii="Times New Roman" w:hAnsi="Times New Roman" w:cs="Times New Roman"/>
          <w:i/>
          <w:iCs/>
        </w:rPr>
        <w:t>Qualitative Research</w:t>
      </w:r>
      <w:r w:rsidRPr="00762A4C">
        <w:rPr>
          <w:rFonts w:ascii="Times New Roman" w:hAnsi="Times New Roman" w:cs="Times New Roman"/>
        </w:rPr>
        <w:t>, 15(2), pp. 219–234.</w:t>
      </w:r>
    </w:p>
    <w:p w14:paraId="152E15D1"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Bradford, S. (2007) </w:t>
      </w:r>
      <w:r w:rsidRPr="00762A4C">
        <w:rPr>
          <w:rFonts w:ascii="Times New Roman" w:hAnsi="Times New Roman" w:cs="Times New Roman"/>
          <w:i/>
          <w:iCs/>
        </w:rPr>
        <w:t>Working with Young People</w:t>
      </w:r>
      <w:r w:rsidRPr="00762A4C">
        <w:rPr>
          <w:rFonts w:ascii="Times New Roman" w:hAnsi="Times New Roman" w:cs="Times New Roman"/>
        </w:rPr>
        <w:t>. London: Sage.</w:t>
      </w:r>
    </w:p>
    <w:p w14:paraId="2407AA00" w14:textId="59B7D151"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Braun, V. and Clarke, V. (2006) ‘Using thematic analysis in psychology’, </w:t>
      </w:r>
      <w:r w:rsidRPr="00762A4C">
        <w:rPr>
          <w:rFonts w:ascii="Times New Roman" w:hAnsi="Times New Roman" w:cs="Times New Roman"/>
          <w:i/>
          <w:iCs/>
        </w:rPr>
        <w:t xml:space="preserve">Qualitative </w:t>
      </w:r>
      <w:r w:rsidR="00FD771B">
        <w:rPr>
          <w:rFonts w:ascii="Times New Roman" w:hAnsi="Times New Roman" w:cs="Times New Roman"/>
          <w:i/>
          <w:iCs/>
        </w:rPr>
        <w:tab/>
      </w:r>
      <w:r w:rsidRPr="00762A4C">
        <w:rPr>
          <w:rFonts w:ascii="Times New Roman" w:hAnsi="Times New Roman" w:cs="Times New Roman"/>
          <w:i/>
          <w:iCs/>
        </w:rPr>
        <w:t>Research in Psychology</w:t>
      </w:r>
      <w:r w:rsidRPr="00762A4C">
        <w:rPr>
          <w:rFonts w:ascii="Times New Roman" w:hAnsi="Times New Roman" w:cs="Times New Roman"/>
        </w:rPr>
        <w:t>, 3(2), pp. 77–101.</w:t>
      </w:r>
    </w:p>
    <w:p w14:paraId="551188E2"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Bryman, A. (2012) </w:t>
      </w:r>
      <w:r w:rsidRPr="00762A4C">
        <w:rPr>
          <w:rFonts w:ascii="Times New Roman" w:hAnsi="Times New Roman" w:cs="Times New Roman"/>
          <w:i/>
          <w:iCs/>
        </w:rPr>
        <w:t>Social Research Methods</w:t>
      </w:r>
      <w:r w:rsidRPr="00762A4C">
        <w:rPr>
          <w:rFonts w:ascii="Times New Roman" w:hAnsi="Times New Roman" w:cs="Times New Roman"/>
        </w:rPr>
        <w:t xml:space="preserve">. 4th </w:t>
      </w:r>
      <w:proofErr w:type="spellStart"/>
      <w:r w:rsidRPr="00762A4C">
        <w:rPr>
          <w:rFonts w:ascii="Times New Roman" w:hAnsi="Times New Roman" w:cs="Times New Roman"/>
        </w:rPr>
        <w:t>edn</w:t>
      </w:r>
      <w:proofErr w:type="spellEnd"/>
      <w:r w:rsidRPr="00762A4C">
        <w:rPr>
          <w:rFonts w:ascii="Times New Roman" w:hAnsi="Times New Roman" w:cs="Times New Roman"/>
        </w:rPr>
        <w:t>. Oxford: Oxford University Press.</w:t>
      </w:r>
    </w:p>
    <w:p w14:paraId="1CBD1980"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Bryman, A. (2016) </w:t>
      </w:r>
      <w:r w:rsidRPr="00762A4C">
        <w:rPr>
          <w:rFonts w:ascii="Times New Roman" w:hAnsi="Times New Roman" w:cs="Times New Roman"/>
          <w:i/>
          <w:iCs/>
        </w:rPr>
        <w:t>Social Research Methods</w:t>
      </w:r>
      <w:r w:rsidRPr="00762A4C">
        <w:rPr>
          <w:rFonts w:ascii="Times New Roman" w:hAnsi="Times New Roman" w:cs="Times New Roman"/>
        </w:rPr>
        <w:t xml:space="preserve">. 5th </w:t>
      </w:r>
      <w:proofErr w:type="spellStart"/>
      <w:r w:rsidRPr="00762A4C">
        <w:rPr>
          <w:rFonts w:ascii="Times New Roman" w:hAnsi="Times New Roman" w:cs="Times New Roman"/>
        </w:rPr>
        <w:t>edn</w:t>
      </w:r>
      <w:proofErr w:type="spellEnd"/>
      <w:r w:rsidRPr="00762A4C">
        <w:rPr>
          <w:rFonts w:ascii="Times New Roman" w:hAnsi="Times New Roman" w:cs="Times New Roman"/>
        </w:rPr>
        <w:t>. Oxford: Oxford University Press.</w:t>
      </w:r>
    </w:p>
    <w:p w14:paraId="1D87FD59"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Charmaz, K. (2014) </w:t>
      </w:r>
      <w:r w:rsidRPr="00762A4C">
        <w:rPr>
          <w:rFonts w:ascii="Times New Roman" w:hAnsi="Times New Roman" w:cs="Times New Roman"/>
          <w:i/>
          <w:iCs/>
        </w:rPr>
        <w:t>Constructing Grounded Theory</w:t>
      </w:r>
      <w:r w:rsidRPr="00762A4C">
        <w:rPr>
          <w:rFonts w:ascii="Times New Roman" w:hAnsi="Times New Roman" w:cs="Times New Roman"/>
        </w:rPr>
        <w:t xml:space="preserve">. 2nd </w:t>
      </w:r>
      <w:proofErr w:type="spellStart"/>
      <w:r w:rsidRPr="00762A4C">
        <w:rPr>
          <w:rFonts w:ascii="Times New Roman" w:hAnsi="Times New Roman" w:cs="Times New Roman"/>
        </w:rPr>
        <w:t>edn</w:t>
      </w:r>
      <w:proofErr w:type="spellEnd"/>
      <w:r w:rsidRPr="00762A4C">
        <w:rPr>
          <w:rFonts w:ascii="Times New Roman" w:hAnsi="Times New Roman" w:cs="Times New Roman"/>
        </w:rPr>
        <w:t>. London: Sage.</w:t>
      </w:r>
    </w:p>
    <w:p w14:paraId="050EFB81" w14:textId="7BE5FFD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Cohen, L., Manion, L. and Morrison, K. (2018) </w:t>
      </w:r>
      <w:r w:rsidRPr="00762A4C">
        <w:rPr>
          <w:rFonts w:ascii="Times New Roman" w:hAnsi="Times New Roman" w:cs="Times New Roman"/>
          <w:i/>
          <w:iCs/>
        </w:rPr>
        <w:t>Research Methods in Education</w:t>
      </w:r>
      <w:r w:rsidRPr="00762A4C">
        <w:rPr>
          <w:rFonts w:ascii="Times New Roman" w:hAnsi="Times New Roman" w:cs="Times New Roman"/>
        </w:rPr>
        <w:t xml:space="preserve">. 8th </w:t>
      </w:r>
      <w:proofErr w:type="spellStart"/>
      <w:r w:rsidRPr="00762A4C">
        <w:rPr>
          <w:rFonts w:ascii="Times New Roman" w:hAnsi="Times New Roman" w:cs="Times New Roman"/>
        </w:rPr>
        <w:t>edn</w:t>
      </w:r>
      <w:proofErr w:type="spellEnd"/>
      <w:r w:rsidRPr="00762A4C">
        <w:rPr>
          <w:rFonts w:ascii="Times New Roman" w:hAnsi="Times New Roman" w:cs="Times New Roman"/>
        </w:rPr>
        <w:t xml:space="preserve">. </w:t>
      </w:r>
      <w:r w:rsidR="00FD771B">
        <w:rPr>
          <w:rFonts w:ascii="Times New Roman" w:hAnsi="Times New Roman" w:cs="Times New Roman"/>
        </w:rPr>
        <w:tab/>
      </w:r>
      <w:r w:rsidRPr="00762A4C">
        <w:rPr>
          <w:rFonts w:ascii="Times New Roman" w:hAnsi="Times New Roman" w:cs="Times New Roman"/>
        </w:rPr>
        <w:t>London: Routledge.</w:t>
      </w:r>
    </w:p>
    <w:p w14:paraId="2AD331DF" w14:textId="4194DF21"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Cooper, T. (2012) </w:t>
      </w:r>
      <w:r w:rsidRPr="00762A4C">
        <w:rPr>
          <w:rFonts w:ascii="Times New Roman" w:hAnsi="Times New Roman" w:cs="Times New Roman"/>
          <w:i/>
          <w:iCs/>
        </w:rPr>
        <w:t>Models of Youth Work: A Framework for Positive Sceptical Reflection</w:t>
      </w:r>
      <w:r w:rsidRPr="00762A4C">
        <w:rPr>
          <w:rFonts w:ascii="Times New Roman" w:hAnsi="Times New Roman" w:cs="Times New Roman"/>
        </w:rPr>
        <w:t xml:space="preserve">. 2nd </w:t>
      </w:r>
      <w:r w:rsidR="00FD771B">
        <w:rPr>
          <w:rFonts w:ascii="Times New Roman" w:hAnsi="Times New Roman" w:cs="Times New Roman"/>
        </w:rPr>
        <w:tab/>
      </w:r>
      <w:proofErr w:type="spellStart"/>
      <w:r w:rsidRPr="00762A4C">
        <w:rPr>
          <w:rFonts w:ascii="Times New Roman" w:hAnsi="Times New Roman" w:cs="Times New Roman"/>
        </w:rPr>
        <w:t>edn</w:t>
      </w:r>
      <w:proofErr w:type="spellEnd"/>
      <w:r w:rsidRPr="00762A4C">
        <w:rPr>
          <w:rFonts w:ascii="Times New Roman" w:hAnsi="Times New Roman" w:cs="Times New Roman"/>
        </w:rPr>
        <w:t>. Lyme Regis: Russell House Publishing.</w:t>
      </w:r>
    </w:p>
    <w:p w14:paraId="032CFFB9" w14:textId="5C9BE911" w:rsidR="00762A4C" w:rsidRPr="00762A4C" w:rsidRDefault="00762A4C" w:rsidP="00762A4C">
      <w:pPr>
        <w:rPr>
          <w:rFonts w:ascii="Times New Roman" w:hAnsi="Times New Roman" w:cs="Times New Roman"/>
        </w:rPr>
      </w:pPr>
      <w:r w:rsidRPr="00762A4C">
        <w:rPr>
          <w:rFonts w:ascii="Times New Roman" w:hAnsi="Times New Roman" w:cs="Times New Roman"/>
        </w:rPr>
        <w:t>Corney, T. (2004) ‘Youth work in Australia: professionalisation and the changing policy</w:t>
      </w:r>
      <w:r w:rsidR="00FD771B">
        <w:rPr>
          <w:rFonts w:ascii="Times New Roman" w:hAnsi="Times New Roman" w:cs="Times New Roman"/>
        </w:rPr>
        <w:tab/>
      </w:r>
      <w:r w:rsidR="00FD771B">
        <w:rPr>
          <w:rFonts w:ascii="Times New Roman" w:hAnsi="Times New Roman" w:cs="Times New Roman"/>
        </w:rPr>
        <w:tab/>
      </w:r>
      <w:r w:rsidRPr="00762A4C">
        <w:rPr>
          <w:rFonts w:ascii="Times New Roman" w:hAnsi="Times New Roman" w:cs="Times New Roman"/>
        </w:rPr>
        <w:t xml:space="preserve"> climate’, </w:t>
      </w:r>
      <w:r w:rsidRPr="00762A4C">
        <w:rPr>
          <w:rFonts w:ascii="Times New Roman" w:hAnsi="Times New Roman" w:cs="Times New Roman"/>
          <w:i/>
          <w:iCs/>
        </w:rPr>
        <w:t>Youth Studies Australia</w:t>
      </w:r>
      <w:r w:rsidRPr="00762A4C">
        <w:rPr>
          <w:rFonts w:ascii="Times New Roman" w:hAnsi="Times New Roman" w:cs="Times New Roman"/>
        </w:rPr>
        <w:t>, 23(3), pp. 17–23.</w:t>
      </w:r>
    </w:p>
    <w:p w14:paraId="705B0929" w14:textId="64490A43"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Crotty, M. (1998) </w:t>
      </w:r>
      <w:r w:rsidRPr="00762A4C">
        <w:rPr>
          <w:rFonts w:ascii="Times New Roman" w:hAnsi="Times New Roman" w:cs="Times New Roman"/>
          <w:i/>
          <w:iCs/>
        </w:rPr>
        <w:t xml:space="preserve">The Foundations of Social Research: Meaning and Perspective in the </w:t>
      </w:r>
      <w:r w:rsidR="00FD771B">
        <w:rPr>
          <w:rFonts w:ascii="Times New Roman" w:hAnsi="Times New Roman" w:cs="Times New Roman"/>
          <w:i/>
          <w:iCs/>
        </w:rPr>
        <w:tab/>
      </w:r>
      <w:r w:rsidRPr="00762A4C">
        <w:rPr>
          <w:rFonts w:ascii="Times New Roman" w:hAnsi="Times New Roman" w:cs="Times New Roman"/>
          <w:i/>
          <w:iCs/>
        </w:rPr>
        <w:t>Research Process</w:t>
      </w:r>
      <w:r w:rsidRPr="00762A4C">
        <w:rPr>
          <w:rFonts w:ascii="Times New Roman" w:hAnsi="Times New Roman" w:cs="Times New Roman"/>
        </w:rPr>
        <w:t>. London: Sage.</w:t>
      </w:r>
    </w:p>
    <w:p w14:paraId="6F7B697F" w14:textId="611BAB6B"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Davies, B. (2008) </w:t>
      </w:r>
      <w:r w:rsidRPr="00762A4C">
        <w:rPr>
          <w:rFonts w:ascii="Times New Roman" w:hAnsi="Times New Roman" w:cs="Times New Roman"/>
          <w:i/>
          <w:iCs/>
        </w:rPr>
        <w:t>Defined by History: Youth Work in Britain</w:t>
      </w:r>
      <w:r w:rsidRPr="00762A4C">
        <w:rPr>
          <w:rFonts w:ascii="Times New Roman" w:hAnsi="Times New Roman" w:cs="Times New Roman"/>
        </w:rPr>
        <w:t xml:space="preserve">. Leicester: National Youth </w:t>
      </w:r>
      <w:r w:rsidR="00FD771B">
        <w:rPr>
          <w:rFonts w:ascii="Times New Roman" w:hAnsi="Times New Roman" w:cs="Times New Roman"/>
        </w:rPr>
        <w:tab/>
      </w:r>
      <w:r w:rsidRPr="00762A4C">
        <w:rPr>
          <w:rFonts w:ascii="Times New Roman" w:hAnsi="Times New Roman" w:cs="Times New Roman"/>
        </w:rPr>
        <w:t>Agency.</w:t>
      </w:r>
    </w:p>
    <w:p w14:paraId="6C8B2ACA" w14:textId="7D8C041B"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de St Croix, T. (2016) </w:t>
      </w:r>
      <w:r w:rsidRPr="00762A4C">
        <w:rPr>
          <w:rFonts w:ascii="Times New Roman" w:hAnsi="Times New Roman" w:cs="Times New Roman"/>
          <w:i/>
          <w:iCs/>
        </w:rPr>
        <w:t>Grassroots Youth Work: Policy, Passion and Resistance in Practice</w:t>
      </w:r>
      <w:r w:rsidRPr="00762A4C">
        <w:rPr>
          <w:rFonts w:ascii="Times New Roman" w:hAnsi="Times New Roman" w:cs="Times New Roman"/>
        </w:rPr>
        <w:t xml:space="preserve">. </w:t>
      </w:r>
      <w:r w:rsidR="00FD771B">
        <w:rPr>
          <w:rFonts w:ascii="Times New Roman" w:hAnsi="Times New Roman" w:cs="Times New Roman"/>
        </w:rPr>
        <w:tab/>
      </w:r>
      <w:r w:rsidRPr="00762A4C">
        <w:rPr>
          <w:rFonts w:ascii="Times New Roman" w:hAnsi="Times New Roman" w:cs="Times New Roman"/>
        </w:rPr>
        <w:t>Bristol: Policy Press.</w:t>
      </w:r>
    </w:p>
    <w:p w14:paraId="31F578C0" w14:textId="7F8670A6"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Denzin, N.K. (1978) </w:t>
      </w:r>
      <w:r w:rsidRPr="00762A4C">
        <w:rPr>
          <w:rFonts w:ascii="Times New Roman" w:hAnsi="Times New Roman" w:cs="Times New Roman"/>
          <w:i/>
          <w:iCs/>
        </w:rPr>
        <w:t>The Research Act: A Theoretical Introduction to Sociological Methods</w:t>
      </w:r>
      <w:r w:rsidRPr="00762A4C">
        <w:rPr>
          <w:rFonts w:ascii="Times New Roman" w:hAnsi="Times New Roman" w:cs="Times New Roman"/>
        </w:rPr>
        <w:t xml:space="preserve">. </w:t>
      </w:r>
      <w:r w:rsidR="00FD771B">
        <w:rPr>
          <w:rFonts w:ascii="Times New Roman" w:hAnsi="Times New Roman" w:cs="Times New Roman"/>
        </w:rPr>
        <w:tab/>
      </w:r>
      <w:r w:rsidRPr="00762A4C">
        <w:rPr>
          <w:rFonts w:ascii="Times New Roman" w:hAnsi="Times New Roman" w:cs="Times New Roman"/>
        </w:rPr>
        <w:t xml:space="preserve">2nd </w:t>
      </w:r>
      <w:proofErr w:type="spellStart"/>
      <w:r w:rsidRPr="00762A4C">
        <w:rPr>
          <w:rFonts w:ascii="Times New Roman" w:hAnsi="Times New Roman" w:cs="Times New Roman"/>
        </w:rPr>
        <w:t>edn</w:t>
      </w:r>
      <w:proofErr w:type="spellEnd"/>
      <w:r w:rsidRPr="00762A4C">
        <w:rPr>
          <w:rFonts w:ascii="Times New Roman" w:hAnsi="Times New Roman" w:cs="Times New Roman"/>
        </w:rPr>
        <w:t>. New York: McGraw-Hill.</w:t>
      </w:r>
    </w:p>
    <w:p w14:paraId="312630D9" w14:textId="639C7F6C"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Denzin, N.K. and Lincoln, Y.S. (2018) </w:t>
      </w:r>
      <w:r w:rsidRPr="00762A4C">
        <w:rPr>
          <w:rFonts w:ascii="Times New Roman" w:hAnsi="Times New Roman" w:cs="Times New Roman"/>
          <w:i/>
          <w:iCs/>
        </w:rPr>
        <w:t>The Sage Handbook of Qualitative Research</w:t>
      </w:r>
      <w:r w:rsidRPr="00762A4C">
        <w:rPr>
          <w:rFonts w:ascii="Times New Roman" w:hAnsi="Times New Roman" w:cs="Times New Roman"/>
        </w:rPr>
        <w:t xml:space="preserve">. 5th </w:t>
      </w:r>
      <w:proofErr w:type="spellStart"/>
      <w:r w:rsidRPr="00762A4C">
        <w:rPr>
          <w:rFonts w:ascii="Times New Roman" w:hAnsi="Times New Roman" w:cs="Times New Roman"/>
        </w:rPr>
        <w:t>edn</w:t>
      </w:r>
      <w:proofErr w:type="spellEnd"/>
      <w:r w:rsidRPr="00762A4C">
        <w:rPr>
          <w:rFonts w:ascii="Times New Roman" w:hAnsi="Times New Roman" w:cs="Times New Roman"/>
        </w:rPr>
        <w:t xml:space="preserve">. </w:t>
      </w:r>
      <w:r w:rsidR="00FD771B">
        <w:rPr>
          <w:rFonts w:ascii="Times New Roman" w:hAnsi="Times New Roman" w:cs="Times New Roman"/>
        </w:rPr>
        <w:tab/>
      </w:r>
      <w:r w:rsidRPr="00762A4C">
        <w:rPr>
          <w:rFonts w:ascii="Times New Roman" w:hAnsi="Times New Roman" w:cs="Times New Roman"/>
        </w:rPr>
        <w:t>Thousand Oaks, CA: Sage.</w:t>
      </w:r>
    </w:p>
    <w:p w14:paraId="212CB92B" w14:textId="05D13A77" w:rsidR="00762A4C" w:rsidRPr="00762A4C" w:rsidRDefault="00762A4C" w:rsidP="00762A4C">
      <w:pPr>
        <w:rPr>
          <w:rFonts w:ascii="Times New Roman" w:hAnsi="Times New Roman" w:cs="Times New Roman"/>
        </w:rPr>
      </w:pPr>
      <w:proofErr w:type="spellStart"/>
      <w:r w:rsidRPr="00762A4C">
        <w:rPr>
          <w:rFonts w:ascii="Times New Roman" w:hAnsi="Times New Roman" w:cs="Times New Roman"/>
        </w:rPr>
        <w:t>Etikan</w:t>
      </w:r>
      <w:proofErr w:type="spellEnd"/>
      <w:r w:rsidRPr="00762A4C">
        <w:rPr>
          <w:rFonts w:ascii="Times New Roman" w:hAnsi="Times New Roman" w:cs="Times New Roman"/>
        </w:rPr>
        <w:t xml:space="preserve">, I., Musa, S.A. and Alkassim, R.S. (2016) ‘Comparison of convenience sampling and </w:t>
      </w:r>
      <w:r w:rsidR="00FD771B">
        <w:rPr>
          <w:rFonts w:ascii="Times New Roman" w:hAnsi="Times New Roman" w:cs="Times New Roman"/>
        </w:rPr>
        <w:tab/>
      </w:r>
      <w:r w:rsidRPr="00762A4C">
        <w:rPr>
          <w:rFonts w:ascii="Times New Roman" w:hAnsi="Times New Roman" w:cs="Times New Roman"/>
        </w:rPr>
        <w:t xml:space="preserve">purposive sampling’, </w:t>
      </w:r>
      <w:r w:rsidRPr="00762A4C">
        <w:rPr>
          <w:rFonts w:ascii="Times New Roman" w:hAnsi="Times New Roman" w:cs="Times New Roman"/>
          <w:i/>
          <w:iCs/>
        </w:rPr>
        <w:t>American Journal of Theoretical and Applied Statistics</w:t>
      </w:r>
      <w:r w:rsidRPr="00762A4C">
        <w:rPr>
          <w:rFonts w:ascii="Times New Roman" w:hAnsi="Times New Roman" w:cs="Times New Roman"/>
        </w:rPr>
        <w:t>, 5(1), pp. 1–4.</w:t>
      </w:r>
    </w:p>
    <w:p w14:paraId="4BC87346" w14:textId="4A9699CC" w:rsidR="00762A4C" w:rsidRPr="00762A4C" w:rsidRDefault="00762A4C" w:rsidP="00762A4C">
      <w:pPr>
        <w:rPr>
          <w:rFonts w:ascii="Times New Roman" w:hAnsi="Times New Roman" w:cs="Times New Roman"/>
        </w:rPr>
      </w:pPr>
      <w:r w:rsidRPr="00762A4C">
        <w:rPr>
          <w:rFonts w:ascii="Times New Roman" w:hAnsi="Times New Roman" w:cs="Times New Roman"/>
        </w:rPr>
        <w:lastRenderedPageBreak/>
        <w:t>Evans, J.R. and Mathur, A. (2018) ‘The value of online surveys: a look back and a look</w:t>
      </w:r>
      <w:r w:rsidR="00FD771B">
        <w:rPr>
          <w:rFonts w:ascii="Times New Roman" w:hAnsi="Times New Roman" w:cs="Times New Roman"/>
        </w:rPr>
        <w:tab/>
      </w:r>
      <w:r w:rsidR="00FD771B">
        <w:rPr>
          <w:rFonts w:ascii="Times New Roman" w:hAnsi="Times New Roman" w:cs="Times New Roman"/>
        </w:rPr>
        <w:tab/>
      </w:r>
      <w:r w:rsidRPr="00762A4C">
        <w:rPr>
          <w:rFonts w:ascii="Times New Roman" w:hAnsi="Times New Roman" w:cs="Times New Roman"/>
        </w:rPr>
        <w:t xml:space="preserve"> ahead’, </w:t>
      </w:r>
      <w:r w:rsidRPr="00762A4C">
        <w:rPr>
          <w:rFonts w:ascii="Times New Roman" w:hAnsi="Times New Roman" w:cs="Times New Roman"/>
          <w:i/>
          <w:iCs/>
        </w:rPr>
        <w:t>Internet Research</w:t>
      </w:r>
      <w:r w:rsidRPr="00762A4C">
        <w:rPr>
          <w:rFonts w:ascii="Times New Roman" w:hAnsi="Times New Roman" w:cs="Times New Roman"/>
        </w:rPr>
        <w:t>, 28(4), pp. 854–887.</w:t>
      </w:r>
    </w:p>
    <w:p w14:paraId="63FB174C" w14:textId="0E9716E8"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Evetts, J. (2013) ‘Professionalism: Value and ideology’, </w:t>
      </w:r>
      <w:r w:rsidRPr="00762A4C">
        <w:rPr>
          <w:rFonts w:ascii="Times New Roman" w:hAnsi="Times New Roman" w:cs="Times New Roman"/>
          <w:i/>
          <w:iCs/>
        </w:rPr>
        <w:t>Current Sociology</w:t>
      </w:r>
      <w:r w:rsidRPr="00762A4C">
        <w:rPr>
          <w:rFonts w:ascii="Times New Roman" w:hAnsi="Times New Roman" w:cs="Times New Roman"/>
        </w:rPr>
        <w:t>, 61(5–6), pp. 778–</w:t>
      </w:r>
      <w:r w:rsidR="00FD771B">
        <w:rPr>
          <w:rFonts w:ascii="Times New Roman" w:hAnsi="Times New Roman" w:cs="Times New Roman"/>
        </w:rPr>
        <w:tab/>
      </w:r>
      <w:r w:rsidRPr="00762A4C">
        <w:rPr>
          <w:rFonts w:ascii="Times New Roman" w:hAnsi="Times New Roman" w:cs="Times New Roman"/>
        </w:rPr>
        <w:t>796.</w:t>
      </w:r>
    </w:p>
    <w:p w14:paraId="32B9BAC4" w14:textId="5556760E"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Finlay, L. (2002) ‘Negotiating the swamp: the opportunity and challenge of reflexivity in </w:t>
      </w:r>
      <w:r w:rsidR="00FD771B">
        <w:rPr>
          <w:rFonts w:ascii="Times New Roman" w:hAnsi="Times New Roman" w:cs="Times New Roman"/>
        </w:rPr>
        <w:tab/>
      </w:r>
      <w:r w:rsidRPr="00762A4C">
        <w:rPr>
          <w:rFonts w:ascii="Times New Roman" w:hAnsi="Times New Roman" w:cs="Times New Roman"/>
        </w:rPr>
        <w:t xml:space="preserve">research practice’, </w:t>
      </w:r>
      <w:r w:rsidRPr="00762A4C">
        <w:rPr>
          <w:rFonts w:ascii="Times New Roman" w:hAnsi="Times New Roman" w:cs="Times New Roman"/>
          <w:i/>
          <w:iCs/>
        </w:rPr>
        <w:t>Qualitative Research</w:t>
      </w:r>
      <w:r w:rsidRPr="00762A4C">
        <w:rPr>
          <w:rFonts w:ascii="Times New Roman" w:hAnsi="Times New Roman" w:cs="Times New Roman"/>
        </w:rPr>
        <w:t>, 2(2), pp. 209–230.</w:t>
      </w:r>
    </w:p>
    <w:p w14:paraId="1A3ECA38" w14:textId="70FBE4A1"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Finlay, L. (2011) </w:t>
      </w:r>
      <w:r w:rsidRPr="00762A4C">
        <w:rPr>
          <w:rFonts w:ascii="Times New Roman" w:hAnsi="Times New Roman" w:cs="Times New Roman"/>
          <w:i/>
          <w:iCs/>
        </w:rPr>
        <w:t>Phenomenology for Therapists: Researching the Lived World</w:t>
      </w:r>
      <w:r w:rsidRPr="00762A4C">
        <w:rPr>
          <w:rFonts w:ascii="Times New Roman" w:hAnsi="Times New Roman" w:cs="Times New Roman"/>
        </w:rPr>
        <w:t xml:space="preserve">. Oxford: </w:t>
      </w:r>
      <w:r w:rsidR="00FD771B">
        <w:rPr>
          <w:rFonts w:ascii="Times New Roman" w:hAnsi="Times New Roman" w:cs="Times New Roman"/>
        </w:rPr>
        <w:tab/>
      </w:r>
      <w:r w:rsidRPr="00762A4C">
        <w:rPr>
          <w:rFonts w:ascii="Times New Roman" w:hAnsi="Times New Roman" w:cs="Times New Roman"/>
        </w:rPr>
        <w:t>Wiley-Blackwell.</w:t>
      </w:r>
    </w:p>
    <w:p w14:paraId="75E09816" w14:textId="0A7EE3C3" w:rsidR="00762A4C" w:rsidRPr="00762A4C" w:rsidRDefault="00762A4C" w:rsidP="00762A4C">
      <w:pPr>
        <w:rPr>
          <w:rFonts w:ascii="Times New Roman" w:hAnsi="Times New Roman" w:cs="Times New Roman"/>
        </w:rPr>
      </w:pPr>
      <w:r w:rsidRPr="00762A4C">
        <w:rPr>
          <w:rFonts w:ascii="Times New Roman" w:hAnsi="Times New Roman" w:cs="Times New Roman"/>
        </w:rPr>
        <w:t>Fricker, R.D. and Schonlau, M. (2002) ‘Advantages and disadvantages of internet research</w:t>
      </w:r>
      <w:r w:rsidR="00FD771B">
        <w:rPr>
          <w:rFonts w:ascii="Times New Roman" w:hAnsi="Times New Roman" w:cs="Times New Roman"/>
        </w:rPr>
        <w:tab/>
      </w:r>
      <w:r w:rsidRPr="00762A4C">
        <w:rPr>
          <w:rFonts w:ascii="Times New Roman" w:hAnsi="Times New Roman" w:cs="Times New Roman"/>
        </w:rPr>
        <w:t xml:space="preserve"> surveys: evidence from the literature’, </w:t>
      </w:r>
      <w:r w:rsidRPr="00762A4C">
        <w:rPr>
          <w:rFonts w:ascii="Times New Roman" w:hAnsi="Times New Roman" w:cs="Times New Roman"/>
          <w:i/>
          <w:iCs/>
        </w:rPr>
        <w:t>Field Methods</w:t>
      </w:r>
      <w:r w:rsidRPr="00762A4C">
        <w:rPr>
          <w:rFonts w:ascii="Times New Roman" w:hAnsi="Times New Roman" w:cs="Times New Roman"/>
        </w:rPr>
        <w:t>, 14(4), pp. 347–367.</w:t>
      </w:r>
    </w:p>
    <w:p w14:paraId="44378AB7" w14:textId="40F4594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Grimm, P. (2010) ‘Social desirability bias’, in Sheth, J.N. and Malhotra, N.K. (eds.) </w:t>
      </w:r>
      <w:r w:rsidRPr="00762A4C">
        <w:rPr>
          <w:rFonts w:ascii="Times New Roman" w:hAnsi="Times New Roman" w:cs="Times New Roman"/>
          <w:i/>
          <w:iCs/>
        </w:rPr>
        <w:t xml:space="preserve">Wiley </w:t>
      </w:r>
      <w:r w:rsidR="00FD771B">
        <w:rPr>
          <w:rFonts w:ascii="Times New Roman" w:hAnsi="Times New Roman" w:cs="Times New Roman"/>
          <w:i/>
          <w:iCs/>
        </w:rPr>
        <w:tab/>
      </w:r>
      <w:r w:rsidRPr="00762A4C">
        <w:rPr>
          <w:rFonts w:ascii="Times New Roman" w:hAnsi="Times New Roman" w:cs="Times New Roman"/>
          <w:i/>
          <w:iCs/>
        </w:rPr>
        <w:t xml:space="preserve">International </w:t>
      </w:r>
      <w:proofErr w:type="spellStart"/>
      <w:r w:rsidRPr="00762A4C">
        <w:rPr>
          <w:rFonts w:ascii="Times New Roman" w:hAnsi="Times New Roman" w:cs="Times New Roman"/>
          <w:i/>
          <w:iCs/>
        </w:rPr>
        <w:t>Encyclopedia</w:t>
      </w:r>
      <w:proofErr w:type="spellEnd"/>
      <w:r w:rsidRPr="00762A4C">
        <w:rPr>
          <w:rFonts w:ascii="Times New Roman" w:hAnsi="Times New Roman" w:cs="Times New Roman"/>
          <w:i/>
          <w:iCs/>
        </w:rPr>
        <w:t xml:space="preserve"> of Marketing</w:t>
      </w:r>
      <w:r w:rsidRPr="00762A4C">
        <w:rPr>
          <w:rFonts w:ascii="Times New Roman" w:hAnsi="Times New Roman" w:cs="Times New Roman"/>
        </w:rPr>
        <w:t>. Chichester: Wiley, pp. 1–2.</w:t>
      </w:r>
    </w:p>
    <w:p w14:paraId="21D158BD" w14:textId="7911BD6D"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Hammersley, M. and </w:t>
      </w:r>
      <w:proofErr w:type="spellStart"/>
      <w:r w:rsidRPr="00762A4C">
        <w:rPr>
          <w:rFonts w:ascii="Times New Roman" w:hAnsi="Times New Roman" w:cs="Times New Roman"/>
        </w:rPr>
        <w:t>Traianou</w:t>
      </w:r>
      <w:proofErr w:type="spellEnd"/>
      <w:r w:rsidRPr="00762A4C">
        <w:rPr>
          <w:rFonts w:ascii="Times New Roman" w:hAnsi="Times New Roman" w:cs="Times New Roman"/>
        </w:rPr>
        <w:t xml:space="preserve">, A. (2012) </w:t>
      </w:r>
      <w:r w:rsidRPr="00762A4C">
        <w:rPr>
          <w:rFonts w:ascii="Times New Roman" w:hAnsi="Times New Roman" w:cs="Times New Roman"/>
          <w:i/>
          <w:iCs/>
        </w:rPr>
        <w:t xml:space="preserve">Ethics in Qualitative Research: Controversies and </w:t>
      </w:r>
      <w:r w:rsidR="00FD771B">
        <w:rPr>
          <w:rFonts w:ascii="Times New Roman" w:hAnsi="Times New Roman" w:cs="Times New Roman"/>
          <w:i/>
          <w:iCs/>
        </w:rPr>
        <w:tab/>
      </w:r>
      <w:r w:rsidRPr="00762A4C">
        <w:rPr>
          <w:rFonts w:ascii="Times New Roman" w:hAnsi="Times New Roman" w:cs="Times New Roman"/>
          <w:i/>
          <w:iCs/>
        </w:rPr>
        <w:t>Contexts</w:t>
      </w:r>
      <w:r w:rsidRPr="00762A4C">
        <w:rPr>
          <w:rFonts w:ascii="Times New Roman" w:hAnsi="Times New Roman" w:cs="Times New Roman"/>
        </w:rPr>
        <w:t>. London: Sage.</w:t>
      </w:r>
    </w:p>
    <w:p w14:paraId="7745FE5C" w14:textId="389CE720"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ICO (2023) </w:t>
      </w:r>
      <w:r w:rsidRPr="00762A4C">
        <w:rPr>
          <w:rFonts w:ascii="Times New Roman" w:hAnsi="Times New Roman" w:cs="Times New Roman"/>
          <w:i/>
          <w:iCs/>
        </w:rPr>
        <w:t>Guide to the UK General Data Protection Regulation (UK GDPR)</w:t>
      </w:r>
      <w:r w:rsidRPr="00762A4C">
        <w:rPr>
          <w:rFonts w:ascii="Times New Roman" w:hAnsi="Times New Roman" w:cs="Times New Roman"/>
        </w:rPr>
        <w:t xml:space="preserve">. Wilmslow: </w:t>
      </w:r>
      <w:r w:rsidR="00FD771B">
        <w:rPr>
          <w:rFonts w:ascii="Times New Roman" w:hAnsi="Times New Roman" w:cs="Times New Roman"/>
        </w:rPr>
        <w:tab/>
      </w:r>
      <w:r w:rsidRPr="00762A4C">
        <w:rPr>
          <w:rFonts w:ascii="Times New Roman" w:hAnsi="Times New Roman" w:cs="Times New Roman"/>
        </w:rPr>
        <w:t xml:space="preserve">Information Commissioner’s Office. Available at: </w:t>
      </w:r>
      <w:hyperlink r:id="rId5" w:history="1">
        <w:r w:rsidRPr="00762A4C">
          <w:rPr>
            <w:rStyle w:val="Hyperlink"/>
            <w:rFonts w:ascii="Times New Roman" w:hAnsi="Times New Roman" w:cs="Times New Roman"/>
            <w:color w:val="auto"/>
          </w:rPr>
          <w:t>https://ico.org.uk/</w:t>
        </w:r>
      </w:hyperlink>
      <w:r w:rsidRPr="00762A4C">
        <w:rPr>
          <w:rFonts w:ascii="Times New Roman" w:hAnsi="Times New Roman" w:cs="Times New Roman"/>
        </w:rPr>
        <w:t xml:space="preserve"> (Accessed: 17 April 2026).</w:t>
      </w:r>
    </w:p>
    <w:p w14:paraId="533BF5FF" w14:textId="2E411F41"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Jeffs, T. and Smith, M.K. (2010) </w:t>
      </w:r>
      <w:r w:rsidRPr="00762A4C">
        <w:rPr>
          <w:rFonts w:ascii="Times New Roman" w:hAnsi="Times New Roman" w:cs="Times New Roman"/>
          <w:i/>
          <w:iCs/>
        </w:rPr>
        <w:t>Youth Work Practice</w:t>
      </w:r>
      <w:r w:rsidRPr="00762A4C">
        <w:rPr>
          <w:rFonts w:ascii="Times New Roman" w:hAnsi="Times New Roman" w:cs="Times New Roman"/>
        </w:rPr>
        <w:t>. Basingstoke: Palgrave Macmillan.</w:t>
      </w:r>
      <w:r w:rsidR="00FD771B">
        <w:rPr>
          <w:rFonts w:ascii="Times New Roman" w:hAnsi="Times New Roman" w:cs="Times New Roman"/>
        </w:rPr>
        <w:tab/>
      </w:r>
      <w:r w:rsidR="00FD771B">
        <w:rPr>
          <w:rFonts w:ascii="Times New Roman" w:hAnsi="Times New Roman" w:cs="Times New Roman"/>
        </w:rPr>
        <w:tab/>
      </w:r>
    </w:p>
    <w:p w14:paraId="3E592B1A" w14:textId="1358C793"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Kaiser, K. (2009) ‘Protecting respondent confidentiality in qualitative research’, </w:t>
      </w:r>
      <w:r w:rsidRPr="00762A4C">
        <w:rPr>
          <w:rFonts w:ascii="Times New Roman" w:hAnsi="Times New Roman" w:cs="Times New Roman"/>
          <w:i/>
          <w:iCs/>
        </w:rPr>
        <w:t xml:space="preserve">Qualitative </w:t>
      </w:r>
      <w:r w:rsidR="00FD771B">
        <w:rPr>
          <w:rFonts w:ascii="Times New Roman" w:hAnsi="Times New Roman" w:cs="Times New Roman"/>
          <w:i/>
          <w:iCs/>
        </w:rPr>
        <w:tab/>
      </w:r>
      <w:r w:rsidRPr="00762A4C">
        <w:rPr>
          <w:rFonts w:ascii="Times New Roman" w:hAnsi="Times New Roman" w:cs="Times New Roman"/>
          <w:i/>
          <w:iCs/>
        </w:rPr>
        <w:t>Health Research</w:t>
      </w:r>
      <w:r w:rsidRPr="00762A4C">
        <w:rPr>
          <w:rFonts w:ascii="Times New Roman" w:hAnsi="Times New Roman" w:cs="Times New Roman"/>
        </w:rPr>
        <w:t>, 19(11), pp. 1632–1641.</w:t>
      </w:r>
    </w:p>
    <w:p w14:paraId="7DD75AC2" w14:textId="4FED066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Kallio, H., Pietilä, A.M., Johnson, M. and Kangasniemi, M. (2016) ‘Systematic </w:t>
      </w:r>
      <w:r w:rsidR="00FD771B">
        <w:rPr>
          <w:rFonts w:ascii="Times New Roman" w:hAnsi="Times New Roman" w:cs="Times New Roman"/>
        </w:rPr>
        <w:tab/>
      </w:r>
      <w:r w:rsidRPr="00762A4C">
        <w:rPr>
          <w:rFonts w:ascii="Times New Roman" w:hAnsi="Times New Roman" w:cs="Times New Roman"/>
        </w:rPr>
        <w:t xml:space="preserve">methodological review: developing a framework for a qualitative semi-structured interview guide’, </w:t>
      </w:r>
      <w:r w:rsidRPr="00762A4C">
        <w:rPr>
          <w:rFonts w:ascii="Times New Roman" w:hAnsi="Times New Roman" w:cs="Times New Roman"/>
          <w:i/>
          <w:iCs/>
        </w:rPr>
        <w:t>Journal of Advanced Nursing</w:t>
      </w:r>
      <w:r w:rsidRPr="00762A4C">
        <w:rPr>
          <w:rFonts w:ascii="Times New Roman" w:hAnsi="Times New Roman" w:cs="Times New Roman"/>
        </w:rPr>
        <w:t>, 72(12), pp. 2954–2965.</w:t>
      </w:r>
    </w:p>
    <w:p w14:paraId="49C1CE45"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Lincoln, Y.S. and Guba, E.G. (1985) </w:t>
      </w:r>
      <w:r w:rsidRPr="00762A4C">
        <w:rPr>
          <w:rFonts w:ascii="Times New Roman" w:hAnsi="Times New Roman" w:cs="Times New Roman"/>
          <w:i/>
          <w:iCs/>
        </w:rPr>
        <w:t>Naturalistic Inquiry</w:t>
      </w:r>
      <w:r w:rsidRPr="00762A4C">
        <w:rPr>
          <w:rFonts w:ascii="Times New Roman" w:hAnsi="Times New Roman" w:cs="Times New Roman"/>
        </w:rPr>
        <w:t>. Beverly Hills, CA: Sage.</w:t>
      </w:r>
    </w:p>
    <w:p w14:paraId="2B130868" w14:textId="531B7981"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Mason, M. (2010) ‘Sample size and saturation in PhD studies using qualitative interviews’, </w:t>
      </w:r>
      <w:r w:rsidR="00FD771B">
        <w:rPr>
          <w:rFonts w:ascii="Times New Roman" w:hAnsi="Times New Roman" w:cs="Times New Roman"/>
        </w:rPr>
        <w:tab/>
      </w:r>
      <w:r w:rsidRPr="00762A4C">
        <w:rPr>
          <w:rFonts w:ascii="Times New Roman" w:hAnsi="Times New Roman" w:cs="Times New Roman"/>
          <w:i/>
          <w:iCs/>
        </w:rPr>
        <w:t xml:space="preserve">Forum Qualitative </w:t>
      </w:r>
      <w:proofErr w:type="spellStart"/>
      <w:r w:rsidRPr="00762A4C">
        <w:rPr>
          <w:rFonts w:ascii="Times New Roman" w:hAnsi="Times New Roman" w:cs="Times New Roman"/>
          <w:i/>
          <w:iCs/>
        </w:rPr>
        <w:t>Sozialforschung</w:t>
      </w:r>
      <w:proofErr w:type="spellEnd"/>
      <w:r w:rsidRPr="00762A4C">
        <w:rPr>
          <w:rFonts w:ascii="Times New Roman" w:hAnsi="Times New Roman" w:cs="Times New Roman"/>
          <w:i/>
          <w:iCs/>
        </w:rPr>
        <w:t xml:space="preserve"> / Forum: Qualitative Social Research</w:t>
      </w:r>
      <w:r w:rsidRPr="00762A4C">
        <w:rPr>
          <w:rFonts w:ascii="Times New Roman" w:hAnsi="Times New Roman" w:cs="Times New Roman"/>
        </w:rPr>
        <w:t>, 11(3), Art. 8.</w:t>
      </w:r>
    </w:p>
    <w:p w14:paraId="1436415F" w14:textId="60112CC4"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Metz, J. (2017) ‘The professionalism of professional youth work and the role of values’, </w:t>
      </w:r>
      <w:r w:rsidR="00FD771B">
        <w:rPr>
          <w:rFonts w:ascii="Times New Roman" w:hAnsi="Times New Roman" w:cs="Times New Roman"/>
        </w:rPr>
        <w:tab/>
      </w:r>
      <w:r w:rsidRPr="00762A4C">
        <w:rPr>
          <w:rFonts w:ascii="Times New Roman" w:hAnsi="Times New Roman" w:cs="Times New Roman"/>
          <w:i/>
          <w:iCs/>
        </w:rPr>
        <w:t>Social Work and Society</w:t>
      </w:r>
      <w:r w:rsidRPr="00762A4C">
        <w:rPr>
          <w:rFonts w:ascii="Times New Roman" w:hAnsi="Times New Roman" w:cs="Times New Roman"/>
        </w:rPr>
        <w:t xml:space="preserve">, 15(1), pp. 1–16. Available at: </w:t>
      </w:r>
      <w:hyperlink r:id="rId6" w:tgtFrame="_new" w:history="1">
        <w:r w:rsidRPr="00762A4C">
          <w:rPr>
            <w:rStyle w:val="Hyperlink"/>
            <w:rFonts w:ascii="Times New Roman" w:hAnsi="Times New Roman" w:cs="Times New Roman"/>
            <w:color w:val="auto"/>
          </w:rPr>
          <w:t>https://ejournals.bib.uni-wuppertal.de/index.php/sws/article/view/528</w:t>
        </w:r>
      </w:hyperlink>
      <w:r w:rsidRPr="00762A4C">
        <w:rPr>
          <w:rFonts w:ascii="Times New Roman" w:hAnsi="Times New Roman" w:cs="Times New Roman"/>
        </w:rPr>
        <w:t xml:space="preserve"> (Accessed: 25 April 2026)</w:t>
      </w:r>
    </w:p>
    <w:p w14:paraId="007686D9" w14:textId="0DEF526B"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Morgan, D.L. (1997) </w:t>
      </w:r>
      <w:r w:rsidRPr="00762A4C">
        <w:rPr>
          <w:rFonts w:ascii="Times New Roman" w:hAnsi="Times New Roman" w:cs="Times New Roman"/>
          <w:i/>
          <w:iCs/>
        </w:rPr>
        <w:t>Focus Groups as Qualitative Research</w:t>
      </w:r>
      <w:r w:rsidRPr="00762A4C">
        <w:rPr>
          <w:rFonts w:ascii="Times New Roman" w:hAnsi="Times New Roman" w:cs="Times New Roman"/>
        </w:rPr>
        <w:t xml:space="preserve">. 2nd </w:t>
      </w:r>
      <w:proofErr w:type="spellStart"/>
      <w:r w:rsidRPr="00762A4C">
        <w:rPr>
          <w:rFonts w:ascii="Times New Roman" w:hAnsi="Times New Roman" w:cs="Times New Roman"/>
        </w:rPr>
        <w:t>edn</w:t>
      </w:r>
      <w:proofErr w:type="spellEnd"/>
      <w:r w:rsidRPr="00762A4C">
        <w:rPr>
          <w:rFonts w:ascii="Times New Roman" w:hAnsi="Times New Roman" w:cs="Times New Roman"/>
        </w:rPr>
        <w:t>. Thousand Oaks, CA:</w:t>
      </w:r>
      <w:r w:rsidR="00FD771B">
        <w:rPr>
          <w:rFonts w:ascii="Times New Roman" w:hAnsi="Times New Roman" w:cs="Times New Roman"/>
        </w:rPr>
        <w:tab/>
      </w:r>
      <w:r w:rsidRPr="00762A4C">
        <w:rPr>
          <w:rFonts w:ascii="Times New Roman" w:hAnsi="Times New Roman" w:cs="Times New Roman"/>
        </w:rPr>
        <w:t xml:space="preserve"> Sage.</w:t>
      </w:r>
    </w:p>
    <w:p w14:paraId="5E1FE22F"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Moustakas, C. (1994) </w:t>
      </w:r>
      <w:r w:rsidRPr="00762A4C">
        <w:rPr>
          <w:rFonts w:ascii="Times New Roman" w:hAnsi="Times New Roman" w:cs="Times New Roman"/>
          <w:i/>
          <w:iCs/>
        </w:rPr>
        <w:t>Phenomenological Research Methods</w:t>
      </w:r>
      <w:r w:rsidRPr="00762A4C">
        <w:rPr>
          <w:rFonts w:ascii="Times New Roman" w:hAnsi="Times New Roman" w:cs="Times New Roman"/>
        </w:rPr>
        <w:t>. Thousand Oaks, CA: Sage.</w:t>
      </w:r>
    </w:p>
    <w:p w14:paraId="08351D7D" w14:textId="313985F9" w:rsidR="00762A4C" w:rsidRPr="00762A4C" w:rsidRDefault="00762A4C" w:rsidP="00762A4C">
      <w:pPr>
        <w:rPr>
          <w:rFonts w:ascii="Times New Roman" w:hAnsi="Times New Roman" w:cs="Times New Roman"/>
        </w:rPr>
      </w:pPr>
      <w:proofErr w:type="spellStart"/>
      <w:r w:rsidRPr="00762A4C">
        <w:rPr>
          <w:rFonts w:ascii="Times New Roman" w:hAnsi="Times New Roman" w:cs="Times New Roman"/>
        </w:rPr>
        <w:lastRenderedPageBreak/>
        <w:t>Raiu</w:t>
      </w:r>
      <w:proofErr w:type="spellEnd"/>
      <w:r w:rsidRPr="00762A4C">
        <w:rPr>
          <w:rFonts w:ascii="Times New Roman" w:hAnsi="Times New Roman" w:cs="Times New Roman"/>
        </w:rPr>
        <w:t xml:space="preserve">, S., Roth, M. and </w:t>
      </w:r>
      <w:proofErr w:type="spellStart"/>
      <w:r w:rsidRPr="00762A4C">
        <w:rPr>
          <w:rFonts w:ascii="Times New Roman" w:hAnsi="Times New Roman" w:cs="Times New Roman"/>
        </w:rPr>
        <w:t>Haragus</w:t>
      </w:r>
      <w:proofErr w:type="spellEnd"/>
      <w:r w:rsidRPr="00762A4C">
        <w:rPr>
          <w:rFonts w:ascii="Times New Roman" w:hAnsi="Times New Roman" w:cs="Times New Roman"/>
        </w:rPr>
        <w:t xml:space="preserve">, P.T. (2014) ‘The development of professional maturity: </w:t>
      </w:r>
      <w:r w:rsidR="00FD771B">
        <w:rPr>
          <w:rFonts w:ascii="Times New Roman" w:hAnsi="Times New Roman" w:cs="Times New Roman"/>
        </w:rPr>
        <w:tab/>
      </w:r>
      <w:r w:rsidRPr="00762A4C">
        <w:rPr>
          <w:rFonts w:ascii="Times New Roman" w:hAnsi="Times New Roman" w:cs="Times New Roman"/>
        </w:rPr>
        <w:t xml:space="preserve">conceptual considerations and measurement perspectives’, </w:t>
      </w:r>
      <w:r w:rsidRPr="00762A4C">
        <w:rPr>
          <w:rFonts w:ascii="Times New Roman" w:hAnsi="Times New Roman" w:cs="Times New Roman"/>
          <w:i/>
          <w:iCs/>
        </w:rPr>
        <w:t xml:space="preserve">Procedia - Social and </w:t>
      </w:r>
      <w:proofErr w:type="spellStart"/>
      <w:r w:rsidRPr="00762A4C">
        <w:rPr>
          <w:rFonts w:ascii="Times New Roman" w:hAnsi="Times New Roman" w:cs="Times New Roman"/>
          <w:i/>
          <w:iCs/>
        </w:rPr>
        <w:t>Behavioral</w:t>
      </w:r>
      <w:proofErr w:type="spellEnd"/>
      <w:r w:rsidRPr="00762A4C">
        <w:rPr>
          <w:rFonts w:ascii="Times New Roman" w:hAnsi="Times New Roman" w:cs="Times New Roman"/>
          <w:i/>
          <w:iCs/>
        </w:rPr>
        <w:t xml:space="preserve"> Sciences</w:t>
      </w:r>
      <w:r w:rsidRPr="00762A4C">
        <w:rPr>
          <w:rFonts w:ascii="Times New Roman" w:hAnsi="Times New Roman" w:cs="Times New Roman"/>
        </w:rPr>
        <w:t>, 127, pp. 425–429.</w:t>
      </w:r>
    </w:p>
    <w:p w14:paraId="78B8FF60" w14:textId="47992362"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Roberts, L.D. and Allen, P.J. (2015) ‘Exploring ethical issues associated with using online </w:t>
      </w:r>
      <w:r w:rsidR="00B30541">
        <w:rPr>
          <w:rFonts w:ascii="Times New Roman" w:hAnsi="Times New Roman" w:cs="Times New Roman"/>
        </w:rPr>
        <w:tab/>
      </w:r>
      <w:r w:rsidR="00FD771B">
        <w:rPr>
          <w:rFonts w:ascii="Times New Roman" w:hAnsi="Times New Roman" w:cs="Times New Roman"/>
        </w:rPr>
        <w:tab/>
      </w:r>
      <w:r w:rsidRPr="00762A4C">
        <w:rPr>
          <w:rFonts w:ascii="Times New Roman" w:hAnsi="Times New Roman" w:cs="Times New Roman"/>
        </w:rPr>
        <w:t xml:space="preserve">surveys in educational research’, </w:t>
      </w:r>
      <w:r w:rsidRPr="00762A4C">
        <w:rPr>
          <w:rFonts w:ascii="Times New Roman" w:hAnsi="Times New Roman" w:cs="Times New Roman"/>
          <w:i/>
          <w:iCs/>
        </w:rPr>
        <w:t>Educational Research and Evaluation</w:t>
      </w:r>
      <w:r w:rsidRPr="00762A4C">
        <w:rPr>
          <w:rFonts w:ascii="Times New Roman" w:hAnsi="Times New Roman" w:cs="Times New Roman"/>
        </w:rPr>
        <w:t>, 21(2), pp. 95–108.</w:t>
      </w:r>
    </w:p>
    <w:p w14:paraId="6C2A0434" w14:textId="58EF527F" w:rsidR="00762A4C" w:rsidRPr="00762A4C" w:rsidRDefault="00762A4C" w:rsidP="00762A4C">
      <w:pPr>
        <w:rPr>
          <w:rFonts w:ascii="Times New Roman" w:hAnsi="Times New Roman" w:cs="Times New Roman"/>
        </w:rPr>
      </w:pPr>
      <w:r w:rsidRPr="00762A4C">
        <w:rPr>
          <w:rFonts w:ascii="Times New Roman" w:hAnsi="Times New Roman" w:cs="Times New Roman"/>
        </w:rPr>
        <w:t>Robinson, O.C. (2014) ‘Sampling in interview-based qualitative research: a theoretical and</w:t>
      </w:r>
      <w:r w:rsidR="00B30541">
        <w:rPr>
          <w:rFonts w:ascii="Times New Roman" w:hAnsi="Times New Roman" w:cs="Times New Roman"/>
        </w:rPr>
        <w:tab/>
      </w:r>
      <w:r w:rsidRPr="00762A4C">
        <w:rPr>
          <w:rFonts w:ascii="Times New Roman" w:hAnsi="Times New Roman" w:cs="Times New Roman"/>
        </w:rPr>
        <w:t xml:space="preserve"> practical guide’, </w:t>
      </w:r>
      <w:r w:rsidRPr="00762A4C">
        <w:rPr>
          <w:rFonts w:ascii="Times New Roman" w:hAnsi="Times New Roman" w:cs="Times New Roman"/>
          <w:i/>
          <w:iCs/>
        </w:rPr>
        <w:t>Qualitative Research in Psychology</w:t>
      </w:r>
      <w:r w:rsidRPr="00762A4C">
        <w:rPr>
          <w:rFonts w:ascii="Times New Roman" w:hAnsi="Times New Roman" w:cs="Times New Roman"/>
        </w:rPr>
        <w:t>, 11(1), pp. 25–41.</w:t>
      </w:r>
    </w:p>
    <w:p w14:paraId="22F02253" w14:textId="703CC18D"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Schwandt, T.A. (2014) </w:t>
      </w:r>
      <w:r w:rsidRPr="00762A4C">
        <w:rPr>
          <w:rFonts w:ascii="Times New Roman" w:hAnsi="Times New Roman" w:cs="Times New Roman"/>
          <w:i/>
          <w:iCs/>
        </w:rPr>
        <w:t>The Sage Dictionary of Qualitative Inquiry</w:t>
      </w:r>
      <w:r w:rsidRPr="00762A4C">
        <w:rPr>
          <w:rFonts w:ascii="Times New Roman" w:hAnsi="Times New Roman" w:cs="Times New Roman"/>
        </w:rPr>
        <w:t xml:space="preserve">. 4th </w:t>
      </w:r>
      <w:proofErr w:type="spellStart"/>
      <w:r w:rsidRPr="00762A4C">
        <w:rPr>
          <w:rFonts w:ascii="Times New Roman" w:hAnsi="Times New Roman" w:cs="Times New Roman"/>
        </w:rPr>
        <w:t>edn</w:t>
      </w:r>
      <w:proofErr w:type="spellEnd"/>
      <w:r w:rsidRPr="00762A4C">
        <w:rPr>
          <w:rFonts w:ascii="Times New Roman" w:hAnsi="Times New Roman" w:cs="Times New Roman"/>
        </w:rPr>
        <w:t xml:space="preserve">. Thousand Oaks, </w:t>
      </w:r>
      <w:r w:rsidR="00B30541">
        <w:rPr>
          <w:rFonts w:ascii="Times New Roman" w:hAnsi="Times New Roman" w:cs="Times New Roman"/>
        </w:rPr>
        <w:tab/>
      </w:r>
      <w:r w:rsidRPr="00762A4C">
        <w:rPr>
          <w:rFonts w:ascii="Times New Roman" w:hAnsi="Times New Roman" w:cs="Times New Roman"/>
        </w:rPr>
        <w:t>CA: Sage.</w:t>
      </w:r>
    </w:p>
    <w:p w14:paraId="71617F20" w14:textId="77777777"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Sercombe, H. (2010) </w:t>
      </w:r>
      <w:r w:rsidRPr="00762A4C">
        <w:rPr>
          <w:rFonts w:ascii="Times New Roman" w:hAnsi="Times New Roman" w:cs="Times New Roman"/>
          <w:i/>
          <w:iCs/>
        </w:rPr>
        <w:t>Youth Work Ethics</w:t>
      </w:r>
      <w:r w:rsidRPr="00762A4C">
        <w:rPr>
          <w:rFonts w:ascii="Times New Roman" w:hAnsi="Times New Roman" w:cs="Times New Roman"/>
        </w:rPr>
        <w:t>. London: Sage.</w:t>
      </w:r>
    </w:p>
    <w:p w14:paraId="4456D893" w14:textId="012C46D4"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Smith, J.A., Flowers, P. and Larkin, M. (2009) </w:t>
      </w:r>
      <w:r w:rsidRPr="00762A4C">
        <w:rPr>
          <w:rFonts w:ascii="Times New Roman" w:hAnsi="Times New Roman" w:cs="Times New Roman"/>
          <w:i/>
          <w:iCs/>
        </w:rPr>
        <w:t>Interpretative Phenomenological Analysis:</w:t>
      </w:r>
      <w:r w:rsidR="00B30541">
        <w:rPr>
          <w:rFonts w:ascii="Times New Roman" w:hAnsi="Times New Roman" w:cs="Times New Roman"/>
          <w:i/>
          <w:iCs/>
        </w:rPr>
        <w:tab/>
      </w:r>
      <w:r w:rsidR="00B30541">
        <w:rPr>
          <w:rFonts w:ascii="Times New Roman" w:hAnsi="Times New Roman" w:cs="Times New Roman"/>
          <w:i/>
          <w:iCs/>
        </w:rPr>
        <w:tab/>
      </w:r>
      <w:r w:rsidRPr="00762A4C">
        <w:rPr>
          <w:rFonts w:ascii="Times New Roman" w:hAnsi="Times New Roman" w:cs="Times New Roman"/>
          <w:i/>
          <w:iCs/>
        </w:rPr>
        <w:t xml:space="preserve"> Theory, Method and Research</w:t>
      </w:r>
      <w:r w:rsidRPr="00762A4C">
        <w:rPr>
          <w:rFonts w:ascii="Times New Roman" w:hAnsi="Times New Roman" w:cs="Times New Roman"/>
        </w:rPr>
        <w:t>. London: Sage.</w:t>
      </w:r>
    </w:p>
    <w:p w14:paraId="52BF533F" w14:textId="1AA5E1A0" w:rsidR="00762A4C" w:rsidRPr="00762A4C" w:rsidRDefault="00762A4C" w:rsidP="00762A4C">
      <w:pPr>
        <w:rPr>
          <w:rFonts w:ascii="Times New Roman" w:hAnsi="Times New Roman" w:cs="Times New Roman"/>
        </w:rPr>
      </w:pPr>
      <w:r w:rsidRPr="00762A4C">
        <w:rPr>
          <w:rFonts w:ascii="Times New Roman" w:hAnsi="Times New Roman" w:cs="Times New Roman"/>
        </w:rPr>
        <w:t>Wilkinson, S. (1998) ‘Focus groups in feminist research: power, interaction, and the co-</w:t>
      </w:r>
      <w:r w:rsidR="00B30541">
        <w:rPr>
          <w:rFonts w:ascii="Times New Roman" w:hAnsi="Times New Roman" w:cs="Times New Roman"/>
        </w:rPr>
        <w:tab/>
      </w:r>
      <w:r w:rsidRPr="00762A4C">
        <w:rPr>
          <w:rFonts w:ascii="Times New Roman" w:hAnsi="Times New Roman" w:cs="Times New Roman"/>
        </w:rPr>
        <w:t xml:space="preserve">construction of meaning’, </w:t>
      </w:r>
      <w:r w:rsidRPr="00762A4C">
        <w:rPr>
          <w:rFonts w:ascii="Times New Roman" w:hAnsi="Times New Roman" w:cs="Times New Roman"/>
          <w:i/>
          <w:iCs/>
        </w:rPr>
        <w:t>Women’s Studies International Forum</w:t>
      </w:r>
      <w:r w:rsidRPr="00762A4C">
        <w:rPr>
          <w:rFonts w:ascii="Times New Roman" w:hAnsi="Times New Roman" w:cs="Times New Roman"/>
        </w:rPr>
        <w:t>, 21(1), pp. 111–125.</w:t>
      </w:r>
    </w:p>
    <w:p w14:paraId="10E97B8B" w14:textId="68CD69DA" w:rsidR="00762A4C" w:rsidRPr="00762A4C" w:rsidRDefault="00762A4C" w:rsidP="00762A4C">
      <w:pPr>
        <w:rPr>
          <w:rFonts w:ascii="Times New Roman" w:hAnsi="Times New Roman" w:cs="Times New Roman"/>
        </w:rPr>
      </w:pPr>
      <w:r w:rsidRPr="00762A4C">
        <w:rPr>
          <w:rFonts w:ascii="Times New Roman" w:hAnsi="Times New Roman" w:cs="Times New Roman"/>
        </w:rPr>
        <w:t xml:space="preserve">Williams, S. and Richardson, R. (2024) ‘What do JNC youth workers conceive of as </w:t>
      </w:r>
      <w:r w:rsidR="00B30541">
        <w:rPr>
          <w:rFonts w:ascii="Times New Roman" w:hAnsi="Times New Roman" w:cs="Times New Roman"/>
        </w:rPr>
        <w:tab/>
      </w:r>
      <w:r w:rsidRPr="00762A4C">
        <w:rPr>
          <w:rFonts w:ascii="Times New Roman" w:hAnsi="Times New Roman" w:cs="Times New Roman"/>
        </w:rPr>
        <w:t xml:space="preserve">professional maturity in youth work practice’, </w:t>
      </w:r>
      <w:r w:rsidRPr="00762A4C">
        <w:rPr>
          <w:rFonts w:ascii="Times New Roman" w:hAnsi="Times New Roman" w:cs="Times New Roman"/>
          <w:i/>
          <w:iCs/>
        </w:rPr>
        <w:t>Journal of Applied Youth Studies</w:t>
      </w:r>
      <w:r w:rsidRPr="00762A4C">
        <w:rPr>
          <w:rFonts w:ascii="Times New Roman" w:hAnsi="Times New Roman" w:cs="Times New Roman"/>
        </w:rPr>
        <w:t>, 7(2), pp. 157–175.</w:t>
      </w:r>
    </w:p>
    <w:p w14:paraId="41E3CCC1" w14:textId="77777777" w:rsidR="00525733" w:rsidRPr="00525733" w:rsidRDefault="00525733" w:rsidP="00525733">
      <w:pPr>
        <w:spacing w:line="360" w:lineRule="auto"/>
        <w:ind w:firstLine="720"/>
        <w:rPr>
          <w:rFonts w:ascii="Times New Roman" w:hAnsi="Times New Roman" w:cs="Times New Roman"/>
        </w:rPr>
      </w:pPr>
    </w:p>
    <w:sectPr w:rsidR="00525733" w:rsidRPr="00525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QcHm4czj" int2:invalidationBookmarkName="" int2:hashCode="L0sxSfDvoC4Wtx" int2:id="AdaGgER2">
      <int2:state int2:value="Rejected" int2:type="style"/>
    </int2:bookmark>
    <int2:bookmark int2:bookmarkName="_Int_5RfwSIiN" int2:invalidationBookmarkName="" int2:hashCode="0lXQ0GySJQ8tJA" int2:id="Po8099w6">
      <int2:state int2:value="Rejected" int2:type="style"/>
    </int2:bookmark>
    <int2:bookmark int2:bookmarkName="_Int_0BIEYmTL" int2:invalidationBookmarkName="" int2:hashCode="1uwbp8FCN5lvgo" int2:id="XcdUjO99">
      <int2:state int2:value="Rejected" int2:type="style"/>
    </int2:bookmark>
    <int2:bookmark int2:bookmarkName="_Int_qcbLVg01" int2:invalidationBookmarkName="" int2:hashCode="Z4EbpD+z3fAJvo" int2:id="ah58l61o">
      <int2:state int2:value="Rejected" int2:type="style"/>
    </int2:bookmark>
    <int2:bookmark int2:bookmarkName="_Int_nD501Nhj" int2:invalidationBookmarkName="" int2:hashCode="v5cNHbIvy+yMmc" int2:id="jnqStHFZ">
      <int2:state int2:value="Rejected" int2:type="style"/>
    </int2:bookmark>
    <int2:bookmark int2:bookmarkName="_Int_xjNNgNgX" int2:invalidationBookmarkName="" int2:hashCode="R5xFwIUybn3zX3" int2:id="pHVeZ0Uc">
      <int2:state int2:value="Rejected" int2:type="style"/>
    </int2:bookmark>
    <int2:bookmark int2:bookmarkName="_Int_aUB3ggzW" int2:invalidationBookmarkName="" int2:hashCode="FO2ewBkxLCSxnb" int2:id="qNMlVwLX">
      <int2:state int2:value="Rejected" int2:type="style"/>
    </int2:bookmark>
    <int2:bookmark int2:bookmarkName="_Int_GfPRt513" int2:invalidationBookmarkName="" int2:hashCode="fNkL8dMGpJL/EX" int2:id="s6kgSEn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CFA"/>
    <w:rsid w:val="0000085B"/>
    <w:rsid w:val="00005259"/>
    <w:rsid w:val="00007FA7"/>
    <w:rsid w:val="000111B2"/>
    <w:rsid w:val="00020090"/>
    <w:rsid w:val="00053EC4"/>
    <w:rsid w:val="000544BB"/>
    <w:rsid w:val="00076918"/>
    <w:rsid w:val="00093415"/>
    <w:rsid w:val="00096953"/>
    <w:rsid w:val="000A025A"/>
    <w:rsid w:val="000B7168"/>
    <w:rsid w:val="000D31A0"/>
    <w:rsid w:val="000E6EE0"/>
    <w:rsid w:val="000F115C"/>
    <w:rsid w:val="00145B7E"/>
    <w:rsid w:val="00186960"/>
    <w:rsid w:val="00187F66"/>
    <w:rsid w:val="00192C36"/>
    <w:rsid w:val="0019569E"/>
    <w:rsid w:val="001F0069"/>
    <w:rsid w:val="00224EB2"/>
    <w:rsid w:val="002621E2"/>
    <w:rsid w:val="002774A1"/>
    <w:rsid w:val="002C67F9"/>
    <w:rsid w:val="00316AF1"/>
    <w:rsid w:val="0034479E"/>
    <w:rsid w:val="003A6AA9"/>
    <w:rsid w:val="003A734F"/>
    <w:rsid w:val="003D3A8C"/>
    <w:rsid w:val="0041388C"/>
    <w:rsid w:val="00467AF3"/>
    <w:rsid w:val="00483119"/>
    <w:rsid w:val="0048499E"/>
    <w:rsid w:val="00490F4D"/>
    <w:rsid w:val="004A0F93"/>
    <w:rsid w:val="004A4A4C"/>
    <w:rsid w:val="004D2F60"/>
    <w:rsid w:val="004D7075"/>
    <w:rsid w:val="004E273E"/>
    <w:rsid w:val="004F344F"/>
    <w:rsid w:val="004F6A13"/>
    <w:rsid w:val="005035B4"/>
    <w:rsid w:val="00525733"/>
    <w:rsid w:val="00526EA7"/>
    <w:rsid w:val="00530788"/>
    <w:rsid w:val="00537015"/>
    <w:rsid w:val="00541A27"/>
    <w:rsid w:val="00567D59"/>
    <w:rsid w:val="00585844"/>
    <w:rsid w:val="005B6C3B"/>
    <w:rsid w:val="005D2C1B"/>
    <w:rsid w:val="005E5E83"/>
    <w:rsid w:val="005F1E6D"/>
    <w:rsid w:val="005F694D"/>
    <w:rsid w:val="00606ED5"/>
    <w:rsid w:val="006129FE"/>
    <w:rsid w:val="00636CFA"/>
    <w:rsid w:val="0065381F"/>
    <w:rsid w:val="00684757"/>
    <w:rsid w:val="006B2CE1"/>
    <w:rsid w:val="006C259B"/>
    <w:rsid w:val="006D4FAF"/>
    <w:rsid w:val="00705D70"/>
    <w:rsid w:val="0071439E"/>
    <w:rsid w:val="00762A4C"/>
    <w:rsid w:val="00771715"/>
    <w:rsid w:val="00773FF9"/>
    <w:rsid w:val="00784C62"/>
    <w:rsid w:val="00791664"/>
    <w:rsid w:val="00793FDE"/>
    <w:rsid w:val="007A158C"/>
    <w:rsid w:val="007B7352"/>
    <w:rsid w:val="007E6D66"/>
    <w:rsid w:val="007F720B"/>
    <w:rsid w:val="008714DF"/>
    <w:rsid w:val="008741E0"/>
    <w:rsid w:val="008A77AE"/>
    <w:rsid w:val="008C3D2E"/>
    <w:rsid w:val="008D7E8A"/>
    <w:rsid w:val="008F6CC8"/>
    <w:rsid w:val="008F7E37"/>
    <w:rsid w:val="00902DBC"/>
    <w:rsid w:val="00925745"/>
    <w:rsid w:val="00927B70"/>
    <w:rsid w:val="00943A88"/>
    <w:rsid w:val="009622C4"/>
    <w:rsid w:val="0096359F"/>
    <w:rsid w:val="0098095F"/>
    <w:rsid w:val="00980CBB"/>
    <w:rsid w:val="00980FA6"/>
    <w:rsid w:val="009973D2"/>
    <w:rsid w:val="009B0134"/>
    <w:rsid w:val="009D3F44"/>
    <w:rsid w:val="009E76A8"/>
    <w:rsid w:val="00A15D76"/>
    <w:rsid w:val="00A24352"/>
    <w:rsid w:val="00A31CC8"/>
    <w:rsid w:val="00A57D8C"/>
    <w:rsid w:val="00A65A84"/>
    <w:rsid w:val="00A65E60"/>
    <w:rsid w:val="00A814A9"/>
    <w:rsid w:val="00A82699"/>
    <w:rsid w:val="00A9654E"/>
    <w:rsid w:val="00AA0F36"/>
    <w:rsid w:val="00AA5317"/>
    <w:rsid w:val="00AA6B70"/>
    <w:rsid w:val="00AE3E2F"/>
    <w:rsid w:val="00AE65F6"/>
    <w:rsid w:val="00AF6D66"/>
    <w:rsid w:val="00AF7FA8"/>
    <w:rsid w:val="00B1248D"/>
    <w:rsid w:val="00B30541"/>
    <w:rsid w:val="00B345E1"/>
    <w:rsid w:val="00B76BA8"/>
    <w:rsid w:val="00B83BDF"/>
    <w:rsid w:val="00B85FF2"/>
    <w:rsid w:val="00B87FE5"/>
    <w:rsid w:val="00BA1644"/>
    <w:rsid w:val="00BB2CEB"/>
    <w:rsid w:val="00BE36A4"/>
    <w:rsid w:val="00BF46C3"/>
    <w:rsid w:val="00C05E5E"/>
    <w:rsid w:val="00C438AD"/>
    <w:rsid w:val="00C44C53"/>
    <w:rsid w:val="00C466D1"/>
    <w:rsid w:val="00C544EE"/>
    <w:rsid w:val="00C71D64"/>
    <w:rsid w:val="00C80391"/>
    <w:rsid w:val="00CA26AB"/>
    <w:rsid w:val="00CB1C90"/>
    <w:rsid w:val="00D06F70"/>
    <w:rsid w:val="00D1104C"/>
    <w:rsid w:val="00D30E9E"/>
    <w:rsid w:val="00D60B12"/>
    <w:rsid w:val="00D81D83"/>
    <w:rsid w:val="00D909A8"/>
    <w:rsid w:val="00DA19C0"/>
    <w:rsid w:val="00DB738D"/>
    <w:rsid w:val="00DC7CCC"/>
    <w:rsid w:val="00E04E32"/>
    <w:rsid w:val="00E171EC"/>
    <w:rsid w:val="00E41B3C"/>
    <w:rsid w:val="00E42A2F"/>
    <w:rsid w:val="00E478D5"/>
    <w:rsid w:val="00E564AB"/>
    <w:rsid w:val="00E66C52"/>
    <w:rsid w:val="00E859FB"/>
    <w:rsid w:val="00E86CF9"/>
    <w:rsid w:val="00E94DF7"/>
    <w:rsid w:val="00EC11AD"/>
    <w:rsid w:val="00EF53AF"/>
    <w:rsid w:val="00F2109B"/>
    <w:rsid w:val="00F54290"/>
    <w:rsid w:val="00F85E1C"/>
    <w:rsid w:val="00F873DF"/>
    <w:rsid w:val="00FD771B"/>
    <w:rsid w:val="00FE0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38D1"/>
  <w15:chartTrackingRefBased/>
  <w15:docId w15:val="{EA16E85B-FFF9-44E9-95DF-D0B5ECF14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C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C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C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C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C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C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C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C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C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C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C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C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C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C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C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C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C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CFA"/>
    <w:rPr>
      <w:rFonts w:eastAsiaTheme="majorEastAsia" w:cstheme="majorBidi"/>
      <w:color w:val="272727" w:themeColor="text1" w:themeTint="D8"/>
    </w:rPr>
  </w:style>
  <w:style w:type="paragraph" w:styleId="Title">
    <w:name w:val="Title"/>
    <w:basedOn w:val="Normal"/>
    <w:next w:val="Normal"/>
    <w:link w:val="TitleChar"/>
    <w:uiPriority w:val="10"/>
    <w:qFormat/>
    <w:rsid w:val="00636C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C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C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C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CFA"/>
    <w:pPr>
      <w:spacing w:before="160"/>
      <w:jc w:val="center"/>
    </w:pPr>
    <w:rPr>
      <w:i/>
      <w:iCs/>
      <w:color w:val="404040" w:themeColor="text1" w:themeTint="BF"/>
    </w:rPr>
  </w:style>
  <w:style w:type="character" w:customStyle="1" w:styleId="QuoteChar">
    <w:name w:val="Quote Char"/>
    <w:basedOn w:val="DefaultParagraphFont"/>
    <w:link w:val="Quote"/>
    <w:uiPriority w:val="29"/>
    <w:rsid w:val="00636CFA"/>
    <w:rPr>
      <w:i/>
      <w:iCs/>
      <w:color w:val="404040" w:themeColor="text1" w:themeTint="BF"/>
    </w:rPr>
  </w:style>
  <w:style w:type="paragraph" w:styleId="ListParagraph">
    <w:name w:val="List Paragraph"/>
    <w:basedOn w:val="Normal"/>
    <w:uiPriority w:val="34"/>
    <w:qFormat/>
    <w:rsid w:val="00636CFA"/>
    <w:pPr>
      <w:ind w:left="720"/>
      <w:contextualSpacing/>
    </w:pPr>
  </w:style>
  <w:style w:type="character" w:styleId="IntenseEmphasis">
    <w:name w:val="Intense Emphasis"/>
    <w:basedOn w:val="DefaultParagraphFont"/>
    <w:uiPriority w:val="21"/>
    <w:qFormat/>
    <w:rsid w:val="00636CFA"/>
    <w:rPr>
      <w:i/>
      <w:iCs/>
      <w:color w:val="0F4761" w:themeColor="accent1" w:themeShade="BF"/>
    </w:rPr>
  </w:style>
  <w:style w:type="paragraph" w:styleId="IntenseQuote">
    <w:name w:val="Intense Quote"/>
    <w:basedOn w:val="Normal"/>
    <w:next w:val="Normal"/>
    <w:link w:val="IntenseQuoteChar"/>
    <w:uiPriority w:val="30"/>
    <w:qFormat/>
    <w:rsid w:val="00636C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CFA"/>
    <w:rPr>
      <w:i/>
      <w:iCs/>
      <w:color w:val="0F4761" w:themeColor="accent1" w:themeShade="BF"/>
    </w:rPr>
  </w:style>
  <w:style w:type="character" w:styleId="IntenseReference">
    <w:name w:val="Intense Reference"/>
    <w:basedOn w:val="DefaultParagraphFont"/>
    <w:uiPriority w:val="32"/>
    <w:qFormat/>
    <w:rsid w:val="00636CFA"/>
    <w:rPr>
      <w:b/>
      <w:bCs/>
      <w:smallCaps/>
      <w:color w:val="0F4761" w:themeColor="accent1" w:themeShade="BF"/>
      <w:spacing w:val="5"/>
    </w:rPr>
  </w:style>
  <w:style w:type="character" w:styleId="Hyperlink">
    <w:name w:val="Hyperlink"/>
    <w:basedOn w:val="DefaultParagraphFont"/>
    <w:uiPriority w:val="99"/>
    <w:unhideWhenUsed/>
    <w:rsid w:val="00762A4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journals.bib.uni-wuppertal.de/index.php/sws/article/view/528" TargetMode="External"/><Relationship Id="rId5" Type="http://schemas.openxmlformats.org/officeDocument/2006/relationships/hyperlink" Target="https://ico.org.uk/"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2425</TotalTime>
  <Pages>14</Pages>
  <Words>4719</Words>
  <Characters>26902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Jenkins</dc:creator>
  <cp:keywords/>
  <dc:description/>
  <cp:lastModifiedBy>Brad Jenkins</cp:lastModifiedBy>
  <cp:revision>133</cp:revision>
  <dcterms:created xsi:type="dcterms:W3CDTF">2026-04-24T20:20:00Z</dcterms:created>
  <dcterms:modified xsi:type="dcterms:W3CDTF">2026-04-26T13:37:00Z</dcterms:modified>
</cp:coreProperties>
</file>