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6F19F6D" w:rsidP="2EC1CA95" w:rsidRDefault="66F19F6D" w14:paraId="49434E47" w14:textId="56D67A2D">
      <w:pPr>
        <w:spacing w:before="0" w:beforeAutospacing="off" w:after="0" w:afterAutospacing="off"/>
        <w:jc w:val="left"/>
        <w:rPr>
          <w:rFonts w:ascii="Arial" w:hAnsi="Arial" w:eastAsia="Arial" w:cs="Arial"/>
          <w:b w:val="1"/>
          <w:bCs w:val="1"/>
          <w:i w:val="0"/>
          <w:iCs w:val="0"/>
          <w:caps w:val="0"/>
          <w:smallCaps w:val="0"/>
          <w:noProof w:val="0"/>
          <w:color w:val="auto"/>
          <w:sz w:val="28"/>
          <w:szCs w:val="28"/>
          <w:lang w:val="en-US"/>
        </w:rPr>
      </w:pPr>
      <w:r w:rsidRPr="2EC1CA95" w:rsidR="66F19F6D">
        <w:rPr>
          <w:rFonts w:ascii="Arial" w:hAnsi="Arial" w:eastAsia="Arial" w:cs="Arial"/>
          <w:b w:val="1"/>
          <w:bCs w:val="1"/>
          <w:noProof w:val="0"/>
          <w:color w:val="auto"/>
          <w:sz w:val="28"/>
          <w:szCs w:val="28"/>
          <w:lang w:val="en-US"/>
        </w:rPr>
        <w:t xml:space="preserve">MODULE NAME: </w:t>
      </w:r>
      <w:r w:rsidRPr="2EC1CA95" w:rsidR="66F19F6D">
        <w:rPr>
          <w:rFonts w:ascii="Arial" w:hAnsi="Arial" w:eastAsia="Arial" w:cs="Arial"/>
          <w:b w:val="1"/>
          <w:bCs w:val="1"/>
          <w:i w:val="0"/>
          <w:iCs w:val="0"/>
          <w:caps w:val="0"/>
          <w:smallCaps w:val="0"/>
          <w:noProof w:val="0"/>
          <w:color w:val="auto"/>
          <w:sz w:val="28"/>
          <w:szCs w:val="28"/>
          <w:lang w:val="en-US"/>
        </w:rPr>
        <w:t>Organisational</w:t>
      </w:r>
      <w:r w:rsidRPr="2EC1CA95" w:rsidR="66F19F6D">
        <w:rPr>
          <w:rFonts w:ascii="Arial" w:hAnsi="Arial" w:eastAsia="Arial" w:cs="Arial"/>
          <w:b w:val="1"/>
          <w:bCs w:val="1"/>
          <w:i w:val="0"/>
          <w:iCs w:val="0"/>
          <w:caps w:val="0"/>
          <w:smallCaps w:val="0"/>
          <w:noProof w:val="0"/>
          <w:color w:val="auto"/>
          <w:sz w:val="28"/>
          <w:szCs w:val="28"/>
          <w:lang w:val="en-US"/>
        </w:rPr>
        <w:t xml:space="preserve"> Culture (LCLM5005_LON)</w:t>
      </w:r>
      <w:r>
        <w:br/>
      </w:r>
      <w:r>
        <w:br/>
      </w:r>
      <w:r w:rsidRPr="2EC1CA95" w:rsidR="66DBC62B">
        <w:rPr>
          <w:rFonts w:ascii="Arial" w:hAnsi="Arial" w:eastAsia="Arial" w:cs="Arial"/>
          <w:b w:val="1"/>
          <w:bCs w:val="1"/>
          <w:i w:val="0"/>
          <w:iCs w:val="0"/>
          <w:caps w:val="0"/>
          <w:smallCaps w:val="0"/>
          <w:noProof w:val="0"/>
          <w:color w:val="auto"/>
          <w:sz w:val="28"/>
          <w:szCs w:val="28"/>
          <w:lang w:val="en-US"/>
        </w:rPr>
        <w:t xml:space="preserve">TITLE: </w:t>
      </w:r>
      <w:r w:rsidRPr="2EC1CA95" w:rsidR="66DBC62B">
        <w:rPr>
          <w:rFonts w:ascii="Arial" w:hAnsi="Arial" w:eastAsia="Arial" w:cs="Arial"/>
          <w:b w:val="1"/>
          <w:bCs w:val="1"/>
          <w:i w:val="0"/>
          <w:iCs w:val="0"/>
          <w:caps w:val="0"/>
          <w:smallCaps w:val="0"/>
          <w:noProof w:val="0"/>
          <w:color w:val="auto"/>
          <w:sz w:val="28"/>
          <w:szCs w:val="28"/>
          <w:lang w:val="en-US"/>
        </w:rPr>
        <w:t>Organisational</w:t>
      </w:r>
      <w:r w:rsidRPr="2EC1CA95" w:rsidR="66DBC62B">
        <w:rPr>
          <w:rFonts w:ascii="Arial" w:hAnsi="Arial" w:eastAsia="Arial" w:cs="Arial"/>
          <w:b w:val="1"/>
          <w:bCs w:val="1"/>
          <w:i w:val="0"/>
          <w:iCs w:val="0"/>
          <w:caps w:val="0"/>
          <w:smallCaps w:val="0"/>
          <w:noProof w:val="0"/>
          <w:color w:val="auto"/>
          <w:sz w:val="28"/>
          <w:szCs w:val="28"/>
          <w:lang w:val="en-US"/>
        </w:rPr>
        <w:t xml:space="preserve"> culture and Its impact on Structure, decision-making and performance</w:t>
      </w:r>
      <w:r>
        <w:br/>
      </w:r>
      <w:r>
        <w:br/>
      </w:r>
      <w:r w:rsidRPr="2EC1CA95" w:rsidR="5DF14BF1">
        <w:rPr>
          <w:rFonts w:ascii="Arial" w:hAnsi="Arial" w:eastAsia="Arial" w:cs="Arial"/>
          <w:b w:val="1"/>
          <w:bCs w:val="1"/>
          <w:i w:val="0"/>
          <w:iCs w:val="0"/>
          <w:caps w:val="0"/>
          <w:smallCaps w:val="0"/>
          <w:noProof w:val="0"/>
          <w:color w:val="auto"/>
          <w:sz w:val="28"/>
          <w:szCs w:val="28"/>
          <w:lang w:val="en-US"/>
        </w:rPr>
        <w:t>Lecturer: DR. Rameses Manalang</w:t>
      </w:r>
      <w:r>
        <w:br/>
      </w:r>
      <w:r>
        <w:br/>
      </w:r>
      <w:r w:rsidRPr="2EC1CA95" w:rsidR="26CC5407">
        <w:rPr>
          <w:rFonts w:ascii="Arial" w:hAnsi="Arial" w:eastAsia="Arial" w:cs="Arial"/>
          <w:b w:val="1"/>
          <w:bCs w:val="1"/>
          <w:i w:val="0"/>
          <w:iCs w:val="0"/>
          <w:caps w:val="0"/>
          <w:smallCaps w:val="0"/>
          <w:noProof w:val="0"/>
          <w:color w:val="auto"/>
          <w:sz w:val="28"/>
          <w:szCs w:val="28"/>
          <w:lang w:val="en-US"/>
        </w:rPr>
        <w:t>Name: Petrisor Iulian Linguraru 2331770</w:t>
      </w:r>
    </w:p>
    <w:p w:rsidR="2EC1CA95" w:rsidP="2EC1CA95" w:rsidRDefault="2EC1CA95" w14:paraId="1CB76E27" w14:textId="1030E0A2">
      <w:pPr>
        <w:jc w:val="right"/>
      </w:pPr>
      <w:r>
        <w:br/>
      </w:r>
      <w:r>
        <w:br/>
      </w:r>
    </w:p>
    <w:p w:rsidR="2EC1CA95" w:rsidP="2EC1CA95" w:rsidRDefault="2EC1CA95" w14:paraId="244A29F3" w14:textId="4343F9A7">
      <w:pPr>
        <w:jc w:val="right"/>
        <w:rPr>
          <w:rFonts w:ascii="Arial" w:hAnsi="Arial" w:eastAsia="Arial" w:cs="Arial"/>
          <w:noProof w:val="0"/>
          <w:sz w:val="22"/>
          <w:szCs w:val="22"/>
          <w:lang w:val="en-US"/>
        </w:rPr>
      </w:pPr>
    </w:p>
    <w:p w:rsidR="2EC1CA95" w:rsidP="2EC1CA95" w:rsidRDefault="2EC1CA95" w14:paraId="00746184" w14:textId="16EA8D32">
      <w:pPr>
        <w:jc w:val="left"/>
        <w:rPr>
          <w:rFonts w:ascii="Arial" w:hAnsi="Arial" w:eastAsia="Arial" w:cs="Arial"/>
          <w:noProof w:val="0"/>
          <w:sz w:val="22"/>
          <w:szCs w:val="22"/>
          <w:lang w:val="en-US"/>
        </w:rPr>
      </w:pPr>
    </w:p>
    <w:p w:rsidR="2EC1CA95" w:rsidP="2EC1CA95" w:rsidRDefault="2EC1CA95" w14:paraId="26DE713A" w14:textId="7DFE1DF6">
      <w:pPr>
        <w:jc w:val="right"/>
        <w:rPr>
          <w:rFonts w:ascii="Arial" w:hAnsi="Arial" w:eastAsia="Arial" w:cs="Arial"/>
          <w:noProof w:val="0"/>
          <w:sz w:val="22"/>
          <w:szCs w:val="22"/>
          <w:lang w:val="en-US"/>
        </w:rPr>
      </w:pPr>
    </w:p>
    <w:p w:rsidR="2EC1CA95" w:rsidP="2EC1CA95" w:rsidRDefault="2EC1CA95" w14:paraId="5C9B40AB" w14:textId="18838807">
      <w:pPr>
        <w:jc w:val="right"/>
        <w:rPr>
          <w:rFonts w:ascii="Arial" w:hAnsi="Arial" w:eastAsia="Arial" w:cs="Arial"/>
          <w:noProof w:val="0"/>
          <w:sz w:val="22"/>
          <w:szCs w:val="22"/>
          <w:lang w:val="en-US"/>
        </w:rPr>
      </w:pPr>
    </w:p>
    <w:p w:rsidR="2EC1CA95" w:rsidP="2EC1CA95" w:rsidRDefault="2EC1CA95" w14:paraId="56DF65AD" w14:textId="036ADDD6">
      <w:pPr>
        <w:jc w:val="right"/>
        <w:rPr>
          <w:rFonts w:ascii="Arial" w:hAnsi="Arial" w:eastAsia="Arial" w:cs="Arial"/>
          <w:noProof w:val="0"/>
          <w:sz w:val="22"/>
          <w:szCs w:val="22"/>
          <w:lang w:val="en-US"/>
        </w:rPr>
      </w:pPr>
    </w:p>
    <w:p w:rsidR="2EC1CA95" w:rsidP="2EC1CA95" w:rsidRDefault="2EC1CA95" w14:paraId="1B79A39B" w14:textId="04797215">
      <w:pPr>
        <w:jc w:val="right"/>
        <w:rPr>
          <w:rFonts w:ascii="Arial" w:hAnsi="Arial" w:eastAsia="Arial" w:cs="Arial"/>
          <w:noProof w:val="0"/>
          <w:sz w:val="22"/>
          <w:szCs w:val="22"/>
          <w:lang w:val="en-US"/>
        </w:rPr>
      </w:pPr>
    </w:p>
    <w:p w:rsidR="2EC1CA95" w:rsidP="2EC1CA95" w:rsidRDefault="2EC1CA95" w14:paraId="1D0EA5DB" w14:textId="3FB3F61A">
      <w:pPr>
        <w:jc w:val="left"/>
        <w:rPr>
          <w:rFonts w:ascii="Arial" w:hAnsi="Arial" w:eastAsia="Arial" w:cs="Arial"/>
          <w:noProof w:val="0"/>
          <w:sz w:val="22"/>
          <w:szCs w:val="22"/>
          <w:lang w:val="en-US"/>
        </w:rPr>
      </w:pPr>
    </w:p>
    <w:p w:rsidR="2EC1CA95" w:rsidP="2EC1CA95" w:rsidRDefault="2EC1CA95" w14:paraId="32BC8391" w14:textId="42C7DBEB">
      <w:pPr>
        <w:jc w:val="right"/>
        <w:rPr>
          <w:rFonts w:ascii="Arial" w:hAnsi="Arial" w:eastAsia="Arial" w:cs="Arial"/>
          <w:noProof w:val="0"/>
          <w:sz w:val="22"/>
          <w:szCs w:val="22"/>
          <w:lang w:val="en-US"/>
        </w:rPr>
      </w:pPr>
    </w:p>
    <w:p w:rsidR="2EC1CA95" w:rsidP="2EC1CA95" w:rsidRDefault="2EC1CA95" w14:paraId="653AF339" w14:textId="7F465D88">
      <w:pPr>
        <w:jc w:val="right"/>
        <w:rPr>
          <w:rFonts w:ascii="Arial" w:hAnsi="Arial" w:eastAsia="Arial" w:cs="Arial"/>
          <w:noProof w:val="0"/>
          <w:sz w:val="22"/>
          <w:szCs w:val="22"/>
          <w:lang w:val="en-US"/>
        </w:rPr>
      </w:pPr>
    </w:p>
    <w:p w:rsidR="064D09B7" w:rsidP="2EC1CA95" w:rsidRDefault="064D09B7" w14:paraId="053B9018" w14:textId="27077336">
      <w:pPr>
        <w:jc w:val="left"/>
        <w:rPr>
          <w:rFonts w:ascii="Arial" w:hAnsi="Arial" w:eastAsia="Arial" w:cs="Arial"/>
          <w:b w:val="1"/>
          <w:bCs w:val="1"/>
          <w:noProof w:val="0"/>
          <w:sz w:val="28"/>
          <w:szCs w:val="28"/>
          <w:lang w:val="en-US"/>
        </w:rPr>
      </w:pPr>
      <w:r w:rsidRPr="2EC1CA95" w:rsidR="064D09B7">
        <w:rPr>
          <w:rFonts w:ascii="Arial" w:hAnsi="Arial" w:eastAsia="Arial" w:cs="Arial"/>
          <w:b w:val="1"/>
          <w:bCs w:val="1"/>
          <w:noProof w:val="0"/>
          <w:sz w:val="28"/>
          <w:szCs w:val="28"/>
          <w:lang w:val="en-US"/>
        </w:rPr>
        <w:t>Executive Summary</w:t>
      </w:r>
    </w:p>
    <w:p w:rsidR="257F1352" w:rsidP="2EC1CA95" w:rsidRDefault="257F1352" w14:paraId="2E88CA35" w14:textId="60653590">
      <w:pPr>
        <w:pStyle w:val="Normal"/>
        <w:jc w:val="left"/>
        <w:rPr>
          <w:rFonts w:ascii="Arial" w:hAnsi="Arial" w:eastAsia="Arial" w:cs="Arial"/>
          <w:b w:val="1"/>
          <w:bCs w:val="1"/>
          <w:noProof w:val="0"/>
          <w:sz w:val="28"/>
          <w:szCs w:val="28"/>
          <w:lang w:val="en-US"/>
        </w:rPr>
      </w:pPr>
      <w:r w:rsidRPr="2EC1CA95" w:rsidR="257F1352">
        <w:rPr>
          <w:rFonts w:ascii="Arial" w:hAnsi="Arial" w:eastAsia="Arial" w:cs="Arial"/>
          <w:b w:val="1"/>
          <w:bCs w:val="1"/>
          <w:noProof w:val="0"/>
          <w:sz w:val="28"/>
          <w:szCs w:val="28"/>
          <w:lang w:val="en-US"/>
        </w:rPr>
        <w:t>01 Introduction...................3</w:t>
      </w:r>
      <w:r>
        <w:br/>
      </w:r>
      <w:r w:rsidRPr="2EC1CA95" w:rsidR="195777BD">
        <w:rPr>
          <w:rFonts w:ascii="Arial" w:hAnsi="Arial" w:eastAsia="Arial" w:cs="Arial"/>
          <w:b w:val="1"/>
          <w:bCs w:val="1"/>
          <w:noProof w:val="0"/>
          <w:sz w:val="28"/>
          <w:szCs w:val="28"/>
          <w:lang w:val="en-US"/>
        </w:rPr>
        <w:t>02.Culture, Structure &amp; Decision-Making..............3</w:t>
      </w:r>
      <w:r>
        <w:br/>
      </w:r>
      <w:r w:rsidRPr="2EC1CA95" w:rsidR="6498D5D0">
        <w:rPr>
          <w:rFonts w:ascii="Arial" w:hAnsi="Arial" w:eastAsia="Arial" w:cs="Arial"/>
          <w:b w:val="1"/>
          <w:bCs w:val="1"/>
          <w:noProof w:val="0"/>
          <w:sz w:val="28"/>
          <w:szCs w:val="28"/>
          <w:lang w:val="en-US"/>
        </w:rPr>
        <w:t>03. Cultural Frameworks Applied to Toyota..............4</w:t>
      </w:r>
      <w:r>
        <w:br/>
      </w:r>
      <w:r w:rsidRPr="2EC1CA95" w:rsidR="14481E22">
        <w:rPr>
          <w:rFonts w:ascii="Arial" w:hAnsi="Arial" w:eastAsia="Arial" w:cs="Arial"/>
          <w:b w:val="1"/>
          <w:bCs w:val="1"/>
          <w:noProof w:val="0"/>
          <w:sz w:val="28"/>
          <w:szCs w:val="28"/>
          <w:lang w:val="en-US"/>
        </w:rPr>
        <w:t>04. Leveraging Culture for External Adaptation............6</w:t>
      </w:r>
      <w:r>
        <w:br/>
      </w:r>
      <w:r w:rsidRPr="2EC1CA95" w:rsidR="384ADA12">
        <w:rPr>
          <w:rFonts w:ascii="Arial" w:hAnsi="Arial" w:eastAsia="Arial" w:cs="Arial"/>
          <w:b w:val="1"/>
          <w:bCs w:val="1"/>
          <w:noProof w:val="0"/>
          <w:sz w:val="28"/>
          <w:szCs w:val="28"/>
          <w:lang w:val="en-US"/>
        </w:rPr>
        <w:t>05. Culture as Barrier or Enabler....................7</w:t>
      </w:r>
      <w:r>
        <w:br/>
      </w:r>
      <w:r w:rsidRPr="2EC1CA95" w:rsidR="7FC765B1">
        <w:rPr>
          <w:rFonts w:ascii="Arial" w:hAnsi="Arial" w:eastAsia="Arial" w:cs="Arial"/>
          <w:b w:val="1"/>
          <w:bCs w:val="1"/>
          <w:noProof w:val="0"/>
          <w:sz w:val="28"/>
          <w:szCs w:val="28"/>
          <w:lang w:val="en-US"/>
        </w:rPr>
        <w:t>06. Performance Impact &amp; Recommendations...............8</w:t>
      </w:r>
      <w:r>
        <w:br/>
      </w:r>
      <w:r w:rsidRPr="2EC1CA95" w:rsidR="7AC9757D">
        <w:rPr>
          <w:rFonts w:ascii="Arial" w:hAnsi="Arial" w:eastAsia="Arial" w:cs="Arial"/>
          <w:b w:val="1"/>
          <w:bCs w:val="1"/>
          <w:noProof w:val="0"/>
          <w:sz w:val="28"/>
          <w:szCs w:val="28"/>
          <w:lang w:val="en-US"/>
        </w:rPr>
        <w:t>07. Conclusion..................10</w:t>
      </w:r>
      <w:r>
        <w:br/>
      </w:r>
      <w:r w:rsidRPr="2EC1CA95" w:rsidR="092D74D3">
        <w:rPr>
          <w:rFonts w:ascii="Arial" w:hAnsi="Arial" w:eastAsia="Arial" w:cs="Arial"/>
          <w:b w:val="1"/>
          <w:bCs w:val="1"/>
          <w:noProof w:val="0"/>
          <w:sz w:val="28"/>
          <w:szCs w:val="28"/>
          <w:lang w:val="en-US"/>
        </w:rPr>
        <w:t>References................11</w:t>
      </w:r>
      <w:r>
        <w:br/>
      </w:r>
      <w:r>
        <w:br/>
      </w:r>
      <w:r>
        <w:br/>
      </w:r>
      <w:r>
        <w:br/>
      </w:r>
      <w:r>
        <w:br/>
      </w:r>
      <w:r>
        <w:br/>
      </w:r>
      <w:r>
        <w:br/>
      </w:r>
      <w:r>
        <w:br/>
      </w:r>
      <w:r>
        <w:br/>
      </w:r>
      <w:r>
        <w:br/>
      </w:r>
      <w:r>
        <w:br/>
      </w:r>
      <w:r>
        <w:br/>
      </w:r>
      <w:r>
        <w:br/>
      </w:r>
      <w:r>
        <w:br/>
      </w:r>
      <w:r>
        <w:br/>
      </w:r>
      <w:r>
        <w:br/>
      </w:r>
      <w:r>
        <w:br/>
      </w:r>
      <w:r>
        <w:br/>
      </w:r>
      <w:r>
        <w:br/>
      </w:r>
      <w:r>
        <w:br/>
      </w:r>
    </w:p>
    <w:p w:rsidR="2EC1CA95" w:rsidP="2EC1CA95" w:rsidRDefault="2EC1CA95" w14:paraId="105C371E" w14:textId="1F42F404">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177C525E" w14:textId="286ADCDA">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2692B784" w14:textId="11168879">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14D41B79" w14:textId="1289CE0B">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01914FE7" w14:textId="4A35448F">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33427C69" w14:textId="750D8282">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430F5DEF" w14:textId="43F66573">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2A958937" w14:textId="6B645B56">
      <w:pPr>
        <w:spacing w:before="240" w:beforeAutospacing="off" w:after="240" w:afterAutospacing="off"/>
        <w:rPr>
          <w:rFonts w:ascii="Arial" w:hAnsi="Arial" w:eastAsia="Arial" w:cs="Arial"/>
          <w:b w:val="1"/>
          <w:bCs w:val="1"/>
          <w:noProof w:val="0"/>
          <w:sz w:val="28"/>
          <w:szCs w:val="28"/>
          <w:lang w:val="en-US"/>
        </w:rPr>
      </w:pPr>
    </w:p>
    <w:p w:rsidR="2EC1CA95" w:rsidP="2EC1CA95" w:rsidRDefault="2EC1CA95" w14:paraId="6C57F9BF" w14:textId="5C65B5A9">
      <w:pPr>
        <w:spacing w:before="240" w:beforeAutospacing="off" w:after="240" w:afterAutospacing="off"/>
        <w:rPr>
          <w:rFonts w:ascii="Arial" w:hAnsi="Arial" w:eastAsia="Arial" w:cs="Arial"/>
          <w:b w:val="1"/>
          <w:bCs w:val="1"/>
          <w:noProof w:val="0"/>
          <w:sz w:val="28"/>
          <w:szCs w:val="28"/>
          <w:lang w:val="en-US"/>
        </w:rPr>
      </w:pPr>
    </w:p>
    <w:p w:rsidR="28477994" w:rsidP="2EC1CA95" w:rsidRDefault="28477994" w14:paraId="11CE636B" w14:textId="375A2CD2">
      <w:pPr>
        <w:spacing w:before="240" w:beforeAutospacing="off" w:after="240" w:afterAutospacing="off"/>
        <w:rPr>
          <w:rFonts w:ascii="Arial" w:hAnsi="Arial" w:eastAsia="Arial" w:cs="Arial"/>
          <w:noProof w:val="0"/>
          <w:sz w:val="22"/>
          <w:szCs w:val="22"/>
          <w:lang w:val="en-US"/>
        </w:rPr>
      </w:pPr>
      <w:r w:rsidRPr="2EC1CA95" w:rsidR="28477994">
        <w:rPr>
          <w:rFonts w:ascii="Arial" w:hAnsi="Arial" w:eastAsia="Arial" w:cs="Arial"/>
          <w:b w:val="1"/>
          <w:bCs w:val="1"/>
          <w:noProof w:val="0"/>
          <w:sz w:val="28"/>
          <w:szCs w:val="28"/>
          <w:lang w:val="en-US"/>
        </w:rPr>
        <w:t xml:space="preserve">01. </w:t>
      </w:r>
      <w:r w:rsidRPr="2EC1CA95" w:rsidR="1CE450DA">
        <w:rPr>
          <w:rFonts w:ascii="Arial" w:hAnsi="Arial" w:eastAsia="Arial" w:cs="Arial"/>
          <w:b w:val="1"/>
          <w:bCs w:val="1"/>
          <w:noProof w:val="0"/>
          <w:sz w:val="28"/>
          <w:szCs w:val="28"/>
          <w:lang w:val="en-US"/>
        </w:rPr>
        <w:t>Introduction</w:t>
      </w:r>
    </w:p>
    <w:p w:rsidR="1CE450DA" w:rsidP="2EC1CA95" w:rsidRDefault="1CE450DA" w14:paraId="5B3E6EFA" w14:textId="406A5475">
      <w:pPr>
        <w:spacing w:before="240" w:beforeAutospacing="off" w:after="240" w:afterAutospacing="off"/>
        <w:rPr>
          <w:rFonts w:ascii="Arial" w:hAnsi="Arial" w:eastAsia="Arial" w:cs="Arial"/>
          <w:noProof w:val="0"/>
          <w:sz w:val="22"/>
          <w:szCs w:val="22"/>
          <w:lang w:val="en-US"/>
        </w:rPr>
      </w:pPr>
      <w:r>
        <w:br/>
      </w:r>
      <w:r w:rsidRPr="2EC1CA95" w:rsidR="1CE450DA">
        <w:rPr>
          <w:rFonts w:ascii="Arial" w:hAnsi="Arial" w:eastAsia="Arial" w:cs="Arial"/>
          <w:noProof w:val="0"/>
          <w:sz w:val="22"/>
          <w:szCs w:val="22"/>
          <w:lang w:val="en-US"/>
        </w:rPr>
        <w:t>Founded in 1937 by Kiichiro Toyoda, Toyota Motor Corporation has grown from a modest Japanese manufacturer into a global industrial titan, selling over 11 million vehicles annually across more than 170 countries (Factory Warranty List, 2024). Its ascent to the apex of the automotive industry is not attributable solely to engineering prowess or financial capital but to a distinctive and deeply institutionalised organisational culture one that has been systematically codified, disseminated, and reinforced across decades and continents.</w:t>
      </w:r>
      <w:r>
        <w:br/>
      </w:r>
      <w:r w:rsidRPr="2EC1CA95" w:rsidR="1CE450DA">
        <w:rPr>
          <w:rFonts w:ascii="Arial" w:hAnsi="Arial" w:eastAsia="Arial" w:cs="Arial"/>
          <w:noProof w:val="0"/>
          <w:sz w:val="22"/>
          <w:szCs w:val="22"/>
          <w:lang w:val="en-US"/>
        </w:rPr>
        <w:t>Mullins and Christy (2016, p. 574) argue that culture exerts a "pervasive" influence on organisational processes, shaping decision-making, structural design, group behaviour, and management control. This argument is nowhere more vividly illustrated than in Toyota, where the concept of kaizen (continuous improvement) and genchi genbutsu (go and see for yourself) are not merely managerial slogans but lived behavioural norms that govern daily operations from the factory floor to the boardroom. Schein (2004, p. 17) defines organisational culture as "a structure of common assumptions that are distributed among all members of the group to solve internal and external problems", a definition that resonates powerfully with Toyota's cultural architecture.</w:t>
      </w:r>
      <w:r>
        <w:br/>
      </w:r>
      <w:r w:rsidRPr="2EC1CA95" w:rsidR="1CE450DA">
        <w:rPr>
          <w:rFonts w:ascii="Arial" w:hAnsi="Arial" w:eastAsia="Arial" w:cs="Arial"/>
          <w:noProof w:val="0"/>
          <w:sz w:val="22"/>
          <w:szCs w:val="22"/>
          <w:lang w:val="en-US"/>
        </w:rPr>
        <w:t>With increasing globalisation, Toyota faces the dual challenge of preserving the cultural coherence that underpins its competitive advantage while adapting to the diverse national cultures of its international workforce. Mullins and Christy (2016) note that globalisation demands "greater emphasis on the understanding and management of a diverse group of people from different nationalities into a coherent culture". This tension between cultural uniformity and local adaptation constitutes a central theme of this analysis.</w:t>
      </w:r>
      <w:r>
        <w:br/>
      </w:r>
      <w:r w:rsidRPr="2EC1CA95" w:rsidR="1CE450DA">
        <w:rPr>
          <w:rFonts w:ascii="Arial" w:hAnsi="Arial" w:eastAsia="Arial" w:cs="Arial"/>
          <w:noProof w:val="0"/>
          <w:sz w:val="22"/>
          <w:szCs w:val="22"/>
          <w:lang w:val="en-US"/>
        </w:rPr>
        <w:t>Organisational Design</w:t>
      </w:r>
      <w:r>
        <w:br/>
      </w:r>
      <w:r>
        <w:br/>
      </w:r>
      <w:r w:rsidRPr="2EC1CA95" w:rsidR="67EDCFD0">
        <w:rPr>
          <w:rFonts w:ascii="Arial" w:hAnsi="Arial" w:eastAsia="Arial" w:cs="Arial"/>
          <w:b w:val="1"/>
          <w:bCs w:val="1"/>
          <w:noProof w:val="0"/>
          <w:sz w:val="28"/>
          <w:szCs w:val="28"/>
          <w:lang w:val="en-US"/>
        </w:rPr>
        <w:t>02.</w:t>
      </w:r>
      <w:r w:rsidRPr="2EC1CA95" w:rsidR="1CE450DA">
        <w:rPr>
          <w:rFonts w:ascii="Arial" w:hAnsi="Arial" w:eastAsia="Arial" w:cs="Arial"/>
          <w:b w:val="1"/>
          <w:bCs w:val="1"/>
          <w:noProof w:val="0"/>
          <w:sz w:val="28"/>
          <w:szCs w:val="28"/>
          <w:lang w:val="en-US"/>
        </w:rPr>
        <w:t>Culture, Structure &amp; Decision-Making</w:t>
      </w:r>
      <w:r>
        <w:br/>
      </w:r>
      <w:r w:rsidRPr="2EC1CA95" w:rsidR="1CE450DA">
        <w:rPr>
          <w:rFonts w:ascii="Arial" w:hAnsi="Arial" w:eastAsia="Arial" w:cs="Arial"/>
          <w:noProof w:val="0"/>
          <w:sz w:val="22"/>
          <w:szCs w:val="22"/>
          <w:lang w:val="en-US"/>
        </w:rPr>
        <w:t xml:space="preserve">Toyota's organisational structure is a product of its cultural values rather than a neutral administrative framework. The company operates through a hierarchical matrix structure that combines functional divisions (manufacturing, engineering, sales) with geographic regional units. At its apex sit the president and a board of directors, historically dominated by members of the Toyoda founding family, reflecting a power-distance dynamic consistent with Japanese corporate tradition (Sosnovskikh, 2016). However, this hierarchy is moderated by a deeply consultative decision-making process known as nemawashi </w:t>
      </w:r>
      <w:r w:rsidRPr="2EC1CA95" w:rsidR="03A29892">
        <w:rPr>
          <w:rFonts w:ascii="Arial" w:hAnsi="Arial" w:eastAsia="Arial" w:cs="Arial"/>
          <w:noProof w:val="0"/>
          <w:sz w:val="22"/>
          <w:szCs w:val="22"/>
          <w:lang w:val="en-US"/>
        </w:rPr>
        <w:t>t</w:t>
      </w:r>
      <w:r w:rsidRPr="2EC1CA95" w:rsidR="1CE450DA">
        <w:rPr>
          <w:rFonts w:ascii="Arial" w:hAnsi="Arial" w:eastAsia="Arial" w:cs="Arial"/>
          <w:noProof w:val="0"/>
          <w:sz w:val="22"/>
          <w:szCs w:val="22"/>
          <w:lang w:val="en-US"/>
        </w:rPr>
        <w:t>he practice of building consensus by circulating proposals among all affected parties before formal approval.</w:t>
      </w:r>
      <w:r>
        <w:br/>
      </w:r>
      <w:r w:rsidRPr="2EC1CA95" w:rsidR="1CE450DA">
        <w:rPr>
          <w:rFonts w:ascii="Arial" w:hAnsi="Arial" w:eastAsia="Arial" w:cs="Arial"/>
          <w:noProof w:val="0"/>
          <w:sz w:val="22"/>
          <w:szCs w:val="22"/>
          <w:lang w:val="en-US"/>
        </w:rPr>
        <w:t>This cultural norm of consensus-seeking has profound structural implications. Decisions at Toyota are rarely made unilaterally; instead, they emerge through iterative consultation across hierarchical levels, a process that enhances buy-in and reduces implementation resistance but can slow response times in fast-moving environments (Liker, 2004). The ringi system a formal document-circulation mechanism for obtaining approvals institutionalises this consultative ethos, embedding it within administrative procedure rather than leaving it to individual discretion.</w:t>
      </w:r>
      <w:r>
        <w:br/>
      </w:r>
      <w:r w:rsidRPr="2EC1CA95" w:rsidR="1CE450DA">
        <w:rPr>
          <w:rFonts w:ascii="Arial" w:hAnsi="Arial" w:eastAsia="Arial" w:cs="Arial"/>
          <w:noProof w:val="0"/>
          <w:sz w:val="22"/>
          <w:szCs w:val="22"/>
          <w:lang w:val="en-US"/>
        </w:rPr>
        <w:t>The Toyota Production System (TPS), often described as the operational manifestation of Toyota's culture, further shapes structural design. TPS principles of jidoka (automation with a human touch) and just-in-time production require flat, empowered teams on the factory floor, where any worker can halt the production line by pulling the Andon cord when a defect is detected. This structural feature radical decentralisation of quality control is only possible because the underlying cultural assumption holds that every employee is both responsible for and capable of maintaining quality standards (Toyota Global, 2024). Mullins and Christy (2016) observe that such alignment between cultural values and structural mechanisms is a hallmark of high-performing organisations.</w:t>
      </w:r>
      <w:r>
        <w:br/>
      </w:r>
      <w:r w:rsidRPr="2EC1CA95" w:rsidR="1CE450DA">
        <w:rPr>
          <w:rFonts w:ascii="Arial" w:hAnsi="Arial" w:eastAsia="Arial" w:cs="Arial"/>
          <w:noProof w:val="0"/>
          <w:sz w:val="22"/>
          <w:szCs w:val="22"/>
          <w:lang w:val="en-US"/>
        </w:rPr>
        <w:t>Critically, the 2009–2010 recall crisis exposed a structural vulnerability rooted in cultural rigidity. As Toyota expanded rapidly through the 2000s, its hierarchical culture created information silos that impeded the upward flow of quality concerns. Engineers and middle managers, conditioned by a culture that discouraged delivering bad news to superiors  a phenomenon Liker and Hoseus (2008) term "managing upward"  failed to escalate emerging safety issues with sufficient urgency. This illustrates Mullins and Christy's (2016) warning that culture can distort decision-making processes when its norms become disconnected from organisational realities.</w:t>
      </w:r>
      <w:r>
        <w:br/>
      </w:r>
      <w:r>
        <w:br/>
      </w:r>
      <w:r w:rsidRPr="2EC1CA95" w:rsidR="5CD47F33">
        <w:rPr>
          <w:rFonts w:ascii="Arial" w:hAnsi="Arial" w:eastAsia="Arial" w:cs="Arial"/>
          <w:b w:val="1"/>
          <w:bCs w:val="1"/>
          <w:noProof w:val="0"/>
          <w:sz w:val="28"/>
          <w:szCs w:val="28"/>
          <w:lang w:val="en-US"/>
        </w:rPr>
        <w:t xml:space="preserve">03. </w:t>
      </w:r>
      <w:r w:rsidRPr="2EC1CA95" w:rsidR="1CE450DA">
        <w:rPr>
          <w:rFonts w:ascii="Arial" w:hAnsi="Arial" w:eastAsia="Arial" w:cs="Arial"/>
          <w:b w:val="1"/>
          <w:bCs w:val="1"/>
          <w:noProof w:val="0"/>
          <w:sz w:val="28"/>
          <w:szCs w:val="28"/>
          <w:lang w:val="en-US"/>
        </w:rPr>
        <w:t>Cultural Frameworks Applied to Toyota</w:t>
      </w:r>
      <w:r>
        <w:br/>
      </w:r>
      <w:r w:rsidRPr="2EC1CA95" w:rsidR="1CE450DA">
        <w:rPr>
          <w:rFonts w:ascii="Arial" w:hAnsi="Arial" w:eastAsia="Arial" w:cs="Arial"/>
          <w:noProof w:val="0"/>
          <w:sz w:val="22"/>
          <w:szCs w:val="22"/>
          <w:lang w:val="en-US"/>
        </w:rPr>
        <w:t>3.1 Schein's Three-Level Model</w:t>
      </w:r>
      <w:r>
        <w:br/>
      </w:r>
      <w:r w:rsidRPr="2EC1CA95" w:rsidR="1CE450DA">
        <w:rPr>
          <w:rFonts w:ascii="Arial" w:hAnsi="Arial" w:eastAsia="Arial" w:cs="Arial"/>
          <w:noProof w:val="0"/>
          <w:sz w:val="22"/>
          <w:szCs w:val="22"/>
          <w:lang w:val="en-US"/>
        </w:rPr>
        <w:t>Schein's (2004) model provides the most analytically precise framework for examining Toyota's cultural architecture. The model posits three levels of culture  artefacts, espoused values, and basic underlying assumptions  arranged in descending order of visibility but ascending order of influence.</w:t>
      </w:r>
      <w:r>
        <w:br/>
      </w:r>
      <w:r w:rsidRPr="2EC1CA95" w:rsidR="1CE450DA">
        <w:rPr>
          <w:rFonts w:ascii="Arial" w:hAnsi="Arial" w:eastAsia="Arial" w:cs="Arial"/>
          <w:noProof w:val="0"/>
          <w:sz w:val="22"/>
          <w:szCs w:val="22"/>
          <w:lang w:val="en-US"/>
        </w:rPr>
        <w:t>At the artefacts level  the most visible layer  Toyota's culture manifests in the physical and procedural features of its operations. The Toyota Production System, with its Andon cords, visual management boards, 5S workplace organisation methodology, and standardised work procedures, constitutes a rich artefactual environment that communicates cultural priorities to every employee and visitor. The open-plan office layouts in Toyota's Japanese headquarters, where managers sit alongside their teams rather than in enclosed offices, signal the cultural value of accessibility and collective problem-solving (Sosnovskikh, 2016).</w:t>
      </w:r>
      <w:r>
        <w:br/>
      </w:r>
      <w:r w:rsidRPr="2EC1CA95" w:rsidR="1CE450DA">
        <w:rPr>
          <w:rFonts w:ascii="Arial" w:hAnsi="Arial" w:eastAsia="Arial" w:cs="Arial"/>
          <w:noProof w:val="0"/>
          <w:sz w:val="22"/>
          <w:szCs w:val="22"/>
          <w:lang w:val="en-US"/>
        </w:rPr>
        <w:t>The espoused values layer is most clearly articulated in the Toyota Way 2001, a document that codifies the company's guiding principles around two pillars: continuous improvement (kaizen, genchi genbutsu, and challenge) and respect for people (teamwork and mutual trust). These values are actively reinforced through training programmes, performance appraisals, and leadership behaviours, creating a self-reinforcing cultural loop that Schein (2004) identifies as essential for cultural durability.</w:t>
      </w:r>
      <w:r>
        <w:br/>
      </w:r>
      <w:r w:rsidRPr="2EC1CA95" w:rsidR="1CE450DA">
        <w:rPr>
          <w:rFonts w:ascii="Arial" w:hAnsi="Arial" w:eastAsia="Arial" w:cs="Arial"/>
          <w:noProof w:val="0"/>
          <w:sz w:val="22"/>
          <w:szCs w:val="22"/>
          <w:lang w:val="en-US"/>
        </w:rPr>
        <w:t>At the deepest level — basic underlying assumptions — Toyota's culture rests on several tacit beliefs: that problems are not failures but opportunities for improvement; that quality is the collective responsibility of every employee rather than the exclusive domain of quality control departments; and that long-term organisational prosperity takes precedence over short-term financial performance. These assumptions, largely invisible and taken for granted by Toyota employees, constitute the bedrock upon which all visible cultural manifestations are built (Schein, 2004).</w:t>
      </w:r>
      <w:r>
        <w:br/>
      </w:r>
      <w:r>
        <w:br/>
      </w:r>
      <w:r w:rsidRPr="2EC1CA95" w:rsidR="1CE450DA">
        <w:rPr>
          <w:rFonts w:ascii="Arial" w:hAnsi="Arial" w:eastAsia="Arial" w:cs="Arial"/>
          <w:b w:val="0"/>
          <w:bCs w:val="0"/>
          <w:noProof w:val="0"/>
          <w:sz w:val="24"/>
          <w:szCs w:val="24"/>
          <w:lang w:val="en-US"/>
        </w:rPr>
        <w:t>3.2 Hofstede's Cultural Dimensions</w:t>
      </w:r>
      <w:r>
        <w:br/>
      </w:r>
      <w:r w:rsidRPr="2EC1CA95" w:rsidR="1CE450DA">
        <w:rPr>
          <w:rFonts w:ascii="Arial" w:hAnsi="Arial" w:eastAsia="Arial" w:cs="Arial"/>
          <w:noProof w:val="0"/>
          <w:sz w:val="22"/>
          <w:szCs w:val="22"/>
          <w:lang w:val="en-US"/>
        </w:rPr>
        <w:t>Hofstede's (1980) framework of national cultural dimensions offers a complementary lens through which Toyota's organisational culture can be understood in its Japanese societal context. Japan's scores on Hofstede's dimensions provide a structural explanation for many of Toyota's distinctive cultural characteristics.</w:t>
      </w:r>
      <w:r>
        <w:br/>
      </w:r>
      <w:r w:rsidRPr="2EC1CA95" w:rsidR="1CE450DA">
        <w:rPr>
          <w:rFonts w:ascii="Arial" w:hAnsi="Arial" w:eastAsia="Arial" w:cs="Arial"/>
          <w:noProof w:val="0"/>
          <w:sz w:val="22"/>
          <w:szCs w:val="22"/>
          <w:lang w:val="en-US"/>
        </w:rPr>
        <w:t>Japan scores exceptionally high on masculinity (95) and uncertainty avoidance (92) and very high on long-term orientation (88). These scores directly map onto Toyota's cultural priorities: the masculinity dimension explains the company's intense work ethic, competitive drive for quality, and achievement orientation; the uncertainty avoidance score explains the proliferation of standardised procedures, detailed work instructions, and rigorous quality control systems that characterise TPS; and the long-term orientation score explains Toyota's willingness to invest in hydrogen fuel cell technology (the Mirai) decades before commercial viability and its patient, incremental approach to hybrid electrification (Sosnovskikh, 2016).</w:t>
      </w:r>
      <w:r>
        <w:br/>
      </w:r>
      <w:r w:rsidRPr="2EC1CA95" w:rsidR="1CE450DA">
        <w:rPr>
          <w:rFonts w:ascii="Arial" w:hAnsi="Arial" w:eastAsia="Arial" w:cs="Arial"/>
          <w:noProof w:val="0"/>
          <w:sz w:val="22"/>
          <w:szCs w:val="22"/>
          <w:lang w:val="en-US"/>
        </w:rPr>
        <w:t>Japan's relatively low individualism score (46)  indicating a collectivist orientation  explains Toyota's emphasis on team-based problem-solving, quality circles, and the collective ownership of production outcomes. Bergiel et al. (2012) note that this collectivism is a fundamental differentiator between Japanese and American corporate cultures, and it manifests at Toyota in the expectation that employees will subordinate individual interests to team and organisational goals. The moderate Power Distance score (54) reflects a culture that respects hierarchical authority while simultaneously valuing consultation and consensus a balance that Toyota's nemawashi process embodies.</w:t>
      </w:r>
      <w:r>
        <w:br/>
      </w:r>
      <w:r>
        <w:br/>
      </w:r>
      <w:r w:rsidRPr="2EC1CA95" w:rsidR="1CE450DA">
        <w:rPr>
          <w:rFonts w:ascii="Arial" w:hAnsi="Arial" w:eastAsia="Arial" w:cs="Arial"/>
          <w:b w:val="0"/>
          <w:bCs w:val="0"/>
          <w:noProof w:val="0"/>
          <w:sz w:val="24"/>
          <w:szCs w:val="24"/>
          <w:lang w:val="en-US"/>
        </w:rPr>
        <w:t>3.3 Handy's Cultural Types</w:t>
      </w:r>
      <w:r>
        <w:br/>
      </w:r>
      <w:r w:rsidRPr="2EC1CA95" w:rsidR="1CE450DA">
        <w:rPr>
          <w:rFonts w:ascii="Arial" w:hAnsi="Arial" w:eastAsia="Arial" w:cs="Arial"/>
          <w:noProof w:val="0"/>
          <w:sz w:val="22"/>
          <w:szCs w:val="22"/>
          <w:lang w:val="en-US"/>
        </w:rPr>
        <w:t>Handy (1993) identifies four archetypal organisational cultures  Power, Role, Task, and Person  each associated with a Greek deity as a metaphorical shorthand. Toyota's cultural profile is complex, exhibiting characteristics of multiple types, though the role culture (Apollo) predominates.</w:t>
      </w:r>
      <w:r>
        <w:br/>
      </w:r>
      <w:r w:rsidRPr="2EC1CA95" w:rsidR="1CE450DA">
        <w:rPr>
          <w:rFonts w:ascii="Arial" w:hAnsi="Arial" w:eastAsia="Arial" w:cs="Arial"/>
          <w:noProof w:val="0"/>
          <w:sz w:val="22"/>
          <w:szCs w:val="22"/>
          <w:lang w:val="en-US"/>
        </w:rPr>
        <w:t>The role culture is characterised by clearly defined roles, standardised procedures, and a bureaucratic emphasis on rules and processes. This description maps closely onto Toyota's operational culture, where every job is governed by a detailed standardised work instruction, every process is documented, and every deviation from standard is treated as a problem requiring systematic resolution. The stability and predictability that Role Culture provides are essential prerequisites for the just-in-time production system, which has zero tolerance for process variability (Liker, 2004).</w:t>
      </w:r>
      <w:r>
        <w:br/>
      </w:r>
      <w:r w:rsidRPr="2EC1CA95" w:rsidR="1CE450DA">
        <w:rPr>
          <w:rFonts w:ascii="Arial" w:hAnsi="Arial" w:eastAsia="Arial" w:cs="Arial"/>
          <w:noProof w:val="0"/>
          <w:sz w:val="22"/>
          <w:szCs w:val="22"/>
          <w:lang w:val="en-US"/>
        </w:rPr>
        <w:t>However, Toyota also exhibits significant elements of Task Culture (Athena), particularly in its approach to problem-solving. Cross-functional kaizen teams, product development groups, and quality circles operate with considerable autonomy and are judged by results rather than adherence to hierarchical authority. This task-orientated dimension enables the creative problem-solving and rapid innovation that have produced breakthroughs such as the Prius hybrid and the Toyota Mirai hydrogen fuel cell vehicle. The coexistence of role and task cultures within Toyota reflects what Handy (1993) describes as a "federal" cultural arrangement, where different parts of the organisation operate under different cultural logics appropriate to their function.</w:t>
      </w:r>
      <w:r>
        <w:br/>
      </w:r>
      <w:r w:rsidRPr="2EC1CA95" w:rsidR="1CE450DA">
        <w:rPr>
          <w:rFonts w:ascii="Arial" w:hAnsi="Arial" w:eastAsia="Arial" w:cs="Arial"/>
          <w:noProof w:val="0"/>
          <w:sz w:val="22"/>
          <w:szCs w:val="22"/>
          <w:lang w:val="en-US"/>
        </w:rPr>
        <w:t>Traces of Power Culture (Zeus) are also discernible at the apex of the organisation, where the Toyoda family has historically exercised significant personal authority. The appointment of Akio Toyoda as president in 2009  during the recall crisis  and his subsequent hands-on, visionary leadership style exemplify the power culture dynamic, where the personality and values of a central figure shape the entire organisation's direction (Camuffo, 2016).</w:t>
      </w:r>
      <w:r>
        <w:br/>
      </w:r>
      <w:r>
        <w:br/>
      </w:r>
      <w:r w:rsidRPr="2EC1CA95" w:rsidR="0E1840F3">
        <w:rPr>
          <w:rFonts w:ascii="Arial" w:hAnsi="Arial" w:eastAsia="Arial" w:cs="Arial"/>
          <w:b w:val="1"/>
          <w:bCs w:val="1"/>
          <w:noProof w:val="0"/>
          <w:sz w:val="28"/>
          <w:szCs w:val="28"/>
          <w:lang w:val="en-US"/>
        </w:rPr>
        <w:t xml:space="preserve">04. </w:t>
      </w:r>
      <w:r w:rsidRPr="2EC1CA95" w:rsidR="1CE450DA">
        <w:rPr>
          <w:rFonts w:ascii="Arial" w:hAnsi="Arial" w:eastAsia="Arial" w:cs="Arial"/>
          <w:b w:val="1"/>
          <w:bCs w:val="1"/>
          <w:noProof w:val="0"/>
          <w:sz w:val="28"/>
          <w:szCs w:val="28"/>
          <w:lang w:val="en-US"/>
        </w:rPr>
        <w:t>Leveraging Culture for External Adaptation</w:t>
      </w:r>
      <w:r>
        <w:br/>
      </w:r>
      <w:r w:rsidRPr="2EC1CA95" w:rsidR="1CE450DA">
        <w:rPr>
          <w:rFonts w:ascii="Arial" w:hAnsi="Arial" w:eastAsia="Arial" w:cs="Arial"/>
          <w:noProof w:val="0"/>
          <w:sz w:val="22"/>
          <w:szCs w:val="22"/>
          <w:lang w:val="en-US"/>
        </w:rPr>
        <w:t>Toyota's organisational culture has proven to be a powerful instrument of strategic adaptation in the face of external environmental pressures. Mullins and Christy (2016) argue that culture shapes how organisations perceive and respond to their environments, and Toyota's history offers compelling evidence of this dynamic. The company has navigated four major categories of external challenge technological disruption, regulatory pressure, economic volatility, and competitive intensity  by leveraging its cultural values as adaptive resources.</w:t>
      </w:r>
      <w:r>
        <w:br/>
      </w:r>
      <w:r w:rsidRPr="2EC1CA95" w:rsidR="1CE450DA">
        <w:rPr>
          <w:rFonts w:ascii="Arial" w:hAnsi="Arial" w:eastAsia="Arial" w:cs="Arial"/>
          <w:noProof w:val="0"/>
          <w:sz w:val="22"/>
          <w:szCs w:val="22"/>
          <w:lang w:val="en-US"/>
        </w:rPr>
        <w:t>The most celebrated example of culture-driven environmental adaptation is Toyota's response to the global environmental movement. Driven by the underlying cultural assumption that long-term organisational health requires alignment with societal needs, Toyota invested in hybrid technology throughout the 1990s when the commercial case was far from clear. The launch of the Prius in 1997  the world's first mass-produced hybrid vehicle  was not merely a product innovation but a cultural statement: Toyota's commitment to environmental responsibility was non-negotiable, regardless of short-term profitability (Toyota Ireland, 2024). This decision, rooted in the long-term orientation dimension of Japanese culture (Hofstede, 1980), positioned Toyota decades ahead of competitors when environmental regulation intensified in the 2010s and 2020s.</w:t>
      </w:r>
      <w:r>
        <w:br/>
      </w:r>
      <w:r w:rsidRPr="2EC1CA95" w:rsidR="1CE450DA">
        <w:rPr>
          <w:rFonts w:ascii="Arial" w:hAnsi="Arial" w:eastAsia="Arial" w:cs="Arial"/>
          <w:noProof w:val="0"/>
          <w:sz w:val="22"/>
          <w:szCs w:val="22"/>
          <w:lang w:val="en-US"/>
        </w:rPr>
        <w:t xml:space="preserve">The COVID-19 pandemic of 2020 provided a further test of cultural resilience. Toyota's global vehicle sales declined by 5% to 9.92 million units, and revenue fell 12% to </w:t>
      </w:r>
      <w:r w:rsidRPr="2EC1CA95" w:rsidR="1CE450DA">
        <w:rPr>
          <w:rFonts w:ascii="Arial" w:hAnsi="Arial" w:eastAsia="Arial" w:cs="Arial"/>
          <w:noProof w:val="0"/>
          <w:sz w:val="22"/>
          <w:szCs w:val="22"/>
          <w:lang w:val="en-US"/>
        </w:rPr>
        <w:t>$2</w:t>
      </w:r>
      <w:r w:rsidRPr="2EC1CA95" w:rsidR="1CE450DA">
        <w:rPr>
          <w:rFonts w:ascii="Arial" w:hAnsi="Arial" w:eastAsia="Arial" w:cs="Arial"/>
          <w:noProof w:val="0"/>
          <w:sz w:val="22"/>
          <w:szCs w:val="22"/>
          <w:lang w:val="en-US"/>
        </w:rPr>
        <w:t>26.5 billion</w:t>
      </w:r>
      <w:r w:rsidRPr="2EC1CA95" w:rsidR="1CE450DA">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Factory Warranty List, 2024). However, the company's cultural emphasis on financial prudence maintaining substantial cash reserves as a buffer against uncertainty, consistent with the high uncertainty avoidance dimension identified by Hofstede (1980) enabled it to weather the crisis without the emergency government interventions required by several competitors. The kaizen culture also facilitated rapid operational adaptation, with production lines reconfigured to manufacture medical equipment and face shields within weeks of the pandemic's onset.</w:t>
      </w:r>
      <w:r>
        <w:br/>
      </w:r>
      <w:r w:rsidRPr="2EC1CA95" w:rsidR="1CE450DA">
        <w:rPr>
          <w:rFonts w:ascii="Arial" w:hAnsi="Arial" w:eastAsia="Arial" w:cs="Arial"/>
          <w:noProof w:val="0"/>
          <w:sz w:val="22"/>
          <w:szCs w:val="22"/>
          <w:lang w:val="en-US"/>
        </w:rPr>
        <w:t>The accelerating transition to battery electric vehicles (BEVs) represents perhaps the most significant external challenge in Toyota's recent history. Critics initially argued that Toyota's cultural conservatism  its preference for incremental improvement over disruptive innovation would leave it vulnerable to electric-native competitors such as Tesla. However, Toyota's hybrid-first strategy, rooted in the cultural principle of genchi genbutsu (understanding customer needs through direct observation), has proven prescient: electrified vehicles (predominantly hybrids) accounted for 44.5% of Toyota's total US sales in 2024, rising to 47% in 2025 (Toyota Pressroom, 2025). This trajectory demonstrates how cultural values can guide strategic positioning even when external consensus favours a different path.</w:t>
      </w:r>
      <w:r>
        <w:br/>
      </w:r>
      <w:r w:rsidRPr="2EC1CA95" w:rsidR="1CE450DA">
        <w:rPr>
          <w:rFonts w:ascii="Arial" w:hAnsi="Arial" w:eastAsia="Arial" w:cs="Arial"/>
          <w:noProof w:val="0"/>
          <w:sz w:val="22"/>
          <w:szCs w:val="22"/>
          <w:lang w:val="en-US"/>
        </w:rPr>
        <w:t>Toyota's approach to globalisation also reflects a deliberate cultural strategy. Rather than imposing a uniform Japanese cultural template on all international operations, Toyota has adopted a "glocal" model  maintaining core cultural values (kaizen, respect for people, and genchi genbutsu) while adapting surface-level practices to local contexts. In the United States, Toyota's Georgetown, Kentucky, plant became a landmark case study in cross-cultural management, demonstrating that TPS principles could be successfully transplanted into an American workforce culture characterised by higher individualism and lower uncertainty avoidance (Bergiel et al., 2012). This cultural flexibility, guided by the principle of respect for people, has been instrumental in Toyota's global expansion.</w:t>
      </w:r>
      <w:r>
        <w:br/>
      </w:r>
      <w:r w:rsidRPr="2EC1CA95" w:rsidR="1CE450DA">
        <w:rPr>
          <w:rFonts w:ascii="Arial" w:hAnsi="Arial" w:eastAsia="Arial" w:cs="Arial"/>
          <w:noProof w:val="0"/>
          <w:sz w:val="22"/>
          <w:szCs w:val="22"/>
          <w:lang w:val="en-US"/>
        </w:rPr>
        <w:t>Critical Evaluation</w:t>
      </w:r>
      <w:r>
        <w:br/>
      </w:r>
      <w:r>
        <w:br/>
      </w:r>
      <w:r w:rsidRPr="2EC1CA95" w:rsidR="0D34E752">
        <w:rPr>
          <w:rFonts w:ascii="Arial" w:hAnsi="Arial" w:eastAsia="Arial" w:cs="Arial"/>
          <w:b w:val="1"/>
          <w:bCs w:val="1"/>
          <w:noProof w:val="0"/>
          <w:sz w:val="28"/>
          <w:szCs w:val="28"/>
          <w:lang w:val="en-US"/>
        </w:rPr>
        <w:t xml:space="preserve">05. </w:t>
      </w:r>
      <w:r w:rsidRPr="2EC1CA95" w:rsidR="1CE450DA">
        <w:rPr>
          <w:rFonts w:ascii="Arial" w:hAnsi="Arial" w:eastAsia="Arial" w:cs="Arial"/>
          <w:b w:val="1"/>
          <w:bCs w:val="1"/>
          <w:noProof w:val="0"/>
          <w:sz w:val="28"/>
          <w:szCs w:val="28"/>
          <w:lang w:val="en-US"/>
        </w:rPr>
        <w:t>Culture as Barrier or Enabler</w:t>
      </w:r>
      <w:r>
        <w:br/>
      </w:r>
      <w:r w:rsidRPr="2EC1CA95" w:rsidR="1CE450DA">
        <w:rPr>
          <w:rFonts w:ascii="Arial" w:hAnsi="Arial" w:eastAsia="Arial" w:cs="Arial"/>
          <w:noProof w:val="0"/>
          <w:sz w:val="22"/>
          <w:szCs w:val="22"/>
          <w:lang w:val="en-US"/>
        </w:rPr>
        <w:t>The question of whether organisational culture acts as a barrier or an enabler to effective functioning is not binary; in Toyota's case, the same cultural characteristics that generate competitive advantage can, under certain conditions, produce organisational dysfunction. A nuanced assessment requires examining both dimensions with equal rigour.</w:t>
      </w:r>
      <w:r>
        <w:br/>
      </w:r>
      <w:r>
        <w:br/>
      </w:r>
      <w:r w:rsidRPr="2EC1CA95" w:rsidR="1CE450DA">
        <w:rPr>
          <w:rFonts w:ascii="Arial" w:hAnsi="Arial" w:eastAsia="Arial" w:cs="Arial"/>
          <w:noProof w:val="0"/>
          <w:sz w:val="22"/>
          <w:szCs w:val="22"/>
          <w:lang w:val="en-US"/>
        </w:rPr>
        <w:t>5.1 Culture as Enabler</w:t>
      </w:r>
      <w:r>
        <w:br/>
      </w:r>
      <w:r w:rsidRPr="2EC1CA95" w:rsidR="1CE450DA">
        <w:rPr>
          <w:rFonts w:ascii="Arial" w:hAnsi="Arial" w:eastAsia="Arial" w:cs="Arial"/>
          <w:noProof w:val="0"/>
          <w:sz w:val="22"/>
          <w:szCs w:val="22"/>
          <w:lang w:val="en-US"/>
        </w:rPr>
        <w:t>The preponderance of evidence positions Toyota's culture as a powerful enabler of organisational effectiveness. The kaizen philosophy has generated a continuous stream of incremental improvements that, in aggregate, have produced dramatic gains in productivity, quality, and cost efficiency. Toyota's operating profit per vehicle  $4,904 in 2024 (Factorywarrantylist, 2024)  significantly exceeds industry averages, a testament to the cumulative impact of culturally driven operational excellence. The respect-for-people pillar has produced exceptionally low employee turnover rates and high levels of organisational commitment, reducing recruitment and training costs while preserving institutional knowledge.</w:t>
      </w:r>
      <w:r>
        <w:br/>
      </w:r>
      <w:r w:rsidRPr="2EC1CA95" w:rsidR="1CE450DA">
        <w:rPr>
          <w:rFonts w:ascii="Arial" w:hAnsi="Arial" w:eastAsia="Arial" w:cs="Arial"/>
          <w:noProof w:val="0"/>
          <w:sz w:val="22"/>
          <w:szCs w:val="22"/>
          <w:lang w:val="en-US"/>
        </w:rPr>
        <w:t>The cultural emphasis on long-term thinking has enabled strategic patience that short-term-orientated competitors cannot replicate. Toyota's decades-long investment in hybrid technology, its development of the hydrogen fuel cell Mirai, and its methodical approach to battery electric vehicles all reflect a cultural willingness to absorb short-term costs for long-term strategic positioning. Mullins and Christy (2016) note that cultures which align individual motivation with organisational purpose tend to produce superior performance outcomes  a dynamic clearly visible in Toyota's consistent ranking as the world's most valuable automotive brand.</w:t>
      </w:r>
      <w:r>
        <w:br/>
      </w:r>
      <w:r>
        <w:br/>
      </w:r>
      <w:r w:rsidRPr="2EC1CA95" w:rsidR="1CE450DA">
        <w:rPr>
          <w:rFonts w:ascii="Arial" w:hAnsi="Arial" w:eastAsia="Arial" w:cs="Arial"/>
          <w:noProof w:val="0"/>
          <w:sz w:val="22"/>
          <w:szCs w:val="22"/>
          <w:lang w:val="en-US"/>
        </w:rPr>
        <w:t>5.2 Culture as Barrier</w:t>
      </w:r>
      <w:r>
        <w:br/>
      </w:r>
      <w:r w:rsidRPr="2EC1CA95" w:rsidR="1CE450DA">
        <w:rPr>
          <w:rFonts w:ascii="Arial" w:hAnsi="Arial" w:eastAsia="Arial" w:cs="Arial"/>
          <w:noProof w:val="0"/>
          <w:sz w:val="22"/>
          <w:szCs w:val="22"/>
          <w:lang w:val="en-US"/>
        </w:rPr>
        <w:t>The 2009–2010 recall crisis</w:t>
      </w:r>
      <w:r w:rsidRPr="2EC1CA95" w:rsidR="318081DA">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in which Toyota recalled over 8 million vehicles globally for unintended acceleration provides the most compelling evidence of culture as an organisational barrier. Cole (2011) argues in the MIT Sloan Management Review that the crisis was not primarily a technical failure but a cultural one: Toyota's hierarchical culture, combined with the Japanese norm of avoiding public acknowledgement of problems (mentsu), created a systemic failure to escalate safety concerns through the organisation. Middle managers, conditioned by a culture that equated problem disclosure with personal failure, filtered negative information before it reached senior leadership.</w:t>
      </w:r>
      <w:r>
        <w:br/>
      </w:r>
      <w:r w:rsidRPr="2EC1CA95" w:rsidR="1CE450DA">
        <w:rPr>
          <w:rFonts w:ascii="Arial" w:hAnsi="Arial" w:eastAsia="Arial" w:cs="Arial"/>
          <w:noProof w:val="0"/>
          <w:sz w:val="22"/>
          <w:szCs w:val="22"/>
          <w:lang w:val="en-US"/>
        </w:rPr>
        <w:t>Furthermore, the nemawashi consensus-building process, while effective in stable environments, proved dangerously slow in a crisis requiring rapid executive decision-making. The company's initial response to the recall was widely criticised as insufficiently swift and transparent, reflecting the cultural difficulty of making unilateral decisions that bypass the established consensus process (Camuffo, 2016). This episode illustrates Mullins and Christy's (2016) observation that cultural norms can impede organisational adaptation when they become rigid and context-insensitive.</w:t>
      </w:r>
      <w:r>
        <w:br/>
      </w:r>
      <w:r w:rsidRPr="2EC1CA95" w:rsidR="1CE450DA">
        <w:rPr>
          <w:rFonts w:ascii="Arial" w:hAnsi="Arial" w:eastAsia="Arial" w:cs="Arial"/>
          <w:noProof w:val="0"/>
          <w:sz w:val="22"/>
          <w:szCs w:val="22"/>
          <w:lang w:val="en-US"/>
        </w:rPr>
        <w:t>A second barrier dimension concerns cultural imperialism in international operations. Toyota's strong cultural identity, while a source of competitive advantage, has occasionally created friction in culturally distant markets. The imposition of Japanese management practices — including the expectation of after-hours socialisation, the norm of group decision-making, and the emphasis on seniority over individual performance — has generated resistance and disengagement among employees from high-individualism cultures (Bergiel et al., 2012). This tension between cultural coherence and local adaptation remains an ongoing management challenge.</w:t>
      </w:r>
      <w:r>
        <w:br/>
      </w:r>
      <w:r>
        <w:br/>
      </w:r>
      <w:r w:rsidRPr="2EC1CA95" w:rsidR="7B0CC367">
        <w:rPr>
          <w:rFonts w:ascii="Arial" w:hAnsi="Arial" w:eastAsia="Arial" w:cs="Arial"/>
          <w:b w:val="1"/>
          <w:bCs w:val="1"/>
          <w:noProof w:val="0"/>
          <w:sz w:val="28"/>
          <w:szCs w:val="28"/>
          <w:lang w:val="en-US"/>
        </w:rPr>
        <w:t xml:space="preserve">06. </w:t>
      </w:r>
      <w:r w:rsidRPr="2EC1CA95" w:rsidR="1CE450DA">
        <w:rPr>
          <w:rFonts w:ascii="Arial" w:hAnsi="Arial" w:eastAsia="Arial" w:cs="Arial"/>
          <w:b w:val="1"/>
          <w:bCs w:val="1"/>
          <w:noProof w:val="0"/>
          <w:sz w:val="28"/>
          <w:szCs w:val="28"/>
          <w:lang w:val="en-US"/>
        </w:rPr>
        <w:t>Performance Impact &amp; Recommendations</w:t>
      </w:r>
      <w:r>
        <w:br/>
      </w:r>
      <w:r w:rsidRPr="2EC1CA95" w:rsidR="1CE450DA">
        <w:rPr>
          <w:rFonts w:ascii="Arial" w:hAnsi="Arial" w:eastAsia="Arial" w:cs="Arial"/>
          <w:noProof w:val="0"/>
          <w:sz w:val="22"/>
          <w:szCs w:val="22"/>
          <w:lang w:val="en-US"/>
        </w:rPr>
        <w:t xml:space="preserve">The relationship between Toyota's organisational culture and its overall performance is both direct and multidimensional. At the financial level, the evidence is unambiguous: Toyota has achieved consistent revenue growth from </w:t>
      </w:r>
      <w:r w:rsidRPr="2EC1CA95" w:rsidR="1CE450DA">
        <w:rPr>
          <w:rFonts w:ascii="Arial" w:hAnsi="Arial" w:eastAsia="Arial" w:cs="Arial"/>
          <w:noProof w:val="0"/>
          <w:sz w:val="22"/>
          <w:szCs w:val="22"/>
          <w:lang w:val="en-US"/>
        </w:rPr>
        <w:t>$2</w:t>
      </w:r>
      <w:r w:rsidRPr="2EC1CA95" w:rsidR="1CE450DA">
        <w:rPr>
          <w:rFonts w:ascii="Arial" w:hAnsi="Arial" w:eastAsia="Arial" w:cs="Arial"/>
          <w:noProof w:val="0"/>
          <w:sz w:val="22"/>
          <w:szCs w:val="22"/>
          <w:lang w:val="en-US"/>
        </w:rPr>
        <w:t>56.2 billion</w:t>
      </w:r>
      <w:r w:rsidRPr="2EC1CA95" w:rsidR="1CE450DA">
        <w:rPr>
          <w:rFonts w:ascii="Arial" w:hAnsi="Arial" w:eastAsia="Arial" w:cs="Arial"/>
          <w:noProof w:val="0"/>
          <w:sz w:val="22"/>
          <w:szCs w:val="22"/>
          <w:lang w:val="en-US"/>
        </w:rPr>
        <w:t xml:space="preserve"> i</w:t>
      </w:r>
      <w:r w:rsidRPr="2EC1CA95" w:rsidR="1CE450DA">
        <w:rPr>
          <w:rFonts w:ascii="Arial" w:hAnsi="Arial" w:eastAsia="Arial" w:cs="Arial"/>
          <w:noProof w:val="0"/>
          <w:sz w:val="22"/>
          <w:szCs w:val="22"/>
          <w:lang w:val="en-US"/>
        </w:rPr>
        <w:t xml:space="preserve">n 2019 to </w:t>
      </w:r>
      <w:r w:rsidRPr="2EC1CA95" w:rsidR="1CE450DA">
        <w:rPr>
          <w:rFonts w:ascii="Arial" w:hAnsi="Arial" w:eastAsia="Arial" w:cs="Arial"/>
          <w:noProof w:val="0"/>
          <w:sz w:val="22"/>
          <w:szCs w:val="22"/>
          <w:lang w:val="en-US"/>
        </w:rPr>
        <w:t>$2</w:t>
      </w:r>
      <w:r w:rsidRPr="2EC1CA95" w:rsidR="1CE450DA">
        <w:rPr>
          <w:rFonts w:ascii="Arial" w:hAnsi="Arial" w:eastAsia="Arial" w:cs="Arial"/>
          <w:noProof w:val="0"/>
          <w:sz w:val="22"/>
          <w:szCs w:val="22"/>
          <w:lang w:val="en-US"/>
        </w:rPr>
        <w:t>91 billion</w:t>
      </w:r>
      <w:r w:rsidRPr="2EC1CA95" w:rsidR="1CE450DA">
        <w:rPr>
          <w:rFonts w:ascii="Arial" w:hAnsi="Arial" w:eastAsia="Arial" w:cs="Arial"/>
          <w:noProof w:val="0"/>
          <w:sz w:val="22"/>
          <w:szCs w:val="22"/>
          <w:lang w:val="en-US"/>
        </w:rPr>
        <w:t xml:space="preserve"> i</w:t>
      </w:r>
      <w:r w:rsidRPr="2EC1CA95" w:rsidR="1CE450DA">
        <w:rPr>
          <w:rFonts w:ascii="Arial" w:hAnsi="Arial" w:eastAsia="Arial" w:cs="Arial"/>
          <w:noProof w:val="0"/>
          <w:sz w:val="22"/>
          <w:szCs w:val="22"/>
          <w:lang w:val="en-US"/>
        </w:rPr>
        <w:t xml:space="preserve">n 2024, with profit rising from </w:t>
      </w:r>
      <w:r w:rsidRPr="2EC1CA95" w:rsidR="1CE450DA">
        <w:rPr>
          <w:rFonts w:ascii="Arial" w:hAnsi="Arial" w:eastAsia="Arial" w:cs="Arial"/>
          <w:noProof w:val="0"/>
          <w:sz w:val="22"/>
          <w:szCs w:val="22"/>
          <w:lang w:val="en-US"/>
        </w:rPr>
        <w:t>$4</w:t>
      </w:r>
      <w:r w:rsidRPr="2EC1CA95" w:rsidR="1CE450DA">
        <w:rPr>
          <w:rFonts w:ascii="Arial" w:hAnsi="Arial" w:eastAsia="Arial" w:cs="Arial"/>
          <w:noProof w:val="0"/>
          <w:sz w:val="22"/>
          <w:szCs w:val="22"/>
          <w:lang w:val="en-US"/>
        </w:rPr>
        <w:t>2.5 billion</w:t>
      </w:r>
      <w:r w:rsidRPr="2EC1CA95" w:rsidR="1CE450DA">
        <w:rPr>
          <w:rFonts w:ascii="Arial" w:hAnsi="Arial" w:eastAsia="Arial" w:cs="Arial"/>
          <w:noProof w:val="0"/>
          <w:sz w:val="22"/>
          <w:szCs w:val="22"/>
          <w:lang w:val="en-US"/>
        </w:rPr>
        <w:t xml:space="preserve"> t</w:t>
      </w:r>
      <w:r w:rsidRPr="2EC1CA95" w:rsidR="1CE450DA">
        <w:rPr>
          <w:rFonts w:ascii="Arial" w:hAnsi="Arial" w:eastAsia="Arial" w:cs="Arial"/>
          <w:noProof w:val="0"/>
          <w:sz w:val="22"/>
          <w:szCs w:val="22"/>
          <w:lang w:val="en-US"/>
        </w:rPr>
        <w:t xml:space="preserve">o </w:t>
      </w:r>
      <w:r w:rsidRPr="2EC1CA95" w:rsidR="1CE450DA">
        <w:rPr>
          <w:rFonts w:ascii="Arial" w:hAnsi="Arial" w:eastAsia="Arial" w:cs="Arial"/>
          <w:noProof w:val="0"/>
          <w:sz w:val="22"/>
          <w:szCs w:val="22"/>
          <w:lang w:val="en-US"/>
        </w:rPr>
        <w:t>$5</w:t>
      </w:r>
      <w:r w:rsidRPr="2EC1CA95" w:rsidR="1CE450DA">
        <w:rPr>
          <w:rFonts w:ascii="Arial" w:hAnsi="Arial" w:eastAsia="Arial" w:cs="Arial"/>
          <w:noProof w:val="0"/>
          <w:sz w:val="22"/>
          <w:szCs w:val="22"/>
          <w:lang w:val="en-US"/>
        </w:rPr>
        <w:t>4 billion</w:t>
      </w:r>
      <w:r w:rsidRPr="2EC1CA95" w:rsidR="1CE450DA">
        <w:rPr>
          <w:rFonts w:ascii="Arial" w:hAnsi="Arial" w:eastAsia="Arial" w:cs="Arial"/>
          <w:noProof w:val="0"/>
          <w:sz w:val="22"/>
          <w:szCs w:val="22"/>
          <w:lang w:val="en-US"/>
        </w:rPr>
        <w:t xml:space="preserve"> o</w:t>
      </w:r>
      <w:r w:rsidRPr="2EC1CA95" w:rsidR="1CE450DA">
        <w:rPr>
          <w:rFonts w:ascii="Arial" w:hAnsi="Arial" w:eastAsia="Arial" w:cs="Arial"/>
          <w:noProof w:val="0"/>
          <w:sz w:val="22"/>
          <w:szCs w:val="22"/>
          <w:lang w:val="en-US"/>
        </w:rPr>
        <w:t>ver the same period (Factorywarrantylist, 2024). This performance trajectory, maintained through a global pandemic, a semiconductor shortage, and intensifying electric vehicle competition, reflects the resilience that a strong, coherent organisational culture provides.</w:t>
      </w:r>
      <w:r>
        <w:br/>
      </w:r>
      <w:r w:rsidRPr="2EC1CA95" w:rsidR="1CE450DA">
        <w:rPr>
          <w:rFonts w:ascii="Arial" w:hAnsi="Arial" w:eastAsia="Arial" w:cs="Arial"/>
          <w:noProof w:val="0"/>
          <w:sz w:val="22"/>
          <w:szCs w:val="22"/>
          <w:lang w:val="en-US"/>
        </w:rPr>
        <w:t>Beyond financial metrics, Toyota's culture has generated substantial non-financial performance advantages. The company consistently ranks among the top automotive manufacturers in quality surveys, with the J.D. Power Initial Quality Study regularly recognising Toyota and Lexus brands for above-average reliability. This quality performance is a direct product of the TPS culture, which embeds quality responsibility at every level of the organisation rather than concentrating it in specialist departments (Toyota Global, 2024). The cultural emphasis on employee development—reflected in Toyota's extensive internal training programmes and the concept of 'ikigai' (finding purpose in work)—has produced workforce capabilities that are difficult for competitors to replicate.</w:t>
      </w:r>
      <w:r>
        <w:br/>
      </w:r>
      <w:r w:rsidRPr="2EC1CA95" w:rsidR="1CE450DA">
        <w:rPr>
          <w:rFonts w:ascii="Arial" w:hAnsi="Arial" w:eastAsia="Arial" w:cs="Arial"/>
          <w:noProof w:val="0"/>
          <w:sz w:val="22"/>
          <w:szCs w:val="22"/>
          <w:lang w:val="en-US"/>
        </w:rPr>
        <w:t>The global vehicle sales data reinforces this cultural-performance nexus. Toyota became the world's largest automaker by sales volume in 2021 and has retained this position, selling a record 11.3 million vehicles in 2025 (Reuters, 2026). This achievement, in a period of unprecedented industry disruption, validates the strategic value of a culture built on continuous improvement and long-term orientation.</w:t>
      </w:r>
      <w:r>
        <w:br/>
      </w:r>
      <w:r>
        <w:br/>
      </w:r>
      <w:r w:rsidRPr="2EC1CA95" w:rsidR="1CE450DA">
        <w:rPr>
          <w:rFonts w:ascii="Arial" w:hAnsi="Arial" w:eastAsia="Arial" w:cs="Arial"/>
          <w:noProof w:val="0"/>
          <w:sz w:val="22"/>
          <w:szCs w:val="22"/>
          <w:lang w:val="en-US"/>
        </w:rPr>
        <w:t>6.1 Evidence-Based Recommendations</w:t>
      </w:r>
      <w:r>
        <w:br/>
      </w:r>
      <w:r w:rsidRPr="2EC1CA95" w:rsidR="1CE450DA">
        <w:rPr>
          <w:rFonts w:ascii="Arial" w:hAnsi="Arial" w:eastAsia="Arial" w:cs="Arial"/>
          <w:noProof w:val="0"/>
          <w:sz w:val="22"/>
          <w:szCs w:val="22"/>
          <w:lang w:val="en-US"/>
        </w:rPr>
        <w:t>01</w:t>
      </w:r>
      <w:r w:rsidRPr="2EC1CA95" w:rsidR="28702403">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Institutionalise Psychological Safety</w:t>
      </w:r>
      <w:r w:rsidRPr="2EC1CA95" w:rsidR="4127EFD6">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Toyota should formally embed psychological safety — the belief that one can speak up without fear of punishment — into its performance management and leadership development frameworks. Drawing on Edmondson's (1999) research, Toyota could introduce structured 'concern escalation' mechanisms that reward the identification of problems rather than penalising the messenger. This would address the cultural barrier identified during the 2009–2010 recall crisis, ensuring that the espoused value of kaizen is not undermined by the tacit assumption that bad news should be filtered upward.</w:t>
      </w:r>
      <w:r>
        <w:br/>
      </w:r>
      <w:r w:rsidRPr="2EC1CA95" w:rsidR="1CE450DA">
        <w:rPr>
          <w:rFonts w:ascii="Arial" w:hAnsi="Arial" w:eastAsia="Arial" w:cs="Arial"/>
          <w:noProof w:val="0"/>
          <w:sz w:val="22"/>
          <w:szCs w:val="22"/>
          <w:lang w:val="en-US"/>
        </w:rPr>
        <w:t>02</w:t>
      </w:r>
      <w:r w:rsidRPr="2EC1CA95" w:rsidR="7DD9AB41">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Accelerate Cultural Localisation</w:t>
      </w:r>
      <w:r w:rsidRPr="2EC1CA95" w:rsidR="69AB878E">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While preserving the core pillars of the Toyota Way, the company should invest in culturally adaptive leadership development programmes that equip local managers with the authority and skills to adapt surface-level cultural practices to their national contexts. Hofstede's (1980) framework suggests that a one-size-fits-all cultural approach will generate friction in high-individualism, low-uncertainty-avoidance markets such as the United States and the United Kingdom. Formalising a 'Toyota Way Local' framework — analogous to McDonald's 'think global, act local' strategy — would enhance employee engagement and retention in culturally distant markets.</w:t>
      </w:r>
      <w:r>
        <w:br/>
      </w:r>
      <w:r w:rsidRPr="2EC1CA95" w:rsidR="1CE450DA">
        <w:rPr>
          <w:rFonts w:ascii="Arial" w:hAnsi="Arial" w:eastAsia="Arial" w:cs="Arial"/>
          <w:noProof w:val="0"/>
          <w:sz w:val="22"/>
          <w:szCs w:val="22"/>
          <w:lang w:val="en-US"/>
        </w:rPr>
        <w:t>03</w:t>
      </w:r>
      <w:r w:rsidRPr="2EC1CA95" w:rsidR="54659293">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Cultivate Ambidextrous Innovation Culture</w:t>
      </w:r>
      <w:r w:rsidRPr="2EC1CA95" w:rsidR="4C26D575">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Toyota's role culture, while effective for operational excellence, may constrain the radical innovation required to compete with technology-native entrants in the software-defined vehicle era. The company should develop dedicated innovation labs — culturally insulated from the role culture of the core business — where task-culture norms of experimentation, rapid prototyping, and tolerance for failure are actively cultivated. This 'ambidextrous organisation' model, advocated by O'Reilly and Tushman (2004), would allow Toyota to simultaneously exploit its existing cultural strengths and explore new cultural capabilities.</w:t>
      </w:r>
      <w:r>
        <w:br/>
      </w:r>
      <w:r w:rsidRPr="2EC1CA95" w:rsidR="1CE450DA">
        <w:rPr>
          <w:rFonts w:ascii="Arial" w:hAnsi="Arial" w:eastAsia="Arial" w:cs="Arial"/>
          <w:noProof w:val="0"/>
          <w:sz w:val="22"/>
          <w:szCs w:val="22"/>
          <w:lang w:val="en-US"/>
        </w:rPr>
        <w:t>04</w:t>
      </w:r>
      <w:r w:rsidRPr="2EC1CA95" w:rsidR="082E59FF">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Strengthen Cross-Cultural Leadership Pipeline</w:t>
      </w:r>
      <w:r w:rsidRPr="2EC1CA95" w:rsidR="63A75F89">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Toyota's senior leadership remains disproportionately Japanese, limiting the cultural diversity of perspectives at the decision-making apex. Mullins and Christy (2016) emphasise the importance of managing diverse groups into a coherent culture; this requires leaders who have personal experience of cultural diversity. Toyota should accelerate the development and promotion of non-Japanese executives into senior roles, not merely as a diversity initiative but as a strategic investment in cultural intelligence that will enhance the company's ability to navigate an increasingly multipolar global market.</w:t>
      </w:r>
      <w:r>
        <w:br/>
      </w:r>
      <w:r>
        <w:br/>
      </w:r>
      <w:r w:rsidRPr="2EC1CA95" w:rsidR="27EE6F63">
        <w:rPr>
          <w:rFonts w:ascii="Arial" w:hAnsi="Arial" w:eastAsia="Arial" w:cs="Arial"/>
          <w:b w:val="1"/>
          <w:bCs w:val="1"/>
          <w:noProof w:val="0"/>
          <w:sz w:val="28"/>
          <w:szCs w:val="28"/>
          <w:lang w:val="en-US"/>
        </w:rPr>
        <w:t xml:space="preserve">07. </w:t>
      </w:r>
      <w:r w:rsidRPr="2EC1CA95" w:rsidR="1CE450DA">
        <w:rPr>
          <w:rFonts w:ascii="Arial" w:hAnsi="Arial" w:eastAsia="Arial" w:cs="Arial"/>
          <w:b w:val="1"/>
          <w:bCs w:val="1"/>
          <w:noProof w:val="0"/>
          <w:sz w:val="28"/>
          <w:szCs w:val="28"/>
          <w:lang w:val="en-US"/>
        </w:rPr>
        <w:t>Conclusion</w:t>
      </w:r>
      <w:r>
        <w:br/>
      </w:r>
      <w:r w:rsidRPr="2EC1CA95" w:rsidR="1CE450DA">
        <w:rPr>
          <w:rFonts w:ascii="Arial" w:hAnsi="Arial" w:eastAsia="Arial" w:cs="Arial"/>
          <w:noProof w:val="0"/>
          <w:sz w:val="22"/>
          <w:szCs w:val="22"/>
          <w:lang w:val="en-US"/>
        </w:rPr>
        <w:t>This report has demonstrated that Toyota Motor Corporation's organisational culture is not merely a background feature of its operations but the primary engine of its competitive advantage and strategic resilience. Drawing upon Mullins and Christy's (2016) argument that culture pervasively shapes organisational processes, the analysis has shown how the Toyota Way with its twin pillars of continuous improvement and respect for people structures decision</w:t>
      </w:r>
      <w:r w:rsidRPr="2EC1CA95" w:rsidR="2747CD78">
        <w:rPr>
          <w:rFonts w:ascii="Arial" w:hAnsi="Arial" w:eastAsia="Arial" w:cs="Arial"/>
          <w:noProof w:val="0"/>
          <w:sz w:val="22"/>
          <w:szCs w:val="22"/>
          <w:lang w:val="en-US"/>
        </w:rPr>
        <w:t xml:space="preserve"> </w:t>
      </w:r>
      <w:r w:rsidRPr="2EC1CA95" w:rsidR="1CE450DA">
        <w:rPr>
          <w:rFonts w:ascii="Arial" w:hAnsi="Arial" w:eastAsia="Arial" w:cs="Arial"/>
          <w:noProof w:val="0"/>
          <w:sz w:val="22"/>
          <w:szCs w:val="22"/>
          <w:lang w:val="en-US"/>
        </w:rPr>
        <w:t>making, defines organisational roles, motivates employees, and guides strategic adaptation.</w:t>
      </w:r>
      <w:r>
        <w:br/>
      </w:r>
      <w:r w:rsidRPr="2EC1CA95" w:rsidR="1CE450DA">
        <w:rPr>
          <w:rFonts w:ascii="Arial" w:hAnsi="Arial" w:eastAsia="Arial" w:cs="Arial"/>
          <w:noProof w:val="0"/>
          <w:sz w:val="22"/>
          <w:szCs w:val="22"/>
          <w:lang w:val="en-US"/>
        </w:rPr>
        <w:t>The application of Schein's (2004) three-level model revealed a cultural architecture of remarkable depth and coherence, from the visible artefacts of TPS to the invisible assumptions about human capability and long-term purpose. Hofstede's (1980) dimensions contextualised Toyota's culture within its Japanese societal origins, explaining the high uncertainty avoidance, collectivism, masculinity, and long-term orientation that characterise both the national and organisational cultures. Handy's (1993) framework identified Toyota as primarily a role culture with significant task culture elements, a combination that enables both operational discipline and creative problem-solving.</w:t>
      </w:r>
      <w:r>
        <w:br/>
      </w:r>
      <w:r>
        <w:br/>
      </w:r>
      <w:r w:rsidRPr="2EC1CA95" w:rsidR="1CE450DA">
        <w:rPr>
          <w:rFonts w:ascii="Arial" w:hAnsi="Arial" w:eastAsia="Arial" w:cs="Arial"/>
          <w:noProof w:val="0"/>
          <w:sz w:val="22"/>
          <w:szCs w:val="22"/>
          <w:lang w:val="en-US"/>
        </w:rPr>
        <w:t>The analysis concludes that Toyota's culture functions predominantly as an enabler of effective organisational functioning, as evidenced by its sustained financial performance, global market leadership, and successful navigation of multiple external crises. However, the 2009–2010 recall crisis demonstrates that cultural strengths can become liabilities when they generate information suppression, slow crisis response, or create resistance to necessary adaptation. The recommendations offered — institutionalising psychological safety, accelerating cultural localisation, cultivating ambidextrous innovation, and strengthening cross-cultural leadership — are designed to preserve Toyota's cultural core while addressing its documented vulnerabilities.</w:t>
      </w:r>
      <w:r>
        <w:br/>
      </w:r>
      <w:r w:rsidRPr="2EC1CA95" w:rsidR="1CE450DA">
        <w:rPr>
          <w:rFonts w:ascii="Arial" w:hAnsi="Arial" w:eastAsia="Arial" w:cs="Arial"/>
          <w:noProof w:val="0"/>
          <w:sz w:val="22"/>
          <w:szCs w:val="22"/>
          <w:lang w:val="en-US"/>
        </w:rPr>
        <w:t>As Mullins and Christy (2016, p. 574) observe, the management of culture in an era of increasing globalisation demands both coherence and flexibility — the ability to maintain a shared identity while accommodating diversity. Toyota's ongoing challenge is to remain the world's most admired automotive manufacturer, not by preserving its culture unchanged, but by continuously improving it — a challenge that, fittingly, the Toyota Way itself provides the tools to meet.</w:t>
      </w:r>
      <w:r>
        <w:br/>
      </w:r>
      <w:r>
        <w:br/>
      </w:r>
      <w:r>
        <w:br/>
      </w:r>
      <w:r>
        <w:br/>
      </w:r>
      <w:r>
        <w:br/>
      </w:r>
      <w:r>
        <w:br/>
      </w:r>
    </w:p>
    <w:p w:rsidR="1CE450DA" w:rsidP="2EC1CA95" w:rsidRDefault="1CE450DA" w14:paraId="4A6B455F" w14:textId="6DA8A9CF">
      <w:pPr>
        <w:spacing w:before="240" w:beforeAutospacing="off" w:after="240" w:afterAutospacing="off"/>
        <w:rPr>
          <w:rFonts w:ascii="Arial" w:hAnsi="Arial" w:eastAsia="Arial" w:cs="Arial"/>
          <w:noProof w:val="0"/>
          <w:sz w:val="22"/>
          <w:szCs w:val="22"/>
          <w:lang w:val="en-US"/>
        </w:rPr>
      </w:pPr>
      <w:r w:rsidRPr="2EC1CA95" w:rsidR="1CE450DA">
        <w:rPr>
          <w:rFonts w:ascii="Arial" w:hAnsi="Arial" w:eastAsia="Arial" w:cs="Arial"/>
          <w:b w:val="1"/>
          <w:bCs w:val="1"/>
          <w:noProof w:val="0"/>
          <w:sz w:val="28"/>
          <w:szCs w:val="28"/>
          <w:lang w:val="en-US"/>
        </w:rPr>
        <w:t>References</w:t>
      </w:r>
      <w:r>
        <w:br/>
      </w:r>
      <w:r w:rsidRPr="2EC1CA95" w:rsidR="1CE450DA">
        <w:rPr>
          <w:rFonts w:ascii="Arial" w:hAnsi="Arial" w:eastAsia="Arial" w:cs="Arial"/>
          <w:noProof w:val="0"/>
          <w:sz w:val="22"/>
          <w:szCs w:val="22"/>
          <w:lang w:val="en-US"/>
        </w:rPr>
        <w:t>Bergiel, E.B., Bergiel, B.J. and Upson, J.W. (2012) 'Examining the cultural convergence of the United States and Japan', American Journal of Management, 12(1), pp. 1–14.</w:t>
      </w:r>
      <w:r>
        <w:br/>
      </w:r>
      <w:r w:rsidRPr="2EC1CA95" w:rsidR="1CE450DA">
        <w:rPr>
          <w:rFonts w:ascii="Arial" w:hAnsi="Arial" w:eastAsia="Arial" w:cs="Arial"/>
          <w:noProof w:val="0"/>
          <w:sz w:val="22"/>
          <w:szCs w:val="22"/>
          <w:lang w:val="en-US"/>
        </w:rPr>
        <w:t>Camuffo, A. (2016) 'A retrospective analysis of the Toyota recall crisis', Journal of Organization Design, 5(1), pp. 1–10. doi: 10.1186/s41469-016-0006-6.</w:t>
      </w:r>
      <w:r>
        <w:br/>
      </w:r>
      <w:r w:rsidRPr="2EC1CA95" w:rsidR="1CE450DA">
        <w:rPr>
          <w:rFonts w:ascii="Arial" w:hAnsi="Arial" w:eastAsia="Arial" w:cs="Arial"/>
          <w:noProof w:val="0"/>
          <w:sz w:val="22"/>
          <w:szCs w:val="22"/>
          <w:lang w:val="en-US"/>
        </w:rPr>
        <w:t>Cole, R.E. (2011) 'What really happened to Toyota?', MIT Sloan Management Review, 52(4), pp. 29–35.</w:t>
      </w:r>
      <w:r>
        <w:br/>
      </w:r>
      <w:r w:rsidRPr="2EC1CA95" w:rsidR="1CE450DA">
        <w:rPr>
          <w:rFonts w:ascii="Arial" w:hAnsi="Arial" w:eastAsia="Arial" w:cs="Arial"/>
          <w:noProof w:val="0"/>
          <w:sz w:val="22"/>
          <w:szCs w:val="22"/>
          <w:lang w:val="en-US"/>
        </w:rPr>
        <w:t>Edmondson, A. (1999) 'Psychological safety and learning behaviour in work teams', Administrative Science Quarterly, 44(2), pp. 350–383.</w:t>
      </w:r>
      <w:r>
        <w:br/>
      </w:r>
      <w:r w:rsidRPr="2EC1CA95" w:rsidR="1CE450DA">
        <w:rPr>
          <w:rFonts w:ascii="Arial" w:hAnsi="Arial" w:eastAsia="Arial" w:cs="Arial"/>
          <w:noProof w:val="0"/>
          <w:sz w:val="22"/>
          <w:szCs w:val="22"/>
          <w:lang w:val="en-US"/>
        </w:rPr>
        <w:t xml:space="preserve">Factory Warranty List (2024): Toyota Worldwide Sales by Year — Total Vehicles and Revenue. Available at: </w:t>
      </w:r>
      <w:hyperlink r:id="Rbe5ee8b1c1c44fda">
        <w:r w:rsidRPr="2EC1CA95" w:rsidR="1CE450DA">
          <w:rPr>
            <w:rStyle w:val="Hyperlink"/>
            <w:rFonts w:ascii="Arial" w:hAnsi="Arial" w:eastAsia="Arial" w:cs="Arial"/>
            <w:noProof w:val="0"/>
            <w:sz w:val="22"/>
            <w:szCs w:val="22"/>
            <w:lang w:val="en-US"/>
          </w:rPr>
          <w:t>https://www.factorywarrantylist.com/toyota-worldwide-sales.html</w:t>
        </w:r>
      </w:hyperlink>
      <w:r w:rsidRPr="2EC1CA95" w:rsidR="1CE450DA">
        <w:rPr>
          <w:rFonts w:ascii="Arial" w:hAnsi="Arial" w:eastAsia="Arial" w:cs="Arial"/>
          <w:noProof w:val="0"/>
          <w:sz w:val="22"/>
          <w:szCs w:val="22"/>
          <w:lang w:val="en-US"/>
        </w:rPr>
        <w:t xml:space="preserve"> (Accessed: 9 April 2026).</w:t>
      </w:r>
      <w:r>
        <w:br/>
      </w:r>
      <w:r w:rsidRPr="2EC1CA95" w:rsidR="1CE450DA">
        <w:rPr>
          <w:rFonts w:ascii="Arial" w:hAnsi="Arial" w:eastAsia="Arial" w:cs="Arial"/>
          <w:noProof w:val="0"/>
          <w:sz w:val="22"/>
          <w:szCs w:val="22"/>
          <w:lang w:val="en-US"/>
        </w:rPr>
        <w:t>Handy, C. (1993). Understanding Organisations. 4th edn. London: Penguin Books.</w:t>
      </w:r>
      <w:r>
        <w:br/>
      </w:r>
      <w:r w:rsidRPr="2EC1CA95" w:rsidR="1CE450DA">
        <w:rPr>
          <w:rFonts w:ascii="Arial" w:hAnsi="Arial" w:eastAsia="Arial" w:cs="Arial"/>
          <w:noProof w:val="0"/>
          <w:sz w:val="22"/>
          <w:szCs w:val="22"/>
          <w:lang w:val="en-US"/>
        </w:rPr>
        <w:t>Hofstede, G. (1980) Culture's Consequences: International Differences in Work-Related Values. Beverly Hills, CA: Sage Publications.</w:t>
      </w:r>
      <w:r>
        <w:br/>
      </w:r>
      <w:r w:rsidRPr="2EC1CA95" w:rsidR="1CE450DA">
        <w:rPr>
          <w:rFonts w:ascii="Arial" w:hAnsi="Arial" w:eastAsia="Arial" w:cs="Arial"/>
          <w:noProof w:val="0"/>
          <w:sz w:val="22"/>
          <w:szCs w:val="22"/>
          <w:lang w:val="en-US"/>
        </w:rPr>
        <w:t>Liker, J.K. (2004) The Toyota Way: 14 Management Principles from the World's Greatest Manufacturer. New York: McGraw-Hill.</w:t>
      </w:r>
      <w:r>
        <w:br/>
      </w:r>
      <w:r w:rsidRPr="2EC1CA95" w:rsidR="1CE450DA">
        <w:rPr>
          <w:rFonts w:ascii="Arial" w:hAnsi="Arial" w:eastAsia="Arial" w:cs="Arial"/>
          <w:noProof w:val="0"/>
          <w:sz w:val="22"/>
          <w:szCs w:val="22"/>
          <w:lang w:val="en-US"/>
        </w:rPr>
        <w:t>Liker, J.K. and Hoseus, M. (2008) Toyota Culture: The Heart and Soul of the Toyota Way. New York: McGraw-Hill.</w:t>
      </w:r>
      <w:r>
        <w:br/>
      </w:r>
      <w:r w:rsidRPr="2EC1CA95" w:rsidR="1CE450DA">
        <w:rPr>
          <w:rFonts w:ascii="Arial" w:hAnsi="Arial" w:eastAsia="Arial" w:cs="Arial"/>
          <w:noProof w:val="0"/>
          <w:sz w:val="22"/>
          <w:szCs w:val="22"/>
          <w:lang w:val="en-US"/>
        </w:rPr>
        <w:t xml:space="preserve">MacroTrends (2024). Toyota Revenue 2017–2025. Available at: </w:t>
      </w:r>
      <w:hyperlink r:id="R3ee747314fb54124">
        <w:r w:rsidRPr="2EC1CA95" w:rsidR="1CE450DA">
          <w:rPr>
            <w:rStyle w:val="Hyperlink"/>
            <w:rFonts w:ascii="Arial" w:hAnsi="Arial" w:eastAsia="Arial" w:cs="Arial"/>
            <w:noProof w:val="0"/>
            <w:sz w:val="22"/>
            <w:szCs w:val="22"/>
            <w:lang w:val="en-US"/>
          </w:rPr>
          <w:t>https://www.macrotrends.net/stocks/charts/TM/toyota/revenue</w:t>
        </w:r>
      </w:hyperlink>
      <w:r w:rsidRPr="2EC1CA95" w:rsidR="1CE450DA">
        <w:rPr>
          <w:rFonts w:ascii="Arial" w:hAnsi="Arial" w:eastAsia="Arial" w:cs="Arial"/>
          <w:noProof w:val="0"/>
          <w:sz w:val="22"/>
          <w:szCs w:val="22"/>
          <w:lang w:val="en-US"/>
        </w:rPr>
        <w:t xml:space="preserve"> (Accessed: 9 April 2026).</w:t>
      </w:r>
      <w:r>
        <w:br/>
      </w:r>
      <w:r w:rsidRPr="2EC1CA95" w:rsidR="1CE450DA">
        <w:rPr>
          <w:rFonts w:ascii="Arial" w:hAnsi="Arial" w:eastAsia="Arial" w:cs="Arial"/>
          <w:noProof w:val="0"/>
          <w:sz w:val="22"/>
          <w:szCs w:val="22"/>
          <w:lang w:val="en-US"/>
        </w:rPr>
        <w:t>Mullins, L. and Christy, G. (2016) Management and Organisational Behaviour. 11th edn. Harlow: Pearson Education Limited.</w:t>
      </w:r>
      <w:r>
        <w:br/>
      </w:r>
      <w:r w:rsidRPr="2EC1CA95" w:rsidR="1CE450DA">
        <w:rPr>
          <w:rFonts w:ascii="Arial" w:hAnsi="Arial" w:eastAsia="Arial" w:cs="Arial"/>
          <w:noProof w:val="0"/>
          <w:sz w:val="22"/>
          <w:szCs w:val="22"/>
          <w:lang w:val="en-US"/>
        </w:rPr>
        <w:t>O'Reilly, C.A. and Tushman, M.L. (2004) 'The ambidextrous organisation', Harvard Business Review, 82(4), pp. 74–81.</w:t>
      </w:r>
      <w:r>
        <w:br/>
      </w:r>
      <w:r w:rsidRPr="2EC1CA95" w:rsidR="1CE450DA">
        <w:rPr>
          <w:rFonts w:ascii="Arial" w:hAnsi="Arial" w:eastAsia="Arial" w:cs="Arial"/>
          <w:noProof w:val="0"/>
          <w:sz w:val="22"/>
          <w:szCs w:val="22"/>
          <w:lang w:val="en-US"/>
        </w:rPr>
        <w:t xml:space="preserve">Reuters (2026) 'Toyota retains top auto crown in 2025 with record sales', Reuters, 28 January. Available at: </w:t>
      </w:r>
      <w:hyperlink r:id="Rf7046c8cc2214274">
        <w:r w:rsidRPr="2EC1CA95" w:rsidR="1CE450DA">
          <w:rPr>
            <w:rStyle w:val="Hyperlink"/>
            <w:rFonts w:ascii="Arial" w:hAnsi="Arial" w:eastAsia="Arial" w:cs="Arial"/>
            <w:noProof w:val="0"/>
            <w:sz w:val="22"/>
            <w:szCs w:val="22"/>
            <w:lang w:val="en-US"/>
          </w:rPr>
          <w:t>https://www.reuters.com/business/autos-transportation/toyota-retains-top-auto-crown-2025-with-record-sales-2026-01-29/</w:t>
        </w:r>
      </w:hyperlink>
      <w:r w:rsidRPr="2EC1CA95" w:rsidR="1CE450DA">
        <w:rPr>
          <w:rFonts w:ascii="Arial" w:hAnsi="Arial" w:eastAsia="Arial" w:cs="Arial"/>
          <w:noProof w:val="0"/>
          <w:sz w:val="22"/>
          <w:szCs w:val="22"/>
          <w:lang w:val="en-US"/>
        </w:rPr>
        <w:t xml:space="preserve"> (Accessed: 9 April 2026).</w:t>
      </w:r>
      <w:r>
        <w:br/>
      </w:r>
      <w:r w:rsidRPr="2EC1CA95" w:rsidR="1CE450DA">
        <w:rPr>
          <w:rFonts w:ascii="Arial" w:hAnsi="Arial" w:eastAsia="Arial" w:cs="Arial"/>
          <w:noProof w:val="0"/>
          <w:sz w:val="22"/>
          <w:szCs w:val="22"/>
          <w:lang w:val="en-US"/>
        </w:rPr>
        <w:t>Robbins, S.P. (1990) Organisation Theory: Structure, Design and Applications. 3rd edn. Englewood Cliffs, NJ: Prentice-Hall.</w:t>
      </w:r>
      <w:r>
        <w:br/>
      </w:r>
      <w:r w:rsidRPr="2EC1CA95" w:rsidR="1CE450DA">
        <w:rPr>
          <w:rFonts w:ascii="Arial" w:hAnsi="Arial" w:eastAsia="Arial" w:cs="Arial"/>
          <w:noProof w:val="0"/>
          <w:sz w:val="22"/>
          <w:szCs w:val="22"/>
          <w:lang w:val="en-US"/>
        </w:rPr>
        <w:t>Schein, E.H. (2004) Organisational Culture and Leadership. 3rd edn. San Francisco, CA: Jossey-Bass.</w:t>
      </w:r>
      <w:r>
        <w:br/>
      </w:r>
      <w:r w:rsidRPr="2EC1CA95" w:rsidR="1CE450DA">
        <w:rPr>
          <w:rFonts w:ascii="Arial" w:hAnsi="Arial" w:eastAsia="Arial" w:cs="Arial"/>
          <w:noProof w:val="0"/>
          <w:sz w:val="22"/>
          <w:szCs w:val="22"/>
          <w:lang w:val="en-US"/>
        </w:rPr>
        <w:t>Sosnovskikh, S. (2016) 'Toyota Motor Corporation: Organisational culture', Philosophy Study, 6(7), pp. 442–454. doi: 10.17265/2159-5313/2016.07.005.</w:t>
      </w:r>
      <w:r>
        <w:br/>
      </w:r>
      <w:r w:rsidRPr="2EC1CA95" w:rsidR="1CE450DA">
        <w:rPr>
          <w:rFonts w:ascii="Arial" w:hAnsi="Arial" w:eastAsia="Arial" w:cs="Arial"/>
          <w:noProof w:val="0"/>
          <w:sz w:val="22"/>
          <w:szCs w:val="22"/>
          <w:lang w:val="en-US"/>
        </w:rPr>
        <w:t xml:space="preserve">Toyota Global (2024) Toyota Production System. Available at: </w:t>
      </w:r>
      <w:hyperlink r:id="R213036b00aa8454c">
        <w:r w:rsidRPr="2EC1CA95" w:rsidR="1CE450DA">
          <w:rPr>
            <w:rStyle w:val="Hyperlink"/>
            <w:rFonts w:ascii="Arial" w:hAnsi="Arial" w:eastAsia="Arial" w:cs="Arial"/>
            <w:noProof w:val="0"/>
            <w:sz w:val="22"/>
            <w:szCs w:val="22"/>
            <w:lang w:val="en-US"/>
          </w:rPr>
          <w:t>https://global.toyota/en/company/vision-and-philosophy/production-system/</w:t>
        </w:r>
      </w:hyperlink>
      <w:r w:rsidRPr="2EC1CA95" w:rsidR="1CE450DA">
        <w:rPr>
          <w:rFonts w:ascii="Arial" w:hAnsi="Arial" w:eastAsia="Arial" w:cs="Arial"/>
          <w:noProof w:val="0"/>
          <w:sz w:val="22"/>
          <w:szCs w:val="22"/>
          <w:lang w:val="en-US"/>
        </w:rPr>
        <w:t xml:space="preserve"> (Accessed: 9 April 2026).</w:t>
      </w:r>
      <w:r>
        <w:br/>
      </w:r>
      <w:r w:rsidRPr="2EC1CA95" w:rsidR="1CE450DA">
        <w:rPr>
          <w:rFonts w:ascii="Arial" w:hAnsi="Arial" w:eastAsia="Arial" w:cs="Arial"/>
          <w:noProof w:val="0"/>
          <w:sz w:val="22"/>
          <w:szCs w:val="22"/>
          <w:lang w:val="en-US"/>
        </w:rPr>
        <w:t xml:space="preserve">Toyota Global (2024) Toyota Way 2001. Available at: </w:t>
      </w:r>
      <w:hyperlink r:id="Rcb58e793c8d14f79">
        <w:r w:rsidRPr="2EC1CA95" w:rsidR="1CE450DA">
          <w:rPr>
            <w:rStyle w:val="Hyperlink"/>
            <w:rFonts w:ascii="Arial" w:hAnsi="Arial" w:eastAsia="Arial" w:cs="Arial"/>
            <w:noProof w:val="0"/>
            <w:sz w:val="22"/>
            <w:szCs w:val="22"/>
            <w:lang w:val="en-US"/>
          </w:rPr>
          <w:t>https://www.toyota-global.com/company/history_of_toyota/75years/data/conditions/philosophy/toyotaway2001.html</w:t>
        </w:r>
      </w:hyperlink>
      <w:r w:rsidRPr="2EC1CA95" w:rsidR="1CE450DA">
        <w:rPr>
          <w:rFonts w:ascii="Arial" w:hAnsi="Arial" w:eastAsia="Arial" w:cs="Arial"/>
          <w:noProof w:val="0"/>
          <w:sz w:val="22"/>
          <w:szCs w:val="22"/>
          <w:lang w:val="en-US"/>
        </w:rPr>
        <w:t xml:space="preserve"> (Accessed: 9 April 2026).</w:t>
      </w:r>
      <w:r>
        <w:br/>
      </w:r>
      <w:r w:rsidRPr="2EC1CA95" w:rsidR="1CE450DA">
        <w:rPr>
          <w:rFonts w:ascii="Arial" w:hAnsi="Arial" w:eastAsia="Arial" w:cs="Arial"/>
          <w:noProof w:val="0"/>
          <w:sz w:val="22"/>
          <w:szCs w:val="22"/>
          <w:lang w:val="en-US"/>
        </w:rPr>
        <w:t xml:space="preserve">Toyota Ireland (2024) Innovation at Toyota. Available at: </w:t>
      </w:r>
      <w:hyperlink r:id="R8b2af9daa7444a43">
        <w:r w:rsidRPr="2EC1CA95" w:rsidR="1CE450DA">
          <w:rPr>
            <w:rStyle w:val="Hyperlink"/>
            <w:rFonts w:ascii="Arial" w:hAnsi="Arial" w:eastAsia="Arial" w:cs="Arial"/>
            <w:noProof w:val="0"/>
            <w:sz w:val="22"/>
            <w:szCs w:val="22"/>
            <w:lang w:val="en-US"/>
          </w:rPr>
          <w:t>https://www.toyota.ie/discover-toyota/innovation</w:t>
        </w:r>
      </w:hyperlink>
      <w:r w:rsidRPr="2EC1CA95" w:rsidR="1CE450DA">
        <w:rPr>
          <w:rFonts w:ascii="Arial" w:hAnsi="Arial" w:eastAsia="Arial" w:cs="Arial"/>
          <w:noProof w:val="0"/>
          <w:sz w:val="22"/>
          <w:szCs w:val="22"/>
          <w:lang w:val="en-US"/>
        </w:rPr>
        <w:t xml:space="preserve"> (Accessed: 9 April 2026).</w:t>
      </w:r>
      <w:r>
        <w:br/>
      </w:r>
      <w:r w:rsidRPr="2EC1CA95" w:rsidR="1CE450DA">
        <w:rPr>
          <w:rFonts w:ascii="Arial" w:hAnsi="Arial" w:eastAsia="Arial" w:cs="Arial"/>
          <w:noProof w:val="0"/>
          <w:sz w:val="22"/>
          <w:szCs w:val="22"/>
          <w:lang w:val="en-US"/>
        </w:rPr>
        <w:t xml:space="preserve">Toyota Pressroom (2025) Toyota Motor North America Reports 2024 U.S. Sales Results. Available at: </w:t>
      </w:r>
      <w:hyperlink r:id="R3d016846ecde4699">
        <w:r w:rsidRPr="2EC1CA95" w:rsidR="1CE450DA">
          <w:rPr>
            <w:rStyle w:val="Hyperlink"/>
            <w:rFonts w:ascii="Arial" w:hAnsi="Arial" w:eastAsia="Arial" w:cs="Arial"/>
            <w:noProof w:val="0"/>
            <w:sz w:val="22"/>
            <w:szCs w:val="22"/>
            <w:lang w:val="en-US"/>
          </w:rPr>
          <w:t>https://pressroom.toyota.com/toyota-motor-north-america-reports-2024-u-s-sales-results/</w:t>
        </w:r>
      </w:hyperlink>
      <w:r w:rsidRPr="2EC1CA95" w:rsidR="1CE450DA">
        <w:rPr>
          <w:rFonts w:ascii="Arial" w:hAnsi="Arial" w:eastAsia="Arial" w:cs="Arial"/>
          <w:noProof w:val="0"/>
          <w:sz w:val="22"/>
          <w:szCs w:val="22"/>
          <w:lang w:val="en-US"/>
        </w:rPr>
        <w:t xml:space="preserve"> (Accessed: 9 April 2026).</w:t>
      </w:r>
    </w:p>
    <w:p w:rsidR="2EC1CA95" w:rsidP="2EC1CA95" w:rsidRDefault="2EC1CA95" w14:paraId="670DFEBC" w14:textId="6FA72C89">
      <w:pPr>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E9C833"/>
    <w:rsid w:val="03A29892"/>
    <w:rsid w:val="064D09B7"/>
    <w:rsid w:val="082E59FF"/>
    <w:rsid w:val="092D74D3"/>
    <w:rsid w:val="09A9079B"/>
    <w:rsid w:val="0D34E752"/>
    <w:rsid w:val="0D6174E9"/>
    <w:rsid w:val="0E1840F3"/>
    <w:rsid w:val="10D28B03"/>
    <w:rsid w:val="14481E22"/>
    <w:rsid w:val="1722AD9E"/>
    <w:rsid w:val="195777BD"/>
    <w:rsid w:val="1CE450DA"/>
    <w:rsid w:val="20C80F9B"/>
    <w:rsid w:val="20C80F9B"/>
    <w:rsid w:val="217DFD26"/>
    <w:rsid w:val="2386119D"/>
    <w:rsid w:val="257F1352"/>
    <w:rsid w:val="26C76478"/>
    <w:rsid w:val="26CC5407"/>
    <w:rsid w:val="2747CD78"/>
    <w:rsid w:val="27EE6F63"/>
    <w:rsid w:val="28477994"/>
    <w:rsid w:val="28702403"/>
    <w:rsid w:val="297FCC58"/>
    <w:rsid w:val="2A6CC18C"/>
    <w:rsid w:val="2D4C61BC"/>
    <w:rsid w:val="2D4C61BC"/>
    <w:rsid w:val="2DDC0DC6"/>
    <w:rsid w:val="2EC1CA95"/>
    <w:rsid w:val="2F5A52DF"/>
    <w:rsid w:val="318081DA"/>
    <w:rsid w:val="371D27F4"/>
    <w:rsid w:val="384ADA12"/>
    <w:rsid w:val="39B7F3DD"/>
    <w:rsid w:val="4127EFD6"/>
    <w:rsid w:val="42D94687"/>
    <w:rsid w:val="45A563A6"/>
    <w:rsid w:val="47681402"/>
    <w:rsid w:val="495F5C71"/>
    <w:rsid w:val="495F5C71"/>
    <w:rsid w:val="49C09B69"/>
    <w:rsid w:val="4C26D575"/>
    <w:rsid w:val="4D1538DB"/>
    <w:rsid w:val="4D1538DB"/>
    <w:rsid w:val="4D5575DB"/>
    <w:rsid w:val="520CBABE"/>
    <w:rsid w:val="52E9C833"/>
    <w:rsid w:val="54659293"/>
    <w:rsid w:val="5CD47F33"/>
    <w:rsid w:val="5DF14BF1"/>
    <w:rsid w:val="5E91FA7E"/>
    <w:rsid w:val="5E91FA7E"/>
    <w:rsid w:val="5F3B1982"/>
    <w:rsid w:val="5F3B1982"/>
    <w:rsid w:val="63A75F89"/>
    <w:rsid w:val="6498D5D0"/>
    <w:rsid w:val="66DBC62B"/>
    <w:rsid w:val="66E4B4B7"/>
    <w:rsid w:val="66F19F6D"/>
    <w:rsid w:val="67AB1BEF"/>
    <w:rsid w:val="67AB1BEF"/>
    <w:rsid w:val="67EDCFD0"/>
    <w:rsid w:val="69AB878E"/>
    <w:rsid w:val="6ABAC4AE"/>
    <w:rsid w:val="6D25898A"/>
    <w:rsid w:val="6D42C509"/>
    <w:rsid w:val="72E69431"/>
    <w:rsid w:val="72E69431"/>
    <w:rsid w:val="76E70A73"/>
    <w:rsid w:val="770D176E"/>
    <w:rsid w:val="7753A2DA"/>
    <w:rsid w:val="78C5EC7B"/>
    <w:rsid w:val="7AC9757D"/>
    <w:rsid w:val="7B0CC367"/>
    <w:rsid w:val="7C80975C"/>
    <w:rsid w:val="7C80975C"/>
    <w:rsid w:val="7DD9AB41"/>
    <w:rsid w:val="7E0B156B"/>
    <w:rsid w:val="7FC765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C833"/>
  <w15:chartTrackingRefBased/>
  <w15:docId w15:val="{AAB40BB3-5B82-41D9-BDA1-4814A53B74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EC1CA9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actorywarrantylist.com/toyota-worldwide-sales.html" TargetMode="External" Id="Rbe5ee8b1c1c44fda" /><Relationship Type="http://schemas.openxmlformats.org/officeDocument/2006/relationships/hyperlink" Target="https://www.macrotrends.net/stocks/charts/TM/toyota/revenue" TargetMode="External" Id="R3ee747314fb54124" /><Relationship Type="http://schemas.openxmlformats.org/officeDocument/2006/relationships/hyperlink" Target="https://www.reuters.com/business/autos-transportation/toyota-retains-top-auto-crown-2025-with-record-sales-2026-01-29/" TargetMode="External" Id="Rf7046c8cc2214274" /><Relationship Type="http://schemas.openxmlformats.org/officeDocument/2006/relationships/hyperlink" Target="https://global.toyota/en/company/vision-and-philosophy/production-system/" TargetMode="External" Id="R213036b00aa8454c" /><Relationship Type="http://schemas.openxmlformats.org/officeDocument/2006/relationships/hyperlink" Target="https://www.toyota-global.com/company/history_of_toyota/75years/data/conditions/philosophy/toyotaway2001.html" TargetMode="External" Id="Rcb58e793c8d14f79" /><Relationship Type="http://schemas.openxmlformats.org/officeDocument/2006/relationships/hyperlink" Target="https://www.toyota.ie/discover-toyota/innovation" TargetMode="External" Id="R8b2af9daa7444a43" /><Relationship Type="http://schemas.openxmlformats.org/officeDocument/2006/relationships/hyperlink" Target="https://pressroom.toyota.com/toyota-motor-north-america-reports-2024-u-s-sales-results/" TargetMode="External" Id="R3d016846ecde46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2026-04-09T10:24:14.5136305Z</dcterms:created>
  <dcterms:modified xsi:type="dcterms:W3CDTF">2026-04-09T11:08:16.9295113Z</dcterms:modified>
  <dc:creator>Petrisor Iulian Linguraru (2331770)</dc:creator>
  <lastModifiedBy>Petrisor Iulian Linguraru (2331770)</lastModifiedBy>
</coreProperties>
</file>