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AC4E26" w14:textId="77777777" w:rsidR="00F41A15" w:rsidRDefault="00F41A15"/>
    <w:p w14:paraId="3ECB5981" w14:textId="77777777" w:rsidR="00331AE8" w:rsidRDefault="00331AE8"/>
    <w:p w14:paraId="0F9A9E21" w14:textId="77777777" w:rsidR="00331AE8" w:rsidRDefault="00331AE8"/>
    <w:p w14:paraId="59C9721D" w14:textId="77777777" w:rsidR="00331AE8" w:rsidRDefault="00331AE8"/>
    <w:p w14:paraId="39650977" w14:textId="265D1F05" w:rsidR="00331AE8" w:rsidRDefault="00331AE8" w:rsidP="00331AE8">
      <w:pPr>
        <w:jc w:val="center"/>
        <w:rPr>
          <w:sz w:val="44"/>
          <w:szCs w:val="44"/>
        </w:rPr>
      </w:pPr>
      <w:r w:rsidRPr="00331AE8">
        <w:rPr>
          <w:sz w:val="44"/>
          <w:szCs w:val="44"/>
        </w:rPr>
        <w:t>LCLM5001 UNDERSTANDING AND ENGAGING STAKEHOLDERS</w:t>
      </w:r>
    </w:p>
    <w:p w14:paraId="634A6386" w14:textId="77777777" w:rsidR="00331AE8" w:rsidRDefault="00331AE8" w:rsidP="00331AE8">
      <w:pPr>
        <w:jc w:val="center"/>
        <w:rPr>
          <w:sz w:val="44"/>
          <w:szCs w:val="44"/>
        </w:rPr>
      </w:pPr>
    </w:p>
    <w:p w14:paraId="1842E179" w14:textId="77777777" w:rsidR="00331AE8" w:rsidRDefault="00331AE8" w:rsidP="00331AE8">
      <w:pPr>
        <w:jc w:val="center"/>
        <w:rPr>
          <w:sz w:val="44"/>
          <w:szCs w:val="44"/>
        </w:rPr>
      </w:pPr>
    </w:p>
    <w:p w14:paraId="551E3787" w14:textId="77777777" w:rsidR="00331AE8" w:rsidRDefault="00331AE8" w:rsidP="00331AE8">
      <w:pPr>
        <w:jc w:val="center"/>
        <w:rPr>
          <w:sz w:val="44"/>
          <w:szCs w:val="44"/>
        </w:rPr>
      </w:pPr>
    </w:p>
    <w:p w14:paraId="0F0B79E9" w14:textId="77777777" w:rsidR="00331AE8" w:rsidRPr="00331AE8" w:rsidRDefault="00331AE8" w:rsidP="00331AE8">
      <w:pPr>
        <w:jc w:val="center"/>
        <w:rPr>
          <w:sz w:val="44"/>
          <w:szCs w:val="44"/>
        </w:rPr>
      </w:pPr>
    </w:p>
    <w:p w14:paraId="47485BF3" w14:textId="7428E3A8" w:rsidR="00331AE8" w:rsidRPr="00331AE8" w:rsidRDefault="00331AE8" w:rsidP="00331AE8">
      <w:pPr>
        <w:jc w:val="center"/>
        <w:rPr>
          <w:sz w:val="44"/>
          <w:szCs w:val="44"/>
        </w:rPr>
      </w:pPr>
      <w:r w:rsidRPr="00331AE8">
        <w:rPr>
          <w:sz w:val="44"/>
          <w:szCs w:val="44"/>
        </w:rPr>
        <w:t xml:space="preserve">Case Study: Premier Inn and the </w:t>
      </w:r>
      <w:proofErr w:type="spellStart"/>
      <w:r w:rsidRPr="00331AE8">
        <w:rPr>
          <w:sz w:val="44"/>
          <w:szCs w:val="44"/>
        </w:rPr>
        <w:t>StaySmart</w:t>
      </w:r>
      <w:proofErr w:type="spellEnd"/>
      <w:r w:rsidRPr="00331AE8">
        <w:rPr>
          <w:sz w:val="44"/>
          <w:szCs w:val="44"/>
        </w:rPr>
        <w:t>+ Service Launch</w:t>
      </w:r>
    </w:p>
    <w:p w14:paraId="11AEF2DC" w14:textId="77777777" w:rsidR="00331AE8" w:rsidRDefault="00331AE8"/>
    <w:p w14:paraId="5EDE3067" w14:textId="77777777" w:rsidR="00331AE8" w:rsidRDefault="00331AE8"/>
    <w:p w14:paraId="7D1CAA63" w14:textId="77777777" w:rsidR="00331AE8" w:rsidRDefault="00331AE8"/>
    <w:p w14:paraId="4FAA0A5E" w14:textId="77777777" w:rsidR="00331AE8" w:rsidRDefault="00331AE8" w:rsidP="00331AE8">
      <w:pPr>
        <w:jc w:val="center"/>
      </w:pPr>
    </w:p>
    <w:p w14:paraId="02F9DED0" w14:textId="44D9586B" w:rsidR="00331AE8" w:rsidRDefault="00331AE8" w:rsidP="00331AE8">
      <w:pPr>
        <w:jc w:val="center"/>
      </w:pPr>
      <w:r>
        <w:t>Student Name:</w:t>
      </w:r>
      <w:r w:rsidR="00517B1F">
        <w:t xml:space="preserve"> </w:t>
      </w:r>
      <w:r w:rsidR="00075E99">
        <w:t>Victoria</w:t>
      </w:r>
      <w:r w:rsidR="00517B1F">
        <w:t xml:space="preserve"> </w:t>
      </w:r>
      <w:r w:rsidR="00075E99">
        <w:t>Borta</w:t>
      </w:r>
    </w:p>
    <w:p w14:paraId="4BF65EA1" w14:textId="35FB9D6E" w:rsidR="00331AE8" w:rsidRDefault="00617C17" w:rsidP="00617C17">
      <w:r>
        <w:t xml:space="preserve">                                                     </w:t>
      </w:r>
      <w:r w:rsidR="00331AE8">
        <w:t>Student ID:</w:t>
      </w:r>
      <w:r w:rsidR="00075E99">
        <w:t>2422534</w:t>
      </w:r>
    </w:p>
    <w:p w14:paraId="0A74A4BE" w14:textId="6121EA85" w:rsidR="00075E99" w:rsidRDefault="00075E99" w:rsidP="00075E99">
      <w:r>
        <w:t xml:space="preserve">                                                     Lecturer:</w:t>
      </w:r>
      <w:r w:rsidR="00517B1F">
        <w:t xml:space="preserve"> </w:t>
      </w:r>
      <w:r w:rsidR="00942E5F">
        <w:t>Christopher Osborne</w:t>
      </w:r>
    </w:p>
    <w:p w14:paraId="5A8C1821" w14:textId="77777777" w:rsidR="00331AE8" w:rsidRDefault="00331AE8" w:rsidP="00331AE8">
      <w:pPr>
        <w:jc w:val="center"/>
      </w:pPr>
    </w:p>
    <w:p w14:paraId="02F4E843" w14:textId="77777777" w:rsidR="00331AE8" w:rsidRDefault="00331AE8" w:rsidP="00331AE8">
      <w:pPr>
        <w:jc w:val="center"/>
      </w:pPr>
    </w:p>
    <w:p w14:paraId="090C9743" w14:textId="77777777" w:rsidR="00331AE8" w:rsidRDefault="00331AE8" w:rsidP="00331AE8">
      <w:pPr>
        <w:jc w:val="center"/>
      </w:pPr>
    </w:p>
    <w:p w14:paraId="6404C6A7" w14:textId="77777777" w:rsidR="00331AE8" w:rsidRDefault="00331AE8" w:rsidP="00331AE8">
      <w:pPr>
        <w:jc w:val="center"/>
      </w:pPr>
    </w:p>
    <w:p w14:paraId="6154C8C6" w14:textId="77777777" w:rsidR="00331AE8" w:rsidRDefault="00331AE8" w:rsidP="00331AE8">
      <w:pPr>
        <w:jc w:val="center"/>
      </w:pPr>
    </w:p>
    <w:p w14:paraId="6FD9EF09" w14:textId="77777777" w:rsidR="00331AE8" w:rsidRDefault="00331AE8"/>
    <w:p w14:paraId="16B3CB62" w14:textId="77777777" w:rsidR="00331AE8" w:rsidRDefault="00331AE8"/>
    <w:sdt>
      <w:sdtPr>
        <w:rPr>
          <w:rFonts w:ascii="Times New Roman" w:eastAsiaTheme="minorHAnsi" w:hAnsi="Times New Roman" w:cstheme="minorBidi"/>
          <w:color w:val="auto"/>
          <w:kern w:val="2"/>
          <w:sz w:val="24"/>
          <w:szCs w:val="24"/>
          <w:lang w:val="en-GB"/>
          <w14:ligatures w14:val="standardContextual"/>
        </w:rPr>
        <w:id w:val="-616680797"/>
        <w:docPartObj>
          <w:docPartGallery w:val="Table of Contents"/>
          <w:docPartUnique/>
        </w:docPartObj>
      </w:sdtPr>
      <w:sdtEndPr>
        <w:rPr>
          <w:b/>
          <w:bCs/>
          <w:noProof/>
        </w:rPr>
      </w:sdtEndPr>
      <w:sdtContent>
        <w:p w14:paraId="6DB69BE2" w14:textId="1BFA551A" w:rsidR="00331AE8" w:rsidRDefault="00331AE8">
          <w:pPr>
            <w:pStyle w:val="TOCHeading"/>
          </w:pPr>
          <w:r>
            <w:t>Contents</w:t>
          </w:r>
        </w:p>
        <w:p w14:paraId="51E2ED70" w14:textId="574A559B" w:rsidR="00331AE8" w:rsidRPr="00331AE8" w:rsidRDefault="00331AE8" w:rsidP="00331AE8">
          <w:pPr>
            <w:pStyle w:val="TOC1"/>
            <w:tabs>
              <w:tab w:val="right" w:leader="dot" w:pos="9016"/>
            </w:tabs>
            <w:spacing w:line="360" w:lineRule="auto"/>
            <w:rPr>
              <w:rFonts w:cs="Times New Roman"/>
              <w:noProof/>
            </w:rPr>
          </w:pPr>
          <w:r w:rsidRPr="00331AE8">
            <w:rPr>
              <w:rFonts w:cs="Times New Roman"/>
            </w:rPr>
            <w:fldChar w:fldCharType="begin"/>
          </w:r>
          <w:r w:rsidRPr="00331AE8">
            <w:rPr>
              <w:rFonts w:cs="Times New Roman"/>
            </w:rPr>
            <w:instrText xml:space="preserve"> TOC \o "1-3" \h \z \u </w:instrText>
          </w:r>
          <w:r w:rsidRPr="00331AE8">
            <w:rPr>
              <w:rFonts w:cs="Times New Roman"/>
            </w:rPr>
            <w:fldChar w:fldCharType="separate"/>
          </w:r>
          <w:hyperlink w:anchor="_Toc227272918" w:history="1">
            <w:r w:rsidRPr="00331AE8">
              <w:rPr>
                <w:rStyle w:val="Hyperlink"/>
                <w:rFonts w:eastAsia="Arial" w:cs="Times New Roman"/>
                <w:bCs/>
                <w:noProof/>
              </w:rPr>
              <w:t>1.0 Introduction</w:t>
            </w:r>
            <w:r w:rsidRPr="00331AE8">
              <w:rPr>
                <w:rFonts w:cs="Times New Roman"/>
                <w:noProof/>
                <w:webHidden/>
              </w:rPr>
              <w:tab/>
            </w:r>
            <w:r w:rsidRPr="00331AE8">
              <w:rPr>
                <w:rFonts w:cs="Times New Roman"/>
                <w:noProof/>
                <w:webHidden/>
              </w:rPr>
              <w:fldChar w:fldCharType="begin"/>
            </w:r>
            <w:r w:rsidRPr="00331AE8">
              <w:rPr>
                <w:rFonts w:cs="Times New Roman"/>
                <w:noProof/>
                <w:webHidden/>
              </w:rPr>
              <w:instrText xml:space="preserve"> PAGEREF _Toc227272918 \h </w:instrText>
            </w:r>
            <w:r w:rsidRPr="00331AE8">
              <w:rPr>
                <w:rFonts w:cs="Times New Roman"/>
                <w:noProof/>
                <w:webHidden/>
              </w:rPr>
            </w:r>
            <w:r w:rsidRPr="00331AE8">
              <w:rPr>
                <w:rFonts w:cs="Times New Roman"/>
                <w:noProof/>
                <w:webHidden/>
              </w:rPr>
              <w:fldChar w:fldCharType="separate"/>
            </w:r>
            <w:r w:rsidR="00851DBF">
              <w:rPr>
                <w:rFonts w:cs="Times New Roman"/>
                <w:noProof/>
                <w:webHidden/>
              </w:rPr>
              <w:t>3</w:t>
            </w:r>
            <w:r w:rsidRPr="00331AE8">
              <w:rPr>
                <w:rFonts w:cs="Times New Roman"/>
                <w:noProof/>
                <w:webHidden/>
              </w:rPr>
              <w:fldChar w:fldCharType="end"/>
            </w:r>
          </w:hyperlink>
        </w:p>
        <w:p w14:paraId="09BBC39F" w14:textId="566AC664" w:rsidR="00331AE8" w:rsidRPr="00331AE8" w:rsidRDefault="00331AE8" w:rsidP="00331AE8">
          <w:pPr>
            <w:pStyle w:val="TOC1"/>
            <w:tabs>
              <w:tab w:val="right" w:leader="dot" w:pos="9016"/>
            </w:tabs>
            <w:spacing w:line="360" w:lineRule="auto"/>
            <w:rPr>
              <w:rFonts w:cs="Times New Roman"/>
              <w:noProof/>
            </w:rPr>
          </w:pPr>
          <w:hyperlink w:anchor="_Toc227272919" w:history="1">
            <w:r w:rsidRPr="00331AE8">
              <w:rPr>
                <w:rStyle w:val="Hyperlink"/>
                <w:rFonts w:eastAsia="Arial" w:cs="Times New Roman"/>
                <w:bCs/>
                <w:noProof/>
              </w:rPr>
              <w:t>2.0 Company Appraisal: SWOT and PESTLE Analysis</w:t>
            </w:r>
            <w:r w:rsidRPr="00331AE8">
              <w:rPr>
                <w:rFonts w:cs="Times New Roman"/>
                <w:noProof/>
                <w:webHidden/>
              </w:rPr>
              <w:tab/>
            </w:r>
            <w:r w:rsidRPr="00331AE8">
              <w:rPr>
                <w:rFonts w:cs="Times New Roman"/>
                <w:noProof/>
                <w:webHidden/>
              </w:rPr>
              <w:fldChar w:fldCharType="begin"/>
            </w:r>
            <w:r w:rsidRPr="00331AE8">
              <w:rPr>
                <w:rFonts w:cs="Times New Roman"/>
                <w:noProof/>
                <w:webHidden/>
              </w:rPr>
              <w:instrText xml:space="preserve"> PAGEREF _Toc227272919 \h </w:instrText>
            </w:r>
            <w:r w:rsidRPr="00331AE8">
              <w:rPr>
                <w:rFonts w:cs="Times New Roman"/>
                <w:noProof/>
                <w:webHidden/>
              </w:rPr>
            </w:r>
            <w:r w:rsidRPr="00331AE8">
              <w:rPr>
                <w:rFonts w:cs="Times New Roman"/>
                <w:noProof/>
                <w:webHidden/>
              </w:rPr>
              <w:fldChar w:fldCharType="separate"/>
            </w:r>
            <w:r w:rsidR="00851DBF">
              <w:rPr>
                <w:rFonts w:cs="Times New Roman"/>
                <w:noProof/>
                <w:webHidden/>
              </w:rPr>
              <w:t>3</w:t>
            </w:r>
            <w:r w:rsidRPr="00331AE8">
              <w:rPr>
                <w:rFonts w:cs="Times New Roman"/>
                <w:noProof/>
                <w:webHidden/>
              </w:rPr>
              <w:fldChar w:fldCharType="end"/>
            </w:r>
          </w:hyperlink>
        </w:p>
        <w:p w14:paraId="034C6DC0" w14:textId="54901DFE" w:rsidR="00331AE8" w:rsidRPr="00331AE8" w:rsidRDefault="00331AE8" w:rsidP="00331AE8">
          <w:pPr>
            <w:pStyle w:val="TOC1"/>
            <w:tabs>
              <w:tab w:val="right" w:leader="dot" w:pos="9016"/>
            </w:tabs>
            <w:spacing w:line="360" w:lineRule="auto"/>
            <w:rPr>
              <w:rFonts w:cs="Times New Roman"/>
              <w:noProof/>
            </w:rPr>
          </w:pPr>
          <w:hyperlink w:anchor="_Toc227272920" w:history="1">
            <w:r w:rsidRPr="00331AE8">
              <w:rPr>
                <w:rStyle w:val="Hyperlink"/>
                <w:rFonts w:eastAsia="Arial" w:cs="Times New Roman"/>
                <w:bCs/>
                <w:noProof/>
              </w:rPr>
              <w:t>3.0 Key Internal and External Stakeholders</w:t>
            </w:r>
            <w:r w:rsidRPr="00331AE8">
              <w:rPr>
                <w:rFonts w:cs="Times New Roman"/>
                <w:noProof/>
                <w:webHidden/>
              </w:rPr>
              <w:tab/>
            </w:r>
            <w:r w:rsidRPr="00331AE8">
              <w:rPr>
                <w:rFonts w:cs="Times New Roman"/>
                <w:noProof/>
                <w:webHidden/>
              </w:rPr>
              <w:fldChar w:fldCharType="begin"/>
            </w:r>
            <w:r w:rsidRPr="00331AE8">
              <w:rPr>
                <w:rFonts w:cs="Times New Roman"/>
                <w:noProof/>
                <w:webHidden/>
              </w:rPr>
              <w:instrText xml:space="preserve"> PAGEREF _Toc227272920 \h </w:instrText>
            </w:r>
            <w:r w:rsidRPr="00331AE8">
              <w:rPr>
                <w:rFonts w:cs="Times New Roman"/>
                <w:noProof/>
                <w:webHidden/>
              </w:rPr>
            </w:r>
            <w:r w:rsidRPr="00331AE8">
              <w:rPr>
                <w:rFonts w:cs="Times New Roman"/>
                <w:noProof/>
                <w:webHidden/>
              </w:rPr>
              <w:fldChar w:fldCharType="separate"/>
            </w:r>
            <w:r w:rsidR="00851DBF">
              <w:rPr>
                <w:rFonts w:cs="Times New Roman"/>
                <w:noProof/>
                <w:webHidden/>
              </w:rPr>
              <w:t>4</w:t>
            </w:r>
            <w:r w:rsidRPr="00331AE8">
              <w:rPr>
                <w:rFonts w:cs="Times New Roman"/>
                <w:noProof/>
                <w:webHidden/>
              </w:rPr>
              <w:fldChar w:fldCharType="end"/>
            </w:r>
          </w:hyperlink>
        </w:p>
        <w:p w14:paraId="261B2110" w14:textId="6F8B68E1" w:rsidR="00331AE8" w:rsidRPr="00331AE8" w:rsidRDefault="00331AE8" w:rsidP="00331AE8">
          <w:pPr>
            <w:pStyle w:val="TOC2"/>
            <w:tabs>
              <w:tab w:val="right" w:leader="dot" w:pos="9016"/>
            </w:tabs>
            <w:spacing w:line="360" w:lineRule="auto"/>
            <w:rPr>
              <w:rFonts w:cs="Times New Roman"/>
              <w:noProof/>
            </w:rPr>
          </w:pPr>
          <w:hyperlink w:anchor="_Toc227272921" w:history="1">
            <w:r w:rsidRPr="00331AE8">
              <w:rPr>
                <w:rStyle w:val="Hyperlink"/>
                <w:rFonts w:eastAsia="Arial" w:cs="Times New Roman"/>
                <w:bCs/>
                <w:noProof/>
              </w:rPr>
              <w:t>3.1 Internal Stakeholders</w:t>
            </w:r>
            <w:r w:rsidRPr="00331AE8">
              <w:rPr>
                <w:rFonts w:cs="Times New Roman"/>
                <w:noProof/>
                <w:webHidden/>
              </w:rPr>
              <w:tab/>
            </w:r>
            <w:r w:rsidRPr="00331AE8">
              <w:rPr>
                <w:rFonts w:cs="Times New Roman"/>
                <w:noProof/>
                <w:webHidden/>
              </w:rPr>
              <w:fldChar w:fldCharType="begin"/>
            </w:r>
            <w:r w:rsidRPr="00331AE8">
              <w:rPr>
                <w:rFonts w:cs="Times New Roman"/>
                <w:noProof/>
                <w:webHidden/>
              </w:rPr>
              <w:instrText xml:space="preserve"> PAGEREF _Toc227272921 \h </w:instrText>
            </w:r>
            <w:r w:rsidRPr="00331AE8">
              <w:rPr>
                <w:rFonts w:cs="Times New Roman"/>
                <w:noProof/>
                <w:webHidden/>
              </w:rPr>
            </w:r>
            <w:r w:rsidRPr="00331AE8">
              <w:rPr>
                <w:rFonts w:cs="Times New Roman"/>
                <w:noProof/>
                <w:webHidden/>
              </w:rPr>
              <w:fldChar w:fldCharType="separate"/>
            </w:r>
            <w:r w:rsidR="00851DBF">
              <w:rPr>
                <w:rFonts w:cs="Times New Roman"/>
                <w:noProof/>
                <w:webHidden/>
              </w:rPr>
              <w:t>5</w:t>
            </w:r>
            <w:r w:rsidRPr="00331AE8">
              <w:rPr>
                <w:rFonts w:cs="Times New Roman"/>
                <w:noProof/>
                <w:webHidden/>
              </w:rPr>
              <w:fldChar w:fldCharType="end"/>
            </w:r>
          </w:hyperlink>
        </w:p>
        <w:p w14:paraId="79D03323" w14:textId="202E6CEF" w:rsidR="00331AE8" w:rsidRPr="00331AE8" w:rsidRDefault="00331AE8" w:rsidP="00331AE8">
          <w:pPr>
            <w:pStyle w:val="TOC2"/>
            <w:tabs>
              <w:tab w:val="right" w:leader="dot" w:pos="9016"/>
            </w:tabs>
            <w:spacing w:line="360" w:lineRule="auto"/>
            <w:rPr>
              <w:rFonts w:cs="Times New Roman"/>
              <w:noProof/>
            </w:rPr>
          </w:pPr>
          <w:hyperlink w:anchor="_Toc227272922" w:history="1">
            <w:r w:rsidRPr="00331AE8">
              <w:rPr>
                <w:rStyle w:val="Hyperlink"/>
                <w:rFonts w:eastAsia="Arial" w:cs="Times New Roman"/>
                <w:bCs/>
                <w:noProof/>
              </w:rPr>
              <w:t>3.2 External Stakeholders</w:t>
            </w:r>
            <w:r w:rsidRPr="00331AE8">
              <w:rPr>
                <w:rFonts w:cs="Times New Roman"/>
                <w:noProof/>
                <w:webHidden/>
              </w:rPr>
              <w:tab/>
            </w:r>
            <w:r w:rsidRPr="00331AE8">
              <w:rPr>
                <w:rFonts w:cs="Times New Roman"/>
                <w:noProof/>
                <w:webHidden/>
              </w:rPr>
              <w:fldChar w:fldCharType="begin"/>
            </w:r>
            <w:r w:rsidRPr="00331AE8">
              <w:rPr>
                <w:rFonts w:cs="Times New Roman"/>
                <w:noProof/>
                <w:webHidden/>
              </w:rPr>
              <w:instrText xml:space="preserve"> PAGEREF _Toc227272922 \h </w:instrText>
            </w:r>
            <w:r w:rsidRPr="00331AE8">
              <w:rPr>
                <w:rFonts w:cs="Times New Roman"/>
                <w:noProof/>
                <w:webHidden/>
              </w:rPr>
            </w:r>
            <w:r w:rsidRPr="00331AE8">
              <w:rPr>
                <w:rFonts w:cs="Times New Roman"/>
                <w:noProof/>
                <w:webHidden/>
              </w:rPr>
              <w:fldChar w:fldCharType="separate"/>
            </w:r>
            <w:r w:rsidR="00851DBF">
              <w:rPr>
                <w:rFonts w:cs="Times New Roman"/>
                <w:noProof/>
                <w:webHidden/>
              </w:rPr>
              <w:t>5</w:t>
            </w:r>
            <w:r w:rsidRPr="00331AE8">
              <w:rPr>
                <w:rFonts w:cs="Times New Roman"/>
                <w:noProof/>
                <w:webHidden/>
              </w:rPr>
              <w:fldChar w:fldCharType="end"/>
            </w:r>
          </w:hyperlink>
        </w:p>
        <w:p w14:paraId="4346ABC4" w14:textId="1B54576E" w:rsidR="00331AE8" w:rsidRPr="00331AE8" w:rsidRDefault="00331AE8" w:rsidP="00331AE8">
          <w:pPr>
            <w:pStyle w:val="TOC1"/>
            <w:tabs>
              <w:tab w:val="right" w:leader="dot" w:pos="9016"/>
            </w:tabs>
            <w:spacing w:line="360" w:lineRule="auto"/>
            <w:rPr>
              <w:rFonts w:cs="Times New Roman"/>
              <w:noProof/>
            </w:rPr>
          </w:pPr>
          <w:hyperlink w:anchor="_Toc227272923" w:history="1">
            <w:r w:rsidRPr="00331AE8">
              <w:rPr>
                <w:rStyle w:val="Hyperlink"/>
                <w:rFonts w:eastAsia="Arial" w:cs="Times New Roman"/>
                <w:bCs/>
                <w:noProof/>
              </w:rPr>
              <w:t>4.0 Roles, Responsibilities, Benefits and Challenges</w:t>
            </w:r>
            <w:r w:rsidRPr="00331AE8">
              <w:rPr>
                <w:rFonts w:cs="Times New Roman"/>
                <w:noProof/>
                <w:webHidden/>
              </w:rPr>
              <w:tab/>
            </w:r>
            <w:r w:rsidRPr="00331AE8">
              <w:rPr>
                <w:rFonts w:cs="Times New Roman"/>
                <w:noProof/>
                <w:webHidden/>
              </w:rPr>
              <w:fldChar w:fldCharType="begin"/>
            </w:r>
            <w:r w:rsidRPr="00331AE8">
              <w:rPr>
                <w:rFonts w:cs="Times New Roman"/>
                <w:noProof/>
                <w:webHidden/>
              </w:rPr>
              <w:instrText xml:space="preserve"> PAGEREF _Toc227272923 \h </w:instrText>
            </w:r>
            <w:r w:rsidRPr="00331AE8">
              <w:rPr>
                <w:rFonts w:cs="Times New Roman"/>
                <w:noProof/>
                <w:webHidden/>
              </w:rPr>
            </w:r>
            <w:r w:rsidRPr="00331AE8">
              <w:rPr>
                <w:rFonts w:cs="Times New Roman"/>
                <w:noProof/>
                <w:webHidden/>
              </w:rPr>
              <w:fldChar w:fldCharType="separate"/>
            </w:r>
            <w:r w:rsidR="00851DBF">
              <w:rPr>
                <w:rFonts w:cs="Times New Roman"/>
                <w:noProof/>
                <w:webHidden/>
              </w:rPr>
              <w:t>6</w:t>
            </w:r>
            <w:r w:rsidRPr="00331AE8">
              <w:rPr>
                <w:rFonts w:cs="Times New Roman"/>
                <w:noProof/>
                <w:webHidden/>
              </w:rPr>
              <w:fldChar w:fldCharType="end"/>
            </w:r>
          </w:hyperlink>
        </w:p>
        <w:p w14:paraId="09386755" w14:textId="086CF595" w:rsidR="00331AE8" w:rsidRPr="00331AE8" w:rsidRDefault="00331AE8" w:rsidP="00331AE8">
          <w:pPr>
            <w:pStyle w:val="TOC1"/>
            <w:tabs>
              <w:tab w:val="right" w:leader="dot" w:pos="9016"/>
            </w:tabs>
            <w:spacing w:line="360" w:lineRule="auto"/>
            <w:rPr>
              <w:rFonts w:cs="Times New Roman"/>
              <w:noProof/>
            </w:rPr>
          </w:pPr>
          <w:hyperlink w:anchor="_Toc227272924" w:history="1">
            <w:r w:rsidRPr="00331AE8">
              <w:rPr>
                <w:rStyle w:val="Hyperlink"/>
                <w:rFonts w:eastAsia="Arial" w:cs="Times New Roman"/>
                <w:bCs/>
                <w:noProof/>
              </w:rPr>
              <w:t>5.0 Frameworks, Models and Theories for Stakeholder Engagement</w:t>
            </w:r>
            <w:r w:rsidRPr="00331AE8">
              <w:rPr>
                <w:rFonts w:cs="Times New Roman"/>
                <w:noProof/>
                <w:webHidden/>
              </w:rPr>
              <w:tab/>
            </w:r>
            <w:r w:rsidRPr="00331AE8">
              <w:rPr>
                <w:rFonts w:cs="Times New Roman"/>
                <w:noProof/>
                <w:webHidden/>
              </w:rPr>
              <w:fldChar w:fldCharType="begin"/>
            </w:r>
            <w:r w:rsidRPr="00331AE8">
              <w:rPr>
                <w:rFonts w:cs="Times New Roman"/>
                <w:noProof/>
                <w:webHidden/>
              </w:rPr>
              <w:instrText xml:space="preserve"> PAGEREF _Toc227272924 \h </w:instrText>
            </w:r>
            <w:r w:rsidRPr="00331AE8">
              <w:rPr>
                <w:rFonts w:cs="Times New Roman"/>
                <w:noProof/>
                <w:webHidden/>
              </w:rPr>
            </w:r>
            <w:r w:rsidRPr="00331AE8">
              <w:rPr>
                <w:rFonts w:cs="Times New Roman"/>
                <w:noProof/>
                <w:webHidden/>
              </w:rPr>
              <w:fldChar w:fldCharType="separate"/>
            </w:r>
            <w:r w:rsidR="00851DBF">
              <w:rPr>
                <w:rFonts w:cs="Times New Roman"/>
                <w:noProof/>
                <w:webHidden/>
              </w:rPr>
              <w:t>7</w:t>
            </w:r>
            <w:r w:rsidRPr="00331AE8">
              <w:rPr>
                <w:rFonts w:cs="Times New Roman"/>
                <w:noProof/>
                <w:webHidden/>
              </w:rPr>
              <w:fldChar w:fldCharType="end"/>
            </w:r>
          </w:hyperlink>
        </w:p>
        <w:p w14:paraId="53E0D549" w14:textId="04A9C1D1" w:rsidR="00331AE8" w:rsidRPr="00331AE8" w:rsidRDefault="00331AE8" w:rsidP="00331AE8">
          <w:pPr>
            <w:pStyle w:val="TOC2"/>
            <w:tabs>
              <w:tab w:val="right" w:leader="dot" w:pos="9016"/>
            </w:tabs>
            <w:spacing w:line="360" w:lineRule="auto"/>
            <w:rPr>
              <w:rFonts w:cs="Times New Roman"/>
              <w:noProof/>
            </w:rPr>
          </w:pPr>
          <w:hyperlink w:anchor="_Toc227272925" w:history="1">
            <w:r w:rsidRPr="00331AE8">
              <w:rPr>
                <w:rStyle w:val="Hyperlink"/>
                <w:rFonts w:eastAsia="Arial" w:cs="Times New Roman"/>
                <w:bCs/>
                <w:noProof/>
              </w:rPr>
              <w:t>5.1 Stakeholder Matrix</w:t>
            </w:r>
            <w:r w:rsidRPr="00331AE8">
              <w:rPr>
                <w:rFonts w:cs="Times New Roman"/>
                <w:noProof/>
                <w:webHidden/>
              </w:rPr>
              <w:tab/>
            </w:r>
            <w:r w:rsidRPr="00331AE8">
              <w:rPr>
                <w:rFonts w:cs="Times New Roman"/>
                <w:noProof/>
                <w:webHidden/>
              </w:rPr>
              <w:fldChar w:fldCharType="begin"/>
            </w:r>
            <w:r w:rsidRPr="00331AE8">
              <w:rPr>
                <w:rFonts w:cs="Times New Roman"/>
                <w:noProof/>
                <w:webHidden/>
              </w:rPr>
              <w:instrText xml:space="preserve"> PAGEREF _Toc227272925 \h </w:instrText>
            </w:r>
            <w:r w:rsidRPr="00331AE8">
              <w:rPr>
                <w:rFonts w:cs="Times New Roman"/>
                <w:noProof/>
                <w:webHidden/>
              </w:rPr>
            </w:r>
            <w:r w:rsidRPr="00331AE8">
              <w:rPr>
                <w:rFonts w:cs="Times New Roman"/>
                <w:noProof/>
                <w:webHidden/>
              </w:rPr>
              <w:fldChar w:fldCharType="separate"/>
            </w:r>
            <w:r w:rsidR="00851DBF">
              <w:rPr>
                <w:rFonts w:cs="Times New Roman"/>
                <w:noProof/>
                <w:webHidden/>
              </w:rPr>
              <w:t>7</w:t>
            </w:r>
            <w:r w:rsidRPr="00331AE8">
              <w:rPr>
                <w:rFonts w:cs="Times New Roman"/>
                <w:noProof/>
                <w:webHidden/>
              </w:rPr>
              <w:fldChar w:fldCharType="end"/>
            </w:r>
          </w:hyperlink>
        </w:p>
        <w:p w14:paraId="73632E34" w14:textId="526A67C3" w:rsidR="00331AE8" w:rsidRPr="00331AE8" w:rsidRDefault="00331AE8" w:rsidP="00331AE8">
          <w:pPr>
            <w:pStyle w:val="TOC2"/>
            <w:tabs>
              <w:tab w:val="right" w:leader="dot" w:pos="9016"/>
            </w:tabs>
            <w:spacing w:line="360" w:lineRule="auto"/>
            <w:rPr>
              <w:rFonts w:cs="Times New Roman"/>
              <w:noProof/>
            </w:rPr>
          </w:pPr>
          <w:hyperlink w:anchor="_Toc227272926" w:history="1">
            <w:r w:rsidRPr="00331AE8">
              <w:rPr>
                <w:rStyle w:val="Hyperlink"/>
                <w:rFonts w:eastAsia="Arial" w:cs="Times New Roman"/>
                <w:bCs/>
                <w:noProof/>
              </w:rPr>
              <w:t>5.2 RACI Matrix</w:t>
            </w:r>
            <w:r w:rsidRPr="00331AE8">
              <w:rPr>
                <w:rFonts w:cs="Times New Roman"/>
                <w:noProof/>
                <w:webHidden/>
              </w:rPr>
              <w:tab/>
            </w:r>
            <w:r w:rsidRPr="00331AE8">
              <w:rPr>
                <w:rFonts w:cs="Times New Roman"/>
                <w:noProof/>
                <w:webHidden/>
              </w:rPr>
              <w:fldChar w:fldCharType="begin"/>
            </w:r>
            <w:r w:rsidRPr="00331AE8">
              <w:rPr>
                <w:rFonts w:cs="Times New Roman"/>
                <w:noProof/>
                <w:webHidden/>
              </w:rPr>
              <w:instrText xml:space="preserve"> PAGEREF _Toc227272926 \h </w:instrText>
            </w:r>
            <w:r w:rsidRPr="00331AE8">
              <w:rPr>
                <w:rFonts w:cs="Times New Roman"/>
                <w:noProof/>
                <w:webHidden/>
              </w:rPr>
            </w:r>
            <w:r w:rsidRPr="00331AE8">
              <w:rPr>
                <w:rFonts w:cs="Times New Roman"/>
                <w:noProof/>
                <w:webHidden/>
              </w:rPr>
              <w:fldChar w:fldCharType="separate"/>
            </w:r>
            <w:r w:rsidR="00851DBF">
              <w:rPr>
                <w:rFonts w:cs="Times New Roman"/>
                <w:noProof/>
                <w:webHidden/>
              </w:rPr>
              <w:t>8</w:t>
            </w:r>
            <w:r w:rsidRPr="00331AE8">
              <w:rPr>
                <w:rFonts w:cs="Times New Roman"/>
                <w:noProof/>
                <w:webHidden/>
              </w:rPr>
              <w:fldChar w:fldCharType="end"/>
            </w:r>
          </w:hyperlink>
        </w:p>
        <w:p w14:paraId="3EF0752E" w14:textId="260D76A8" w:rsidR="00331AE8" w:rsidRPr="00331AE8" w:rsidRDefault="00331AE8" w:rsidP="00331AE8">
          <w:pPr>
            <w:pStyle w:val="TOC1"/>
            <w:tabs>
              <w:tab w:val="right" w:leader="dot" w:pos="9016"/>
            </w:tabs>
            <w:spacing w:line="360" w:lineRule="auto"/>
            <w:rPr>
              <w:rFonts w:cs="Times New Roman"/>
              <w:noProof/>
            </w:rPr>
          </w:pPr>
          <w:hyperlink w:anchor="_Toc227272927" w:history="1">
            <w:r w:rsidRPr="00331AE8">
              <w:rPr>
                <w:rStyle w:val="Hyperlink"/>
                <w:rFonts w:eastAsia="Arial" w:cs="Times New Roman"/>
                <w:bCs/>
                <w:noProof/>
              </w:rPr>
              <w:t>6.0 The Engagement Process and Conflict Management: The 4Cs Model</w:t>
            </w:r>
            <w:r w:rsidRPr="00331AE8">
              <w:rPr>
                <w:rFonts w:cs="Times New Roman"/>
                <w:noProof/>
                <w:webHidden/>
              </w:rPr>
              <w:tab/>
            </w:r>
            <w:r w:rsidRPr="00331AE8">
              <w:rPr>
                <w:rFonts w:cs="Times New Roman"/>
                <w:noProof/>
                <w:webHidden/>
              </w:rPr>
              <w:fldChar w:fldCharType="begin"/>
            </w:r>
            <w:r w:rsidRPr="00331AE8">
              <w:rPr>
                <w:rFonts w:cs="Times New Roman"/>
                <w:noProof/>
                <w:webHidden/>
              </w:rPr>
              <w:instrText xml:space="preserve"> PAGEREF _Toc227272927 \h </w:instrText>
            </w:r>
            <w:r w:rsidRPr="00331AE8">
              <w:rPr>
                <w:rFonts w:cs="Times New Roman"/>
                <w:noProof/>
                <w:webHidden/>
              </w:rPr>
            </w:r>
            <w:r w:rsidRPr="00331AE8">
              <w:rPr>
                <w:rFonts w:cs="Times New Roman"/>
                <w:noProof/>
                <w:webHidden/>
              </w:rPr>
              <w:fldChar w:fldCharType="separate"/>
            </w:r>
            <w:r w:rsidR="00851DBF">
              <w:rPr>
                <w:rFonts w:cs="Times New Roman"/>
                <w:noProof/>
                <w:webHidden/>
              </w:rPr>
              <w:t>9</w:t>
            </w:r>
            <w:r w:rsidRPr="00331AE8">
              <w:rPr>
                <w:rFonts w:cs="Times New Roman"/>
                <w:noProof/>
                <w:webHidden/>
              </w:rPr>
              <w:fldChar w:fldCharType="end"/>
            </w:r>
          </w:hyperlink>
        </w:p>
        <w:p w14:paraId="29CC3BF5" w14:textId="09559F3E" w:rsidR="00331AE8" w:rsidRPr="00331AE8" w:rsidRDefault="00331AE8" w:rsidP="00331AE8">
          <w:pPr>
            <w:pStyle w:val="TOC2"/>
            <w:tabs>
              <w:tab w:val="right" w:leader="dot" w:pos="9016"/>
            </w:tabs>
            <w:spacing w:line="360" w:lineRule="auto"/>
            <w:rPr>
              <w:rFonts w:cs="Times New Roman"/>
              <w:noProof/>
            </w:rPr>
          </w:pPr>
          <w:hyperlink w:anchor="_Toc227272928" w:history="1">
            <w:r w:rsidRPr="00331AE8">
              <w:rPr>
                <w:rStyle w:val="Hyperlink"/>
                <w:rFonts w:eastAsia="Arial" w:cs="Times New Roman"/>
                <w:bCs/>
                <w:noProof/>
              </w:rPr>
              <w:t>6.1 Communication</w:t>
            </w:r>
            <w:r w:rsidRPr="00331AE8">
              <w:rPr>
                <w:rFonts w:cs="Times New Roman"/>
                <w:noProof/>
                <w:webHidden/>
              </w:rPr>
              <w:tab/>
            </w:r>
            <w:r w:rsidRPr="00331AE8">
              <w:rPr>
                <w:rFonts w:cs="Times New Roman"/>
                <w:noProof/>
                <w:webHidden/>
              </w:rPr>
              <w:fldChar w:fldCharType="begin"/>
            </w:r>
            <w:r w:rsidRPr="00331AE8">
              <w:rPr>
                <w:rFonts w:cs="Times New Roman"/>
                <w:noProof/>
                <w:webHidden/>
              </w:rPr>
              <w:instrText xml:space="preserve"> PAGEREF _Toc227272928 \h </w:instrText>
            </w:r>
            <w:r w:rsidRPr="00331AE8">
              <w:rPr>
                <w:rFonts w:cs="Times New Roman"/>
                <w:noProof/>
                <w:webHidden/>
              </w:rPr>
            </w:r>
            <w:r w:rsidRPr="00331AE8">
              <w:rPr>
                <w:rFonts w:cs="Times New Roman"/>
                <w:noProof/>
                <w:webHidden/>
              </w:rPr>
              <w:fldChar w:fldCharType="separate"/>
            </w:r>
            <w:r w:rsidR="00851DBF">
              <w:rPr>
                <w:rFonts w:cs="Times New Roman"/>
                <w:noProof/>
                <w:webHidden/>
              </w:rPr>
              <w:t>10</w:t>
            </w:r>
            <w:r w:rsidRPr="00331AE8">
              <w:rPr>
                <w:rFonts w:cs="Times New Roman"/>
                <w:noProof/>
                <w:webHidden/>
              </w:rPr>
              <w:fldChar w:fldCharType="end"/>
            </w:r>
          </w:hyperlink>
        </w:p>
        <w:p w14:paraId="1B24DC1B" w14:textId="16C02D1E" w:rsidR="00331AE8" w:rsidRPr="00331AE8" w:rsidRDefault="00331AE8" w:rsidP="00331AE8">
          <w:pPr>
            <w:pStyle w:val="TOC2"/>
            <w:tabs>
              <w:tab w:val="right" w:leader="dot" w:pos="9016"/>
            </w:tabs>
            <w:spacing w:line="360" w:lineRule="auto"/>
            <w:rPr>
              <w:rFonts w:cs="Times New Roman"/>
              <w:noProof/>
            </w:rPr>
          </w:pPr>
          <w:hyperlink w:anchor="_Toc227272929" w:history="1">
            <w:r w:rsidRPr="00331AE8">
              <w:rPr>
                <w:rStyle w:val="Hyperlink"/>
                <w:rFonts w:eastAsia="Arial" w:cs="Times New Roman"/>
                <w:bCs/>
                <w:noProof/>
              </w:rPr>
              <w:t>6.2 Collaboration</w:t>
            </w:r>
            <w:r w:rsidRPr="00331AE8">
              <w:rPr>
                <w:rFonts w:cs="Times New Roman"/>
                <w:noProof/>
                <w:webHidden/>
              </w:rPr>
              <w:tab/>
            </w:r>
            <w:r w:rsidRPr="00331AE8">
              <w:rPr>
                <w:rFonts w:cs="Times New Roman"/>
                <w:noProof/>
                <w:webHidden/>
              </w:rPr>
              <w:fldChar w:fldCharType="begin"/>
            </w:r>
            <w:r w:rsidRPr="00331AE8">
              <w:rPr>
                <w:rFonts w:cs="Times New Roman"/>
                <w:noProof/>
                <w:webHidden/>
              </w:rPr>
              <w:instrText xml:space="preserve"> PAGEREF _Toc227272929 \h </w:instrText>
            </w:r>
            <w:r w:rsidRPr="00331AE8">
              <w:rPr>
                <w:rFonts w:cs="Times New Roman"/>
                <w:noProof/>
                <w:webHidden/>
              </w:rPr>
            </w:r>
            <w:r w:rsidRPr="00331AE8">
              <w:rPr>
                <w:rFonts w:cs="Times New Roman"/>
                <w:noProof/>
                <w:webHidden/>
              </w:rPr>
              <w:fldChar w:fldCharType="separate"/>
            </w:r>
            <w:r w:rsidR="00851DBF">
              <w:rPr>
                <w:rFonts w:cs="Times New Roman"/>
                <w:noProof/>
                <w:webHidden/>
              </w:rPr>
              <w:t>11</w:t>
            </w:r>
            <w:r w:rsidRPr="00331AE8">
              <w:rPr>
                <w:rFonts w:cs="Times New Roman"/>
                <w:noProof/>
                <w:webHidden/>
              </w:rPr>
              <w:fldChar w:fldCharType="end"/>
            </w:r>
          </w:hyperlink>
        </w:p>
        <w:p w14:paraId="701CB0D4" w14:textId="7069CCDC" w:rsidR="00331AE8" w:rsidRPr="00331AE8" w:rsidRDefault="00331AE8" w:rsidP="00331AE8">
          <w:pPr>
            <w:pStyle w:val="TOC2"/>
            <w:tabs>
              <w:tab w:val="right" w:leader="dot" w:pos="9016"/>
            </w:tabs>
            <w:spacing w:line="360" w:lineRule="auto"/>
            <w:rPr>
              <w:rFonts w:cs="Times New Roman"/>
              <w:noProof/>
            </w:rPr>
          </w:pPr>
          <w:hyperlink w:anchor="_Toc227272930" w:history="1">
            <w:r w:rsidRPr="00331AE8">
              <w:rPr>
                <w:rStyle w:val="Hyperlink"/>
                <w:rFonts w:eastAsia="Arial" w:cs="Times New Roman"/>
                <w:bCs/>
                <w:noProof/>
              </w:rPr>
              <w:t>6.3 Consultation and Commitment</w:t>
            </w:r>
            <w:r w:rsidRPr="00331AE8">
              <w:rPr>
                <w:rFonts w:cs="Times New Roman"/>
                <w:noProof/>
                <w:webHidden/>
              </w:rPr>
              <w:tab/>
            </w:r>
            <w:r w:rsidRPr="00331AE8">
              <w:rPr>
                <w:rFonts w:cs="Times New Roman"/>
                <w:noProof/>
                <w:webHidden/>
              </w:rPr>
              <w:fldChar w:fldCharType="begin"/>
            </w:r>
            <w:r w:rsidRPr="00331AE8">
              <w:rPr>
                <w:rFonts w:cs="Times New Roman"/>
                <w:noProof/>
                <w:webHidden/>
              </w:rPr>
              <w:instrText xml:space="preserve"> PAGEREF _Toc227272930 \h </w:instrText>
            </w:r>
            <w:r w:rsidRPr="00331AE8">
              <w:rPr>
                <w:rFonts w:cs="Times New Roman"/>
                <w:noProof/>
                <w:webHidden/>
              </w:rPr>
            </w:r>
            <w:r w:rsidRPr="00331AE8">
              <w:rPr>
                <w:rFonts w:cs="Times New Roman"/>
                <w:noProof/>
                <w:webHidden/>
              </w:rPr>
              <w:fldChar w:fldCharType="separate"/>
            </w:r>
            <w:r w:rsidR="00851DBF">
              <w:rPr>
                <w:rFonts w:cs="Times New Roman"/>
                <w:noProof/>
                <w:webHidden/>
              </w:rPr>
              <w:t>12</w:t>
            </w:r>
            <w:r w:rsidRPr="00331AE8">
              <w:rPr>
                <w:rFonts w:cs="Times New Roman"/>
                <w:noProof/>
                <w:webHidden/>
              </w:rPr>
              <w:fldChar w:fldCharType="end"/>
            </w:r>
          </w:hyperlink>
        </w:p>
        <w:p w14:paraId="17B897A0" w14:textId="379561D4" w:rsidR="00331AE8" w:rsidRPr="00331AE8" w:rsidRDefault="00331AE8" w:rsidP="00331AE8">
          <w:pPr>
            <w:pStyle w:val="TOC1"/>
            <w:tabs>
              <w:tab w:val="right" w:leader="dot" w:pos="9016"/>
            </w:tabs>
            <w:spacing w:line="360" w:lineRule="auto"/>
            <w:rPr>
              <w:rFonts w:cs="Times New Roman"/>
              <w:noProof/>
            </w:rPr>
          </w:pPr>
          <w:hyperlink w:anchor="_Toc227272931" w:history="1">
            <w:r w:rsidRPr="00331AE8">
              <w:rPr>
                <w:rStyle w:val="Hyperlink"/>
                <w:rFonts w:eastAsia="Arial" w:cs="Times New Roman"/>
                <w:bCs/>
                <w:noProof/>
              </w:rPr>
              <w:t>7.0 Impact of Stakeholder Engagement on Business Performance and Recommendations</w:t>
            </w:r>
            <w:r w:rsidRPr="00331AE8">
              <w:rPr>
                <w:rFonts w:cs="Times New Roman"/>
                <w:noProof/>
                <w:webHidden/>
              </w:rPr>
              <w:tab/>
            </w:r>
            <w:r w:rsidRPr="00331AE8">
              <w:rPr>
                <w:rFonts w:cs="Times New Roman"/>
                <w:noProof/>
                <w:webHidden/>
              </w:rPr>
              <w:fldChar w:fldCharType="begin"/>
            </w:r>
            <w:r w:rsidRPr="00331AE8">
              <w:rPr>
                <w:rFonts w:cs="Times New Roman"/>
                <w:noProof/>
                <w:webHidden/>
              </w:rPr>
              <w:instrText xml:space="preserve"> PAGEREF _Toc227272931 \h </w:instrText>
            </w:r>
            <w:r w:rsidRPr="00331AE8">
              <w:rPr>
                <w:rFonts w:cs="Times New Roman"/>
                <w:noProof/>
                <w:webHidden/>
              </w:rPr>
            </w:r>
            <w:r w:rsidRPr="00331AE8">
              <w:rPr>
                <w:rFonts w:cs="Times New Roman"/>
                <w:noProof/>
                <w:webHidden/>
              </w:rPr>
              <w:fldChar w:fldCharType="separate"/>
            </w:r>
            <w:r w:rsidR="00851DBF">
              <w:rPr>
                <w:rFonts w:cs="Times New Roman"/>
                <w:noProof/>
                <w:webHidden/>
              </w:rPr>
              <w:t>13</w:t>
            </w:r>
            <w:r w:rsidRPr="00331AE8">
              <w:rPr>
                <w:rFonts w:cs="Times New Roman"/>
                <w:noProof/>
                <w:webHidden/>
              </w:rPr>
              <w:fldChar w:fldCharType="end"/>
            </w:r>
          </w:hyperlink>
        </w:p>
        <w:p w14:paraId="1F9D8A1A" w14:textId="059A9E5D" w:rsidR="00331AE8" w:rsidRPr="00331AE8" w:rsidRDefault="00331AE8" w:rsidP="00331AE8">
          <w:pPr>
            <w:pStyle w:val="TOC1"/>
            <w:tabs>
              <w:tab w:val="right" w:leader="dot" w:pos="9016"/>
            </w:tabs>
            <w:spacing w:line="360" w:lineRule="auto"/>
            <w:rPr>
              <w:rFonts w:cs="Times New Roman"/>
              <w:noProof/>
            </w:rPr>
          </w:pPr>
          <w:hyperlink w:anchor="_Toc227272932" w:history="1">
            <w:r w:rsidRPr="00331AE8">
              <w:rPr>
                <w:rStyle w:val="Hyperlink"/>
                <w:rFonts w:eastAsia="Arial" w:cs="Times New Roman"/>
                <w:bCs/>
                <w:noProof/>
              </w:rPr>
              <w:t>8.0 Conclusion</w:t>
            </w:r>
            <w:r w:rsidRPr="00331AE8">
              <w:rPr>
                <w:rFonts w:cs="Times New Roman"/>
                <w:noProof/>
                <w:webHidden/>
              </w:rPr>
              <w:tab/>
            </w:r>
            <w:r w:rsidRPr="00331AE8">
              <w:rPr>
                <w:rFonts w:cs="Times New Roman"/>
                <w:noProof/>
                <w:webHidden/>
              </w:rPr>
              <w:fldChar w:fldCharType="begin"/>
            </w:r>
            <w:r w:rsidRPr="00331AE8">
              <w:rPr>
                <w:rFonts w:cs="Times New Roman"/>
                <w:noProof/>
                <w:webHidden/>
              </w:rPr>
              <w:instrText xml:space="preserve"> PAGEREF _Toc227272932 \h </w:instrText>
            </w:r>
            <w:r w:rsidRPr="00331AE8">
              <w:rPr>
                <w:rFonts w:cs="Times New Roman"/>
                <w:noProof/>
                <w:webHidden/>
              </w:rPr>
            </w:r>
            <w:r w:rsidRPr="00331AE8">
              <w:rPr>
                <w:rFonts w:cs="Times New Roman"/>
                <w:noProof/>
                <w:webHidden/>
              </w:rPr>
              <w:fldChar w:fldCharType="separate"/>
            </w:r>
            <w:r w:rsidR="00851DBF">
              <w:rPr>
                <w:rFonts w:cs="Times New Roman"/>
                <w:noProof/>
                <w:webHidden/>
              </w:rPr>
              <w:t>14</w:t>
            </w:r>
            <w:r w:rsidRPr="00331AE8">
              <w:rPr>
                <w:rFonts w:cs="Times New Roman"/>
                <w:noProof/>
                <w:webHidden/>
              </w:rPr>
              <w:fldChar w:fldCharType="end"/>
            </w:r>
          </w:hyperlink>
        </w:p>
        <w:p w14:paraId="79C7CB07" w14:textId="6E06115B" w:rsidR="00331AE8" w:rsidRPr="00331AE8" w:rsidRDefault="00331AE8" w:rsidP="00331AE8">
          <w:pPr>
            <w:pStyle w:val="TOC1"/>
            <w:tabs>
              <w:tab w:val="right" w:leader="dot" w:pos="9016"/>
            </w:tabs>
            <w:spacing w:line="360" w:lineRule="auto"/>
            <w:rPr>
              <w:rFonts w:cs="Times New Roman"/>
              <w:noProof/>
            </w:rPr>
          </w:pPr>
          <w:hyperlink w:anchor="_Toc227272933" w:history="1">
            <w:r w:rsidRPr="00331AE8">
              <w:rPr>
                <w:rStyle w:val="Hyperlink"/>
                <w:rFonts w:eastAsia="Arial" w:cs="Times New Roman"/>
                <w:bCs/>
                <w:noProof/>
              </w:rPr>
              <w:t>References</w:t>
            </w:r>
            <w:r w:rsidRPr="00331AE8">
              <w:rPr>
                <w:rFonts w:cs="Times New Roman"/>
                <w:noProof/>
                <w:webHidden/>
              </w:rPr>
              <w:tab/>
            </w:r>
            <w:r w:rsidRPr="00331AE8">
              <w:rPr>
                <w:rFonts w:cs="Times New Roman"/>
                <w:noProof/>
                <w:webHidden/>
              </w:rPr>
              <w:fldChar w:fldCharType="begin"/>
            </w:r>
            <w:r w:rsidRPr="00331AE8">
              <w:rPr>
                <w:rFonts w:cs="Times New Roman"/>
                <w:noProof/>
                <w:webHidden/>
              </w:rPr>
              <w:instrText xml:space="preserve"> PAGEREF _Toc227272933 \h </w:instrText>
            </w:r>
            <w:r w:rsidRPr="00331AE8">
              <w:rPr>
                <w:rFonts w:cs="Times New Roman"/>
                <w:noProof/>
                <w:webHidden/>
              </w:rPr>
            </w:r>
            <w:r w:rsidRPr="00331AE8">
              <w:rPr>
                <w:rFonts w:cs="Times New Roman"/>
                <w:noProof/>
                <w:webHidden/>
              </w:rPr>
              <w:fldChar w:fldCharType="separate"/>
            </w:r>
            <w:r w:rsidR="00851DBF">
              <w:rPr>
                <w:rFonts w:cs="Times New Roman"/>
                <w:noProof/>
                <w:webHidden/>
              </w:rPr>
              <w:t>16</w:t>
            </w:r>
            <w:r w:rsidRPr="00331AE8">
              <w:rPr>
                <w:rFonts w:cs="Times New Roman"/>
                <w:noProof/>
                <w:webHidden/>
              </w:rPr>
              <w:fldChar w:fldCharType="end"/>
            </w:r>
          </w:hyperlink>
        </w:p>
        <w:p w14:paraId="1187145B" w14:textId="7D14A491" w:rsidR="00331AE8" w:rsidRDefault="00331AE8" w:rsidP="00331AE8">
          <w:pPr>
            <w:spacing w:line="360" w:lineRule="auto"/>
          </w:pPr>
          <w:r w:rsidRPr="00331AE8">
            <w:rPr>
              <w:rFonts w:cs="Times New Roman"/>
              <w:b/>
              <w:bCs/>
              <w:noProof/>
            </w:rPr>
            <w:fldChar w:fldCharType="end"/>
          </w:r>
        </w:p>
      </w:sdtContent>
    </w:sdt>
    <w:p w14:paraId="0115F26D" w14:textId="77777777" w:rsidR="00331AE8" w:rsidRDefault="00331AE8"/>
    <w:p w14:paraId="3ECF6F2A" w14:textId="77777777" w:rsidR="00331AE8" w:rsidRDefault="00331AE8"/>
    <w:p w14:paraId="0D65BF00" w14:textId="77777777" w:rsidR="00331AE8" w:rsidRDefault="00331AE8"/>
    <w:p w14:paraId="440296AF" w14:textId="77777777" w:rsidR="00331AE8" w:rsidRDefault="00331AE8"/>
    <w:p w14:paraId="356F18AD" w14:textId="77777777" w:rsidR="00331AE8" w:rsidRDefault="00331AE8"/>
    <w:p w14:paraId="19FB9721" w14:textId="77777777" w:rsidR="00331AE8" w:rsidRDefault="00331AE8"/>
    <w:p w14:paraId="390825B8" w14:textId="77777777" w:rsidR="00331AE8" w:rsidRDefault="00331AE8"/>
    <w:p w14:paraId="5E82534A" w14:textId="77777777" w:rsidR="00331AE8" w:rsidRDefault="00331AE8"/>
    <w:p w14:paraId="0E951D45" w14:textId="77777777" w:rsidR="00331AE8" w:rsidRDefault="00331AE8"/>
    <w:p w14:paraId="7192255D" w14:textId="77777777" w:rsidR="00331AE8" w:rsidRDefault="00331AE8" w:rsidP="00331AE8">
      <w:pPr>
        <w:pStyle w:val="Heading1"/>
        <w:spacing w:before="320" w:after="200"/>
      </w:pPr>
      <w:bookmarkStart w:id="0" w:name="_Toc227272918"/>
      <w:r>
        <w:rPr>
          <w:rFonts w:ascii="Arial" w:eastAsia="Arial" w:hAnsi="Arial" w:cs="Arial"/>
          <w:bCs/>
          <w:sz w:val="32"/>
          <w:szCs w:val="32"/>
        </w:rPr>
        <w:lastRenderedPageBreak/>
        <w:t>1.0 Introduction</w:t>
      </w:r>
      <w:bookmarkEnd w:id="0"/>
    </w:p>
    <w:p w14:paraId="1DD64A1B" w14:textId="77777777" w:rsidR="00331AE8" w:rsidRDefault="00331AE8" w:rsidP="00331AE8">
      <w:pPr>
        <w:spacing w:line="360" w:lineRule="auto"/>
      </w:pPr>
      <w:r>
        <w:t xml:space="preserve">The hotel brand Premier Inn is the biggest hotel chain in the United Kingdom, having over 850 hotels and a premise in both London and Birmingham in the Whitbread Plc group (Whitbread Plc, 2024). With revenues of over 37,000 employees, the brand has a turnover of more than 2.9 billion </w:t>
      </w:r>
      <w:proofErr w:type="gramStart"/>
      <w:r>
        <w:t>pounds</w:t>
      </w:r>
      <w:proofErr w:type="gramEnd"/>
      <w:r>
        <w:t xml:space="preserve"> and it is in the low and middle-price category competing with Travelodge and Holiday Inn Express. Studies establish that scale of operations and digitalization are key focal points on competitiveness positioning in the hospitality sector (Khan and Khan, 2022). The </w:t>
      </w:r>
      <w:proofErr w:type="spellStart"/>
      <w:r>
        <w:t>analyzed</w:t>
      </w:r>
      <w:proofErr w:type="spellEnd"/>
      <w:r>
        <w:t xml:space="preserve"> project is the introduction of the new service </w:t>
      </w:r>
      <w:proofErr w:type="spellStart"/>
      <w:r>
        <w:t>StaySmart</w:t>
      </w:r>
      <w:proofErr w:type="spellEnd"/>
      <w:r>
        <w:t>+, which is the combination of artificial intelligence-based guest interaction solutions with sustainability features. This report names internal and external stakeholder groups, reasons to engage them, and assesses the benefits and difficulties of engaging stakeholders in this hospitality launch (</w:t>
      </w:r>
      <w:proofErr w:type="spellStart"/>
      <w:r>
        <w:t>Freudenreich</w:t>
      </w:r>
      <w:proofErr w:type="spellEnd"/>
      <w:r>
        <w:t xml:space="preserve">, Ludeke Freund and </w:t>
      </w:r>
      <w:proofErr w:type="spellStart"/>
      <w:r>
        <w:t>Schaltegger</w:t>
      </w:r>
      <w:proofErr w:type="spellEnd"/>
      <w:r>
        <w:t>, 2022).</w:t>
      </w:r>
    </w:p>
    <w:p w14:paraId="0B204DEC" w14:textId="77777777" w:rsidR="00331AE8" w:rsidRDefault="00331AE8" w:rsidP="00331AE8">
      <w:pPr>
        <w:pStyle w:val="Heading1"/>
        <w:spacing w:before="320" w:after="200"/>
      </w:pPr>
      <w:bookmarkStart w:id="1" w:name="_Toc227272919"/>
      <w:r>
        <w:rPr>
          <w:rFonts w:ascii="Arial" w:eastAsia="Arial" w:hAnsi="Arial" w:cs="Arial"/>
          <w:bCs/>
          <w:sz w:val="32"/>
          <w:szCs w:val="32"/>
        </w:rPr>
        <w:t>2.0 Company Appraisal: SWOT and PESTLE Analysis</w:t>
      </w:r>
      <w:bookmarkEnd w:id="1"/>
    </w:p>
    <w:p w14:paraId="45F5ED58" w14:textId="77777777" w:rsidR="00331AE8" w:rsidRDefault="00331AE8" w:rsidP="00331AE8">
      <w:pPr>
        <w:spacing w:line="360" w:lineRule="auto"/>
      </w:pPr>
      <w:r>
        <w:t>The situational analysis is comprehensive and allows engaging the stakeholders effectively when the internal capabilities and external forces influencing the project priorities are understood (</w:t>
      </w:r>
      <w:proofErr w:type="spellStart"/>
      <w:r>
        <w:t>Benzaghta</w:t>
      </w:r>
      <w:proofErr w:type="spellEnd"/>
      <w:r>
        <w:t xml:space="preserve"> et al., 2021). The following SWOT analysis and the PESTLE analysis position the environment where the </w:t>
      </w:r>
      <w:proofErr w:type="spellStart"/>
      <w:r>
        <w:t>StaySmart</w:t>
      </w:r>
      <w:proofErr w:type="spellEnd"/>
      <w:r>
        <w:t>+ will be introduced, and the SMART objectives transform the insights into the quantifiable project objectives.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680"/>
        <w:gridCol w:w="4680"/>
      </w:tblGrid>
      <w:tr w:rsidR="00331AE8" w14:paraId="3D3937C3" w14:textId="77777777" w:rsidTr="002E4235">
        <w:tc>
          <w:tcPr>
            <w:tcW w:w="4680" w:type="dxa"/>
            <w:tcBorders>
              <w:top w:val="single" w:sz="1" w:space="0" w:color="888888"/>
              <w:left w:val="single" w:sz="1" w:space="0" w:color="888888"/>
              <w:bottom w:val="single" w:sz="1" w:space="0" w:color="888888"/>
              <w:right w:val="single" w:sz="1" w:space="0" w:color="888888"/>
            </w:tcBorders>
            <w:shd w:val="clear" w:color="auto" w:fill="D5E8F0"/>
            <w:tcMar>
              <w:top w:w="80" w:type="dxa"/>
              <w:left w:w="120" w:type="dxa"/>
              <w:bottom w:w="80" w:type="dxa"/>
              <w:right w:w="120" w:type="dxa"/>
            </w:tcMar>
          </w:tcPr>
          <w:p w14:paraId="6373466E" w14:textId="77777777" w:rsidR="00331AE8" w:rsidRDefault="00331AE8" w:rsidP="002E4235">
            <w:pPr>
              <w:spacing w:line="276" w:lineRule="auto"/>
            </w:pPr>
            <w:r>
              <w:rPr>
                <w:rFonts w:ascii="Arial" w:eastAsia="Arial" w:hAnsi="Arial" w:cs="Arial"/>
                <w:b/>
                <w:bCs/>
                <w:sz w:val="20"/>
                <w:szCs w:val="20"/>
              </w:rPr>
              <w:t>Strengths</w:t>
            </w:r>
          </w:p>
        </w:tc>
        <w:tc>
          <w:tcPr>
            <w:tcW w:w="4680" w:type="dxa"/>
            <w:tcBorders>
              <w:top w:val="single" w:sz="1" w:space="0" w:color="888888"/>
              <w:left w:val="single" w:sz="1" w:space="0" w:color="888888"/>
              <w:bottom w:val="single" w:sz="1" w:space="0" w:color="888888"/>
              <w:right w:val="single" w:sz="1" w:space="0" w:color="888888"/>
            </w:tcBorders>
            <w:shd w:val="clear" w:color="auto" w:fill="F8D7DA"/>
            <w:tcMar>
              <w:top w:w="80" w:type="dxa"/>
              <w:left w:w="120" w:type="dxa"/>
              <w:bottom w:w="80" w:type="dxa"/>
              <w:right w:w="120" w:type="dxa"/>
            </w:tcMar>
          </w:tcPr>
          <w:p w14:paraId="5861DBC7" w14:textId="77777777" w:rsidR="00331AE8" w:rsidRDefault="00331AE8" w:rsidP="002E4235">
            <w:pPr>
              <w:spacing w:line="276" w:lineRule="auto"/>
            </w:pPr>
            <w:r>
              <w:rPr>
                <w:rFonts w:ascii="Arial" w:eastAsia="Arial" w:hAnsi="Arial" w:cs="Arial"/>
                <w:b/>
                <w:bCs/>
                <w:sz w:val="20"/>
                <w:szCs w:val="20"/>
              </w:rPr>
              <w:t>Weaknesses</w:t>
            </w:r>
          </w:p>
        </w:tc>
      </w:tr>
      <w:tr w:rsidR="00331AE8" w14:paraId="7F19DA23" w14:textId="77777777" w:rsidTr="002E4235">
        <w:tc>
          <w:tcPr>
            <w:tcW w:w="4680" w:type="dxa"/>
            <w:tcBorders>
              <w:top w:val="single" w:sz="1" w:space="0" w:color="888888"/>
              <w:left w:val="single" w:sz="1" w:space="0" w:color="888888"/>
              <w:bottom w:val="single" w:sz="1" w:space="0" w:color="888888"/>
              <w:right w:val="single" w:sz="1" w:space="0" w:color="888888"/>
            </w:tcBorders>
            <w:tcMar>
              <w:top w:w="80" w:type="dxa"/>
              <w:left w:w="120" w:type="dxa"/>
              <w:bottom w:w="80" w:type="dxa"/>
              <w:right w:w="120" w:type="dxa"/>
            </w:tcMar>
          </w:tcPr>
          <w:p w14:paraId="571CFED8" w14:textId="77777777" w:rsidR="00331AE8" w:rsidRDefault="00331AE8" w:rsidP="002E4235">
            <w:pPr>
              <w:spacing w:line="276" w:lineRule="auto"/>
            </w:pPr>
            <w:r>
              <w:rPr>
                <w:rFonts w:ascii="Arial" w:eastAsia="Arial" w:hAnsi="Arial" w:cs="Arial"/>
                <w:sz w:val="20"/>
                <w:szCs w:val="20"/>
              </w:rPr>
              <w:t>Largest UK hotel brand with over 850 properties. Strong brand recognition and consistent product standards. Efficient operating model and strong financial backing of Whitbread Plc. Loyal customer base supported by Premier Inn guarantee.</w:t>
            </w:r>
          </w:p>
        </w:tc>
        <w:tc>
          <w:tcPr>
            <w:tcW w:w="4680" w:type="dxa"/>
            <w:tcBorders>
              <w:top w:val="single" w:sz="1" w:space="0" w:color="888888"/>
              <w:left w:val="single" w:sz="1" w:space="0" w:color="888888"/>
              <w:bottom w:val="single" w:sz="1" w:space="0" w:color="888888"/>
              <w:right w:val="single" w:sz="1" w:space="0" w:color="888888"/>
            </w:tcBorders>
            <w:tcMar>
              <w:top w:w="80" w:type="dxa"/>
              <w:left w:w="120" w:type="dxa"/>
              <w:bottom w:w="80" w:type="dxa"/>
              <w:right w:w="120" w:type="dxa"/>
            </w:tcMar>
          </w:tcPr>
          <w:p w14:paraId="0E69777E" w14:textId="77777777" w:rsidR="00331AE8" w:rsidRDefault="00331AE8" w:rsidP="002E4235">
            <w:pPr>
              <w:spacing w:line="276" w:lineRule="auto"/>
            </w:pPr>
            <w:r>
              <w:rPr>
                <w:rFonts w:ascii="Arial" w:eastAsia="Arial" w:hAnsi="Arial" w:cs="Arial"/>
                <w:sz w:val="20"/>
                <w:szCs w:val="20"/>
              </w:rPr>
              <w:t>Limited premium positioning reducing pricing flexibility. Heavy dependence on UK domestic market. Slower adoption of digital guest technologies compared with global chains. Constrained international footprint outside Germany.</w:t>
            </w:r>
          </w:p>
        </w:tc>
      </w:tr>
      <w:tr w:rsidR="00331AE8" w14:paraId="547F675B" w14:textId="77777777" w:rsidTr="002E4235">
        <w:tc>
          <w:tcPr>
            <w:tcW w:w="4680" w:type="dxa"/>
            <w:tcBorders>
              <w:top w:val="single" w:sz="1" w:space="0" w:color="888888"/>
              <w:left w:val="single" w:sz="1" w:space="0" w:color="888888"/>
              <w:bottom w:val="single" w:sz="1" w:space="0" w:color="888888"/>
              <w:right w:val="single" w:sz="1" w:space="0" w:color="888888"/>
            </w:tcBorders>
            <w:shd w:val="clear" w:color="auto" w:fill="D4EDDA"/>
            <w:tcMar>
              <w:top w:w="80" w:type="dxa"/>
              <w:left w:w="120" w:type="dxa"/>
              <w:bottom w:w="80" w:type="dxa"/>
              <w:right w:w="120" w:type="dxa"/>
            </w:tcMar>
          </w:tcPr>
          <w:p w14:paraId="1DD267DA" w14:textId="77777777" w:rsidR="00331AE8" w:rsidRDefault="00331AE8" w:rsidP="002E4235">
            <w:pPr>
              <w:spacing w:line="276" w:lineRule="auto"/>
            </w:pPr>
            <w:r>
              <w:rPr>
                <w:rFonts w:ascii="Arial" w:eastAsia="Arial" w:hAnsi="Arial" w:cs="Arial"/>
                <w:b/>
                <w:bCs/>
                <w:sz w:val="20"/>
                <w:szCs w:val="20"/>
              </w:rPr>
              <w:t>Opportunities</w:t>
            </w:r>
          </w:p>
        </w:tc>
        <w:tc>
          <w:tcPr>
            <w:tcW w:w="4680" w:type="dxa"/>
            <w:tcBorders>
              <w:top w:val="single" w:sz="1" w:space="0" w:color="888888"/>
              <w:left w:val="single" w:sz="1" w:space="0" w:color="888888"/>
              <w:bottom w:val="single" w:sz="1" w:space="0" w:color="888888"/>
              <w:right w:val="single" w:sz="1" w:space="0" w:color="888888"/>
            </w:tcBorders>
            <w:shd w:val="clear" w:color="auto" w:fill="FFF3CD"/>
            <w:tcMar>
              <w:top w:w="80" w:type="dxa"/>
              <w:left w:w="120" w:type="dxa"/>
              <w:bottom w:w="80" w:type="dxa"/>
              <w:right w:w="120" w:type="dxa"/>
            </w:tcMar>
          </w:tcPr>
          <w:p w14:paraId="2BE6E8D8" w14:textId="77777777" w:rsidR="00331AE8" w:rsidRDefault="00331AE8" w:rsidP="002E4235">
            <w:pPr>
              <w:spacing w:line="276" w:lineRule="auto"/>
            </w:pPr>
            <w:r>
              <w:rPr>
                <w:rFonts w:ascii="Arial" w:eastAsia="Arial" w:hAnsi="Arial" w:cs="Arial"/>
                <w:b/>
                <w:bCs/>
                <w:sz w:val="20"/>
                <w:szCs w:val="20"/>
              </w:rPr>
              <w:t>Threats</w:t>
            </w:r>
          </w:p>
        </w:tc>
      </w:tr>
      <w:tr w:rsidR="00331AE8" w14:paraId="43C1219F" w14:textId="77777777" w:rsidTr="002E4235">
        <w:tc>
          <w:tcPr>
            <w:tcW w:w="4680" w:type="dxa"/>
            <w:tcBorders>
              <w:top w:val="single" w:sz="1" w:space="0" w:color="888888"/>
              <w:left w:val="single" w:sz="1" w:space="0" w:color="888888"/>
              <w:bottom w:val="single" w:sz="1" w:space="0" w:color="888888"/>
              <w:right w:val="single" w:sz="1" w:space="0" w:color="888888"/>
            </w:tcBorders>
            <w:tcMar>
              <w:top w:w="80" w:type="dxa"/>
              <w:left w:w="120" w:type="dxa"/>
              <w:bottom w:w="80" w:type="dxa"/>
              <w:right w:w="120" w:type="dxa"/>
            </w:tcMar>
          </w:tcPr>
          <w:p w14:paraId="36ACF370" w14:textId="77777777" w:rsidR="00331AE8" w:rsidRDefault="00331AE8" w:rsidP="002E4235">
            <w:pPr>
              <w:spacing w:line="276" w:lineRule="auto"/>
            </w:pPr>
            <w:r>
              <w:rPr>
                <w:rFonts w:ascii="Arial" w:eastAsia="Arial" w:hAnsi="Arial" w:cs="Arial"/>
                <w:sz w:val="20"/>
                <w:szCs w:val="20"/>
              </w:rPr>
              <w:t>Growing demand for sustainable and technology enabled travel experiences post pandemic. Expansion into Germany and further European markets. Use of artificial intelligence to personalise guest journeys. Rising business traveller demand for reliable accommodation.</w:t>
            </w:r>
          </w:p>
        </w:tc>
        <w:tc>
          <w:tcPr>
            <w:tcW w:w="4680" w:type="dxa"/>
            <w:tcBorders>
              <w:top w:val="single" w:sz="1" w:space="0" w:color="888888"/>
              <w:left w:val="single" w:sz="1" w:space="0" w:color="888888"/>
              <w:bottom w:val="single" w:sz="1" w:space="0" w:color="888888"/>
              <w:right w:val="single" w:sz="1" w:space="0" w:color="888888"/>
            </w:tcBorders>
            <w:tcMar>
              <w:top w:w="80" w:type="dxa"/>
              <w:left w:w="120" w:type="dxa"/>
              <w:bottom w:w="80" w:type="dxa"/>
              <w:right w:w="120" w:type="dxa"/>
            </w:tcMar>
          </w:tcPr>
          <w:p w14:paraId="2403E050" w14:textId="77777777" w:rsidR="00331AE8" w:rsidRDefault="00331AE8" w:rsidP="002E4235">
            <w:pPr>
              <w:spacing w:line="276" w:lineRule="auto"/>
            </w:pPr>
            <w:r>
              <w:rPr>
                <w:rFonts w:ascii="Arial" w:eastAsia="Arial" w:hAnsi="Arial" w:cs="Arial"/>
                <w:sz w:val="20"/>
                <w:szCs w:val="20"/>
              </w:rPr>
              <w:t>Intense price competition from Travelodge, Ibis, and online short let platforms. Rising energy and labour costs compressing operating margins. Cybersecurity risks linked to guest data and AI systems. Economic uncertainty affecting discretionary travel spend.</w:t>
            </w:r>
          </w:p>
        </w:tc>
      </w:tr>
    </w:tbl>
    <w:p w14:paraId="6333B251" w14:textId="77777777" w:rsidR="00331AE8" w:rsidRDefault="00331AE8" w:rsidP="00331AE8">
      <w:pPr>
        <w:spacing w:after="200"/>
      </w:pPr>
      <w:r>
        <w:rPr>
          <w:rFonts w:ascii="Arial" w:eastAsia="Arial" w:hAnsi="Arial" w:cs="Arial"/>
          <w:i/>
          <w:iCs/>
          <w:sz w:val="20"/>
          <w:szCs w:val="20"/>
        </w:rPr>
        <w:t xml:space="preserve">Figure 1: SWOT Analysis of Premier Inn. Source: Author, based on </w:t>
      </w:r>
      <w:proofErr w:type="spellStart"/>
      <w:r>
        <w:rPr>
          <w:rFonts w:ascii="Arial" w:eastAsia="Arial" w:hAnsi="Arial" w:cs="Arial"/>
          <w:i/>
          <w:iCs/>
          <w:sz w:val="20"/>
          <w:szCs w:val="20"/>
        </w:rPr>
        <w:t>Benzaghta</w:t>
      </w:r>
      <w:proofErr w:type="spellEnd"/>
      <w:r>
        <w:rPr>
          <w:rFonts w:ascii="Arial" w:eastAsia="Arial" w:hAnsi="Arial" w:cs="Arial"/>
          <w:i/>
          <w:iCs/>
          <w:sz w:val="20"/>
          <w:szCs w:val="20"/>
        </w:rPr>
        <w:t xml:space="preserve"> et al. (2021).</w:t>
      </w:r>
    </w:p>
    <w:p w14:paraId="557F26C8" w14:textId="77777777" w:rsidR="00331AE8" w:rsidRDefault="00331AE8" w:rsidP="00331AE8">
      <w:pPr>
        <w:spacing w:line="360" w:lineRule="auto"/>
      </w:pPr>
      <w:r>
        <w:lastRenderedPageBreak/>
        <w:t xml:space="preserve">The SWOT analysis shows that Premier Inn is positioned with a service launch to a scale and financial strength to enter </w:t>
      </w:r>
      <w:proofErr w:type="spellStart"/>
      <w:r>
        <w:t>StaySmart</w:t>
      </w:r>
      <w:proofErr w:type="spellEnd"/>
      <w:r>
        <w:t>+, but it is under pressure in terms of digital maturity and premium positioning, which explains the necessity to launch the service and accelerate technology use and differentiate the guest experience (</w:t>
      </w:r>
      <w:proofErr w:type="spellStart"/>
      <w:r>
        <w:t>Phadermrod</w:t>
      </w:r>
      <w:proofErr w:type="spellEnd"/>
      <w:r>
        <w:t xml:space="preserve">, Crowder and Wills, 2019). The existing literature on SWOT application to services in the literature highlights the importance of mobilising stakeholder groups in the operations, technology, and marketing segments through systematic methods of engagement </w:t>
      </w:r>
      <w:proofErr w:type="gramStart"/>
      <w:r>
        <w:t>in order to</w:t>
      </w:r>
      <w:proofErr w:type="gramEnd"/>
      <w:r>
        <w:t xml:space="preserve"> convert strengths and opportunities into competitive advantage (</w:t>
      </w:r>
      <w:proofErr w:type="spellStart"/>
      <w:r>
        <w:t>Puyt</w:t>
      </w:r>
      <w:proofErr w:type="spellEnd"/>
      <w:r>
        <w:t xml:space="preserve">, Lie and </w:t>
      </w:r>
      <w:proofErr w:type="spellStart"/>
      <w:r>
        <w:t>Wilderom</w:t>
      </w:r>
      <w:proofErr w:type="spellEnd"/>
      <w:r>
        <w:t>, 2023).</w:t>
      </w:r>
    </w:p>
    <w:p w14:paraId="09FFAB70" w14:textId="77777777" w:rsidR="00331AE8" w:rsidRDefault="00331AE8" w:rsidP="00331AE8">
      <w:pPr>
        <w:spacing w:line="360" w:lineRule="auto"/>
      </w:pPr>
      <w:r>
        <w:t xml:space="preserve">The PESTLE analysis reveals that technological, social, and environmental aspects provide the prospects to a high-end AI and sustainability service, whereas legal and economic stresses require a disciplined cost management and a </w:t>
      </w:r>
      <w:proofErr w:type="gramStart"/>
      <w:r>
        <w:t>full-fledged data governance systems (Fatima and Elbanna, 2023)</w:t>
      </w:r>
      <w:proofErr w:type="gramEnd"/>
      <w:r>
        <w:t>. Researchers who integrate PESTLE and stakeholder analysis believe that the external conditions do not frequently work in isolation, as the political and economic changes change the expectations of regulators, investors, and customers at the same time (Tien et al., 2022).</w:t>
      </w:r>
    </w:p>
    <w:p w14:paraId="3060A6EE" w14:textId="70980FEC" w:rsidR="00331AE8" w:rsidRDefault="00331AE8" w:rsidP="00331AE8">
      <w:pPr>
        <w:spacing w:line="360" w:lineRule="auto"/>
      </w:pPr>
      <w:r>
        <w:t xml:space="preserve">Transforming situational analysis into quantifiable objectives facilitates alignment of the stakeholders since quantifiable objectives serve as a reference point in communication and responsibility between departments and other external partners (Lawlor and Hornyak, 2012). This project has three SMART goals. The first one is to roll out </w:t>
      </w:r>
      <w:proofErr w:type="spellStart"/>
      <w:r>
        <w:t>StaySmart</w:t>
      </w:r>
      <w:proofErr w:type="spellEnd"/>
      <w:r>
        <w:t>+ in thirty premises of the Premier Inn located in the United Kingdom and Germany within six months</w:t>
      </w:r>
      <w:r w:rsidR="00BF547D">
        <w:t xml:space="preserve"> (SPECIFIC &amp; ACHIEVABLE)</w:t>
      </w:r>
      <w:r>
        <w:t>. Second, increase the guest satisfaction uplift of eight percentage points on Net Promoter Score of participating hotels in twelve months</w:t>
      </w:r>
      <w:r w:rsidR="00BF547D">
        <w:t xml:space="preserve"> (MEASURABLE)</w:t>
      </w:r>
      <w:r>
        <w:t>. Third, cut average check in time by a fifth with the aid of AI assisted mobile processes and achieve seven per cent reduction in per room energy consumption in the first year</w:t>
      </w:r>
      <w:r w:rsidR="00BF547D">
        <w:t xml:space="preserve"> (REALISTIC &amp; TIMED)</w:t>
      </w:r>
      <w:r>
        <w:t xml:space="preserve"> (</w:t>
      </w:r>
      <w:proofErr w:type="spellStart"/>
      <w:r>
        <w:t>Ogbeibu</w:t>
      </w:r>
      <w:proofErr w:type="spellEnd"/>
      <w:r>
        <w:t xml:space="preserve"> et al., 2024).</w:t>
      </w:r>
    </w:p>
    <w:p w14:paraId="492BC149" w14:textId="77777777" w:rsidR="00331AE8" w:rsidRDefault="00331AE8" w:rsidP="00331AE8">
      <w:pPr>
        <w:pStyle w:val="Heading1"/>
        <w:spacing w:before="320" w:after="200"/>
      </w:pPr>
      <w:bookmarkStart w:id="2" w:name="_Toc227272920"/>
      <w:r>
        <w:rPr>
          <w:rFonts w:ascii="Arial" w:eastAsia="Arial" w:hAnsi="Arial" w:cs="Arial"/>
          <w:bCs/>
          <w:sz w:val="32"/>
          <w:szCs w:val="32"/>
        </w:rPr>
        <w:t>3.0 Key Internal and External Stakeholders</w:t>
      </w:r>
      <w:bookmarkEnd w:id="2"/>
    </w:p>
    <w:p w14:paraId="5BC153AF" w14:textId="77777777" w:rsidR="00331AE8" w:rsidRDefault="00331AE8" w:rsidP="00331AE8">
      <w:pPr>
        <w:spacing w:line="360" w:lineRule="auto"/>
      </w:pPr>
      <w:r>
        <w:t>The stakeholder theory refers to the stakeholders as any group or individual that influences or is influenced by the achievement of organisational objectives, and, therefore, identification of stakeholders is at the centre of service launches success (</w:t>
      </w:r>
      <w:proofErr w:type="spellStart"/>
      <w:r>
        <w:t>Freudenreich</w:t>
      </w:r>
      <w:proofErr w:type="spellEnd"/>
      <w:r>
        <w:t xml:space="preserve">, Ludeke Freund and </w:t>
      </w:r>
      <w:proofErr w:type="spellStart"/>
      <w:r>
        <w:t>Schaltegger</w:t>
      </w:r>
      <w:proofErr w:type="spellEnd"/>
      <w:r>
        <w:t xml:space="preserve">, 2022). In the case of </w:t>
      </w:r>
      <w:proofErr w:type="spellStart"/>
      <w:r>
        <w:t>StaySmart</w:t>
      </w:r>
      <w:proofErr w:type="spellEnd"/>
      <w:r>
        <w:t xml:space="preserve">+, the project manager is to understand that the process of launching a hospitality project is characterised by thick webs of internal teams that </w:t>
      </w:r>
      <w:r>
        <w:lastRenderedPageBreak/>
        <w:t>provide services and external entities that influence the market acceptance and have to be categorised and engaged in a systematic proportionate manner (Line, Hanks and Zhang, 2023).</w:t>
      </w:r>
    </w:p>
    <w:p w14:paraId="665BCBBA" w14:textId="77777777" w:rsidR="00331AE8" w:rsidRDefault="00331AE8" w:rsidP="00331AE8">
      <w:pPr>
        <w:pStyle w:val="Heading2"/>
        <w:spacing w:before="240" w:after="160"/>
      </w:pPr>
      <w:bookmarkStart w:id="3" w:name="_Toc227272921"/>
      <w:r>
        <w:rPr>
          <w:rFonts w:ascii="Arial" w:eastAsia="Arial" w:hAnsi="Arial" w:cs="Arial"/>
          <w:bCs/>
          <w:sz w:val="28"/>
          <w:szCs w:val="28"/>
        </w:rPr>
        <w:t>3.1 Internal Stakeholders</w:t>
      </w:r>
      <w:bookmarkEnd w:id="3"/>
    </w:p>
    <w:p w14:paraId="7884F6EB" w14:textId="77777777" w:rsidR="00331AE8" w:rsidRDefault="00331AE8" w:rsidP="00331AE8">
      <w:pPr>
        <w:spacing w:line="360" w:lineRule="auto"/>
      </w:pPr>
      <w:r>
        <w:t xml:space="preserve">Internal stakeholders start with the Whitbread executive team and manage director of Premier Inn, who offers strategic sponsorship, sanctions capital expenditure, and holds project managers responsible to deliver according to SMART goals (Bourne, 2022). AI tools, personalised travel planning interface, and sustainability amenities are developed by product development teams, which collaborate with IT and digital operations that ensure platform integration, cybersecurity measures, and stability of the systems. Brand positioning strategies and campaign development are influenced by marketing departments and pricing strategies in direct channels and online travel agents are calibrated by sales and revenue management departments. The new service is run by hotel general managers and </w:t>
      </w:r>
      <w:proofErr w:type="gramStart"/>
      <w:r>
        <w:t>front line</w:t>
      </w:r>
      <w:proofErr w:type="gramEnd"/>
      <w:r>
        <w:t xml:space="preserve"> employees in housekeeping, reception and food service, which makes them the focus of the quality of the guest facing (Kim, Milne and Fisher, 2022). The internal picture is complete with finance, procurement, human resources, sustainability, and legal compliance teams, which provide specialist control of budget, selection of suppliers, development of training programmes, environmental monitoring, and alignment with the UK GDPR and the new AI governance policies.</w:t>
      </w:r>
    </w:p>
    <w:p w14:paraId="041BE8DC" w14:textId="77777777" w:rsidR="00331AE8" w:rsidRDefault="00331AE8" w:rsidP="00331AE8">
      <w:pPr>
        <w:pStyle w:val="Heading2"/>
        <w:spacing w:before="240" w:after="160"/>
      </w:pPr>
      <w:bookmarkStart w:id="4" w:name="_Toc227272922"/>
      <w:r>
        <w:rPr>
          <w:rFonts w:ascii="Arial" w:eastAsia="Arial" w:hAnsi="Arial" w:cs="Arial"/>
          <w:bCs/>
          <w:sz w:val="28"/>
          <w:szCs w:val="28"/>
        </w:rPr>
        <w:t>3.2 External Stakeholders</w:t>
      </w:r>
      <w:bookmarkEnd w:id="4"/>
    </w:p>
    <w:p w14:paraId="73E027AB" w14:textId="77777777" w:rsidR="00331AE8" w:rsidRDefault="00331AE8" w:rsidP="00331AE8">
      <w:pPr>
        <w:spacing w:line="360" w:lineRule="auto"/>
      </w:pPr>
      <w:r>
        <w:t xml:space="preserve">External stakeholders are guests and corporate customers whose approval will determine the commercial success of </w:t>
      </w:r>
      <w:proofErr w:type="spellStart"/>
      <w:r>
        <w:t>StaySmart</w:t>
      </w:r>
      <w:proofErr w:type="spellEnd"/>
      <w:r>
        <w:t>+, and technology providers who will provide AI engines, property management systems, and mobile applications platform. According to the industry research, supplier relationships in digital hospitality projects are not transactional, but strategic due to the direct effect of the quality of the guest experience and operational reliability on the performance of the vendors (</w:t>
      </w:r>
      <w:proofErr w:type="spellStart"/>
      <w:r>
        <w:t>Buhalis</w:t>
      </w:r>
      <w:proofErr w:type="spellEnd"/>
      <w:r>
        <w:t xml:space="preserve"> et al., 2023). Other external stakeholders are regulators like the Information Commissioner Office and respective German data protection authorities, industry associations like </w:t>
      </w:r>
      <w:proofErr w:type="spellStart"/>
      <w:r>
        <w:t>UKHospitality</w:t>
      </w:r>
      <w:proofErr w:type="spellEnd"/>
      <w:r>
        <w:t xml:space="preserve">, media and review sites like TripAdvisor and Booking.com, local communities to the hotel sites, Whitbread Plc stockholders, and </w:t>
      </w:r>
      <w:proofErr w:type="spellStart"/>
      <w:proofErr w:type="gramStart"/>
      <w:r>
        <w:t>non governmental</w:t>
      </w:r>
      <w:proofErr w:type="spellEnd"/>
      <w:proofErr w:type="gramEnd"/>
      <w:r>
        <w:t xml:space="preserve"> organisations that stress the importance of sustainable tourism practices. Systematic categorisation enables project managers to plan proportional engagement </w:t>
      </w:r>
      <w:proofErr w:type="gramStart"/>
      <w:r>
        <w:t>strategies, and</w:t>
      </w:r>
      <w:proofErr w:type="gramEnd"/>
      <w:r>
        <w:t xml:space="preserve"> prevent patterns of failed rollouts of hospitality where critical voices are only realised once problems arise (</w:t>
      </w:r>
      <w:proofErr w:type="spellStart"/>
      <w:r>
        <w:t>Mjembe</w:t>
      </w:r>
      <w:proofErr w:type="spellEnd"/>
      <w:r>
        <w:t>, Koens and Calvi, 2023).</w:t>
      </w:r>
    </w:p>
    <w:p w14:paraId="00452135" w14:textId="77777777" w:rsidR="00331AE8" w:rsidRDefault="00331AE8" w:rsidP="00331AE8">
      <w:pPr>
        <w:pStyle w:val="Heading1"/>
        <w:spacing w:before="320" w:after="200"/>
      </w:pPr>
      <w:bookmarkStart w:id="5" w:name="_Toc227272923"/>
      <w:r>
        <w:rPr>
          <w:rFonts w:ascii="Arial" w:eastAsia="Arial" w:hAnsi="Arial" w:cs="Arial"/>
          <w:bCs/>
          <w:sz w:val="32"/>
          <w:szCs w:val="32"/>
        </w:rPr>
        <w:lastRenderedPageBreak/>
        <w:t>4.0 Roles, Responsibilities, Benefits and Challenges</w:t>
      </w:r>
      <w:bookmarkEnd w:id="5"/>
    </w:p>
    <w:p w14:paraId="44912223" w14:textId="77777777" w:rsidR="00331AE8" w:rsidRDefault="00331AE8" w:rsidP="00331AE8">
      <w:pPr>
        <w:spacing w:line="360" w:lineRule="auto"/>
      </w:pPr>
      <w:r>
        <w:t xml:space="preserve">After defining the stakeholders in a systemized manner, the project managers need to define certain roles, responsibilities that accompany them, benefits that will be delivered to the </w:t>
      </w:r>
      <w:proofErr w:type="spellStart"/>
      <w:r>
        <w:t>StaySmart</w:t>
      </w:r>
      <w:proofErr w:type="spellEnd"/>
      <w:r>
        <w:t xml:space="preserve">+, and obstacles on the way of delivery (Eskerod and Larsen, 2018). Role clarity also decreases redundancies in work, accelerates the </w:t>
      </w:r>
      <w:proofErr w:type="gramStart"/>
      <w:r>
        <w:t>decision making</w:t>
      </w:r>
      <w:proofErr w:type="gramEnd"/>
      <w:r>
        <w:t xml:space="preserve"> processes, and eliminates disengagement when it comes to large rollouts of services in complicated hospitality environments (Line, Hanks and Zhang, 2023).</w:t>
      </w:r>
    </w:p>
    <w:p w14:paraId="0ED77ED8" w14:textId="77777777" w:rsidR="00331AE8" w:rsidRDefault="00331AE8" w:rsidP="00331AE8">
      <w:pPr>
        <w:spacing w:line="360" w:lineRule="auto"/>
      </w:pPr>
      <w:r>
        <w:t xml:space="preserve">The Whitbread executive team and the managing director of Premier Inn are the project sponsors and have the final responsibility of strategic direction and allocation of resources. They are charged with the responsibility of approving business cases, releasing funds to support technology infrastructure and property refurbishment as well as eliminating blockers that cut across departmental boundaries. Their advantage is the power to make projects fit more broadly group strategy on digital transformation and sustainability agendas, with the key issue being how to balance </w:t>
      </w:r>
      <w:proofErr w:type="spellStart"/>
      <w:r>
        <w:t>StaySmart</w:t>
      </w:r>
      <w:proofErr w:type="spellEnd"/>
      <w:r>
        <w:t>+ investment with other competing priorities like new build hotel programmes and net zero capital requirements (Bourne, 2022). The product development and IT teams are responsible in designing, developing, testing and maintaining AI powered tools, personalised travel planning engines and mobile application platforms. They also introduce a high level of technical expertise and experience with the current property management systems, but struggle to meet high timelines and provide cybersecurity resilience and adherence to the UK GDPR regulations (Fatima and Elbanna, 2023).</w:t>
      </w:r>
    </w:p>
    <w:p w14:paraId="7C29EE0C" w14:textId="77777777" w:rsidR="00331AE8" w:rsidRDefault="00331AE8" w:rsidP="00331AE8">
      <w:pPr>
        <w:spacing w:line="360" w:lineRule="auto"/>
      </w:pPr>
      <w:r>
        <w:t xml:space="preserve">Brand positioning strategies, development of a launch campaign, integration of a loyalty programme with the help of the Premier Inn Business Account, and optimal pricing via the direct and </w:t>
      </w:r>
      <w:proofErr w:type="gramStart"/>
      <w:r>
        <w:t>third party</w:t>
      </w:r>
      <w:proofErr w:type="gramEnd"/>
      <w:r>
        <w:t xml:space="preserve"> distribution channels are the responsibilities of marketing and sales functions. Their advantage is that they have a more detailed insight into customer segments and distribution economics, but they </w:t>
      </w:r>
      <w:proofErr w:type="gramStart"/>
      <w:r>
        <w:t>have to</w:t>
      </w:r>
      <w:proofErr w:type="gramEnd"/>
      <w:r>
        <w:t xml:space="preserve"> overcome the difficulties in promoting AI led service value propositions without making guests frightened about the issues of data usage and privacy (Khan and Khan, 2022). The role of hotel general manager and </w:t>
      </w:r>
      <w:proofErr w:type="gramStart"/>
      <w:r>
        <w:t>front line</w:t>
      </w:r>
      <w:proofErr w:type="gramEnd"/>
      <w:r>
        <w:t xml:space="preserve"> personnel is to run </w:t>
      </w:r>
      <w:proofErr w:type="spellStart"/>
      <w:r>
        <w:t>StaySmart</w:t>
      </w:r>
      <w:proofErr w:type="spellEnd"/>
      <w:r>
        <w:t xml:space="preserve">+ day-to-day, check in guests that consume new services, solve operational issues on the fly and </w:t>
      </w:r>
      <w:proofErr w:type="spellStart"/>
      <w:r>
        <w:t>feed back</w:t>
      </w:r>
      <w:proofErr w:type="spellEnd"/>
      <w:r>
        <w:t xml:space="preserve"> information to central project teams. They import invaluable tacit knowledge of the behaviour patterns of guests and areas where the business is operational bottlenecks, yet they are frequently exposed to work intensification and change fatigue when </w:t>
      </w:r>
      <w:r>
        <w:lastRenderedPageBreak/>
        <w:t>implementing the technology involves the need to develop new skills (Kim, Milne and Fisher, 2022).</w:t>
      </w:r>
    </w:p>
    <w:p w14:paraId="6F9E2A6F" w14:textId="77777777" w:rsidR="00331AE8" w:rsidRDefault="00331AE8" w:rsidP="00331AE8">
      <w:pPr>
        <w:spacing w:line="360" w:lineRule="auto"/>
      </w:pPr>
      <w:r>
        <w:t>Human resources and training teams come to the rescue by creating a holistic induction package, training supervisors on change management, and tracking staff wellbeing indicators by addressing well documented risks of service failure in the face of a rapid organisational change (</w:t>
      </w:r>
      <w:proofErr w:type="spellStart"/>
      <w:r>
        <w:t>Ogbeibu</w:t>
      </w:r>
      <w:proofErr w:type="spellEnd"/>
      <w:r>
        <w:t xml:space="preserve"> et al., 2024). External stakeholders are associated with unique advantages and have their own challenges during project lifecycles. Guests can also serve as sources of revenues, reviews, referrals, and their voluntary adoption of </w:t>
      </w:r>
      <w:proofErr w:type="spellStart"/>
      <w:r>
        <w:t>StaySmart</w:t>
      </w:r>
      <w:proofErr w:type="spellEnd"/>
      <w:r>
        <w:t>+ is considered the key indicator of the project success, yet they might be reluctant to provide personal information or use new technologies without evident value propositions (Line, Hanks and Zhang, 2023). Vendors of technology offer domain expertise, speed to market, and access to ever-improving AI models, but create the risk of dependency and may create certain commercial friction around service level agreements. Regulators (like the Information Commissioner office) safeguard guests and set parameters of responsible AI application in hospitality settings, and industry associations and media outlets affect corporate reputations by reporting on allegations of service reliability and sustainability (Font, Higham and Miller, 2023).</w:t>
      </w:r>
    </w:p>
    <w:p w14:paraId="58D3EF7F" w14:textId="77777777" w:rsidR="00331AE8" w:rsidRDefault="00331AE8" w:rsidP="00331AE8">
      <w:pPr>
        <w:pStyle w:val="Heading1"/>
        <w:spacing w:before="320" w:after="200"/>
      </w:pPr>
      <w:bookmarkStart w:id="6" w:name="_Toc227272924"/>
      <w:r>
        <w:rPr>
          <w:rFonts w:ascii="Arial" w:eastAsia="Arial" w:hAnsi="Arial" w:cs="Arial"/>
          <w:bCs/>
          <w:sz w:val="32"/>
          <w:szCs w:val="32"/>
        </w:rPr>
        <w:t>5.0 Frameworks, Models and Theories for Stakeholder Engagement</w:t>
      </w:r>
      <w:bookmarkEnd w:id="6"/>
    </w:p>
    <w:p w14:paraId="151CCF17" w14:textId="77777777" w:rsidR="00331AE8" w:rsidRDefault="00331AE8" w:rsidP="00331AE8">
      <w:pPr>
        <w:spacing w:line="360" w:lineRule="auto"/>
      </w:pPr>
      <w:r>
        <w:t xml:space="preserve">To work with stakeholders, it is essential to have complex frameworks that categorize stakeholders based on power and interest levels, assign responsibility in specific project tasks, and organize communication actions into lifecycle phases of the entire project (Eskerod and Larsen, 2018). The subsections below implement the stakeholder matrix, RACI matrix, engagement plan, and communication plan to the implementation of </w:t>
      </w:r>
      <w:proofErr w:type="spellStart"/>
      <w:r>
        <w:t>StaySmart</w:t>
      </w:r>
      <w:proofErr w:type="spellEnd"/>
      <w:proofErr w:type="gramStart"/>
      <w:r>
        <w:t>+ in particular</w:t>
      </w:r>
      <w:proofErr w:type="gramEnd"/>
      <w:r>
        <w:t>.</w:t>
      </w:r>
    </w:p>
    <w:p w14:paraId="5AD80375" w14:textId="77777777" w:rsidR="00331AE8" w:rsidRDefault="00331AE8" w:rsidP="00331AE8">
      <w:pPr>
        <w:pStyle w:val="Heading2"/>
        <w:spacing w:before="240" w:after="160"/>
      </w:pPr>
      <w:bookmarkStart w:id="7" w:name="_Toc227272925"/>
      <w:r>
        <w:rPr>
          <w:rFonts w:ascii="Arial" w:eastAsia="Arial" w:hAnsi="Arial" w:cs="Arial"/>
          <w:bCs/>
          <w:sz w:val="28"/>
          <w:szCs w:val="28"/>
        </w:rPr>
        <w:t>5.1 Stakeholder Matrix</w:t>
      </w:r>
      <w:bookmarkEnd w:id="7"/>
    </w:p>
    <w:p w14:paraId="22946B8A" w14:textId="77777777" w:rsidR="00331AE8" w:rsidRDefault="00331AE8" w:rsidP="00331AE8">
      <w:pPr>
        <w:spacing w:line="360" w:lineRule="auto"/>
      </w:pPr>
      <w:r>
        <w:t xml:space="preserve">The Mendelow power and interest matrix has been a popular and empirically tested instrument of prioritising effort and resources to engage with an organisation, still being extensively used in modern practice of project management across service sectors where there is a high level of stakeholder complexity (Mendelow, 1991; Bourne, 2022). Whitbread executive teams, Premier Inn managing directors, and lead technology vendors are high power and high interest </w:t>
      </w:r>
      <w:proofErr w:type="gramStart"/>
      <w:r>
        <w:t>stakeholders, and</w:t>
      </w:r>
      <w:proofErr w:type="gramEnd"/>
      <w:r>
        <w:t xml:space="preserve"> need to be carefully managed via frequent steering committee meetings, detailed progress reporting and active issue escalation procedures. Institutional investors, </w:t>
      </w:r>
      <w:r>
        <w:lastRenderedPageBreak/>
        <w:t>regulatory authorities, and sustainability auditors should be content with high power and low interest groups by providing briefings and compliance updates that cover certain concerns without bombarding them with operational specifics (Line, Hanks and Zhang, 2023). Low power groups and high interest groups like front line staff, hotel general managers and loyal guests are to be informed and actively engaged by extensive training programmes, pilot implementations, and guest feedback panels, whilst low power and low interest groups must be monitored using a less forceful method of communication.</w:t>
      </w:r>
    </w:p>
    <w:p w14:paraId="52FC3DC0" w14:textId="4AFBCD29" w:rsidR="004C169D" w:rsidRDefault="004C169D" w:rsidP="00331AE8">
      <w:pPr>
        <w:spacing w:line="360" w:lineRule="auto"/>
      </w:pPr>
      <w:r w:rsidRPr="004C169D">
        <w:rPr>
          <w:noProof/>
        </w:rPr>
        <w:drawing>
          <wp:inline distT="0" distB="0" distL="0" distR="0" wp14:anchorId="38FA7E8E" wp14:editId="0490FA62">
            <wp:extent cx="5731510" cy="4364990"/>
            <wp:effectExtent l="0" t="0" r="2540" b="0"/>
            <wp:docPr id="53129395" name="Picture 1" descr="The image depicts a Power and Interest Matrix for Premier Inn's StaySmart+ Service Launch, categorizing stakeholders by their influence and interest levels, from high to 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29395" name="Picture 1" descr="The image depicts a Power and Interest Matrix for Premier Inn's StaySmart+ Service Launch, categorizing stakeholders by their influence and interest levels, from high to low.&#10;&#10;AI-generated content may be incorrect."/>
                    <pic:cNvPicPr/>
                  </pic:nvPicPr>
                  <pic:blipFill>
                    <a:blip r:embed="rId8"/>
                    <a:stretch>
                      <a:fillRect/>
                    </a:stretch>
                  </pic:blipFill>
                  <pic:spPr>
                    <a:xfrm>
                      <a:off x="0" y="0"/>
                      <a:ext cx="5731510" cy="4364990"/>
                    </a:xfrm>
                    <a:prstGeom prst="rect">
                      <a:avLst/>
                    </a:prstGeom>
                  </pic:spPr>
                </pic:pic>
              </a:graphicData>
            </a:graphic>
          </wp:inline>
        </w:drawing>
      </w:r>
    </w:p>
    <w:p w14:paraId="22BA6911" w14:textId="77777777" w:rsidR="00331AE8" w:rsidRDefault="00331AE8" w:rsidP="00331AE8">
      <w:pPr>
        <w:pStyle w:val="Heading2"/>
        <w:spacing w:before="240" w:after="160"/>
      </w:pPr>
      <w:bookmarkStart w:id="8" w:name="_Toc227272926"/>
      <w:r>
        <w:rPr>
          <w:rFonts w:ascii="Arial" w:eastAsia="Arial" w:hAnsi="Arial" w:cs="Arial"/>
          <w:bCs/>
          <w:sz w:val="28"/>
          <w:szCs w:val="28"/>
        </w:rPr>
        <w:t>5.2 RACI Matrix</w:t>
      </w:r>
      <w:bookmarkEnd w:id="8"/>
    </w:p>
    <w:p w14:paraId="7C19F0D8" w14:textId="77777777" w:rsidR="00331AE8" w:rsidRDefault="00331AE8" w:rsidP="00331AE8">
      <w:pPr>
        <w:spacing w:line="360" w:lineRule="auto"/>
      </w:pPr>
      <w:r>
        <w:t xml:space="preserve">The RACI assigns the responsibility of certain project tasks systematically, with a clear division of responsibility, accountability, consultation, and information on who is responsible, accountable, consulted, and informed about specific critical activities, creating less ambiguity and quicker decision making within delivery processes (Cabanillas et al., 2012; Bourne, 2022). Empirical studies on hospitality technology projects recently have shown that teams that have formal responsibility matrices have much lower reported delays and well-defined escalation </w:t>
      </w:r>
      <w:r>
        <w:lastRenderedPageBreak/>
        <w:t>pathways than those that have informal responsibility assignments (Kim, Milne and Fisher, 2022).</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860"/>
        <w:gridCol w:w="1300"/>
        <w:gridCol w:w="1300"/>
        <w:gridCol w:w="1300"/>
        <w:gridCol w:w="1300"/>
        <w:gridCol w:w="1300"/>
      </w:tblGrid>
      <w:tr w:rsidR="00331AE8" w14:paraId="0AF43D7B" w14:textId="77777777" w:rsidTr="002E4235">
        <w:tc>
          <w:tcPr>
            <w:tcW w:w="2860" w:type="dxa"/>
            <w:tcBorders>
              <w:top w:val="single" w:sz="1" w:space="0" w:color="888888"/>
              <w:left w:val="single" w:sz="1" w:space="0" w:color="888888"/>
              <w:bottom w:val="single" w:sz="1" w:space="0" w:color="888888"/>
              <w:right w:val="single" w:sz="1" w:space="0" w:color="888888"/>
            </w:tcBorders>
            <w:shd w:val="clear" w:color="auto" w:fill="D5E8F0"/>
            <w:tcMar>
              <w:top w:w="80" w:type="dxa"/>
              <w:left w:w="120" w:type="dxa"/>
              <w:bottom w:w="80" w:type="dxa"/>
              <w:right w:w="120" w:type="dxa"/>
            </w:tcMar>
          </w:tcPr>
          <w:p w14:paraId="3C9C75BF" w14:textId="77777777" w:rsidR="00331AE8" w:rsidRDefault="00331AE8" w:rsidP="002E4235">
            <w:pPr>
              <w:spacing w:line="276" w:lineRule="auto"/>
            </w:pPr>
            <w:r>
              <w:rPr>
                <w:rFonts w:ascii="Arial" w:eastAsia="Arial" w:hAnsi="Arial" w:cs="Arial"/>
                <w:b/>
                <w:bCs/>
                <w:sz w:val="20"/>
                <w:szCs w:val="20"/>
              </w:rPr>
              <w:t>Task</w:t>
            </w:r>
          </w:p>
        </w:tc>
        <w:tc>
          <w:tcPr>
            <w:tcW w:w="1300" w:type="dxa"/>
            <w:tcBorders>
              <w:top w:val="single" w:sz="1" w:space="0" w:color="888888"/>
              <w:left w:val="single" w:sz="1" w:space="0" w:color="888888"/>
              <w:bottom w:val="single" w:sz="1" w:space="0" w:color="888888"/>
              <w:right w:val="single" w:sz="1" w:space="0" w:color="888888"/>
            </w:tcBorders>
            <w:shd w:val="clear" w:color="auto" w:fill="D5E8F0"/>
            <w:tcMar>
              <w:top w:w="80" w:type="dxa"/>
              <w:left w:w="120" w:type="dxa"/>
              <w:bottom w:w="80" w:type="dxa"/>
              <w:right w:w="120" w:type="dxa"/>
            </w:tcMar>
          </w:tcPr>
          <w:p w14:paraId="595DF8CD" w14:textId="77777777" w:rsidR="00331AE8" w:rsidRDefault="00331AE8" w:rsidP="002E4235">
            <w:pPr>
              <w:spacing w:line="276" w:lineRule="auto"/>
            </w:pPr>
            <w:r>
              <w:rPr>
                <w:rFonts w:ascii="Arial" w:eastAsia="Arial" w:hAnsi="Arial" w:cs="Arial"/>
                <w:b/>
                <w:bCs/>
                <w:sz w:val="20"/>
                <w:szCs w:val="20"/>
              </w:rPr>
              <w:t>Sponsor</w:t>
            </w:r>
          </w:p>
        </w:tc>
        <w:tc>
          <w:tcPr>
            <w:tcW w:w="1300" w:type="dxa"/>
            <w:tcBorders>
              <w:top w:val="single" w:sz="1" w:space="0" w:color="888888"/>
              <w:left w:val="single" w:sz="1" w:space="0" w:color="888888"/>
              <w:bottom w:val="single" w:sz="1" w:space="0" w:color="888888"/>
              <w:right w:val="single" w:sz="1" w:space="0" w:color="888888"/>
            </w:tcBorders>
            <w:shd w:val="clear" w:color="auto" w:fill="D5E8F0"/>
            <w:tcMar>
              <w:top w:w="80" w:type="dxa"/>
              <w:left w:w="120" w:type="dxa"/>
              <w:bottom w:w="80" w:type="dxa"/>
              <w:right w:w="120" w:type="dxa"/>
            </w:tcMar>
          </w:tcPr>
          <w:p w14:paraId="051EB734" w14:textId="77777777" w:rsidR="00331AE8" w:rsidRDefault="00331AE8" w:rsidP="002E4235">
            <w:pPr>
              <w:spacing w:line="276" w:lineRule="auto"/>
            </w:pPr>
            <w:r>
              <w:rPr>
                <w:rFonts w:ascii="Arial" w:eastAsia="Arial" w:hAnsi="Arial" w:cs="Arial"/>
                <w:b/>
                <w:bCs/>
                <w:sz w:val="20"/>
                <w:szCs w:val="20"/>
              </w:rPr>
              <w:t>PM</w:t>
            </w:r>
          </w:p>
        </w:tc>
        <w:tc>
          <w:tcPr>
            <w:tcW w:w="1300" w:type="dxa"/>
            <w:tcBorders>
              <w:top w:val="single" w:sz="1" w:space="0" w:color="888888"/>
              <w:left w:val="single" w:sz="1" w:space="0" w:color="888888"/>
              <w:bottom w:val="single" w:sz="1" w:space="0" w:color="888888"/>
              <w:right w:val="single" w:sz="1" w:space="0" w:color="888888"/>
            </w:tcBorders>
            <w:shd w:val="clear" w:color="auto" w:fill="D5E8F0"/>
            <w:tcMar>
              <w:top w:w="80" w:type="dxa"/>
              <w:left w:w="120" w:type="dxa"/>
              <w:bottom w:w="80" w:type="dxa"/>
              <w:right w:w="120" w:type="dxa"/>
            </w:tcMar>
          </w:tcPr>
          <w:p w14:paraId="0666FA7E" w14:textId="77777777" w:rsidR="00331AE8" w:rsidRDefault="00331AE8" w:rsidP="002E4235">
            <w:pPr>
              <w:spacing w:line="276" w:lineRule="auto"/>
            </w:pPr>
            <w:r>
              <w:rPr>
                <w:rFonts w:ascii="Arial" w:eastAsia="Arial" w:hAnsi="Arial" w:cs="Arial"/>
                <w:b/>
                <w:bCs/>
                <w:sz w:val="20"/>
                <w:szCs w:val="20"/>
              </w:rPr>
              <w:t>Product/IT</w:t>
            </w:r>
          </w:p>
        </w:tc>
        <w:tc>
          <w:tcPr>
            <w:tcW w:w="1300" w:type="dxa"/>
            <w:tcBorders>
              <w:top w:val="single" w:sz="1" w:space="0" w:color="888888"/>
              <w:left w:val="single" w:sz="1" w:space="0" w:color="888888"/>
              <w:bottom w:val="single" w:sz="1" w:space="0" w:color="888888"/>
              <w:right w:val="single" w:sz="1" w:space="0" w:color="888888"/>
            </w:tcBorders>
            <w:shd w:val="clear" w:color="auto" w:fill="D5E8F0"/>
            <w:tcMar>
              <w:top w:w="80" w:type="dxa"/>
              <w:left w:w="120" w:type="dxa"/>
              <w:bottom w:w="80" w:type="dxa"/>
              <w:right w:w="120" w:type="dxa"/>
            </w:tcMar>
          </w:tcPr>
          <w:p w14:paraId="37A47AE2" w14:textId="77777777" w:rsidR="00331AE8" w:rsidRDefault="00331AE8" w:rsidP="002E4235">
            <w:pPr>
              <w:spacing w:line="276" w:lineRule="auto"/>
            </w:pPr>
            <w:r>
              <w:rPr>
                <w:rFonts w:ascii="Arial" w:eastAsia="Arial" w:hAnsi="Arial" w:cs="Arial"/>
                <w:b/>
                <w:bCs/>
                <w:sz w:val="20"/>
                <w:szCs w:val="20"/>
              </w:rPr>
              <w:t>Marketing</w:t>
            </w:r>
          </w:p>
        </w:tc>
        <w:tc>
          <w:tcPr>
            <w:tcW w:w="1300" w:type="dxa"/>
            <w:tcBorders>
              <w:top w:val="single" w:sz="1" w:space="0" w:color="888888"/>
              <w:left w:val="single" w:sz="1" w:space="0" w:color="888888"/>
              <w:bottom w:val="single" w:sz="1" w:space="0" w:color="888888"/>
              <w:right w:val="single" w:sz="1" w:space="0" w:color="888888"/>
            </w:tcBorders>
            <w:shd w:val="clear" w:color="auto" w:fill="D5E8F0"/>
            <w:tcMar>
              <w:top w:w="80" w:type="dxa"/>
              <w:left w:w="120" w:type="dxa"/>
              <w:bottom w:w="80" w:type="dxa"/>
              <w:right w:w="120" w:type="dxa"/>
            </w:tcMar>
          </w:tcPr>
          <w:p w14:paraId="3C0AF20A" w14:textId="77777777" w:rsidR="00331AE8" w:rsidRDefault="00331AE8" w:rsidP="002E4235">
            <w:pPr>
              <w:spacing w:line="276" w:lineRule="auto"/>
            </w:pPr>
            <w:r>
              <w:rPr>
                <w:rFonts w:ascii="Arial" w:eastAsia="Arial" w:hAnsi="Arial" w:cs="Arial"/>
                <w:b/>
                <w:bCs/>
                <w:sz w:val="20"/>
                <w:szCs w:val="20"/>
              </w:rPr>
              <w:t>Hotel GM</w:t>
            </w:r>
          </w:p>
        </w:tc>
      </w:tr>
      <w:tr w:rsidR="00331AE8" w14:paraId="4966037C" w14:textId="77777777" w:rsidTr="002E4235">
        <w:tc>
          <w:tcPr>
            <w:tcW w:w="2860" w:type="dxa"/>
            <w:tcBorders>
              <w:top w:val="single" w:sz="1" w:space="0" w:color="888888"/>
              <w:left w:val="single" w:sz="1" w:space="0" w:color="888888"/>
              <w:bottom w:val="single" w:sz="1" w:space="0" w:color="888888"/>
              <w:right w:val="single" w:sz="1" w:space="0" w:color="888888"/>
            </w:tcBorders>
            <w:tcMar>
              <w:top w:w="80" w:type="dxa"/>
              <w:left w:w="120" w:type="dxa"/>
              <w:bottom w:w="80" w:type="dxa"/>
              <w:right w:w="120" w:type="dxa"/>
            </w:tcMar>
          </w:tcPr>
          <w:p w14:paraId="56E754F9" w14:textId="77777777" w:rsidR="00331AE8" w:rsidRDefault="00331AE8" w:rsidP="002E4235">
            <w:pPr>
              <w:spacing w:line="276" w:lineRule="auto"/>
            </w:pPr>
            <w:r>
              <w:rPr>
                <w:rFonts w:ascii="Arial" w:eastAsia="Arial" w:hAnsi="Arial" w:cs="Arial"/>
                <w:sz w:val="20"/>
                <w:szCs w:val="20"/>
              </w:rPr>
              <w:t>Approve business case</w:t>
            </w:r>
          </w:p>
        </w:tc>
        <w:tc>
          <w:tcPr>
            <w:tcW w:w="1300" w:type="dxa"/>
            <w:tcBorders>
              <w:top w:val="single" w:sz="1" w:space="0" w:color="888888"/>
              <w:left w:val="single" w:sz="1" w:space="0" w:color="888888"/>
              <w:bottom w:val="single" w:sz="1" w:space="0" w:color="888888"/>
              <w:right w:val="single" w:sz="1" w:space="0" w:color="888888"/>
            </w:tcBorders>
            <w:tcMar>
              <w:top w:w="80" w:type="dxa"/>
              <w:left w:w="120" w:type="dxa"/>
              <w:bottom w:w="80" w:type="dxa"/>
              <w:right w:w="120" w:type="dxa"/>
            </w:tcMar>
          </w:tcPr>
          <w:p w14:paraId="03B3C4A1" w14:textId="77777777" w:rsidR="00331AE8" w:rsidRDefault="00331AE8" w:rsidP="002E4235">
            <w:pPr>
              <w:spacing w:line="276" w:lineRule="auto"/>
            </w:pPr>
            <w:r>
              <w:rPr>
                <w:rFonts w:ascii="Arial" w:eastAsia="Arial" w:hAnsi="Arial" w:cs="Arial"/>
                <w:sz w:val="20"/>
                <w:szCs w:val="20"/>
              </w:rPr>
              <w:t>A</w:t>
            </w:r>
          </w:p>
        </w:tc>
        <w:tc>
          <w:tcPr>
            <w:tcW w:w="1300" w:type="dxa"/>
            <w:tcBorders>
              <w:top w:val="single" w:sz="1" w:space="0" w:color="888888"/>
              <w:left w:val="single" w:sz="1" w:space="0" w:color="888888"/>
              <w:bottom w:val="single" w:sz="1" w:space="0" w:color="888888"/>
              <w:right w:val="single" w:sz="1" w:space="0" w:color="888888"/>
            </w:tcBorders>
            <w:tcMar>
              <w:top w:w="80" w:type="dxa"/>
              <w:left w:w="120" w:type="dxa"/>
              <w:bottom w:w="80" w:type="dxa"/>
              <w:right w:w="120" w:type="dxa"/>
            </w:tcMar>
          </w:tcPr>
          <w:p w14:paraId="228B04BF" w14:textId="77777777" w:rsidR="00331AE8" w:rsidRDefault="00331AE8" w:rsidP="002E4235">
            <w:pPr>
              <w:spacing w:line="276" w:lineRule="auto"/>
            </w:pPr>
            <w:r>
              <w:rPr>
                <w:rFonts w:ascii="Arial" w:eastAsia="Arial" w:hAnsi="Arial" w:cs="Arial"/>
                <w:sz w:val="20"/>
                <w:szCs w:val="20"/>
              </w:rPr>
              <w:t>R</w:t>
            </w:r>
          </w:p>
        </w:tc>
        <w:tc>
          <w:tcPr>
            <w:tcW w:w="1300" w:type="dxa"/>
            <w:tcBorders>
              <w:top w:val="single" w:sz="1" w:space="0" w:color="888888"/>
              <w:left w:val="single" w:sz="1" w:space="0" w:color="888888"/>
              <w:bottom w:val="single" w:sz="1" w:space="0" w:color="888888"/>
              <w:right w:val="single" w:sz="1" w:space="0" w:color="888888"/>
            </w:tcBorders>
            <w:tcMar>
              <w:top w:w="80" w:type="dxa"/>
              <w:left w:w="120" w:type="dxa"/>
              <w:bottom w:w="80" w:type="dxa"/>
              <w:right w:w="120" w:type="dxa"/>
            </w:tcMar>
          </w:tcPr>
          <w:p w14:paraId="4A41C5F7" w14:textId="77777777" w:rsidR="00331AE8" w:rsidRDefault="00331AE8" w:rsidP="002E4235">
            <w:pPr>
              <w:spacing w:line="276" w:lineRule="auto"/>
            </w:pPr>
            <w:r>
              <w:rPr>
                <w:rFonts w:ascii="Arial" w:eastAsia="Arial" w:hAnsi="Arial" w:cs="Arial"/>
                <w:sz w:val="20"/>
                <w:szCs w:val="20"/>
              </w:rPr>
              <w:t>C</w:t>
            </w:r>
          </w:p>
        </w:tc>
        <w:tc>
          <w:tcPr>
            <w:tcW w:w="1300" w:type="dxa"/>
            <w:tcBorders>
              <w:top w:val="single" w:sz="1" w:space="0" w:color="888888"/>
              <w:left w:val="single" w:sz="1" w:space="0" w:color="888888"/>
              <w:bottom w:val="single" w:sz="1" w:space="0" w:color="888888"/>
              <w:right w:val="single" w:sz="1" w:space="0" w:color="888888"/>
            </w:tcBorders>
            <w:tcMar>
              <w:top w:w="80" w:type="dxa"/>
              <w:left w:w="120" w:type="dxa"/>
              <w:bottom w:w="80" w:type="dxa"/>
              <w:right w:w="120" w:type="dxa"/>
            </w:tcMar>
          </w:tcPr>
          <w:p w14:paraId="58545F82" w14:textId="77777777" w:rsidR="00331AE8" w:rsidRDefault="00331AE8" w:rsidP="002E4235">
            <w:pPr>
              <w:spacing w:line="276" w:lineRule="auto"/>
            </w:pPr>
            <w:r>
              <w:rPr>
                <w:rFonts w:ascii="Arial" w:eastAsia="Arial" w:hAnsi="Arial" w:cs="Arial"/>
                <w:sz w:val="20"/>
                <w:szCs w:val="20"/>
              </w:rPr>
              <w:t>C</w:t>
            </w:r>
          </w:p>
        </w:tc>
        <w:tc>
          <w:tcPr>
            <w:tcW w:w="1300" w:type="dxa"/>
            <w:tcBorders>
              <w:top w:val="single" w:sz="1" w:space="0" w:color="888888"/>
              <w:left w:val="single" w:sz="1" w:space="0" w:color="888888"/>
              <w:bottom w:val="single" w:sz="1" w:space="0" w:color="888888"/>
              <w:right w:val="single" w:sz="1" w:space="0" w:color="888888"/>
            </w:tcBorders>
            <w:tcMar>
              <w:top w:w="80" w:type="dxa"/>
              <w:left w:w="120" w:type="dxa"/>
              <w:bottom w:w="80" w:type="dxa"/>
              <w:right w:w="120" w:type="dxa"/>
            </w:tcMar>
          </w:tcPr>
          <w:p w14:paraId="37E0E2B5" w14:textId="77777777" w:rsidR="00331AE8" w:rsidRDefault="00331AE8" w:rsidP="002E4235">
            <w:pPr>
              <w:spacing w:line="276" w:lineRule="auto"/>
            </w:pPr>
            <w:r>
              <w:rPr>
                <w:rFonts w:ascii="Arial" w:eastAsia="Arial" w:hAnsi="Arial" w:cs="Arial"/>
                <w:sz w:val="20"/>
                <w:szCs w:val="20"/>
              </w:rPr>
              <w:t>I</w:t>
            </w:r>
          </w:p>
        </w:tc>
      </w:tr>
      <w:tr w:rsidR="00331AE8" w14:paraId="79317667" w14:textId="77777777" w:rsidTr="002E4235">
        <w:tc>
          <w:tcPr>
            <w:tcW w:w="2860" w:type="dxa"/>
            <w:tcBorders>
              <w:top w:val="single" w:sz="1" w:space="0" w:color="888888"/>
              <w:left w:val="single" w:sz="1" w:space="0" w:color="888888"/>
              <w:bottom w:val="single" w:sz="1" w:space="0" w:color="888888"/>
              <w:right w:val="single" w:sz="1" w:space="0" w:color="888888"/>
            </w:tcBorders>
            <w:tcMar>
              <w:top w:w="80" w:type="dxa"/>
              <w:left w:w="120" w:type="dxa"/>
              <w:bottom w:w="80" w:type="dxa"/>
              <w:right w:w="120" w:type="dxa"/>
            </w:tcMar>
          </w:tcPr>
          <w:p w14:paraId="69A07BB2" w14:textId="77777777" w:rsidR="00331AE8" w:rsidRDefault="00331AE8" w:rsidP="002E4235">
            <w:pPr>
              <w:spacing w:line="276" w:lineRule="auto"/>
            </w:pPr>
            <w:r>
              <w:rPr>
                <w:rFonts w:ascii="Arial" w:eastAsia="Arial" w:hAnsi="Arial" w:cs="Arial"/>
                <w:sz w:val="20"/>
                <w:szCs w:val="20"/>
              </w:rPr>
              <w:t>Design AI tools</w:t>
            </w:r>
          </w:p>
        </w:tc>
        <w:tc>
          <w:tcPr>
            <w:tcW w:w="1300" w:type="dxa"/>
            <w:tcBorders>
              <w:top w:val="single" w:sz="1" w:space="0" w:color="888888"/>
              <w:left w:val="single" w:sz="1" w:space="0" w:color="888888"/>
              <w:bottom w:val="single" w:sz="1" w:space="0" w:color="888888"/>
              <w:right w:val="single" w:sz="1" w:space="0" w:color="888888"/>
            </w:tcBorders>
            <w:tcMar>
              <w:top w:w="80" w:type="dxa"/>
              <w:left w:w="120" w:type="dxa"/>
              <w:bottom w:w="80" w:type="dxa"/>
              <w:right w:w="120" w:type="dxa"/>
            </w:tcMar>
          </w:tcPr>
          <w:p w14:paraId="4CB638B9" w14:textId="77777777" w:rsidR="00331AE8" w:rsidRDefault="00331AE8" w:rsidP="002E4235">
            <w:pPr>
              <w:spacing w:line="276" w:lineRule="auto"/>
            </w:pPr>
            <w:r>
              <w:rPr>
                <w:rFonts w:ascii="Arial" w:eastAsia="Arial" w:hAnsi="Arial" w:cs="Arial"/>
                <w:sz w:val="20"/>
                <w:szCs w:val="20"/>
              </w:rPr>
              <w:t>I</w:t>
            </w:r>
          </w:p>
        </w:tc>
        <w:tc>
          <w:tcPr>
            <w:tcW w:w="1300" w:type="dxa"/>
            <w:tcBorders>
              <w:top w:val="single" w:sz="1" w:space="0" w:color="888888"/>
              <w:left w:val="single" w:sz="1" w:space="0" w:color="888888"/>
              <w:bottom w:val="single" w:sz="1" w:space="0" w:color="888888"/>
              <w:right w:val="single" w:sz="1" w:space="0" w:color="888888"/>
            </w:tcBorders>
            <w:tcMar>
              <w:top w:w="80" w:type="dxa"/>
              <w:left w:w="120" w:type="dxa"/>
              <w:bottom w:w="80" w:type="dxa"/>
              <w:right w:w="120" w:type="dxa"/>
            </w:tcMar>
          </w:tcPr>
          <w:p w14:paraId="05AB01FA" w14:textId="77777777" w:rsidR="00331AE8" w:rsidRDefault="00331AE8" w:rsidP="002E4235">
            <w:pPr>
              <w:spacing w:line="276" w:lineRule="auto"/>
            </w:pPr>
            <w:r>
              <w:rPr>
                <w:rFonts w:ascii="Arial" w:eastAsia="Arial" w:hAnsi="Arial" w:cs="Arial"/>
                <w:sz w:val="20"/>
                <w:szCs w:val="20"/>
              </w:rPr>
              <w:t>A</w:t>
            </w:r>
          </w:p>
        </w:tc>
        <w:tc>
          <w:tcPr>
            <w:tcW w:w="1300" w:type="dxa"/>
            <w:tcBorders>
              <w:top w:val="single" w:sz="1" w:space="0" w:color="888888"/>
              <w:left w:val="single" w:sz="1" w:space="0" w:color="888888"/>
              <w:bottom w:val="single" w:sz="1" w:space="0" w:color="888888"/>
              <w:right w:val="single" w:sz="1" w:space="0" w:color="888888"/>
            </w:tcBorders>
            <w:tcMar>
              <w:top w:w="80" w:type="dxa"/>
              <w:left w:w="120" w:type="dxa"/>
              <w:bottom w:w="80" w:type="dxa"/>
              <w:right w:w="120" w:type="dxa"/>
            </w:tcMar>
          </w:tcPr>
          <w:p w14:paraId="0C779576" w14:textId="77777777" w:rsidR="00331AE8" w:rsidRDefault="00331AE8" w:rsidP="002E4235">
            <w:pPr>
              <w:spacing w:line="276" w:lineRule="auto"/>
            </w:pPr>
            <w:r>
              <w:rPr>
                <w:rFonts w:ascii="Arial" w:eastAsia="Arial" w:hAnsi="Arial" w:cs="Arial"/>
                <w:sz w:val="20"/>
                <w:szCs w:val="20"/>
              </w:rPr>
              <w:t>R</w:t>
            </w:r>
          </w:p>
        </w:tc>
        <w:tc>
          <w:tcPr>
            <w:tcW w:w="1300" w:type="dxa"/>
            <w:tcBorders>
              <w:top w:val="single" w:sz="1" w:space="0" w:color="888888"/>
              <w:left w:val="single" w:sz="1" w:space="0" w:color="888888"/>
              <w:bottom w:val="single" w:sz="1" w:space="0" w:color="888888"/>
              <w:right w:val="single" w:sz="1" w:space="0" w:color="888888"/>
            </w:tcBorders>
            <w:tcMar>
              <w:top w:w="80" w:type="dxa"/>
              <w:left w:w="120" w:type="dxa"/>
              <w:bottom w:w="80" w:type="dxa"/>
              <w:right w:w="120" w:type="dxa"/>
            </w:tcMar>
          </w:tcPr>
          <w:p w14:paraId="62AD87D6" w14:textId="77777777" w:rsidR="00331AE8" w:rsidRDefault="00331AE8" w:rsidP="002E4235">
            <w:pPr>
              <w:spacing w:line="276" w:lineRule="auto"/>
            </w:pPr>
            <w:r>
              <w:rPr>
                <w:rFonts w:ascii="Arial" w:eastAsia="Arial" w:hAnsi="Arial" w:cs="Arial"/>
                <w:sz w:val="20"/>
                <w:szCs w:val="20"/>
              </w:rPr>
              <w:t>C</w:t>
            </w:r>
          </w:p>
        </w:tc>
        <w:tc>
          <w:tcPr>
            <w:tcW w:w="1300" w:type="dxa"/>
            <w:tcBorders>
              <w:top w:val="single" w:sz="1" w:space="0" w:color="888888"/>
              <w:left w:val="single" w:sz="1" w:space="0" w:color="888888"/>
              <w:bottom w:val="single" w:sz="1" w:space="0" w:color="888888"/>
              <w:right w:val="single" w:sz="1" w:space="0" w:color="888888"/>
            </w:tcBorders>
            <w:tcMar>
              <w:top w:w="80" w:type="dxa"/>
              <w:left w:w="120" w:type="dxa"/>
              <w:bottom w:w="80" w:type="dxa"/>
              <w:right w:w="120" w:type="dxa"/>
            </w:tcMar>
          </w:tcPr>
          <w:p w14:paraId="364110E2" w14:textId="77777777" w:rsidR="00331AE8" w:rsidRDefault="00331AE8" w:rsidP="002E4235">
            <w:pPr>
              <w:spacing w:line="276" w:lineRule="auto"/>
            </w:pPr>
            <w:r>
              <w:rPr>
                <w:rFonts w:ascii="Arial" w:eastAsia="Arial" w:hAnsi="Arial" w:cs="Arial"/>
                <w:sz w:val="20"/>
                <w:szCs w:val="20"/>
              </w:rPr>
              <w:t>C</w:t>
            </w:r>
          </w:p>
        </w:tc>
      </w:tr>
      <w:tr w:rsidR="00331AE8" w14:paraId="0FC35A6A" w14:textId="77777777" w:rsidTr="002E4235">
        <w:tc>
          <w:tcPr>
            <w:tcW w:w="2860" w:type="dxa"/>
            <w:tcBorders>
              <w:top w:val="single" w:sz="1" w:space="0" w:color="888888"/>
              <w:left w:val="single" w:sz="1" w:space="0" w:color="888888"/>
              <w:bottom w:val="single" w:sz="1" w:space="0" w:color="888888"/>
              <w:right w:val="single" w:sz="1" w:space="0" w:color="888888"/>
            </w:tcBorders>
            <w:tcMar>
              <w:top w:w="80" w:type="dxa"/>
              <w:left w:w="120" w:type="dxa"/>
              <w:bottom w:w="80" w:type="dxa"/>
              <w:right w:w="120" w:type="dxa"/>
            </w:tcMar>
          </w:tcPr>
          <w:p w14:paraId="7998587B" w14:textId="77777777" w:rsidR="00331AE8" w:rsidRDefault="00331AE8" w:rsidP="002E4235">
            <w:pPr>
              <w:spacing w:line="276" w:lineRule="auto"/>
            </w:pPr>
            <w:r>
              <w:rPr>
                <w:rFonts w:ascii="Arial" w:eastAsia="Arial" w:hAnsi="Arial" w:cs="Arial"/>
                <w:sz w:val="20"/>
                <w:szCs w:val="20"/>
              </w:rPr>
              <w:t>Launch marketing</w:t>
            </w:r>
          </w:p>
        </w:tc>
        <w:tc>
          <w:tcPr>
            <w:tcW w:w="1300" w:type="dxa"/>
            <w:tcBorders>
              <w:top w:val="single" w:sz="1" w:space="0" w:color="888888"/>
              <w:left w:val="single" w:sz="1" w:space="0" w:color="888888"/>
              <w:bottom w:val="single" w:sz="1" w:space="0" w:color="888888"/>
              <w:right w:val="single" w:sz="1" w:space="0" w:color="888888"/>
            </w:tcBorders>
            <w:tcMar>
              <w:top w:w="80" w:type="dxa"/>
              <w:left w:w="120" w:type="dxa"/>
              <w:bottom w:w="80" w:type="dxa"/>
              <w:right w:w="120" w:type="dxa"/>
            </w:tcMar>
          </w:tcPr>
          <w:p w14:paraId="64876BAE" w14:textId="77777777" w:rsidR="00331AE8" w:rsidRDefault="00331AE8" w:rsidP="002E4235">
            <w:pPr>
              <w:spacing w:line="276" w:lineRule="auto"/>
            </w:pPr>
            <w:r>
              <w:rPr>
                <w:rFonts w:ascii="Arial" w:eastAsia="Arial" w:hAnsi="Arial" w:cs="Arial"/>
                <w:sz w:val="20"/>
                <w:szCs w:val="20"/>
              </w:rPr>
              <w:t>I</w:t>
            </w:r>
          </w:p>
        </w:tc>
        <w:tc>
          <w:tcPr>
            <w:tcW w:w="1300" w:type="dxa"/>
            <w:tcBorders>
              <w:top w:val="single" w:sz="1" w:space="0" w:color="888888"/>
              <w:left w:val="single" w:sz="1" w:space="0" w:color="888888"/>
              <w:bottom w:val="single" w:sz="1" w:space="0" w:color="888888"/>
              <w:right w:val="single" w:sz="1" w:space="0" w:color="888888"/>
            </w:tcBorders>
            <w:tcMar>
              <w:top w:w="80" w:type="dxa"/>
              <w:left w:w="120" w:type="dxa"/>
              <w:bottom w:w="80" w:type="dxa"/>
              <w:right w:w="120" w:type="dxa"/>
            </w:tcMar>
          </w:tcPr>
          <w:p w14:paraId="3A3ADBEF" w14:textId="77777777" w:rsidR="00331AE8" w:rsidRDefault="00331AE8" w:rsidP="002E4235">
            <w:pPr>
              <w:spacing w:line="276" w:lineRule="auto"/>
            </w:pPr>
            <w:r>
              <w:rPr>
                <w:rFonts w:ascii="Arial" w:eastAsia="Arial" w:hAnsi="Arial" w:cs="Arial"/>
                <w:sz w:val="20"/>
                <w:szCs w:val="20"/>
              </w:rPr>
              <w:t>A</w:t>
            </w:r>
          </w:p>
        </w:tc>
        <w:tc>
          <w:tcPr>
            <w:tcW w:w="1300" w:type="dxa"/>
            <w:tcBorders>
              <w:top w:val="single" w:sz="1" w:space="0" w:color="888888"/>
              <w:left w:val="single" w:sz="1" w:space="0" w:color="888888"/>
              <w:bottom w:val="single" w:sz="1" w:space="0" w:color="888888"/>
              <w:right w:val="single" w:sz="1" w:space="0" w:color="888888"/>
            </w:tcBorders>
            <w:tcMar>
              <w:top w:w="80" w:type="dxa"/>
              <w:left w:w="120" w:type="dxa"/>
              <w:bottom w:w="80" w:type="dxa"/>
              <w:right w:w="120" w:type="dxa"/>
            </w:tcMar>
          </w:tcPr>
          <w:p w14:paraId="7F1444F9" w14:textId="77777777" w:rsidR="00331AE8" w:rsidRDefault="00331AE8" w:rsidP="002E4235">
            <w:pPr>
              <w:spacing w:line="276" w:lineRule="auto"/>
            </w:pPr>
            <w:r>
              <w:rPr>
                <w:rFonts w:ascii="Arial" w:eastAsia="Arial" w:hAnsi="Arial" w:cs="Arial"/>
                <w:sz w:val="20"/>
                <w:szCs w:val="20"/>
              </w:rPr>
              <w:t>C</w:t>
            </w:r>
          </w:p>
        </w:tc>
        <w:tc>
          <w:tcPr>
            <w:tcW w:w="1300" w:type="dxa"/>
            <w:tcBorders>
              <w:top w:val="single" w:sz="1" w:space="0" w:color="888888"/>
              <w:left w:val="single" w:sz="1" w:space="0" w:color="888888"/>
              <w:bottom w:val="single" w:sz="1" w:space="0" w:color="888888"/>
              <w:right w:val="single" w:sz="1" w:space="0" w:color="888888"/>
            </w:tcBorders>
            <w:tcMar>
              <w:top w:w="80" w:type="dxa"/>
              <w:left w:w="120" w:type="dxa"/>
              <w:bottom w:w="80" w:type="dxa"/>
              <w:right w:w="120" w:type="dxa"/>
            </w:tcMar>
          </w:tcPr>
          <w:p w14:paraId="47A70CE7" w14:textId="77777777" w:rsidR="00331AE8" w:rsidRDefault="00331AE8" w:rsidP="002E4235">
            <w:pPr>
              <w:spacing w:line="276" w:lineRule="auto"/>
            </w:pPr>
            <w:r>
              <w:rPr>
                <w:rFonts w:ascii="Arial" w:eastAsia="Arial" w:hAnsi="Arial" w:cs="Arial"/>
                <w:sz w:val="20"/>
                <w:szCs w:val="20"/>
              </w:rPr>
              <w:t>R</w:t>
            </w:r>
          </w:p>
        </w:tc>
        <w:tc>
          <w:tcPr>
            <w:tcW w:w="1300" w:type="dxa"/>
            <w:tcBorders>
              <w:top w:val="single" w:sz="1" w:space="0" w:color="888888"/>
              <w:left w:val="single" w:sz="1" w:space="0" w:color="888888"/>
              <w:bottom w:val="single" w:sz="1" w:space="0" w:color="888888"/>
              <w:right w:val="single" w:sz="1" w:space="0" w:color="888888"/>
            </w:tcBorders>
            <w:tcMar>
              <w:top w:w="80" w:type="dxa"/>
              <w:left w:w="120" w:type="dxa"/>
              <w:bottom w:w="80" w:type="dxa"/>
              <w:right w:w="120" w:type="dxa"/>
            </w:tcMar>
          </w:tcPr>
          <w:p w14:paraId="6EA6CAEA" w14:textId="77777777" w:rsidR="00331AE8" w:rsidRDefault="00331AE8" w:rsidP="002E4235">
            <w:pPr>
              <w:spacing w:line="276" w:lineRule="auto"/>
            </w:pPr>
            <w:r>
              <w:rPr>
                <w:rFonts w:ascii="Arial" w:eastAsia="Arial" w:hAnsi="Arial" w:cs="Arial"/>
                <w:sz w:val="20"/>
                <w:szCs w:val="20"/>
              </w:rPr>
              <w:t>I</w:t>
            </w:r>
          </w:p>
        </w:tc>
      </w:tr>
      <w:tr w:rsidR="00331AE8" w14:paraId="2C8E057E" w14:textId="77777777" w:rsidTr="002E4235">
        <w:tc>
          <w:tcPr>
            <w:tcW w:w="2860" w:type="dxa"/>
            <w:tcBorders>
              <w:top w:val="single" w:sz="1" w:space="0" w:color="888888"/>
              <w:left w:val="single" w:sz="1" w:space="0" w:color="888888"/>
              <w:bottom w:val="single" w:sz="1" w:space="0" w:color="888888"/>
              <w:right w:val="single" w:sz="1" w:space="0" w:color="888888"/>
            </w:tcBorders>
            <w:tcMar>
              <w:top w:w="80" w:type="dxa"/>
              <w:left w:w="120" w:type="dxa"/>
              <w:bottom w:w="80" w:type="dxa"/>
              <w:right w:w="120" w:type="dxa"/>
            </w:tcMar>
          </w:tcPr>
          <w:p w14:paraId="54703B18" w14:textId="77777777" w:rsidR="00331AE8" w:rsidRDefault="00331AE8" w:rsidP="002E4235">
            <w:pPr>
              <w:spacing w:line="276" w:lineRule="auto"/>
            </w:pPr>
            <w:r>
              <w:rPr>
                <w:rFonts w:ascii="Arial" w:eastAsia="Arial" w:hAnsi="Arial" w:cs="Arial"/>
                <w:sz w:val="20"/>
                <w:szCs w:val="20"/>
              </w:rPr>
              <w:t>Train staff</w:t>
            </w:r>
          </w:p>
        </w:tc>
        <w:tc>
          <w:tcPr>
            <w:tcW w:w="1300" w:type="dxa"/>
            <w:tcBorders>
              <w:top w:val="single" w:sz="1" w:space="0" w:color="888888"/>
              <w:left w:val="single" w:sz="1" w:space="0" w:color="888888"/>
              <w:bottom w:val="single" w:sz="1" w:space="0" w:color="888888"/>
              <w:right w:val="single" w:sz="1" w:space="0" w:color="888888"/>
            </w:tcBorders>
            <w:tcMar>
              <w:top w:w="80" w:type="dxa"/>
              <w:left w:w="120" w:type="dxa"/>
              <w:bottom w:w="80" w:type="dxa"/>
              <w:right w:w="120" w:type="dxa"/>
            </w:tcMar>
          </w:tcPr>
          <w:p w14:paraId="7097F676" w14:textId="77777777" w:rsidR="00331AE8" w:rsidRDefault="00331AE8" w:rsidP="002E4235">
            <w:pPr>
              <w:spacing w:line="276" w:lineRule="auto"/>
            </w:pPr>
            <w:r>
              <w:rPr>
                <w:rFonts w:ascii="Arial" w:eastAsia="Arial" w:hAnsi="Arial" w:cs="Arial"/>
                <w:sz w:val="20"/>
                <w:szCs w:val="20"/>
              </w:rPr>
              <w:t>I</w:t>
            </w:r>
          </w:p>
        </w:tc>
        <w:tc>
          <w:tcPr>
            <w:tcW w:w="1300" w:type="dxa"/>
            <w:tcBorders>
              <w:top w:val="single" w:sz="1" w:space="0" w:color="888888"/>
              <w:left w:val="single" w:sz="1" w:space="0" w:color="888888"/>
              <w:bottom w:val="single" w:sz="1" w:space="0" w:color="888888"/>
              <w:right w:val="single" w:sz="1" w:space="0" w:color="888888"/>
            </w:tcBorders>
            <w:tcMar>
              <w:top w:w="80" w:type="dxa"/>
              <w:left w:w="120" w:type="dxa"/>
              <w:bottom w:w="80" w:type="dxa"/>
              <w:right w:w="120" w:type="dxa"/>
            </w:tcMar>
          </w:tcPr>
          <w:p w14:paraId="10D6F88B" w14:textId="77777777" w:rsidR="00331AE8" w:rsidRDefault="00331AE8" w:rsidP="002E4235">
            <w:pPr>
              <w:spacing w:line="276" w:lineRule="auto"/>
            </w:pPr>
            <w:r>
              <w:rPr>
                <w:rFonts w:ascii="Arial" w:eastAsia="Arial" w:hAnsi="Arial" w:cs="Arial"/>
                <w:sz w:val="20"/>
                <w:szCs w:val="20"/>
              </w:rPr>
              <w:t>A</w:t>
            </w:r>
          </w:p>
        </w:tc>
        <w:tc>
          <w:tcPr>
            <w:tcW w:w="1300" w:type="dxa"/>
            <w:tcBorders>
              <w:top w:val="single" w:sz="1" w:space="0" w:color="888888"/>
              <w:left w:val="single" w:sz="1" w:space="0" w:color="888888"/>
              <w:bottom w:val="single" w:sz="1" w:space="0" w:color="888888"/>
              <w:right w:val="single" w:sz="1" w:space="0" w:color="888888"/>
            </w:tcBorders>
            <w:tcMar>
              <w:top w:w="80" w:type="dxa"/>
              <w:left w:w="120" w:type="dxa"/>
              <w:bottom w:w="80" w:type="dxa"/>
              <w:right w:w="120" w:type="dxa"/>
            </w:tcMar>
          </w:tcPr>
          <w:p w14:paraId="2209A0B9" w14:textId="77777777" w:rsidR="00331AE8" w:rsidRDefault="00331AE8" w:rsidP="002E4235">
            <w:pPr>
              <w:spacing w:line="276" w:lineRule="auto"/>
            </w:pPr>
            <w:r>
              <w:rPr>
                <w:rFonts w:ascii="Arial" w:eastAsia="Arial" w:hAnsi="Arial" w:cs="Arial"/>
                <w:sz w:val="20"/>
                <w:szCs w:val="20"/>
              </w:rPr>
              <w:t>C</w:t>
            </w:r>
          </w:p>
        </w:tc>
        <w:tc>
          <w:tcPr>
            <w:tcW w:w="1300" w:type="dxa"/>
            <w:tcBorders>
              <w:top w:val="single" w:sz="1" w:space="0" w:color="888888"/>
              <w:left w:val="single" w:sz="1" w:space="0" w:color="888888"/>
              <w:bottom w:val="single" w:sz="1" w:space="0" w:color="888888"/>
              <w:right w:val="single" w:sz="1" w:space="0" w:color="888888"/>
            </w:tcBorders>
            <w:tcMar>
              <w:top w:w="80" w:type="dxa"/>
              <w:left w:w="120" w:type="dxa"/>
              <w:bottom w:w="80" w:type="dxa"/>
              <w:right w:w="120" w:type="dxa"/>
            </w:tcMar>
          </w:tcPr>
          <w:p w14:paraId="6667A3D5" w14:textId="77777777" w:rsidR="00331AE8" w:rsidRDefault="00331AE8" w:rsidP="002E4235">
            <w:pPr>
              <w:spacing w:line="276" w:lineRule="auto"/>
            </w:pPr>
            <w:r>
              <w:rPr>
                <w:rFonts w:ascii="Arial" w:eastAsia="Arial" w:hAnsi="Arial" w:cs="Arial"/>
                <w:sz w:val="20"/>
                <w:szCs w:val="20"/>
              </w:rPr>
              <w:t>I</w:t>
            </w:r>
          </w:p>
        </w:tc>
        <w:tc>
          <w:tcPr>
            <w:tcW w:w="1300" w:type="dxa"/>
            <w:tcBorders>
              <w:top w:val="single" w:sz="1" w:space="0" w:color="888888"/>
              <w:left w:val="single" w:sz="1" w:space="0" w:color="888888"/>
              <w:bottom w:val="single" w:sz="1" w:space="0" w:color="888888"/>
              <w:right w:val="single" w:sz="1" w:space="0" w:color="888888"/>
            </w:tcBorders>
            <w:tcMar>
              <w:top w:w="80" w:type="dxa"/>
              <w:left w:w="120" w:type="dxa"/>
              <w:bottom w:w="80" w:type="dxa"/>
              <w:right w:w="120" w:type="dxa"/>
            </w:tcMar>
          </w:tcPr>
          <w:p w14:paraId="31051F49" w14:textId="77777777" w:rsidR="00331AE8" w:rsidRDefault="00331AE8" w:rsidP="002E4235">
            <w:pPr>
              <w:spacing w:line="276" w:lineRule="auto"/>
            </w:pPr>
            <w:r>
              <w:rPr>
                <w:rFonts w:ascii="Arial" w:eastAsia="Arial" w:hAnsi="Arial" w:cs="Arial"/>
                <w:sz w:val="20"/>
                <w:szCs w:val="20"/>
              </w:rPr>
              <w:t>R</w:t>
            </w:r>
          </w:p>
        </w:tc>
      </w:tr>
      <w:tr w:rsidR="00331AE8" w14:paraId="7848BD06" w14:textId="77777777" w:rsidTr="002E4235">
        <w:tc>
          <w:tcPr>
            <w:tcW w:w="2860" w:type="dxa"/>
            <w:tcBorders>
              <w:top w:val="single" w:sz="1" w:space="0" w:color="888888"/>
              <w:left w:val="single" w:sz="1" w:space="0" w:color="888888"/>
              <w:bottom w:val="single" w:sz="1" w:space="0" w:color="888888"/>
              <w:right w:val="single" w:sz="1" w:space="0" w:color="888888"/>
            </w:tcBorders>
            <w:tcMar>
              <w:top w:w="80" w:type="dxa"/>
              <w:left w:w="120" w:type="dxa"/>
              <w:bottom w:w="80" w:type="dxa"/>
              <w:right w:w="120" w:type="dxa"/>
            </w:tcMar>
          </w:tcPr>
          <w:p w14:paraId="5F7581AC" w14:textId="77777777" w:rsidR="00331AE8" w:rsidRDefault="00331AE8" w:rsidP="002E4235">
            <w:pPr>
              <w:spacing w:line="276" w:lineRule="auto"/>
            </w:pPr>
            <w:r>
              <w:rPr>
                <w:rFonts w:ascii="Arial" w:eastAsia="Arial" w:hAnsi="Arial" w:cs="Arial"/>
                <w:sz w:val="20"/>
                <w:szCs w:val="20"/>
              </w:rPr>
              <w:t>Operate service</w:t>
            </w:r>
          </w:p>
        </w:tc>
        <w:tc>
          <w:tcPr>
            <w:tcW w:w="1300" w:type="dxa"/>
            <w:tcBorders>
              <w:top w:val="single" w:sz="1" w:space="0" w:color="888888"/>
              <w:left w:val="single" w:sz="1" w:space="0" w:color="888888"/>
              <w:bottom w:val="single" w:sz="1" w:space="0" w:color="888888"/>
              <w:right w:val="single" w:sz="1" w:space="0" w:color="888888"/>
            </w:tcBorders>
            <w:tcMar>
              <w:top w:w="80" w:type="dxa"/>
              <w:left w:w="120" w:type="dxa"/>
              <w:bottom w:w="80" w:type="dxa"/>
              <w:right w:w="120" w:type="dxa"/>
            </w:tcMar>
          </w:tcPr>
          <w:p w14:paraId="39FC8797" w14:textId="77777777" w:rsidR="00331AE8" w:rsidRDefault="00331AE8" w:rsidP="002E4235">
            <w:pPr>
              <w:spacing w:line="276" w:lineRule="auto"/>
            </w:pPr>
            <w:r>
              <w:rPr>
                <w:rFonts w:ascii="Arial" w:eastAsia="Arial" w:hAnsi="Arial" w:cs="Arial"/>
                <w:sz w:val="20"/>
                <w:szCs w:val="20"/>
              </w:rPr>
              <w:t>I</w:t>
            </w:r>
          </w:p>
        </w:tc>
        <w:tc>
          <w:tcPr>
            <w:tcW w:w="1300" w:type="dxa"/>
            <w:tcBorders>
              <w:top w:val="single" w:sz="1" w:space="0" w:color="888888"/>
              <w:left w:val="single" w:sz="1" w:space="0" w:color="888888"/>
              <w:bottom w:val="single" w:sz="1" w:space="0" w:color="888888"/>
              <w:right w:val="single" w:sz="1" w:space="0" w:color="888888"/>
            </w:tcBorders>
            <w:tcMar>
              <w:top w:w="80" w:type="dxa"/>
              <w:left w:w="120" w:type="dxa"/>
              <w:bottom w:w="80" w:type="dxa"/>
              <w:right w:w="120" w:type="dxa"/>
            </w:tcMar>
          </w:tcPr>
          <w:p w14:paraId="27EA791C" w14:textId="77777777" w:rsidR="00331AE8" w:rsidRDefault="00331AE8" w:rsidP="002E4235">
            <w:pPr>
              <w:spacing w:line="276" w:lineRule="auto"/>
            </w:pPr>
            <w:r>
              <w:rPr>
                <w:rFonts w:ascii="Arial" w:eastAsia="Arial" w:hAnsi="Arial" w:cs="Arial"/>
                <w:sz w:val="20"/>
                <w:szCs w:val="20"/>
              </w:rPr>
              <w:t>C</w:t>
            </w:r>
          </w:p>
        </w:tc>
        <w:tc>
          <w:tcPr>
            <w:tcW w:w="1300" w:type="dxa"/>
            <w:tcBorders>
              <w:top w:val="single" w:sz="1" w:space="0" w:color="888888"/>
              <w:left w:val="single" w:sz="1" w:space="0" w:color="888888"/>
              <w:bottom w:val="single" w:sz="1" w:space="0" w:color="888888"/>
              <w:right w:val="single" w:sz="1" w:space="0" w:color="888888"/>
            </w:tcBorders>
            <w:tcMar>
              <w:top w:w="80" w:type="dxa"/>
              <w:left w:w="120" w:type="dxa"/>
              <w:bottom w:w="80" w:type="dxa"/>
              <w:right w:w="120" w:type="dxa"/>
            </w:tcMar>
          </w:tcPr>
          <w:p w14:paraId="6934E50F" w14:textId="77777777" w:rsidR="00331AE8" w:rsidRDefault="00331AE8" w:rsidP="002E4235">
            <w:pPr>
              <w:spacing w:line="276" w:lineRule="auto"/>
            </w:pPr>
            <w:r>
              <w:rPr>
                <w:rFonts w:ascii="Arial" w:eastAsia="Arial" w:hAnsi="Arial" w:cs="Arial"/>
                <w:sz w:val="20"/>
                <w:szCs w:val="20"/>
              </w:rPr>
              <w:t>C</w:t>
            </w:r>
          </w:p>
        </w:tc>
        <w:tc>
          <w:tcPr>
            <w:tcW w:w="1300" w:type="dxa"/>
            <w:tcBorders>
              <w:top w:val="single" w:sz="1" w:space="0" w:color="888888"/>
              <w:left w:val="single" w:sz="1" w:space="0" w:color="888888"/>
              <w:bottom w:val="single" w:sz="1" w:space="0" w:color="888888"/>
              <w:right w:val="single" w:sz="1" w:space="0" w:color="888888"/>
            </w:tcBorders>
            <w:tcMar>
              <w:top w:w="80" w:type="dxa"/>
              <w:left w:w="120" w:type="dxa"/>
              <w:bottom w:w="80" w:type="dxa"/>
              <w:right w:w="120" w:type="dxa"/>
            </w:tcMar>
          </w:tcPr>
          <w:p w14:paraId="2D447200" w14:textId="77777777" w:rsidR="00331AE8" w:rsidRDefault="00331AE8" w:rsidP="002E4235">
            <w:pPr>
              <w:spacing w:line="276" w:lineRule="auto"/>
            </w:pPr>
            <w:r>
              <w:rPr>
                <w:rFonts w:ascii="Arial" w:eastAsia="Arial" w:hAnsi="Arial" w:cs="Arial"/>
                <w:sz w:val="20"/>
                <w:szCs w:val="20"/>
              </w:rPr>
              <w:t>I</w:t>
            </w:r>
          </w:p>
        </w:tc>
        <w:tc>
          <w:tcPr>
            <w:tcW w:w="1300" w:type="dxa"/>
            <w:tcBorders>
              <w:top w:val="single" w:sz="1" w:space="0" w:color="888888"/>
              <w:left w:val="single" w:sz="1" w:space="0" w:color="888888"/>
              <w:bottom w:val="single" w:sz="1" w:space="0" w:color="888888"/>
              <w:right w:val="single" w:sz="1" w:space="0" w:color="888888"/>
            </w:tcBorders>
            <w:tcMar>
              <w:top w:w="80" w:type="dxa"/>
              <w:left w:w="120" w:type="dxa"/>
              <w:bottom w:w="80" w:type="dxa"/>
              <w:right w:w="120" w:type="dxa"/>
            </w:tcMar>
          </w:tcPr>
          <w:p w14:paraId="35D64603" w14:textId="77777777" w:rsidR="00331AE8" w:rsidRDefault="00331AE8" w:rsidP="002E4235">
            <w:pPr>
              <w:spacing w:line="276" w:lineRule="auto"/>
            </w:pPr>
            <w:r>
              <w:rPr>
                <w:rFonts w:ascii="Arial" w:eastAsia="Arial" w:hAnsi="Arial" w:cs="Arial"/>
                <w:sz w:val="20"/>
                <w:szCs w:val="20"/>
              </w:rPr>
              <w:t>R/A</w:t>
            </w:r>
          </w:p>
        </w:tc>
      </w:tr>
    </w:tbl>
    <w:p w14:paraId="19888A84" w14:textId="77777777" w:rsidR="00331AE8" w:rsidRDefault="00331AE8" w:rsidP="00331AE8">
      <w:pPr>
        <w:spacing w:after="200"/>
      </w:pPr>
      <w:r>
        <w:rPr>
          <w:rFonts w:ascii="Arial" w:eastAsia="Arial" w:hAnsi="Arial" w:cs="Arial"/>
          <w:i/>
          <w:iCs/>
          <w:sz w:val="20"/>
          <w:szCs w:val="20"/>
        </w:rPr>
        <w:t xml:space="preserve">Figure 2: RACI Matrix for Key </w:t>
      </w:r>
      <w:proofErr w:type="spellStart"/>
      <w:r>
        <w:rPr>
          <w:rFonts w:ascii="Arial" w:eastAsia="Arial" w:hAnsi="Arial" w:cs="Arial"/>
          <w:i/>
          <w:iCs/>
          <w:sz w:val="20"/>
          <w:szCs w:val="20"/>
        </w:rPr>
        <w:t>StaySmart</w:t>
      </w:r>
      <w:proofErr w:type="spellEnd"/>
      <w:r>
        <w:rPr>
          <w:rFonts w:ascii="Arial" w:eastAsia="Arial" w:hAnsi="Arial" w:cs="Arial"/>
          <w:i/>
          <w:iCs/>
          <w:sz w:val="20"/>
          <w:szCs w:val="20"/>
        </w:rPr>
        <w:t>+ Tasks. Source: Adapted from Cabanillas et al. (2012).</w:t>
      </w:r>
    </w:p>
    <w:p w14:paraId="41E45FFB" w14:textId="77777777" w:rsidR="00331AE8" w:rsidRDefault="00331AE8" w:rsidP="00331AE8">
      <w:pPr>
        <w:spacing w:line="360" w:lineRule="auto"/>
      </w:pPr>
      <w:r>
        <w:t xml:space="preserve">Engagement plans determine the participation of each group of stakeholders in a systematic manner and rollout over six months, and communication plans outline the channel, frequency, and ownership of the message (Bourne, 2022). Engagement with the executive teams, as well as the sponsor, is in the form of monthly steering committee meetings with supporting extensive dashboards of scope, cost, time, risk, and benefits realisation. Engagement to the hotel general managers and the direct staff involves regional briefing, pilot projects in the flagship hotels in London and Birmingham and communities of practice where supervisors exchange lessons learned. In app messaging, loyalty programme emails, and </w:t>
      </w:r>
      <w:proofErr w:type="gramStart"/>
      <w:r>
        <w:t>on site</w:t>
      </w:r>
      <w:proofErr w:type="gramEnd"/>
      <w:r>
        <w:t xml:space="preserve"> ambassadors who introduce </w:t>
      </w:r>
      <w:proofErr w:type="spellStart"/>
      <w:r>
        <w:t>StaySmart</w:t>
      </w:r>
      <w:proofErr w:type="spellEnd"/>
      <w:r>
        <w:t>+ to guests in the first weeks after launch are used to engage guests (Kim, Milne and Fisher, 2022). Vendors of technology also have meetings with the working group on a regular basis, usually once a week, and quarterly reviews of governance to test performance against service level agreements. Structured written updates to regulators and investors are provided in line with existent reporting cycles and do not create information overload (Font, Higham and Miller, 2023).</w:t>
      </w:r>
    </w:p>
    <w:p w14:paraId="799E1F95" w14:textId="77777777" w:rsidR="00331AE8" w:rsidRDefault="00331AE8" w:rsidP="00331AE8">
      <w:pPr>
        <w:pStyle w:val="Heading1"/>
        <w:spacing w:before="320" w:after="200"/>
      </w:pPr>
      <w:bookmarkStart w:id="9" w:name="_Toc227272927"/>
      <w:r>
        <w:rPr>
          <w:rFonts w:ascii="Arial" w:eastAsia="Arial" w:hAnsi="Arial" w:cs="Arial"/>
          <w:bCs/>
          <w:sz w:val="32"/>
          <w:szCs w:val="32"/>
        </w:rPr>
        <w:t>6.0 The Engagement Process and Conflict Management: The 4Cs Model</w:t>
      </w:r>
      <w:bookmarkEnd w:id="9"/>
    </w:p>
    <w:p w14:paraId="2F50E2F1" w14:textId="77777777" w:rsidR="00331AE8" w:rsidRDefault="00331AE8" w:rsidP="00331AE8">
      <w:pPr>
        <w:spacing w:line="360" w:lineRule="auto"/>
      </w:pPr>
      <w:r>
        <w:t xml:space="preserve">The participation of stakeholders in delivery steps is not a one-time and isolated action, but continuous and dynamic processes, and it is the responsibility of project managers to ensure relationships formed in the planning stages are maintained throughout implementation periods (Bourne, 2022). The 4Cs model of communication, collaboration, consultation, and </w:t>
      </w:r>
      <w:r>
        <w:lastRenderedPageBreak/>
        <w:t xml:space="preserve">commitment provides both practical and theoretically underpinning frameworks of how to systematically structure engagement activities throughout the </w:t>
      </w:r>
      <w:proofErr w:type="spellStart"/>
      <w:r>
        <w:t>StaySmart</w:t>
      </w:r>
      <w:proofErr w:type="spellEnd"/>
      <w:r>
        <w:t>+ rollouts and successfully address conflicts that are bound to occur when various groups with different priorities are united (Ashcroft, 2017).</w:t>
      </w:r>
    </w:p>
    <w:p w14:paraId="11D7E2BC" w14:textId="77777777" w:rsidR="00331AE8" w:rsidRDefault="00331AE8" w:rsidP="00331AE8">
      <w:pPr>
        <w:pStyle w:val="Heading2"/>
        <w:spacing w:before="240" w:after="160"/>
      </w:pPr>
      <w:bookmarkStart w:id="10" w:name="_Toc227272928"/>
      <w:r>
        <w:rPr>
          <w:rFonts w:ascii="Arial" w:eastAsia="Arial" w:hAnsi="Arial" w:cs="Arial"/>
          <w:bCs/>
          <w:sz w:val="28"/>
          <w:szCs w:val="28"/>
        </w:rPr>
        <w:t>6.1 Communication</w:t>
      </w:r>
      <w:bookmarkEnd w:id="10"/>
    </w:p>
    <w:p w14:paraId="3AEE0662" w14:textId="77777777" w:rsidR="00331AE8" w:rsidRDefault="00331AE8" w:rsidP="00331AE8">
      <w:pPr>
        <w:spacing w:line="360" w:lineRule="auto"/>
      </w:pPr>
      <w:r>
        <w:t>The first step in effective communication is building common understanding of the project vision, scope, deliverables and benefits, and project managers can achieve this through systematic communication using full kick off events, brief but detailed project charters and when the managing directors of Premier Inn put their stamp on the project through visible messages (Christopher, Payne and Ballantyne, 2013). Continuous communication uses judiciously chosen channel mixes that are specifically oriented to each target group and short weekly status reports to hotel general managers with operational updates, monthly steering committees to executive teams with strategic progress and visual dashboards to operational supervisors with real time performance indicators. Modern studies of project communication show that the frequency and richness of messages transmitted must be systematically adjusted to the urgency and complexity of decisions that must be made as digital channels are seldom sufficient to create the depth of trust experienced in face to face communication in critical project situations (Ruck, Welch and Menara, 2017).</w:t>
      </w:r>
    </w:p>
    <w:p w14:paraId="77539633" w14:textId="348262E5" w:rsidR="008D642C" w:rsidRDefault="008D642C" w:rsidP="00331AE8">
      <w:pPr>
        <w:spacing w:line="360" w:lineRule="auto"/>
      </w:pPr>
      <w:r w:rsidRPr="008D642C">
        <w:rPr>
          <w:noProof/>
        </w:rPr>
        <w:lastRenderedPageBreak/>
        <w:drawing>
          <wp:inline distT="0" distB="0" distL="0" distR="0" wp14:anchorId="0918B60C" wp14:editId="2C21A361">
            <wp:extent cx="5731510" cy="4503420"/>
            <wp:effectExtent l="0" t="0" r="2540" b="0"/>
            <wp:docPr id="1491932331" name="Picture 1" descr="The image is a visual representation of a stakeholder communication plan for the launch of Premier Inn's StaySmart+ service, detailing various stakeholder groups, their roles, meeting frequencies, and communication channe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932331" name="Picture 1" descr="The image is a visual representation of a stakeholder communication plan for the launch of Premier Inn's StaySmart+ service, detailing various stakeholder groups, their roles, meeting frequencies, and communication channels.&#10;&#10;AI-generated content may be incorrect."/>
                    <pic:cNvPicPr/>
                  </pic:nvPicPr>
                  <pic:blipFill>
                    <a:blip r:embed="rId9"/>
                    <a:stretch>
                      <a:fillRect/>
                    </a:stretch>
                  </pic:blipFill>
                  <pic:spPr>
                    <a:xfrm>
                      <a:off x="0" y="0"/>
                      <a:ext cx="5731510" cy="4503420"/>
                    </a:xfrm>
                    <a:prstGeom prst="rect">
                      <a:avLst/>
                    </a:prstGeom>
                  </pic:spPr>
                </pic:pic>
              </a:graphicData>
            </a:graphic>
          </wp:inline>
        </w:drawing>
      </w:r>
    </w:p>
    <w:p w14:paraId="7FF80BD8" w14:textId="77777777" w:rsidR="00331AE8" w:rsidRDefault="00331AE8" w:rsidP="00331AE8">
      <w:pPr>
        <w:pStyle w:val="Heading2"/>
        <w:spacing w:before="240" w:after="160"/>
      </w:pPr>
      <w:bookmarkStart w:id="11" w:name="_Toc227272929"/>
      <w:r>
        <w:rPr>
          <w:rFonts w:ascii="Arial" w:eastAsia="Arial" w:hAnsi="Arial" w:cs="Arial"/>
          <w:bCs/>
          <w:sz w:val="28"/>
          <w:szCs w:val="28"/>
        </w:rPr>
        <w:t>6.2 Collaboration</w:t>
      </w:r>
      <w:bookmarkEnd w:id="11"/>
    </w:p>
    <w:p w14:paraId="008F20B7" w14:textId="77777777" w:rsidR="00331AE8" w:rsidRDefault="00331AE8" w:rsidP="00331AE8">
      <w:pPr>
        <w:spacing w:line="360" w:lineRule="auto"/>
      </w:pPr>
      <w:r>
        <w:t xml:space="preserve">Collaboration shifts engagement out of one-way flow of information to </w:t>
      </w:r>
      <w:proofErr w:type="gramStart"/>
      <w:r>
        <w:t>actually joint</w:t>
      </w:r>
      <w:proofErr w:type="gramEnd"/>
      <w:r>
        <w:t xml:space="preserve"> problem solving across functional and organisational borders to generate shared ownership of results and solutions (Ashcroft, 2017). In the case of </w:t>
      </w:r>
      <w:proofErr w:type="spellStart"/>
      <w:r>
        <w:t>StaySmart</w:t>
      </w:r>
      <w:proofErr w:type="spellEnd"/>
      <w:r>
        <w:t>+, project managers create cross functional working groups which bring together systematic product development, IT, operations, marketing, sustainability and legal colleagues with lead vendors in AI engine development and mobile platform development. Guest journey mapping and service design workshops enable the participants to create solutions with structure and not be handed the decisions by central project teams, greatly boosting the ownership levels and final output quality. Scholarly research on the innovation processes in hospitality reveals that collaborative frameworks bring significantly higher levels of adoption success than hierarchical implementations, especially in situations where front line employees are viewed as actual partners, rather than as passive receivers of change initiatives (Line, Hanks and Zhang, 2023).</w:t>
      </w:r>
    </w:p>
    <w:p w14:paraId="1A667FEE" w14:textId="77777777" w:rsidR="00331AE8" w:rsidRDefault="00331AE8" w:rsidP="00331AE8">
      <w:pPr>
        <w:pStyle w:val="Heading2"/>
        <w:spacing w:before="240" w:after="160"/>
      </w:pPr>
      <w:bookmarkStart w:id="12" w:name="_Toc227272930"/>
      <w:r>
        <w:rPr>
          <w:rFonts w:ascii="Arial" w:eastAsia="Arial" w:hAnsi="Arial" w:cs="Arial"/>
          <w:bCs/>
          <w:sz w:val="28"/>
          <w:szCs w:val="28"/>
        </w:rPr>
        <w:lastRenderedPageBreak/>
        <w:t>6.3 Consultation and Commitment</w:t>
      </w:r>
      <w:bookmarkEnd w:id="12"/>
    </w:p>
    <w:p w14:paraId="66B57ED1" w14:textId="77777777" w:rsidR="00331AE8" w:rsidRDefault="00331AE8" w:rsidP="00331AE8">
      <w:pPr>
        <w:spacing w:line="360" w:lineRule="auto"/>
      </w:pPr>
      <w:r>
        <w:t xml:space="preserve">Consultation is positioned between communication and collaboration, which is a clear indication that project sponsors have made stakeholders views active and taken seriously even though the final </w:t>
      </w:r>
      <w:proofErr w:type="gramStart"/>
      <w:r>
        <w:t>decision making</w:t>
      </w:r>
      <w:proofErr w:type="gramEnd"/>
      <w:r>
        <w:t xml:space="preserve"> authority can be left to them (Bourne, 2022). In the case of </w:t>
      </w:r>
      <w:proofErr w:type="spellStart"/>
      <w:r>
        <w:t>StaySmart</w:t>
      </w:r>
      <w:proofErr w:type="spellEnd"/>
      <w:r>
        <w:t>+, the project managers will consult front line staff systematically, on AI guest interaction scripts design, using structured focus groups in pilot hotels, invite regulatory authorities to consider data protection impact assessments far in advance of actual launches, and arrange guest panels to test messaging strategies on personalisation and sustainability features. Consultation processes are authentic and stakeholder feedback is evident in ultimate design choices, they contribute a lot to the commitment of participants (Mzembe, Koens and Calvi, 2023).</w:t>
      </w:r>
    </w:p>
    <w:p w14:paraId="5BCEF8EB" w14:textId="24BC05F0" w:rsidR="00331AE8" w:rsidRDefault="00331AE8" w:rsidP="00331AE8">
      <w:pPr>
        <w:spacing w:line="360" w:lineRule="auto"/>
      </w:pPr>
      <w:r>
        <w:t xml:space="preserve">Devotion ensures continued involvement after the initial novelty is over and actual operation requirements of delivery are made obvious to all </w:t>
      </w:r>
      <w:proofErr w:type="spellStart"/>
      <w:r>
        <w:t>stakeholders</w:t>
      </w:r>
      <w:r w:rsidR="00056B44">
        <w:t>.</w:t>
      </w:r>
      <w:r>
        <w:t>Project</w:t>
      </w:r>
      <w:proofErr w:type="spellEnd"/>
      <w:r>
        <w:t xml:space="preserve"> managers foster commitment by structurally connecting individual and group goals to the set SMART targets of </w:t>
      </w:r>
      <w:proofErr w:type="spellStart"/>
      <w:r>
        <w:t>StaySmart</w:t>
      </w:r>
      <w:proofErr w:type="spellEnd"/>
      <w:r>
        <w:t xml:space="preserve">+, celebrating the initial successes in pilot hotels, and safeguarding sufficient resources in training and recovery time in front line teams. Specific recognition programmes that come with the introduction of new products and services are indicative of the fact that leadership appreciates hard work that is needed. Devoted stakeholders prove to be more resilient when things go wrong and they tend to </w:t>
      </w:r>
      <w:proofErr w:type="spellStart"/>
      <w:r>
        <w:t>enroll</w:t>
      </w:r>
      <w:proofErr w:type="spellEnd"/>
      <w:r>
        <w:t xml:space="preserve"> colleagues into constructive discourses regarding projects, which speeds up the adoption of projects into more extensive property </w:t>
      </w:r>
      <w:proofErr w:type="gramStart"/>
      <w:r>
        <w:t xml:space="preserve">networks </w:t>
      </w:r>
      <w:r w:rsidR="00056B44">
        <w:t>.</w:t>
      </w:r>
      <w:proofErr w:type="gramEnd"/>
    </w:p>
    <w:p w14:paraId="2E304190" w14:textId="77777777" w:rsidR="00331AE8" w:rsidRDefault="00331AE8" w:rsidP="00331AE8">
      <w:pPr>
        <w:spacing w:line="360" w:lineRule="auto"/>
      </w:pPr>
      <w:r>
        <w:t xml:space="preserve">Within </w:t>
      </w:r>
      <w:proofErr w:type="spellStart"/>
      <w:r>
        <w:t>StaySmart</w:t>
      </w:r>
      <w:proofErr w:type="spellEnd"/>
      <w:r>
        <w:t xml:space="preserve">+, it is most likely that there will be conflicts between the speed of rollout and the depth of testing, the pressure of costs and the demands of service quality, and the central standardisation requirements and the local adaptation needs. Project managers use Thomas Kilmann conflict mode tools to choose the right reactions to combine collaboration in a complex and high stakes conflict with compromise in time sensitive operational conflicts (Caputo et al., 2022). Steering committees discourage the urge to develop small disagreements into deeply rooted stances early </w:t>
      </w:r>
      <w:proofErr w:type="gramStart"/>
      <w:r>
        <w:t>on, and</w:t>
      </w:r>
      <w:proofErr w:type="gramEnd"/>
      <w:r>
        <w:t xml:space="preserve"> mediated by human resources promotes the resolution of interpersonal tensions when a cross functional team develops interpersonal tensions (Ashcroft, 2017).</w:t>
      </w:r>
    </w:p>
    <w:p w14:paraId="28BFB48E" w14:textId="77777777" w:rsidR="00331AE8" w:rsidRDefault="00331AE8" w:rsidP="00331AE8">
      <w:pPr>
        <w:pStyle w:val="Heading1"/>
        <w:spacing w:before="320" w:after="200"/>
      </w:pPr>
      <w:bookmarkStart w:id="13" w:name="_Toc227272931"/>
      <w:r>
        <w:rPr>
          <w:rFonts w:ascii="Arial" w:eastAsia="Arial" w:hAnsi="Arial" w:cs="Arial"/>
          <w:bCs/>
          <w:sz w:val="32"/>
          <w:szCs w:val="32"/>
        </w:rPr>
        <w:lastRenderedPageBreak/>
        <w:t>7.0 Impact of Stakeholder Engagement on Business Performance and Recommendations</w:t>
      </w:r>
      <w:bookmarkEnd w:id="13"/>
    </w:p>
    <w:p w14:paraId="74C034BC" w14:textId="77777777" w:rsidR="00331AE8" w:rsidRDefault="00331AE8" w:rsidP="00331AE8">
      <w:pPr>
        <w:spacing w:line="360" w:lineRule="auto"/>
      </w:pPr>
      <w:r>
        <w:t xml:space="preserve">Stakeholder engagement can positively impact business performance, creating quantifiable benefits on financial, operational, and reputational levels of business performance, which is why stakeholder management has become </w:t>
      </w:r>
      <w:proofErr w:type="gramStart"/>
      <w:r>
        <w:t>a main focus</w:t>
      </w:r>
      <w:proofErr w:type="gramEnd"/>
      <w:r>
        <w:t xml:space="preserve"> of strategic management in </w:t>
      </w:r>
      <w:proofErr w:type="gramStart"/>
      <w:r>
        <w:t>service oriented</w:t>
      </w:r>
      <w:proofErr w:type="gramEnd"/>
      <w:r>
        <w:t xml:space="preserve"> companies that operate in competitive markets (</w:t>
      </w:r>
      <w:proofErr w:type="spellStart"/>
      <w:r>
        <w:t>Freudenreich</w:t>
      </w:r>
      <w:proofErr w:type="spellEnd"/>
      <w:r>
        <w:t xml:space="preserve">, Ludeke Freund and </w:t>
      </w:r>
      <w:proofErr w:type="spellStart"/>
      <w:r>
        <w:t>Schaltegger</w:t>
      </w:r>
      <w:proofErr w:type="spellEnd"/>
      <w:r>
        <w:t xml:space="preserve">, 2022). In the case of Premier Inn, effective stakeholder involvement in the projects of </w:t>
      </w:r>
      <w:proofErr w:type="spellStart"/>
      <w:r>
        <w:t>StaySmart</w:t>
      </w:r>
      <w:proofErr w:type="spellEnd"/>
      <w:r>
        <w:t xml:space="preserve">+ will contribute to the growth of revenues by enhancing the rate of adoption of new services offered by the company, protecting operating margins by minimizing rework and service failures in the processes of launching new services, and enhancing brand equity due to </w:t>
      </w:r>
      <w:proofErr w:type="spellStart"/>
      <w:r>
        <w:t>favorable</w:t>
      </w:r>
      <w:proofErr w:type="spellEnd"/>
      <w:r>
        <w:t xml:space="preserve"> experiences of guests and the positive media coverage of the processes of introducing new services.</w:t>
      </w:r>
    </w:p>
    <w:p w14:paraId="0CB40B8F" w14:textId="77777777" w:rsidR="00331AE8" w:rsidRDefault="00331AE8" w:rsidP="00331AE8">
      <w:pPr>
        <w:spacing w:line="360" w:lineRule="auto"/>
      </w:pPr>
      <w:r>
        <w:t xml:space="preserve">The flow of revenue impact is mainly due to increased occupancy and average daily rates in the property where the </w:t>
      </w:r>
      <w:proofErr w:type="spellStart"/>
      <w:r>
        <w:t>StaySmart</w:t>
      </w:r>
      <w:proofErr w:type="spellEnd"/>
      <w:r>
        <w:t>+ creates unique and valued guest experiences and supported by loyalty programme uplift in the Premier Inn Business Account programmes and repeat visit patterns of the leisure guests who are especially concerned with personalised travel planning capabilities (Line, Hanks and Zhang, 2023). Empirical studies on adoption patterns of hotel technologies, occurred in the recent past, have shown higher adoption rates of between fifteen and thirty per cent of the projects based on structured stakeholder engagement, compared to other similar projects where top down implementation instructions are the guiding principle, since front line staff members would be strong advocates of tools and services that they helped design during development phases (Kim, Milne and Fisher, 2022). Operational impact encompasses quantifiable improvements in check in processing time, dramatic savings in energy usage by using smart room controls and optimised heating systems and tangible decreases in guest complaints due to enhanced clarity of digital communications and increased responsiveness of service delivery.</w:t>
      </w:r>
    </w:p>
    <w:p w14:paraId="722C18C8" w14:textId="77777777" w:rsidR="00331AE8" w:rsidRDefault="00331AE8" w:rsidP="00331AE8">
      <w:pPr>
        <w:spacing w:line="360" w:lineRule="auto"/>
      </w:pPr>
      <w:r>
        <w:t xml:space="preserve">Reputational effect is in the form of better TripAdvisor and Booking.com review scores, positive media coverage of Whitbread Plc as a responsible adopter of artificial intelligence technologies, and better investor perception of quality of management and strategic direction, which also promotes group cost of capital and financial flexibility (Font, Higham and Miller, 2023). Reduction of risk is also another important benefit of a good stakeholder engagement, as early consultation with regulatory bodies and legal compliance teams can significantly decrease the probability of enforcement under UK GDPR and new AI regulation frameworks, </w:t>
      </w:r>
      <w:r>
        <w:lastRenderedPageBreak/>
        <w:t>whereas a good training process and well-developed communication plans can significantly decrease operational and reputational risks at the level of an individual property. Simultaneously, project managers should not overlook any ethical aspects of stakeholder engagement during the implementation processes and make sure that both personnel and visitors are informed of how personal information is gathered, processed, and utilized (</w:t>
      </w:r>
      <w:proofErr w:type="spellStart"/>
      <w:r>
        <w:t>Ogbeibu</w:t>
      </w:r>
      <w:proofErr w:type="spellEnd"/>
      <w:r>
        <w:t xml:space="preserve"> et al., 2024).</w:t>
      </w:r>
    </w:p>
    <w:p w14:paraId="20BF9477" w14:textId="77777777" w:rsidR="00331AE8" w:rsidRDefault="00331AE8" w:rsidP="00331AE8">
      <w:pPr>
        <w:spacing w:line="360" w:lineRule="auto"/>
      </w:pPr>
      <w:r>
        <w:t xml:space="preserve">Based on detailed analysis above, one can formulate six </w:t>
      </w:r>
      <w:proofErr w:type="gramStart"/>
      <w:r>
        <w:t>particular recommendations</w:t>
      </w:r>
      <w:proofErr w:type="gramEnd"/>
      <w:r>
        <w:t xml:space="preserve"> to enhance stakeholder engagement at Premier Inn in </w:t>
      </w:r>
      <w:proofErr w:type="spellStart"/>
      <w:r>
        <w:t>StaySmart</w:t>
      </w:r>
      <w:proofErr w:type="spellEnd"/>
      <w:r>
        <w:t>+ projects and in service launches in future across the organisation. To start with, project managers need to engage Whitbread executive teams to institutionalise extensive stakeholder engagement policies that are signed at the board level and establish minimum standards of identification, consultation and feedback procedures in all major projects (Bourne, 2022). Second, the organisation is to invest strategically in digital platforms of stakeholder engagement that centralise contact records, engagement activities and feedback data, allowing project managers and hotel general managers to monitor the relationship health across the properties in near real time and detect emerging issues before they degenerate into serious problems (</w:t>
      </w:r>
      <w:proofErr w:type="spellStart"/>
      <w:r>
        <w:t>Buhalis</w:t>
      </w:r>
      <w:proofErr w:type="spellEnd"/>
      <w:r>
        <w:t xml:space="preserve"> et al., 2023).</w:t>
      </w:r>
    </w:p>
    <w:p w14:paraId="70AF4A9B" w14:textId="77777777" w:rsidR="00331AE8" w:rsidRDefault="00331AE8" w:rsidP="00331AE8">
      <w:pPr>
        <w:spacing w:line="360" w:lineRule="auto"/>
      </w:pPr>
      <w:r>
        <w:t xml:space="preserve">Third, Premier Inn ought to strategically increase the application of piloting hotels as formal learning settings, formal retrospectives comprising front line staff, guests, and vendor partners that feed into scaling decisions and avoid causing preventable errors to recur (Kim, Milne and Fisher, 2022). Fourth, the group must enhance the engagement of external stakeholders and participate in industry working groups on responsible AI applications and sustainable tourism practices to establish positive relations with regulatory bodies and </w:t>
      </w:r>
      <w:proofErr w:type="spellStart"/>
      <w:proofErr w:type="gramStart"/>
      <w:r>
        <w:t>non governmental</w:t>
      </w:r>
      <w:proofErr w:type="spellEnd"/>
      <w:proofErr w:type="gramEnd"/>
      <w:r>
        <w:t xml:space="preserve"> organisations in advance of any controversial matters (Font, Higham and Miller, 2023). Fifth, human resources functions ought to integrate actively the engagement skills like active listening, facilitation, and </w:t>
      </w:r>
      <w:proofErr w:type="gramStart"/>
      <w:r>
        <w:t>cross cultural</w:t>
      </w:r>
      <w:proofErr w:type="gramEnd"/>
      <w:r>
        <w:t xml:space="preserve"> communication in leadership development programmes in a systematic fashion. Sixth, boards are to instruct the annual independent evaluation of the quality of stakeholder engagement of all major projects based on quantitative measures and qualitative interviews with the representatives (</w:t>
      </w:r>
      <w:proofErr w:type="spellStart"/>
      <w:r>
        <w:t>Freudenreich</w:t>
      </w:r>
      <w:proofErr w:type="spellEnd"/>
      <w:r>
        <w:t xml:space="preserve">, Ludeke Freund and </w:t>
      </w:r>
      <w:proofErr w:type="spellStart"/>
      <w:r>
        <w:t>Schaltegger</w:t>
      </w:r>
      <w:proofErr w:type="spellEnd"/>
      <w:r>
        <w:t>, 2022).</w:t>
      </w:r>
    </w:p>
    <w:p w14:paraId="2AC0B932" w14:textId="77777777" w:rsidR="00331AE8" w:rsidRDefault="00331AE8" w:rsidP="00331AE8">
      <w:pPr>
        <w:pStyle w:val="Heading1"/>
        <w:spacing w:before="320" w:after="200"/>
      </w:pPr>
      <w:bookmarkStart w:id="14" w:name="_Toc227272932"/>
      <w:r>
        <w:rPr>
          <w:rFonts w:ascii="Arial" w:eastAsia="Arial" w:hAnsi="Arial" w:cs="Arial"/>
          <w:bCs/>
          <w:sz w:val="32"/>
          <w:szCs w:val="32"/>
        </w:rPr>
        <w:t>8.0 Conclusion</w:t>
      </w:r>
      <w:bookmarkEnd w:id="14"/>
    </w:p>
    <w:p w14:paraId="0AA70077" w14:textId="6F70D332" w:rsidR="00331AE8" w:rsidRDefault="00331AE8" w:rsidP="00331AE8">
      <w:pPr>
        <w:spacing w:line="360" w:lineRule="auto"/>
      </w:pPr>
      <w:r>
        <w:t xml:space="preserve">In this report, the roles in stakeholder engagement in the launch of the </w:t>
      </w:r>
      <w:proofErr w:type="spellStart"/>
      <w:r>
        <w:t>StaySmart</w:t>
      </w:r>
      <w:proofErr w:type="spellEnd"/>
      <w:r>
        <w:t xml:space="preserve">+ service in Premier Inn have been examined and the theoretical frameworks of the stakeholders to the real </w:t>
      </w:r>
      <w:r>
        <w:lastRenderedPageBreak/>
        <w:t xml:space="preserve">hospitality scenarios have been applied. The SWOT and PESTLE tools of the situational analysis proved that Premier Inn is both operationally large and financially powerful and has digital and sustainability </w:t>
      </w:r>
      <w:proofErr w:type="gramStart"/>
      <w:r>
        <w:t>opportunities, but</w:t>
      </w:r>
      <w:proofErr w:type="gramEnd"/>
      <w:r>
        <w:t xml:space="preserve"> has cost pressures and regulatory threats. The internal stakeholders were the executive sponsors through to the </w:t>
      </w:r>
      <w:proofErr w:type="gramStart"/>
      <w:r>
        <w:t>front line</w:t>
      </w:r>
      <w:proofErr w:type="gramEnd"/>
      <w:r>
        <w:t xml:space="preserve"> staff and the external stakeholders were the guests through to the regulatory authorities, the roles, responsibilities, benefits, and challenges of each stakeholder were analysed in the report. The use of stakeholder matrices, RACF tools, and engagement models illustrated how the theory is applicable to practice in management. The model of engagement process discussion was based on the 4Cs model and was supported with the conflict management approaches. The impact assessment indicated that disciplined engagement contributes to the growth of revenues, efficiency increase and reduction of risks. In general, it has been shown that organisations generate sustainable value by engaging stakeholders as true partners in the implementation of deliveries (</w:t>
      </w:r>
      <w:proofErr w:type="spellStart"/>
      <w:r>
        <w:t>Freudenreich</w:t>
      </w:r>
      <w:proofErr w:type="spellEnd"/>
      <w:r>
        <w:t xml:space="preserve">, Ludeke Freund and </w:t>
      </w:r>
      <w:proofErr w:type="spellStart"/>
      <w:r>
        <w:t>Schaltegger</w:t>
      </w:r>
      <w:proofErr w:type="spellEnd"/>
      <w:r>
        <w:t>, 2022).</w:t>
      </w:r>
    </w:p>
    <w:p w14:paraId="7BE45B0E" w14:textId="77777777" w:rsidR="00331AE8" w:rsidRDefault="00331AE8" w:rsidP="00331AE8">
      <w:pPr>
        <w:spacing w:line="360" w:lineRule="auto"/>
      </w:pPr>
    </w:p>
    <w:p w14:paraId="6F99527E" w14:textId="77777777" w:rsidR="00331AE8" w:rsidRDefault="00331AE8" w:rsidP="00331AE8">
      <w:pPr>
        <w:spacing w:line="360" w:lineRule="auto"/>
      </w:pPr>
    </w:p>
    <w:p w14:paraId="2DCB3915" w14:textId="77777777" w:rsidR="00331AE8" w:rsidRDefault="00331AE8" w:rsidP="00331AE8">
      <w:pPr>
        <w:spacing w:line="360" w:lineRule="auto"/>
      </w:pPr>
    </w:p>
    <w:p w14:paraId="260AF48C" w14:textId="77777777" w:rsidR="00851DBF" w:rsidRDefault="00851DBF" w:rsidP="00331AE8">
      <w:pPr>
        <w:spacing w:line="360" w:lineRule="auto"/>
      </w:pPr>
    </w:p>
    <w:p w14:paraId="1CB03110" w14:textId="77777777" w:rsidR="00851DBF" w:rsidRDefault="00851DBF" w:rsidP="00331AE8">
      <w:pPr>
        <w:spacing w:line="360" w:lineRule="auto"/>
      </w:pPr>
    </w:p>
    <w:p w14:paraId="5BAFDE4C" w14:textId="77777777" w:rsidR="00851DBF" w:rsidRDefault="00851DBF" w:rsidP="00331AE8">
      <w:pPr>
        <w:spacing w:line="360" w:lineRule="auto"/>
      </w:pPr>
    </w:p>
    <w:p w14:paraId="0373D341" w14:textId="77777777" w:rsidR="00851DBF" w:rsidRDefault="00851DBF" w:rsidP="00331AE8">
      <w:pPr>
        <w:spacing w:line="360" w:lineRule="auto"/>
      </w:pPr>
    </w:p>
    <w:p w14:paraId="6AFD2FD0" w14:textId="77777777" w:rsidR="00851DBF" w:rsidRDefault="00851DBF" w:rsidP="00331AE8">
      <w:pPr>
        <w:spacing w:line="360" w:lineRule="auto"/>
      </w:pPr>
    </w:p>
    <w:p w14:paraId="02C4BD08" w14:textId="77777777" w:rsidR="00851DBF" w:rsidRDefault="00851DBF" w:rsidP="00331AE8">
      <w:pPr>
        <w:spacing w:line="360" w:lineRule="auto"/>
      </w:pPr>
    </w:p>
    <w:p w14:paraId="6C73299D" w14:textId="77777777" w:rsidR="00851DBF" w:rsidRDefault="00851DBF" w:rsidP="00331AE8">
      <w:pPr>
        <w:spacing w:line="360" w:lineRule="auto"/>
      </w:pPr>
    </w:p>
    <w:p w14:paraId="22215F6F" w14:textId="77777777" w:rsidR="00851DBF" w:rsidRDefault="00851DBF" w:rsidP="00331AE8">
      <w:pPr>
        <w:spacing w:line="360" w:lineRule="auto"/>
      </w:pPr>
    </w:p>
    <w:p w14:paraId="1FAE2350" w14:textId="77777777" w:rsidR="00851DBF" w:rsidRDefault="00851DBF" w:rsidP="00331AE8">
      <w:pPr>
        <w:spacing w:line="360" w:lineRule="auto"/>
      </w:pPr>
    </w:p>
    <w:p w14:paraId="433CE00E" w14:textId="77777777" w:rsidR="00331AE8" w:rsidRDefault="00331AE8" w:rsidP="00331AE8">
      <w:pPr>
        <w:spacing w:line="360" w:lineRule="auto"/>
      </w:pPr>
    </w:p>
    <w:p w14:paraId="5D0A03A6" w14:textId="77777777" w:rsidR="00331AE8" w:rsidRDefault="00331AE8" w:rsidP="00331AE8">
      <w:pPr>
        <w:pStyle w:val="Heading1"/>
        <w:spacing w:before="320" w:after="200"/>
      </w:pPr>
      <w:bookmarkStart w:id="15" w:name="_Toc227272933"/>
      <w:r>
        <w:rPr>
          <w:rFonts w:ascii="Arial" w:eastAsia="Arial" w:hAnsi="Arial" w:cs="Arial"/>
          <w:bCs/>
          <w:sz w:val="32"/>
          <w:szCs w:val="32"/>
        </w:rPr>
        <w:lastRenderedPageBreak/>
        <w:t>References</w:t>
      </w:r>
      <w:bookmarkEnd w:id="15"/>
    </w:p>
    <w:p w14:paraId="643AEB97" w14:textId="77777777" w:rsidR="00331AE8" w:rsidRPr="00331AE8" w:rsidRDefault="00331AE8" w:rsidP="00331AE8">
      <w:pPr>
        <w:spacing w:after="200" w:line="360" w:lineRule="auto"/>
        <w:rPr>
          <w:rFonts w:cs="Times New Roman"/>
        </w:rPr>
      </w:pPr>
      <w:r w:rsidRPr="00331AE8">
        <w:rPr>
          <w:rFonts w:eastAsia="Arial" w:cs="Times New Roman"/>
        </w:rPr>
        <w:t>Ashcroft, J. (2017) The Relational Lens: Understanding, Measuring and Managing Stakeholder Relationships. Cambridge: Cambridge University Press. Available at: https://www.cambridge.org/core/books/relational-lens/718C31032061BDFA3F480BA2A53F45D4 (Accessed: 14 April 2026).</w:t>
      </w:r>
    </w:p>
    <w:p w14:paraId="436CFC76" w14:textId="77777777" w:rsidR="00331AE8" w:rsidRPr="00331AE8" w:rsidRDefault="00331AE8" w:rsidP="00331AE8">
      <w:pPr>
        <w:spacing w:after="200" w:line="360" w:lineRule="auto"/>
        <w:rPr>
          <w:rFonts w:cs="Times New Roman"/>
        </w:rPr>
      </w:pPr>
      <w:proofErr w:type="spellStart"/>
      <w:r w:rsidRPr="00331AE8">
        <w:rPr>
          <w:rFonts w:eastAsia="Arial" w:cs="Times New Roman"/>
        </w:rPr>
        <w:t>Benzaghta</w:t>
      </w:r>
      <w:proofErr w:type="spellEnd"/>
      <w:r w:rsidRPr="00331AE8">
        <w:rPr>
          <w:rFonts w:eastAsia="Arial" w:cs="Times New Roman"/>
        </w:rPr>
        <w:t>, M.A., Elwalda, A., Mousa, M., Erkan, I. and Rahman, M. (2021) 'SWOT analysis applications: An integrative literature review', Journal of Global Business Insights, 6(1), pp. 55-73. Available at: https://digitalcommons.usf.edu/globe/vol6/iss1/5/ (Accessed: 13 April 2026).</w:t>
      </w:r>
    </w:p>
    <w:p w14:paraId="471E1754" w14:textId="77777777" w:rsidR="00331AE8" w:rsidRPr="00331AE8" w:rsidRDefault="00331AE8" w:rsidP="00331AE8">
      <w:pPr>
        <w:spacing w:after="200" w:line="360" w:lineRule="auto"/>
        <w:rPr>
          <w:rFonts w:cs="Times New Roman"/>
        </w:rPr>
      </w:pPr>
      <w:r w:rsidRPr="00331AE8">
        <w:rPr>
          <w:rFonts w:eastAsia="Arial" w:cs="Times New Roman"/>
        </w:rPr>
        <w:t xml:space="preserve">Bourne, L. (2022) Stakeholder Relationship Management: A Maturity Model for Organisational Implementation. 2nd </w:t>
      </w:r>
      <w:proofErr w:type="spellStart"/>
      <w:r w:rsidRPr="00331AE8">
        <w:rPr>
          <w:rFonts w:eastAsia="Arial" w:cs="Times New Roman"/>
        </w:rPr>
        <w:t>edn</w:t>
      </w:r>
      <w:proofErr w:type="spellEnd"/>
      <w:r w:rsidRPr="00331AE8">
        <w:rPr>
          <w:rFonts w:eastAsia="Arial" w:cs="Times New Roman"/>
        </w:rPr>
        <w:t>. London: Routledge. Available at: https://www.routledge.com/Stakeholder-Relationship-Management/Bourne/p/book/9781032119670 (Accessed: 12 April 2026).</w:t>
      </w:r>
    </w:p>
    <w:p w14:paraId="6871D0E6" w14:textId="77777777" w:rsidR="00331AE8" w:rsidRPr="00331AE8" w:rsidRDefault="00331AE8" w:rsidP="00331AE8">
      <w:pPr>
        <w:spacing w:after="200" w:line="360" w:lineRule="auto"/>
        <w:rPr>
          <w:rFonts w:cs="Times New Roman"/>
        </w:rPr>
      </w:pPr>
      <w:proofErr w:type="spellStart"/>
      <w:r w:rsidRPr="00331AE8">
        <w:rPr>
          <w:rFonts w:eastAsia="Arial" w:cs="Times New Roman"/>
        </w:rPr>
        <w:t>Buhalis</w:t>
      </w:r>
      <w:proofErr w:type="spellEnd"/>
      <w:r w:rsidRPr="00331AE8">
        <w:rPr>
          <w:rFonts w:eastAsia="Arial" w:cs="Times New Roman"/>
        </w:rPr>
        <w:t>, D., Leung, D. and Lin, M. (2023) 'Metaverse as a disruptive technology revolutionising tourism management and marketing', Tourism Management, 97, 104724. Available at: https://www.sciencedirect.com/science/article/pii/S0261517723000183 (Accessed: 15 April 2026).</w:t>
      </w:r>
    </w:p>
    <w:p w14:paraId="7167EA28" w14:textId="77777777" w:rsidR="00331AE8" w:rsidRPr="00331AE8" w:rsidRDefault="00331AE8" w:rsidP="00331AE8">
      <w:pPr>
        <w:spacing w:after="200" w:line="360" w:lineRule="auto"/>
        <w:rPr>
          <w:rFonts w:cs="Times New Roman"/>
        </w:rPr>
      </w:pPr>
      <w:r w:rsidRPr="00331AE8">
        <w:rPr>
          <w:rFonts w:eastAsia="Arial" w:cs="Times New Roman"/>
        </w:rPr>
        <w:t>Cabanillas, C., Resinas, M. and Ruiz-Cortes, A. (2012) 'Automated resource assignment in BPMN models using RACI matrices', Lecture Notes in Computer Science, 7565, pp. 56-73. Available at: https://link.springer.com/chapter/10.1007/978-3-642-33606-5_5 (Accessed: 12 April 2026).</w:t>
      </w:r>
    </w:p>
    <w:p w14:paraId="3A8F023C" w14:textId="77777777" w:rsidR="00331AE8" w:rsidRPr="00331AE8" w:rsidRDefault="00331AE8" w:rsidP="00331AE8">
      <w:pPr>
        <w:spacing w:after="200" w:line="360" w:lineRule="auto"/>
        <w:rPr>
          <w:rFonts w:cs="Times New Roman"/>
        </w:rPr>
      </w:pPr>
      <w:r w:rsidRPr="00331AE8">
        <w:rPr>
          <w:rFonts w:eastAsia="Arial" w:cs="Times New Roman"/>
        </w:rPr>
        <w:t xml:space="preserve">Caputo, A., Marzi, G., Maley, J. and </w:t>
      </w:r>
      <w:proofErr w:type="spellStart"/>
      <w:r w:rsidRPr="00331AE8">
        <w:rPr>
          <w:rFonts w:eastAsia="Arial" w:cs="Times New Roman"/>
        </w:rPr>
        <w:t>Silic</w:t>
      </w:r>
      <w:proofErr w:type="spellEnd"/>
      <w:r w:rsidRPr="00331AE8">
        <w:rPr>
          <w:rFonts w:eastAsia="Arial" w:cs="Times New Roman"/>
        </w:rPr>
        <w:t>, M. (2022) 'Ten years of conflict management research 2012-2021: An update on themes, concepts and relationships', International Journal of Conflict Management, 34(1), pp. 1-36. Available at: https://www.emerald.com/insight/content/doi/10.1108/IJCMA-05-2022-0079/full/html (Accessed: 14 April 2026).</w:t>
      </w:r>
    </w:p>
    <w:p w14:paraId="1B557B76" w14:textId="77777777" w:rsidR="00331AE8" w:rsidRPr="00331AE8" w:rsidRDefault="00331AE8" w:rsidP="00331AE8">
      <w:pPr>
        <w:spacing w:after="200" w:line="360" w:lineRule="auto"/>
        <w:rPr>
          <w:rFonts w:cs="Times New Roman"/>
        </w:rPr>
      </w:pPr>
      <w:r w:rsidRPr="00331AE8">
        <w:rPr>
          <w:rFonts w:eastAsia="Arial" w:cs="Times New Roman"/>
        </w:rPr>
        <w:t>Christopher, M., Payne, A. and Ballantyne, D. (2013) Relationship Marketing: Creating Stakeholder Value. Oxford: Butterworth Heinemann. Available at: https://www.taylorfrancis.com/books/mono/10.4324/9780080516042/relationship-marketing-martin-christopher-adrian-payne-david-ballantyne (Accessed: 13 April 2026).</w:t>
      </w:r>
    </w:p>
    <w:p w14:paraId="396E122B" w14:textId="77777777" w:rsidR="00331AE8" w:rsidRPr="00331AE8" w:rsidRDefault="00331AE8" w:rsidP="00331AE8">
      <w:pPr>
        <w:spacing w:after="200" w:line="360" w:lineRule="auto"/>
        <w:rPr>
          <w:rFonts w:cs="Times New Roman"/>
        </w:rPr>
      </w:pPr>
      <w:r w:rsidRPr="00331AE8">
        <w:rPr>
          <w:rFonts w:eastAsia="Arial" w:cs="Times New Roman"/>
        </w:rPr>
        <w:lastRenderedPageBreak/>
        <w:t>Eskerod, P. and Larsen, T. (2018) 'Advancing project stakeholder analysis by the concept shadows of the context', International Journal of Project Management, 36(1), pp. 161-169. Available at: https://www.sciencedirect.com/science/article/abs/pii/S0263786317300601 (Accessed: 12 April 2026).</w:t>
      </w:r>
    </w:p>
    <w:p w14:paraId="4EBBCD38" w14:textId="77777777" w:rsidR="00331AE8" w:rsidRPr="00331AE8" w:rsidRDefault="00331AE8" w:rsidP="00331AE8">
      <w:pPr>
        <w:spacing w:after="200" w:line="360" w:lineRule="auto"/>
        <w:rPr>
          <w:rFonts w:cs="Times New Roman"/>
        </w:rPr>
      </w:pPr>
      <w:r w:rsidRPr="00331AE8">
        <w:rPr>
          <w:rFonts w:eastAsia="Arial" w:cs="Times New Roman"/>
        </w:rPr>
        <w:t>Fatima, T. and Elbanna, S. (2023) 'Corporate social responsibility implementation: A review and research agenda towards an integrative framework', Journal of Business Ethics, 183(1), pp. 105-121. Available at: https://link.springer.com/article/10.1007/s10551-022-05047-8 (Accessed: 16 April 2026).</w:t>
      </w:r>
    </w:p>
    <w:p w14:paraId="15BCAFC5" w14:textId="77777777" w:rsidR="00331AE8" w:rsidRPr="00331AE8" w:rsidRDefault="00331AE8" w:rsidP="00331AE8">
      <w:pPr>
        <w:spacing w:after="200" w:line="360" w:lineRule="auto"/>
        <w:rPr>
          <w:rFonts w:cs="Times New Roman"/>
        </w:rPr>
      </w:pPr>
      <w:r w:rsidRPr="00331AE8">
        <w:rPr>
          <w:rFonts w:eastAsia="Arial" w:cs="Times New Roman"/>
        </w:rPr>
        <w:t>Font, X., Higham, J. and Miller, G. (2023) 'Research agendas for sustainable tourism: Rethinking tourism for people and planet', Journal of Sustainable Tourism, 31(5), pp. 1039-1050. Available at: https://www.tandfonline.com/doi/full/10.1080/09669582.2023.2192741 (Accessed: 15 April 2026).</w:t>
      </w:r>
    </w:p>
    <w:p w14:paraId="02AFC48E" w14:textId="77777777" w:rsidR="00331AE8" w:rsidRPr="00331AE8" w:rsidRDefault="00331AE8" w:rsidP="00331AE8">
      <w:pPr>
        <w:spacing w:after="200" w:line="360" w:lineRule="auto"/>
        <w:rPr>
          <w:rFonts w:cs="Times New Roman"/>
        </w:rPr>
      </w:pPr>
      <w:proofErr w:type="spellStart"/>
      <w:r w:rsidRPr="00331AE8">
        <w:rPr>
          <w:rFonts w:eastAsia="Arial" w:cs="Times New Roman"/>
        </w:rPr>
        <w:t>Freudenreich</w:t>
      </w:r>
      <w:proofErr w:type="spellEnd"/>
      <w:r w:rsidRPr="00331AE8">
        <w:rPr>
          <w:rFonts w:eastAsia="Arial" w:cs="Times New Roman"/>
        </w:rPr>
        <w:t xml:space="preserve">, B., Ludeke-Freund, F. and </w:t>
      </w:r>
      <w:proofErr w:type="spellStart"/>
      <w:r w:rsidRPr="00331AE8">
        <w:rPr>
          <w:rFonts w:eastAsia="Arial" w:cs="Times New Roman"/>
        </w:rPr>
        <w:t>Schaltegger</w:t>
      </w:r>
      <w:proofErr w:type="spellEnd"/>
      <w:r w:rsidRPr="00331AE8">
        <w:rPr>
          <w:rFonts w:eastAsia="Arial" w:cs="Times New Roman"/>
        </w:rPr>
        <w:t>, S. (2022) 'A stakeholder theory perspective on business models: Value creation for sustainability', Journal of Business Ethics, 166(1), pp. 3-18. Available at: https://link.springer.com/article/10.1007/s10551-019-04112-z (Accessed: 13 April 2026).</w:t>
      </w:r>
    </w:p>
    <w:p w14:paraId="2C14209A" w14:textId="77777777" w:rsidR="00331AE8" w:rsidRPr="00331AE8" w:rsidRDefault="00331AE8" w:rsidP="00331AE8">
      <w:pPr>
        <w:spacing w:after="200" w:line="360" w:lineRule="auto"/>
        <w:rPr>
          <w:rFonts w:cs="Times New Roman"/>
        </w:rPr>
      </w:pPr>
      <w:r w:rsidRPr="00331AE8">
        <w:rPr>
          <w:rFonts w:eastAsia="Arial" w:cs="Times New Roman"/>
        </w:rPr>
        <w:t>Khan, M.A. and Khan, S. (2022) 'Service innovation in the hospitality industry post-COVID-19: A systematic review and future research agenda', International Journal of Hospitality Management, 107, 103323. Available at: https://www.sciencedirect.com/science/article/pii/S0278431922002158 (Accessed: 14 April 2026).</w:t>
      </w:r>
    </w:p>
    <w:p w14:paraId="1B338373" w14:textId="77777777" w:rsidR="00331AE8" w:rsidRPr="00331AE8" w:rsidRDefault="00331AE8" w:rsidP="00331AE8">
      <w:pPr>
        <w:spacing w:after="200" w:line="360" w:lineRule="auto"/>
        <w:rPr>
          <w:rFonts w:cs="Times New Roman"/>
        </w:rPr>
      </w:pPr>
      <w:r w:rsidRPr="00331AE8">
        <w:rPr>
          <w:rFonts w:eastAsia="Arial" w:cs="Times New Roman"/>
        </w:rPr>
        <w:t>Kim, H., Milne, S. and Fisher, D. (2022) 'Barriers and drivers of technology adoption in the hotel industry: A systematic review', Journal of Hospitality and Tourism Technology, 13(3), pp. 408-425. Available at: https://www.emerald.com/insight/content/doi/10.1108/JHTT-07-2021-0198/full/html (Accessed: 13 April 2026).</w:t>
      </w:r>
    </w:p>
    <w:p w14:paraId="2246928B" w14:textId="77777777" w:rsidR="00331AE8" w:rsidRPr="00331AE8" w:rsidRDefault="00331AE8" w:rsidP="00331AE8">
      <w:pPr>
        <w:spacing w:after="200" w:line="360" w:lineRule="auto"/>
        <w:rPr>
          <w:rFonts w:cs="Times New Roman"/>
        </w:rPr>
      </w:pPr>
      <w:r w:rsidRPr="00331AE8">
        <w:rPr>
          <w:rFonts w:eastAsia="Arial" w:cs="Times New Roman"/>
        </w:rPr>
        <w:t>Lawlor, K.B. and Hornyak, M.J. (2012) 'SMART goals: How the application of SMART goals contributes to achievement of student learning outcomes', Developments in Business Simulation and Experiential Learning, 39, pp. 259-267. Available at: https://absel-ojs-ttu.tdl.org/absel/article/view/90 (Accessed: 12 April 2026).</w:t>
      </w:r>
    </w:p>
    <w:p w14:paraId="0870A814" w14:textId="77777777" w:rsidR="00331AE8" w:rsidRPr="00331AE8" w:rsidRDefault="00331AE8" w:rsidP="00331AE8">
      <w:pPr>
        <w:spacing w:after="200" w:line="360" w:lineRule="auto"/>
        <w:rPr>
          <w:rFonts w:cs="Times New Roman"/>
        </w:rPr>
      </w:pPr>
      <w:r w:rsidRPr="00331AE8">
        <w:rPr>
          <w:rFonts w:eastAsia="Arial" w:cs="Times New Roman"/>
        </w:rPr>
        <w:lastRenderedPageBreak/>
        <w:t>Line, N.D., Hanks, L. and Zhang, L. (2023) 'A holistic perspective on hospitality stakeholder engagement', International Journal of Hospitality Management, 108, 103349. Available at: https://www.sciencedirect.com/science/article/pii/S0278431922002419 (Accessed: 15 April 2026).</w:t>
      </w:r>
    </w:p>
    <w:p w14:paraId="64ECC8FA" w14:textId="77777777" w:rsidR="00331AE8" w:rsidRPr="00331AE8" w:rsidRDefault="00331AE8" w:rsidP="00331AE8">
      <w:pPr>
        <w:spacing w:after="200" w:line="360" w:lineRule="auto"/>
        <w:rPr>
          <w:rFonts w:cs="Times New Roman"/>
        </w:rPr>
      </w:pPr>
      <w:r w:rsidRPr="00331AE8">
        <w:rPr>
          <w:rFonts w:eastAsia="Arial" w:cs="Times New Roman"/>
        </w:rPr>
        <w:t>Mendelow, A. (1991) 'Stakeholder mapping', Proceedings of the Second International Conference on Information Systems. Cambridge, MA. Available at: https://aisel.aisnet.org/icis1991/ (Accessed: 12 April 2026).</w:t>
      </w:r>
    </w:p>
    <w:p w14:paraId="6AE7041F" w14:textId="77777777" w:rsidR="00331AE8" w:rsidRPr="00331AE8" w:rsidRDefault="00331AE8" w:rsidP="00331AE8">
      <w:pPr>
        <w:spacing w:after="200" w:line="360" w:lineRule="auto"/>
        <w:rPr>
          <w:rFonts w:cs="Times New Roman"/>
        </w:rPr>
      </w:pPr>
      <w:r w:rsidRPr="00331AE8">
        <w:rPr>
          <w:rFonts w:eastAsia="Arial" w:cs="Times New Roman"/>
        </w:rPr>
        <w:t>Mzembe, A.N., Koens, K. and Calvi, L. (2023) 'The institutional antecedents of sustainable development in European tourism small and medium sized enterprises', Business Strategy and the Environment, 32(6), pp. 3762-3779. Available at: https://onlinelibrary.wiley.com/doi/10.1002/bse.3331 (Accessed: 16 April 2026).</w:t>
      </w:r>
    </w:p>
    <w:p w14:paraId="3B960948" w14:textId="77777777" w:rsidR="00331AE8" w:rsidRPr="00331AE8" w:rsidRDefault="00331AE8" w:rsidP="00331AE8">
      <w:pPr>
        <w:spacing w:after="200" w:line="360" w:lineRule="auto"/>
        <w:rPr>
          <w:rFonts w:cs="Times New Roman"/>
        </w:rPr>
      </w:pPr>
      <w:proofErr w:type="spellStart"/>
      <w:r w:rsidRPr="00331AE8">
        <w:rPr>
          <w:rFonts w:eastAsia="Arial" w:cs="Times New Roman"/>
        </w:rPr>
        <w:t>Ogbeibu</w:t>
      </w:r>
      <w:proofErr w:type="spellEnd"/>
      <w:r w:rsidRPr="00331AE8">
        <w:rPr>
          <w:rFonts w:eastAsia="Arial" w:cs="Times New Roman"/>
        </w:rPr>
        <w:t xml:space="preserve">, S., Pereira, V., </w:t>
      </w:r>
      <w:proofErr w:type="spellStart"/>
      <w:r w:rsidRPr="00331AE8">
        <w:rPr>
          <w:rFonts w:eastAsia="Arial" w:cs="Times New Roman"/>
        </w:rPr>
        <w:t>Emelifeonwu</w:t>
      </w:r>
      <w:proofErr w:type="spellEnd"/>
      <w:r w:rsidRPr="00331AE8">
        <w:rPr>
          <w:rFonts w:eastAsia="Arial" w:cs="Times New Roman"/>
        </w:rPr>
        <w:t>, J. and Gaskin, J. (2024) 'Leveraging STARA competences and green creativity to boost green organisational innovative evidence: A praxis for sustainable development', Technological Forecasting and Social Change, 198, 122975. Available at: https://www.sciencedirect.com/science/article/pii/S0040162523007230 (Accessed: 14 April 2026).</w:t>
      </w:r>
    </w:p>
    <w:p w14:paraId="05EED7EA" w14:textId="77777777" w:rsidR="00331AE8" w:rsidRPr="00331AE8" w:rsidRDefault="00331AE8" w:rsidP="00331AE8">
      <w:pPr>
        <w:spacing w:after="200" w:line="360" w:lineRule="auto"/>
        <w:rPr>
          <w:rFonts w:cs="Times New Roman"/>
        </w:rPr>
      </w:pPr>
      <w:proofErr w:type="spellStart"/>
      <w:r w:rsidRPr="00331AE8">
        <w:rPr>
          <w:rFonts w:eastAsia="Arial" w:cs="Times New Roman"/>
        </w:rPr>
        <w:t>Phadermrod</w:t>
      </w:r>
      <w:proofErr w:type="spellEnd"/>
      <w:r w:rsidRPr="00331AE8">
        <w:rPr>
          <w:rFonts w:eastAsia="Arial" w:cs="Times New Roman"/>
        </w:rPr>
        <w:t xml:space="preserve">, B., Crowder, R.M. and Wills, G.B. (2019) 'Importance-performance </w:t>
      </w:r>
      <w:proofErr w:type="gramStart"/>
      <w:r w:rsidRPr="00331AE8">
        <w:rPr>
          <w:rFonts w:eastAsia="Arial" w:cs="Times New Roman"/>
        </w:rPr>
        <w:t>analysis based</w:t>
      </w:r>
      <w:proofErr w:type="gramEnd"/>
      <w:r w:rsidRPr="00331AE8">
        <w:rPr>
          <w:rFonts w:eastAsia="Arial" w:cs="Times New Roman"/>
        </w:rPr>
        <w:t xml:space="preserve"> SWOT analysis', International Journal of Information Management, 44, pp. 194-203. Available at: https://www.sciencedirect.com/science/article/pii/S0268401216301694 (Accessed: 13 April 2026).</w:t>
      </w:r>
    </w:p>
    <w:p w14:paraId="36DDEDCC" w14:textId="77777777" w:rsidR="00331AE8" w:rsidRPr="00331AE8" w:rsidRDefault="00331AE8" w:rsidP="00331AE8">
      <w:pPr>
        <w:spacing w:after="200" w:line="360" w:lineRule="auto"/>
        <w:rPr>
          <w:rFonts w:cs="Times New Roman"/>
        </w:rPr>
      </w:pPr>
      <w:r w:rsidRPr="00331AE8">
        <w:rPr>
          <w:rFonts w:eastAsia="Arial" w:cs="Times New Roman"/>
        </w:rPr>
        <w:t xml:space="preserve">Puyt, R.W., Lie, F.B. and </w:t>
      </w:r>
      <w:proofErr w:type="spellStart"/>
      <w:r w:rsidRPr="00331AE8">
        <w:rPr>
          <w:rFonts w:eastAsia="Arial" w:cs="Times New Roman"/>
        </w:rPr>
        <w:t>Wilderom</w:t>
      </w:r>
      <w:proofErr w:type="spellEnd"/>
      <w:r w:rsidRPr="00331AE8">
        <w:rPr>
          <w:rFonts w:eastAsia="Arial" w:cs="Times New Roman"/>
        </w:rPr>
        <w:t>, C.P.M. (2023) 'The origins of SWOT analysis', Long Range Planning, 56(3), 102304. Available at: https://www.sciencedirect.com/science/article/pii/S0024630123000262 (Accessed: 14 April 2026).</w:t>
      </w:r>
    </w:p>
    <w:p w14:paraId="7AF87104" w14:textId="77777777" w:rsidR="00331AE8" w:rsidRPr="00331AE8" w:rsidRDefault="00331AE8" w:rsidP="00331AE8">
      <w:pPr>
        <w:spacing w:after="200" w:line="360" w:lineRule="auto"/>
        <w:rPr>
          <w:rFonts w:cs="Times New Roman"/>
        </w:rPr>
      </w:pPr>
      <w:r w:rsidRPr="00331AE8">
        <w:rPr>
          <w:rFonts w:eastAsia="Arial" w:cs="Times New Roman"/>
        </w:rPr>
        <w:t>Ruck, K., Welch, M. and Menara, B. (2017) 'Employee voice: An antecedent to organisational engagement?', Public Relations Review, 43(5), pp. 904-914. Available at: https://www.sciencedirect.com/science/article/abs/pii/S0363811117300528 (Accessed: 13 April 2026).</w:t>
      </w:r>
    </w:p>
    <w:p w14:paraId="2814925A" w14:textId="77777777" w:rsidR="00331AE8" w:rsidRPr="00331AE8" w:rsidRDefault="00331AE8" w:rsidP="00331AE8">
      <w:pPr>
        <w:spacing w:after="200" w:line="360" w:lineRule="auto"/>
        <w:rPr>
          <w:rFonts w:cs="Times New Roman"/>
        </w:rPr>
      </w:pPr>
      <w:r w:rsidRPr="00331AE8">
        <w:rPr>
          <w:rFonts w:eastAsia="Arial" w:cs="Times New Roman"/>
        </w:rPr>
        <w:t>Tien, N.H., Anh, D.B.H., Ngoc, N.M. and Nhi, D.T.Y. (2022) 'Sustainability issues in the development of higher education industry', Hong Duc University Journal of Science, 13, pp. 1-</w:t>
      </w:r>
      <w:r w:rsidRPr="00331AE8">
        <w:rPr>
          <w:rFonts w:eastAsia="Arial" w:cs="Times New Roman"/>
        </w:rPr>
        <w:lastRenderedPageBreak/>
        <w:t>15. Available at: https://www.researchgate.net/publication/358036074 (Accessed: 15 April 2026).</w:t>
      </w:r>
    </w:p>
    <w:p w14:paraId="383F4FC0" w14:textId="77777777" w:rsidR="00331AE8" w:rsidRPr="00331AE8" w:rsidRDefault="00331AE8" w:rsidP="00331AE8">
      <w:pPr>
        <w:spacing w:after="200" w:line="360" w:lineRule="auto"/>
        <w:rPr>
          <w:rFonts w:cs="Times New Roman"/>
        </w:rPr>
      </w:pPr>
      <w:r w:rsidRPr="00331AE8">
        <w:rPr>
          <w:rFonts w:eastAsia="Arial" w:cs="Times New Roman"/>
        </w:rPr>
        <w:t>Whitbread Plc (2024) Annual Report and Accounts 2023-2024. Dunstable: Whitbread Plc. Available at: https://www.whitbread.co.uk/investors/results-reports-and-presentations (Accessed: 13 April 2026).</w:t>
      </w:r>
    </w:p>
    <w:p w14:paraId="06008564" w14:textId="77777777" w:rsidR="00331AE8" w:rsidRDefault="00331AE8" w:rsidP="00331AE8">
      <w:pPr>
        <w:spacing w:line="360" w:lineRule="auto"/>
      </w:pPr>
    </w:p>
    <w:sectPr w:rsidR="00331AE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638DA5" w14:textId="77777777" w:rsidR="005434AC" w:rsidRDefault="005434AC" w:rsidP="00331AE8">
      <w:pPr>
        <w:spacing w:after="0" w:line="240" w:lineRule="auto"/>
      </w:pPr>
      <w:r>
        <w:separator/>
      </w:r>
    </w:p>
  </w:endnote>
  <w:endnote w:type="continuationSeparator" w:id="0">
    <w:p w14:paraId="2AD83504" w14:textId="77777777" w:rsidR="005434AC" w:rsidRDefault="005434AC" w:rsidP="00331A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4857627"/>
      <w:docPartObj>
        <w:docPartGallery w:val="Page Numbers (Bottom of Page)"/>
        <w:docPartUnique/>
      </w:docPartObj>
    </w:sdtPr>
    <w:sdtEndPr>
      <w:rPr>
        <w:color w:val="7F7F7F" w:themeColor="background1" w:themeShade="7F"/>
        <w:spacing w:val="60"/>
      </w:rPr>
    </w:sdtEndPr>
    <w:sdtContent>
      <w:p w14:paraId="63C661A6" w14:textId="2ABE1A42" w:rsidR="00331AE8" w:rsidRDefault="00331AE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5FE7BA5" w14:textId="77777777" w:rsidR="00331AE8" w:rsidRDefault="00331A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7638A4" w14:textId="77777777" w:rsidR="005434AC" w:rsidRDefault="005434AC" w:rsidP="00331AE8">
      <w:pPr>
        <w:spacing w:after="0" w:line="240" w:lineRule="auto"/>
      </w:pPr>
      <w:r>
        <w:separator/>
      </w:r>
    </w:p>
  </w:footnote>
  <w:footnote w:type="continuationSeparator" w:id="0">
    <w:p w14:paraId="75DF4219" w14:textId="77777777" w:rsidR="005434AC" w:rsidRDefault="005434AC" w:rsidP="00331A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5D83B09"/>
    <w:multiLevelType w:val="hybridMultilevel"/>
    <w:tmpl w:val="2F46D7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76729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1AE8"/>
    <w:rsid w:val="00006EAB"/>
    <w:rsid w:val="00056B44"/>
    <w:rsid w:val="00075E99"/>
    <w:rsid w:val="0027323D"/>
    <w:rsid w:val="003124E2"/>
    <w:rsid w:val="003243C1"/>
    <w:rsid w:val="00331AE8"/>
    <w:rsid w:val="003829B8"/>
    <w:rsid w:val="003841A0"/>
    <w:rsid w:val="00472406"/>
    <w:rsid w:val="004C169D"/>
    <w:rsid w:val="00517B1F"/>
    <w:rsid w:val="00527FEF"/>
    <w:rsid w:val="00535E72"/>
    <w:rsid w:val="005434AC"/>
    <w:rsid w:val="00615892"/>
    <w:rsid w:val="00617C17"/>
    <w:rsid w:val="00673CA9"/>
    <w:rsid w:val="00712123"/>
    <w:rsid w:val="00774E2D"/>
    <w:rsid w:val="00787AF7"/>
    <w:rsid w:val="008142FF"/>
    <w:rsid w:val="00843201"/>
    <w:rsid w:val="00851DBF"/>
    <w:rsid w:val="008D214B"/>
    <w:rsid w:val="008D642C"/>
    <w:rsid w:val="0092607E"/>
    <w:rsid w:val="00942E5F"/>
    <w:rsid w:val="00A63887"/>
    <w:rsid w:val="00AD0A99"/>
    <w:rsid w:val="00B13A11"/>
    <w:rsid w:val="00B42C8A"/>
    <w:rsid w:val="00B9094F"/>
    <w:rsid w:val="00BF547D"/>
    <w:rsid w:val="00C15084"/>
    <w:rsid w:val="00D41DF0"/>
    <w:rsid w:val="00DD4897"/>
    <w:rsid w:val="00E1696F"/>
    <w:rsid w:val="00E23F30"/>
    <w:rsid w:val="00EC7403"/>
    <w:rsid w:val="00F04E28"/>
    <w:rsid w:val="00F12AB1"/>
    <w:rsid w:val="00F41A15"/>
    <w:rsid w:val="00F6779E"/>
    <w:rsid w:val="00FF56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931B2"/>
  <w15:chartTrackingRefBased/>
  <w15:docId w15:val="{141FDBB3-049D-4CF0-AEE4-4CEDD998CC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24E2"/>
    <w:pPr>
      <w:jc w:val="both"/>
    </w:pPr>
    <w:rPr>
      <w:rFonts w:ascii="Times New Roman" w:hAnsi="Times New Roman"/>
    </w:rPr>
  </w:style>
  <w:style w:type="paragraph" w:styleId="Heading1">
    <w:name w:val="heading 1"/>
    <w:basedOn w:val="Normal"/>
    <w:next w:val="Normal"/>
    <w:link w:val="Heading1Char"/>
    <w:autoRedefine/>
    <w:uiPriority w:val="9"/>
    <w:qFormat/>
    <w:rsid w:val="00B42C8A"/>
    <w:pPr>
      <w:keepNext/>
      <w:keepLines/>
      <w:widowControl w:val="0"/>
      <w:autoSpaceDE w:val="0"/>
      <w:autoSpaceDN w:val="0"/>
      <w:spacing w:before="360" w:after="80" w:line="240" w:lineRule="auto"/>
      <w:jc w:val="left"/>
      <w:outlineLvl w:val="0"/>
    </w:pPr>
    <w:rPr>
      <w:rFonts w:eastAsiaTheme="majorEastAsia" w:cstheme="majorBidi"/>
      <w:b/>
      <w:color w:val="000000" w:themeColor="text1"/>
      <w:kern w:val="0"/>
      <w:sz w:val="28"/>
      <w:szCs w:val="40"/>
      <w:lang w:val="en-US" w:eastAsia="zh-CN"/>
      <w14:ligatures w14:val="none"/>
    </w:rPr>
  </w:style>
  <w:style w:type="paragraph" w:styleId="Heading2">
    <w:name w:val="heading 2"/>
    <w:basedOn w:val="Normal"/>
    <w:next w:val="Normal"/>
    <w:link w:val="Heading2Char"/>
    <w:autoRedefine/>
    <w:uiPriority w:val="9"/>
    <w:unhideWhenUsed/>
    <w:qFormat/>
    <w:rsid w:val="00B42C8A"/>
    <w:pPr>
      <w:keepNext/>
      <w:keepLines/>
      <w:spacing w:before="40" w:after="0" w:line="276" w:lineRule="auto"/>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semiHidden/>
    <w:unhideWhenUsed/>
    <w:qFormat/>
    <w:rsid w:val="00E1696F"/>
    <w:pPr>
      <w:keepNext/>
      <w:keepLines/>
      <w:spacing w:before="160" w:after="80"/>
      <w:jc w:val="left"/>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331AE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331AE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331AE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31AE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31AE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31AE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2C8A"/>
    <w:rPr>
      <w:rFonts w:ascii="Times New Roman" w:eastAsiaTheme="majorEastAsia" w:hAnsi="Times New Roman" w:cstheme="majorBidi"/>
      <w:b/>
      <w:color w:val="000000" w:themeColor="text1"/>
      <w:kern w:val="0"/>
      <w:sz w:val="28"/>
      <w:szCs w:val="40"/>
      <w:lang w:val="en-US" w:eastAsia="zh-CN"/>
      <w14:ligatures w14:val="none"/>
    </w:rPr>
  </w:style>
  <w:style w:type="character" w:customStyle="1" w:styleId="Heading2Char">
    <w:name w:val="Heading 2 Char"/>
    <w:basedOn w:val="DefaultParagraphFont"/>
    <w:link w:val="Heading2"/>
    <w:uiPriority w:val="9"/>
    <w:rsid w:val="00B42C8A"/>
    <w:rPr>
      <w:rFonts w:ascii="Times New Roman" w:eastAsiaTheme="majorEastAsia" w:hAnsi="Times New Roman" w:cstheme="majorBidi"/>
      <w:b/>
      <w:color w:val="000000" w:themeColor="text1"/>
      <w:szCs w:val="26"/>
    </w:rPr>
  </w:style>
  <w:style w:type="character" w:customStyle="1" w:styleId="Heading3Char">
    <w:name w:val="Heading 3 Char"/>
    <w:basedOn w:val="DefaultParagraphFont"/>
    <w:link w:val="Heading3"/>
    <w:uiPriority w:val="9"/>
    <w:semiHidden/>
    <w:rsid w:val="00E1696F"/>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semiHidden/>
    <w:rsid w:val="00331A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1A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1A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1A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1A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1AE8"/>
    <w:rPr>
      <w:rFonts w:eastAsiaTheme="majorEastAsia" w:cstheme="majorBidi"/>
      <w:color w:val="272727" w:themeColor="text1" w:themeTint="D8"/>
    </w:rPr>
  </w:style>
  <w:style w:type="paragraph" w:styleId="Title">
    <w:name w:val="Title"/>
    <w:basedOn w:val="Normal"/>
    <w:next w:val="Normal"/>
    <w:link w:val="TitleChar"/>
    <w:uiPriority w:val="10"/>
    <w:qFormat/>
    <w:rsid w:val="00331A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1A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1AE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1A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1AE8"/>
    <w:pPr>
      <w:spacing w:before="160"/>
      <w:jc w:val="center"/>
    </w:pPr>
    <w:rPr>
      <w:i/>
      <w:iCs/>
      <w:color w:val="404040" w:themeColor="text1" w:themeTint="BF"/>
    </w:rPr>
  </w:style>
  <w:style w:type="character" w:customStyle="1" w:styleId="QuoteChar">
    <w:name w:val="Quote Char"/>
    <w:basedOn w:val="DefaultParagraphFont"/>
    <w:link w:val="Quote"/>
    <w:uiPriority w:val="29"/>
    <w:rsid w:val="00331AE8"/>
    <w:rPr>
      <w:rFonts w:ascii="Times New Roman" w:hAnsi="Times New Roman"/>
      <w:i/>
      <w:iCs/>
      <w:color w:val="404040" w:themeColor="text1" w:themeTint="BF"/>
    </w:rPr>
  </w:style>
  <w:style w:type="paragraph" w:styleId="ListParagraph">
    <w:name w:val="List Paragraph"/>
    <w:basedOn w:val="Normal"/>
    <w:uiPriority w:val="34"/>
    <w:qFormat/>
    <w:rsid w:val="00331AE8"/>
    <w:pPr>
      <w:ind w:left="720"/>
      <w:contextualSpacing/>
    </w:pPr>
  </w:style>
  <w:style w:type="character" w:styleId="IntenseEmphasis">
    <w:name w:val="Intense Emphasis"/>
    <w:basedOn w:val="DefaultParagraphFont"/>
    <w:uiPriority w:val="21"/>
    <w:qFormat/>
    <w:rsid w:val="00331AE8"/>
    <w:rPr>
      <w:i/>
      <w:iCs/>
      <w:color w:val="0F4761" w:themeColor="accent1" w:themeShade="BF"/>
    </w:rPr>
  </w:style>
  <w:style w:type="paragraph" w:styleId="IntenseQuote">
    <w:name w:val="Intense Quote"/>
    <w:basedOn w:val="Normal"/>
    <w:next w:val="Normal"/>
    <w:link w:val="IntenseQuoteChar"/>
    <w:uiPriority w:val="30"/>
    <w:qFormat/>
    <w:rsid w:val="00331A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1AE8"/>
    <w:rPr>
      <w:rFonts w:ascii="Times New Roman" w:hAnsi="Times New Roman"/>
      <w:i/>
      <w:iCs/>
      <w:color w:val="0F4761" w:themeColor="accent1" w:themeShade="BF"/>
    </w:rPr>
  </w:style>
  <w:style w:type="character" w:styleId="IntenseReference">
    <w:name w:val="Intense Reference"/>
    <w:basedOn w:val="DefaultParagraphFont"/>
    <w:uiPriority w:val="32"/>
    <w:qFormat/>
    <w:rsid w:val="00331AE8"/>
    <w:rPr>
      <w:b/>
      <w:bCs/>
      <w:smallCaps/>
      <w:color w:val="0F4761" w:themeColor="accent1" w:themeShade="BF"/>
      <w:spacing w:val="5"/>
    </w:rPr>
  </w:style>
  <w:style w:type="paragraph" w:styleId="TOCHeading">
    <w:name w:val="TOC Heading"/>
    <w:basedOn w:val="Heading1"/>
    <w:next w:val="Normal"/>
    <w:uiPriority w:val="39"/>
    <w:unhideWhenUsed/>
    <w:qFormat/>
    <w:rsid w:val="00331AE8"/>
    <w:pPr>
      <w:widowControl/>
      <w:autoSpaceDE/>
      <w:autoSpaceDN/>
      <w:spacing w:before="240" w:after="0" w:line="259" w:lineRule="auto"/>
      <w:outlineLvl w:val="9"/>
    </w:pPr>
    <w:rPr>
      <w:rFonts w:asciiTheme="majorHAnsi" w:hAnsiTheme="majorHAnsi"/>
      <w:b w:val="0"/>
      <w:color w:val="0F4761" w:themeColor="accent1" w:themeShade="BF"/>
      <w:sz w:val="32"/>
      <w:szCs w:val="32"/>
      <w:lang w:eastAsia="en-US"/>
    </w:rPr>
  </w:style>
  <w:style w:type="paragraph" w:styleId="TOC1">
    <w:name w:val="toc 1"/>
    <w:basedOn w:val="Normal"/>
    <w:next w:val="Normal"/>
    <w:autoRedefine/>
    <w:uiPriority w:val="39"/>
    <w:unhideWhenUsed/>
    <w:rsid w:val="00331AE8"/>
    <w:pPr>
      <w:spacing w:after="100"/>
    </w:pPr>
  </w:style>
  <w:style w:type="paragraph" w:styleId="TOC2">
    <w:name w:val="toc 2"/>
    <w:basedOn w:val="Normal"/>
    <w:next w:val="Normal"/>
    <w:autoRedefine/>
    <w:uiPriority w:val="39"/>
    <w:unhideWhenUsed/>
    <w:rsid w:val="00331AE8"/>
    <w:pPr>
      <w:spacing w:after="100"/>
      <w:ind w:left="240"/>
    </w:pPr>
  </w:style>
  <w:style w:type="character" w:styleId="Hyperlink">
    <w:name w:val="Hyperlink"/>
    <w:basedOn w:val="DefaultParagraphFont"/>
    <w:uiPriority w:val="99"/>
    <w:unhideWhenUsed/>
    <w:rsid w:val="00331AE8"/>
    <w:rPr>
      <w:color w:val="467886" w:themeColor="hyperlink"/>
      <w:u w:val="single"/>
    </w:rPr>
  </w:style>
  <w:style w:type="paragraph" w:styleId="Header">
    <w:name w:val="header"/>
    <w:basedOn w:val="Normal"/>
    <w:link w:val="HeaderChar"/>
    <w:uiPriority w:val="99"/>
    <w:unhideWhenUsed/>
    <w:rsid w:val="00331A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1AE8"/>
    <w:rPr>
      <w:rFonts w:ascii="Times New Roman" w:hAnsi="Times New Roman"/>
    </w:rPr>
  </w:style>
  <w:style w:type="paragraph" w:styleId="Footer">
    <w:name w:val="footer"/>
    <w:basedOn w:val="Normal"/>
    <w:link w:val="FooterChar"/>
    <w:uiPriority w:val="99"/>
    <w:unhideWhenUsed/>
    <w:rsid w:val="00331A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1AE8"/>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61FFB0-8F60-4415-A78A-BE303BE091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Pages>
  <Words>5459</Words>
  <Characters>31121</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Victoria_Borta(2422534)</dc:creator>
  <cp:keywords/>
  <dc:description/>
  <cp:lastModifiedBy>Victoria Borta (2422534)</cp:lastModifiedBy>
  <cp:revision>17</cp:revision>
  <dcterms:created xsi:type="dcterms:W3CDTF">2026-04-16T21:43:00Z</dcterms:created>
  <dcterms:modified xsi:type="dcterms:W3CDTF">2026-04-24T09:00:00Z</dcterms:modified>
</cp:coreProperties>
</file>