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3BC5F" w14:textId="77777777" w:rsidR="00775DA6" w:rsidRDefault="00775DA6" w:rsidP="00775DA6">
      <w:pPr>
        <w:pStyle w:val="Title"/>
      </w:pPr>
    </w:p>
    <w:p w14:paraId="31D3A60A" w14:textId="77777777" w:rsidR="00775DA6" w:rsidRDefault="00775DA6" w:rsidP="00775DA6">
      <w:pPr>
        <w:pStyle w:val="Title"/>
      </w:pPr>
    </w:p>
    <w:p w14:paraId="4B971B02" w14:textId="77777777" w:rsidR="00775DA6" w:rsidRDefault="00775DA6" w:rsidP="00775DA6">
      <w:pPr>
        <w:pStyle w:val="Title"/>
      </w:pPr>
    </w:p>
    <w:p w14:paraId="7003CEA3" w14:textId="77777777" w:rsidR="00775DA6" w:rsidRDefault="00775DA6" w:rsidP="00775DA6">
      <w:pPr>
        <w:pStyle w:val="Title"/>
      </w:pPr>
    </w:p>
    <w:p w14:paraId="7A522D7A" w14:textId="77777777" w:rsidR="00775DA6" w:rsidRDefault="00775DA6" w:rsidP="00775DA6">
      <w:pPr>
        <w:pStyle w:val="Title"/>
      </w:pPr>
    </w:p>
    <w:p w14:paraId="61629538" w14:textId="77777777" w:rsidR="00775DA6" w:rsidRDefault="00775DA6" w:rsidP="00775DA6">
      <w:pPr>
        <w:pStyle w:val="Title"/>
      </w:pPr>
    </w:p>
    <w:p w14:paraId="21470251" w14:textId="3DA79742" w:rsidR="00775DA6" w:rsidRDefault="00775DA6" w:rsidP="00775DA6">
      <w:pPr>
        <w:pStyle w:val="Title"/>
      </w:pPr>
      <w:r>
        <w:t>Accounting Fundamentals</w:t>
      </w:r>
    </w:p>
    <w:p w14:paraId="7D45D517" w14:textId="7B0CC804" w:rsidR="00775DA6" w:rsidRDefault="00775DA6" w:rsidP="00775DA6"/>
    <w:p w14:paraId="34623A9D" w14:textId="376F67EF" w:rsidR="00775DA6" w:rsidRDefault="00775DA6" w:rsidP="00775DA6"/>
    <w:p w14:paraId="47F31FEE" w14:textId="77777777" w:rsidR="00775DA6" w:rsidRPr="00775DA6" w:rsidRDefault="00775DA6" w:rsidP="00775DA6"/>
    <w:p w14:paraId="3573A138" w14:textId="77777777" w:rsidR="000652DD" w:rsidRPr="00290C67" w:rsidRDefault="000652DD" w:rsidP="000652DD"/>
    <w:p w14:paraId="2FFCA947" w14:textId="77777777" w:rsidR="000652DD" w:rsidRPr="00290C67" w:rsidRDefault="000652DD" w:rsidP="000652DD">
      <w:pPr>
        <w:jc w:val="center"/>
      </w:pPr>
      <w:r>
        <w:t>Student</w:t>
      </w:r>
      <w:r w:rsidRPr="00290C67">
        <w:t xml:space="preserve"> name:</w:t>
      </w:r>
      <w:r>
        <w:t xml:space="preserve"> </w:t>
      </w:r>
      <w:proofErr w:type="spellStart"/>
      <w:r>
        <w:t>Ionel</w:t>
      </w:r>
      <w:proofErr w:type="spellEnd"/>
      <w:r>
        <w:t xml:space="preserve"> </w:t>
      </w:r>
      <w:proofErr w:type="spellStart"/>
      <w:r>
        <w:t>Jerca</w:t>
      </w:r>
      <w:proofErr w:type="spellEnd"/>
    </w:p>
    <w:p w14:paraId="0AF6CAA9" w14:textId="77777777" w:rsidR="000652DD" w:rsidRPr="00290C67" w:rsidRDefault="000652DD" w:rsidP="000652DD">
      <w:pPr>
        <w:jc w:val="center"/>
      </w:pPr>
      <w:r>
        <w:t>Student number</w:t>
      </w:r>
      <w:r w:rsidRPr="00290C67">
        <w:t>:</w:t>
      </w:r>
      <w:r>
        <w:t>2123373</w:t>
      </w:r>
    </w:p>
    <w:p w14:paraId="2EAD096C" w14:textId="5AD0E886" w:rsidR="00231DCB" w:rsidRPr="00231DCB" w:rsidRDefault="00231DCB" w:rsidP="00775DA6">
      <w:pPr>
        <w:spacing w:line="360" w:lineRule="auto"/>
        <w:jc w:val="center"/>
        <w:rPr>
          <w:rFonts w:ascii="Arial" w:hAnsi="Arial" w:cs="Arial"/>
          <w:sz w:val="24"/>
          <w:szCs w:val="24"/>
        </w:rPr>
      </w:pPr>
      <w:r w:rsidRPr="00231DCB">
        <w:rPr>
          <w:rFonts w:ascii="Arial" w:hAnsi="Arial" w:cs="Arial"/>
          <w:sz w:val="24"/>
          <w:szCs w:val="24"/>
        </w:rPr>
        <w:br w:type="page"/>
      </w:r>
    </w:p>
    <w:sdt>
      <w:sdtPr>
        <w:rPr>
          <w:rFonts w:asciiTheme="minorHAnsi" w:eastAsiaTheme="minorHAnsi" w:hAnsiTheme="minorHAnsi" w:cstheme="minorBidi"/>
          <w:color w:val="auto"/>
          <w:sz w:val="22"/>
          <w:szCs w:val="22"/>
          <w:lang w:val="en-IN"/>
        </w:rPr>
        <w:id w:val="-63799549"/>
        <w:docPartObj>
          <w:docPartGallery w:val="Table of Contents"/>
          <w:docPartUnique/>
        </w:docPartObj>
      </w:sdtPr>
      <w:sdtEndPr>
        <w:rPr>
          <w:b/>
          <w:bCs/>
          <w:noProof/>
        </w:rPr>
      </w:sdtEndPr>
      <w:sdtContent>
        <w:p w14:paraId="53EA4F66" w14:textId="2C01F321" w:rsidR="00775DA6" w:rsidRDefault="00775DA6" w:rsidP="00775DA6">
          <w:pPr>
            <w:pStyle w:val="TOCHeading"/>
            <w:spacing w:line="360" w:lineRule="auto"/>
            <w:jc w:val="both"/>
            <w:rPr>
              <w:rFonts w:ascii="Arial" w:hAnsi="Arial" w:cs="Arial"/>
              <w:b/>
              <w:bCs/>
              <w:color w:val="auto"/>
              <w:sz w:val="28"/>
              <w:szCs w:val="28"/>
            </w:rPr>
          </w:pPr>
          <w:r w:rsidRPr="00775DA6">
            <w:rPr>
              <w:rFonts w:ascii="Arial" w:hAnsi="Arial" w:cs="Arial"/>
              <w:b/>
              <w:bCs/>
              <w:color w:val="auto"/>
              <w:sz w:val="28"/>
              <w:szCs w:val="28"/>
            </w:rPr>
            <w:t>Table of Contents</w:t>
          </w:r>
        </w:p>
        <w:p w14:paraId="61D903C4" w14:textId="77777777" w:rsidR="00775DA6" w:rsidRPr="00775DA6" w:rsidRDefault="00775DA6" w:rsidP="00775DA6">
          <w:pPr>
            <w:rPr>
              <w:lang w:val="en-US"/>
            </w:rPr>
          </w:pPr>
        </w:p>
        <w:p w14:paraId="5E5FADF0" w14:textId="16C7A3CE" w:rsidR="00775DA6" w:rsidRPr="00775DA6" w:rsidRDefault="00775DA6" w:rsidP="00775DA6">
          <w:pPr>
            <w:pStyle w:val="TOC1"/>
            <w:tabs>
              <w:tab w:val="right" w:leader="dot" w:pos="9016"/>
            </w:tabs>
            <w:spacing w:line="360" w:lineRule="auto"/>
            <w:jc w:val="both"/>
            <w:rPr>
              <w:rFonts w:ascii="Arial" w:hAnsi="Arial" w:cs="Arial"/>
              <w:noProof/>
              <w:sz w:val="24"/>
              <w:szCs w:val="24"/>
            </w:rPr>
          </w:pPr>
          <w:r w:rsidRPr="00775DA6">
            <w:rPr>
              <w:rFonts w:ascii="Arial" w:hAnsi="Arial" w:cs="Arial"/>
              <w:sz w:val="24"/>
              <w:szCs w:val="24"/>
            </w:rPr>
            <w:fldChar w:fldCharType="begin"/>
          </w:r>
          <w:r w:rsidRPr="00775DA6">
            <w:rPr>
              <w:rFonts w:ascii="Arial" w:hAnsi="Arial" w:cs="Arial"/>
              <w:sz w:val="24"/>
              <w:szCs w:val="24"/>
            </w:rPr>
            <w:instrText xml:space="preserve"> TOC \o "1-3" \h \z \u </w:instrText>
          </w:r>
          <w:r w:rsidRPr="00775DA6">
            <w:rPr>
              <w:rFonts w:ascii="Arial" w:hAnsi="Arial" w:cs="Arial"/>
              <w:sz w:val="24"/>
              <w:szCs w:val="24"/>
            </w:rPr>
            <w:fldChar w:fldCharType="separate"/>
          </w:r>
          <w:hyperlink w:anchor="_Toc121344194" w:history="1">
            <w:r w:rsidRPr="00775DA6">
              <w:rPr>
                <w:rStyle w:val="Hyperlink"/>
                <w:rFonts w:ascii="Arial" w:hAnsi="Arial" w:cs="Arial"/>
                <w:noProof/>
                <w:sz w:val="24"/>
                <w:szCs w:val="24"/>
              </w:rPr>
              <w:t>Introduction:</w:t>
            </w:r>
            <w:r w:rsidRPr="00775DA6">
              <w:rPr>
                <w:rFonts w:ascii="Arial" w:hAnsi="Arial" w:cs="Arial"/>
                <w:noProof/>
                <w:webHidden/>
                <w:sz w:val="24"/>
                <w:szCs w:val="24"/>
              </w:rPr>
              <w:tab/>
            </w:r>
            <w:r w:rsidRPr="00775DA6">
              <w:rPr>
                <w:rFonts w:ascii="Arial" w:hAnsi="Arial" w:cs="Arial"/>
                <w:noProof/>
                <w:webHidden/>
                <w:sz w:val="24"/>
                <w:szCs w:val="24"/>
              </w:rPr>
              <w:fldChar w:fldCharType="begin"/>
            </w:r>
            <w:r w:rsidRPr="00775DA6">
              <w:rPr>
                <w:rFonts w:ascii="Arial" w:hAnsi="Arial" w:cs="Arial"/>
                <w:noProof/>
                <w:webHidden/>
                <w:sz w:val="24"/>
                <w:szCs w:val="24"/>
              </w:rPr>
              <w:instrText xml:space="preserve"> PAGEREF _Toc121344194 \h </w:instrText>
            </w:r>
            <w:r w:rsidRPr="00775DA6">
              <w:rPr>
                <w:rFonts w:ascii="Arial" w:hAnsi="Arial" w:cs="Arial"/>
                <w:noProof/>
                <w:webHidden/>
                <w:sz w:val="24"/>
                <w:szCs w:val="24"/>
              </w:rPr>
            </w:r>
            <w:r w:rsidRPr="00775DA6">
              <w:rPr>
                <w:rFonts w:ascii="Arial" w:hAnsi="Arial" w:cs="Arial"/>
                <w:noProof/>
                <w:webHidden/>
                <w:sz w:val="24"/>
                <w:szCs w:val="24"/>
              </w:rPr>
              <w:fldChar w:fldCharType="separate"/>
            </w:r>
            <w:r w:rsidRPr="00775DA6">
              <w:rPr>
                <w:rFonts w:ascii="Arial" w:hAnsi="Arial" w:cs="Arial"/>
                <w:noProof/>
                <w:webHidden/>
                <w:sz w:val="24"/>
                <w:szCs w:val="24"/>
              </w:rPr>
              <w:t>3</w:t>
            </w:r>
            <w:r w:rsidRPr="00775DA6">
              <w:rPr>
                <w:rFonts w:ascii="Arial" w:hAnsi="Arial" w:cs="Arial"/>
                <w:noProof/>
                <w:webHidden/>
                <w:sz w:val="24"/>
                <w:szCs w:val="24"/>
              </w:rPr>
              <w:fldChar w:fldCharType="end"/>
            </w:r>
          </w:hyperlink>
        </w:p>
        <w:p w14:paraId="17A0C394" w14:textId="51813842" w:rsidR="00775DA6" w:rsidRPr="00775DA6" w:rsidRDefault="00000000" w:rsidP="00775DA6">
          <w:pPr>
            <w:pStyle w:val="TOC1"/>
            <w:tabs>
              <w:tab w:val="right" w:leader="dot" w:pos="9016"/>
            </w:tabs>
            <w:spacing w:line="360" w:lineRule="auto"/>
            <w:jc w:val="both"/>
            <w:rPr>
              <w:rFonts w:ascii="Arial" w:hAnsi="Arial" w:cs="Arial"/>
              <w:noProof/>
              <w:sz w:val="24"/>
              <w:szCs w:val="24"/>
            </w:rPr>
          </w:pPr>
          <w:hyperlink w:anchor="_Toc121344195" w:history="1">
            <w:r w:rsidR="00775DA6" w:rsidRPr="00775DA6">
              <w:rPr>
                <w:rStyle w:val="Hyperlink"/>
                <w:rFonts w:ascii="Arial" w:hAnsi="Arial" w:cs="Arial"/>
                <w:noProof/>
                <w:sz w:val="24"/>
                <w:szCs w:val="24"/>
              </w:rPr>
              <w:t>Question 1</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_Toc121344195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3</w:t>
            </w:r>
            <w:r w:rsidR="00775DA6" w:rsidRPr="00775DA6">
              <w:rPr>
                <w:rFonts w:ascii="Arial" w:hAnsi="Arial" w:cs="Arial"/>
                <w:noProof/>
                <w:webHidden/>
                <w:sz w:val="24"/>
                <w:szCs w:val="24"/>
              </w:rPr>
              <w:fldChar w:fldCharType="end"/>
            </w:r>
          </w:hyperlink>
        </w:p>
        <w:p w14:paraId="0D7BD41E" w14:textId="6B5007BD" w:rsidR="00775DA6" w:rsidRPr="00775DA6" w:rsidRDefault="00000000" w:rsidP="00775DA6">
          <w:pPr>
            <w:pStyle w:val="TOC2"/>
            <w:tabs>
              <w:tab w:val="left" w:pos="660"/>
              <w:tab w:val="right" w:leader="dot" w:pos="9016"/>
            </w:tabs>
            <w:spacing w:line="360" w:lineRule="auto"/>
            <w:jc w:val="both"/>
            <w:rPr>
              <w:rFonts w:ascii="Arial" w:hAnsi="Arial" w:cs="Arial"/>
              <w:noProof/>
              <w:sz w:val="24"/>
              <w:szCs w:val="24"/>
            </w:rPr>
          </w:pPr>
          <w:hyperlink w:anchor="_Toc121344196" w:history="1">
            <w:r w:rsidR="00775DA6" w:rsidRPr="00775DA6">
              <w:rPr>
                <w:rStyle w:val="Hyperlink"/>
                <w:rFonts w:ascii="Arial" w:hAnsi="Arial" w:cs="Arial"/>
                <w:noProof/>
                <w:sz w:val="24"/>
                <w:szCs w:val="24"/>
              </w:rPr>
              <w:t>a)</w:t>
            </w:r>
            <w:r w:rsidR="00775DA6" w:rsidRPr="00775DA6">
              <w:rPr>
                <w:rFonts w:ascii="Arial" w:hAnsi="Arial" w:cs="Arial"/>
                <w:noProof/>
                <w:sz w:val="24"/>
                <w:szCs w:val="24"/>
              </w:rPr>
              <w:tab/>
            </w:r>
            <w:r w:rsidR="00775DA6" w:rsidRPr="00775DA6">
              <w:rPr>
                <w:rStyle w:val="Hyperlink"/>
                <w:rFonts w:ascii="Arial" w:hAnsi="Arial" w:cs="Arial"/>
                <w:noProof/>
                <w:sz w:val="24"/>
                <w:szCs w:val="24"/>
              </w:rPr>
              <w:t>Prepare an income statement for the year ended 31st December 2021 for Wales plc and a statement of financial position as of that date</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_Toc121344196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3</w:t>
            </w:r>
            <w:r w:rsidR="00775DA6" w:rsidRPr="00775DA6">
              <w:rPr>
                <w:rFonts w:ascii="Arial" w:hAnsi="Arial" w:cs="Arial"/>
                <w:noProof/>
                <w:webHidden/>
                <w:sz w:val="24"/>
                <w:szCs w:val="24"/>
              </w:rPr>
              <w:fldChar w:fldCharType="end"/>
            </w:r>
          </w:hyperlink>
        </w:p>
        <w:p w14:paraId="62854416" w14:textId="7F0ECF33" w:rsidR="00775DA6" w:rsidRPr="00775DA6" w:rsidRDefault="00000000" w:rsidP="00775DA6">
          <w:pPr>
            <w:pStyle w:val="TOC2"/>
            <w:tabs>
              <w:tab w:val="left" w:pos="660"/>
              <w:tab w:val="right" w:leader="dot" w:pos="9016"/>
            </w:tabs>
            <w:spacing w:line="360" w:lineRule="auto"/>
            <w:jc w:val="both"/>
            <w:rPr>
              <w:rFonts w:ascii="Arial" w:hAnsi="Arial" w:cs="Arial"/>
              <w:noProof/>
              <w:sz w:val="24"/>
              <w:szCs w:val="24"/>
            </w:rPr>
          </w:pPr>
          <w:hyperlink w:anchor="_Toc121344197" w:history="1">
            <w:r w:rsidR="00775DA6" w:rsidRPr="00775DA6">
              <w:rPr>
                <w:rStyle w:val="Hyperlink"/>
                <w:rFonts w:ascii="Arial" w:hAnsi="Arial" w:cs="Arial"/>
                <w:noProof/>
                <w:sz w:val="24"/>
                <w:szCs w:val="24"/>
              </w:rPr>
              <w:t>b)</w:t>
            </w:r>
            <w:r w:rsidR="00775DA6" w:rsidRPr="00775DA6">
              <w:rPr>
                <w:rFonts w:ascii="Arial" w:hAnsi="Arial" w:cs="Arial"/>
                <w:noProof/>
                <w:sz w:val="24"/>
                <w:szCs w:val="24"/>
              </w:rPr>
              <w:tab/>
            </w:r>
            <w:r w:rsidR="00775DA6" w:rsidRPr="00775DA6">
              <w:rPr>
                <w:rStyle w:val="Hyperlink"/>
                <w:rFonts w:ascii="Arial" w:hAnsi="Arial" w:cs="Arial"/>
                <w:noProof/>
                <w:sz w:val="24"/>
                <w:szCs w:val="24"/>
              </w:rPr>
              <w:t>Why does the statement of financial position balance?</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_Toc121344197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7</w:t>
            </w:r>
            <w:r w:rsidR="00775DA6" w:rsidRPr="00775DA6">
              <w:rPr>
                <w:rFonts w:ascii="Arial" w:hAnsi="Arial" w:cs="Arial"/>
                <w:noProof/>
                <w:webHidden/>
                <w:sz w:val="24"/>
                <w:szCs w:val="24"/>
              </w:rPr>
              <w:fldChar w:fldCharType="end"/>
            </w:r>
          </w:hyperlink>
        </w:p>
        <w:p w14:paraId="2D91DAE2" w14:textId="6C1EE89D" w:rsidR="00775DA6" w:rsidRPr="00775DA6" w:rsidRDefault="00000000" w:rsidP="00775DA6">
          <w:pPr>
            <w:pStyle w:val="TOC1"/>
            <w:tabs>
              <w:tab w:val="right" w:leader="dot" w:pos="9016"/>
            </w:tabs>
            <w:spacing w:line="360" w:lineRule="auto"/>
            <w:jc w:val="both"/>
            <w:rPr>
              <w:rFonts w:ascii="Arial" w:hAnsi="Arial" w:cs="Arial"/>
              <w:noProof/>
              <w:sz w:val="24"/>
              <w:szCs w:val="24"/>
            </w:rPr>
          </w:pPr>
          <w:hyperlink w:anchor="_Toc121344198" w:history="1">
            <w:r w:rsidR="00775DA6" w:rsidRPr="00775DA6">
              <w:rPr>
                <w:rStyle w:val="Hyperlink"/>
                <w:rFonts w:ascii="Arial" w:hAnsi="Arial" w:cs="Arial"/>
                <w:noProof/>
                <w:sz w:val="24"/>
                <w:szCs w:val="24"/>
              </w:rPr>
              <w:t>Question 2</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_Toc121344198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7</w:t>
            </w:r>
            <w:r w:rsidR="00775DA6" w:rsidRPr="00775DA6">
              <w:rPr>
                <w:rFonts w:ascii="Arial" w:hAnsi="Arial" w:cs="Arial"/>
                <w:noProof/>
                <w:webHidden/>
                <w:sz w:val="24"/>
                <w:szCs w:val="24"/>
              </w:rPr>
              <w:fldChar w:fldCharType="end"/>
            </w:r>
          </w:hyperlink>
        </w:p>
        <w:p w14:paraId="4F86D03D" w14:textId="45CD0645" w:rsidR="00775DA6" w:rsidRPr="00775DA6" w:rsidRDefault="00000000" w:rsidP="00775DA6">
          <w:pPr>
            <w:pStyle w:val="TOC2"/>
            <w:tabs>
              <w:tab w:val="right" w:leader="dot" w:pos="9016"/>
            </w:tabs>
            <w:spacing w:line="360" w:lineRule="auto"/>
            <w:jc w:val="both"/>
            <w:rPr>
              <w:rFonts w:ascii="Arial" w:hAnsi="Arial" w:cs="Arial"/>
              <w:noProof/>
              <w:sz w:val="24"/>
              <w:szCs w:val="24"/>
            </w:rPr>
          </w:pPr>
          <w:hyperlink w:anchor="_Toc121344199" w:history="1">
            <w:r w:rsidR="00775DA6" w:rsidRPr="00775DA6">
              <w:rPr>
                <w:rStyle w:val="Hyperlink"/>
                <w:rFonts w:ascii="Arial" w:hAnsi="Arial" w:cs="Arial"/>
                <w:noProof/>
                <w:sz w:val="24"/>
                <w:szCs w:val="24"/>
              </w:rPr>
              <w:t>a. Calculate the following ratios for Sweet's plc for 2021 and 2020, showing the formulas and workings</w:t>
            </w:r>
            <w:r w:rsidR="00775DA6" w:rsidRPr="00775DA6">
              <w:rPr>
                <w:rFonts w:ascii="Arial" w:hAnsi="Arial" w:cs="Arial"/>
                <w:noProof/>
                <w:webHidden/>
                <w:sz w:val="24"/>
                <w:szCs w:val="24"/>
              </w:rPr>
              <w:tab/>
            </w:r>
            <w:r w:rsidR="003956F1">
              <w:rPr>
                <w:rFonts w:ascii="Arial" w:hAnsi="Arial" w:cs="Arial"/>
                <w:noProof/>
                <w:webHidden/>
                <w:sz w:val="24"/>
                <w:szCs w:val="24"/>
              </w:rPr>
              <w:t xml:space="preserve">of </w:t>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_Toc121344199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7</w:t>
            </w:r>
            <w:r w:rsidR="00775DA6" w:rsidRPr="00775DA6">
              <w:rPr>
                <w:rFonts w:ascii="Arial" w:hAnsi="Arial" w:cs="Arial"/>
                <w:noProof/>
                <w:webHidden/>
                <w:sz w:val="24"/>
                <w:szCs w:val="24"/>
              </w:rPr>
              <w:fldChar w:fldCharType="end"/>
            </w:r>
          </w:hyperlink>
        </w:p>
        <w:p w14:paraId="01EFA096" w14:textId="08E31E75" w:rsidR="00775DA6" w:rsidRPr="00775DA6" w:rsidRDefault="00000000" w:rsidP="00775DA6">
          <w:pPr>
            <w:pStyle w:val="TOC2"/>
            <w:tabs>
              <w:tab w:val="right" w:leader="dot" w:pos="9016"/>
            </w:tabs>
            <w:spacing w:line="360" w:lineRule="auto"/>
            <w:jc w:val="both"/>
            <w:rPr>
              <w:rFonts w:ascii="Arial" w:hAnsi="Arial" w:cs="Arial"/>
              <w:noProof/>
              <w:sz w:val="24"/>
              <w:szCs w:val="24"/>
            </w:rPr>
          </w:pPr>
          <w:hyperlink w:anchor="_Toc121344200" w:history="1">
            <w:r w:rsidR="00775DA6" w:rsidRPr="00775DA6">
              <w:rPr>
                <w:rStyle w:val="Hyperlink"/>
                <w:rFonts w:ascii="Arial" w:hAnsi="Arial" w:cs="Arial"/>
                <w:noProof/>
                <w:sz w:val="24"/>
                <w:szCs w:val="24"/>
              </w:rPr>
              <w:t>b) Using the information in the financial statements and the ratios you have calculated, comment on the financial performance and position of Sweet's plc.</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_Toc121344200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9</w:t>
            </w:r>
            <w:r w:rsidR="00775DA6" w:rsidRPr="00775DA6">
              <w:rPr>
                <w:rFonts w:ascii="Arial" w:hAnsi="Arial" w:cs="Arial"/>
                <w:noProof/>
                <w:webHidden/>
                <w:sz w:val="24"/>
                <w:szCs w:val="24"/>
              </w:rPr>
              <w:fldChar w:fldCharType="end"/>
            </w:r>
          </w:hyperlink>
        </w:p>
        <w:p w14:paraId="60F04799" w14:textId="1EFA2BA9" w:rsidR="00775DA6" w:rsidRPr="00775DA6" w:rsidRDefault="00000000" w:rsidP="00775DA6">
          <w:pPr>
            <w:pStyle w:val="TOC1"/>
            <w:tabs>
              <w:tab w:val="right" w:leader="dot" w:pos="9016"/>
            </w:tabs>
            <w:spacing w:line="360" w:lineRule="auto"/>
            <w:jc w:val="both"/>
            <w:rPr>
              <w:rFonts w:ascii="Arial" w:hAnsi="Arial" w:cs="Arial"/>
              <w:noProof/>
              <w:sz w:val="24"/>
              <w:szCs w:val="24"/>
            </w:rPr>
          </w:pPr>
          <w:hyperlink w:anchor="_Toc121344201" w:history="1">
            <w:r w:rsidR="00775DA6" w:rsidRPr="00775DA6">
              <w:rPr>
                <w:rStyle w:val="Hyperlink"/>
                <w:rFonts w:ascii="Arial" w:hAnsi="Arial" w:cs="Arial"/>
                <w:noProof/>
                <w:sz w:val="24"/>
                <w:szCs w:val="24"/>
              </w:rPr>
              <w:t>Conclusion:</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_Toc121344201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12</w:t>
            </w:r>
            <w:r w:rsidR="00775DA6" w:rsidRPr="00775DA6">
              <w:rPr>
                <w:rFonts w:ascii="Arial" w:hAnsi="Arial" w:cs="Arial"/>
                <w:noProof/>
                <w:webHidden/>
                <w:sz w:val="24"/>
                <w:szCs w:val="24"/>
              </w:rPr>
              <w:fldChar w:fldCharType="end"/>
            </w:r>
          </w:hyperlink>
        </w:p>
        <w:p w14:paraId="7CF79FC2" w14:textId="289F835E" w:rsidR="00775DA6" w:rsidRPr="00775DA6" w:rsidRDefault="00000000" w:rsidP="00775DA6">
          <w:pPr>
            <w:pStyle w:val="TOC1"/>
            <w:tabs>
              <w:tab w:val="right" w:leader="dot" w:pos="9016"/>
            </w:tabs>
            <w:spacing w:line="360" w:lineRule="auto"/>
            <w:jc w:val="both"/>
            <w:rPr>
              <w:rFonts w:ascii="Arial" w:hAnsi="Arial" w:cs="Arial"/>
              <w:noProof/>
              <w:sz w:val="24"/>
              <w:szCs w:val="24"/>
            </w:rPr>
          </w:pPr>
          <w:hyperlink w:anchor="_Toc121344202" w:history="1">
            <w:r w:rsidR="00775DA6" w:rsidRPr="00775DA6">
              <w:rPr>
                <w:rStyle w:val="Hyperlink"/>
                <w:rFonts w:ascii="Arial" w:hAnsi="Arial" w:cs="Arial"/>
                <w:noProof/>
                <w:sz w:val="24"/>
                <w:szCs w:val="24"/>
              </w:rPr>
              <w:t>References:</w:t>
            </w:r>
            <w:r w:rsidR="00775DA6" w:rsidRPr="00775DA6">
              <w:rPr>
                <w:rFonts w:ascii="Arial" w:hAnsi="Arial" w:cs="Arial"/>
                <w:noProof/>
                <w:webHidden/>
                <w:sz w:val="24"/>
                <w:szCs w:val="24"/>
              </w:rPr>
              <w:tab/>
            </w:r>
            <w:r w:rsidR="00775DA6" w:rsidRPr="00775DA6">
              <w:rPr>
                <w:rFonts w:ascii="Arial" w:hAnsi="Arial" w:cs="Arial"/>
                <w:noProof/>
                <w:webHidden/>
                <w:sz w:val="24"/>
                <w:szCs w:val="24"/>
              </w:rPr>
              <w:fldChar w:fldCharType="begin"/>
            </w:r>
            <w:r w:rsidR="00775DA6" w:rsidRPr="00775DA6">
              <w:rPr>
                <w:rFonts w:ascii="Arial" w:hAnsi="Arial" w:cs="Arial"/>
                <w:noProof/>
                <w:webHidden/>
                <w:sz w:val="24"/>
                <w:szCs w:val="24"/>
              </w:rPr>
              <w:instrText xml:space="preserve"> PAGEREF _Toc121344202 \h </w:instrText>
            </w:r>
            <w:r w:rsidR="00775DA6" w:rsidRPr="00775DA6">
              <w:rPr>
                <w:rFonts w:ascii="Arial" w:hAnsi="Arial" w:cs="Arial"/>
                <w:noProof/>
                <w:webHidden/>
                <w:sz w:val="24"/>
                <w:szCs w:val="24"/>
              </w:rPr>
            </w:r>
            <w:r w:rsidR="00775DA6" w:rsidRPr="00775DA6">
              <w:rPr>
                <w:rFonts w:ascii="Arial" w:hAnsi="Arial" w:cs="Arial"/>
                <w:noProof/>
                <w:webHidden/>
                <w:sz w:val="24"/>
                <w:szCs w:val="24"/>
              </w:rPr>
              <w:fldChar w:fldCharType="separate"/>
            </w:r>
            <w:r w:rsidR="00775DA6" w:rsidRPr="00775DA6">
              <w:rPr>
                <w:rFonts w:ascii="Arial" w:hAnsi="Arial" w:cs="Arial"/>
                <w:noProof/>
                <w:webHidden/>
                <w:sz w:val="24"/>
                <w:szCs w:val="24"/>
              </w:rPr>
              <w:t>13</w:t>
            </w:r>
            <w:r w:rsidR="00775DA6" w:rsidRPr="00775DA6">
              <w:rPr>
                <w:rFonts w:ascii="Arial" w:hAnsi="Arial" w:cs="Arial"/>
                <w:noProof/>
                <w:webHidden/>
                <w:sz w:val="24"/>
                <w:szCs w:val="24"/>
              </w:rPr>
              <w:fldChar w:fldCharType="end"/>
            </w:r>
          </w:hyperlink>
        </w:p>
        <w:p w14:paraId="5EF4EBC5" w14:textId="0A7F80EC" w:rsidR="00775DA6" w:rsidRDefault="00775DA6" w:rsidP="00775DA6">
          <w:pPr>
            <w:spacing w:line="360" w:lineRule="auto"/>
            <w:jc w:val="both"/>
          </w:pPr>
          <w:r w:rsidRPr="00775DA6">
            <w:rPr>
              <w:rFonts w:ascii="Arial" w:hAnsi="Arial" w:cs="Arial"/>
              <w:b/>
              <w:bCs/>
              <w:noProof/>
              <w:sz w:val="24"/>
              <w:szCs w:val="24"/>
            </w:rPr>
            <w:fldChar w:fldCharType="end"/>
          </w:r>
        </w:p>
      </w:sdtContent>
    </w:sdt>
    <w:p w14:paraId="5CD28A58" w14:textId="77777777" w:rsidR="00231DCB" w:rsidRPr="00231DCB" w:rsidRDefault="00231DCB" w:rsidP="00231DCB">
      <w:pPr>
        <w:spacing w:line="360" w:lineRule="auto"/>
        <w:jc w:val="both"/>
        <w:rPr>
          <w:rFonts w:ascii="Arial" w:hAnsi="Arial" w:cs="Arial"/>
          <w:sz w:val="24"/>
          <w:szCs w:val="24"/>
        </w:rPr>
      </w:pPr>
      <w:r w:rsidRPr="00231DCB">
        <w:rPr>
          <w:rFonts w:ascii="Arial" w:hAnsi="Arial" w:cs="Arial"/>
          <w:sz w:val="24"/>
          <w:szCs w:val="24"/>
        </w:rPr>
        <w:br w:type="page"/>
      </w:r>
    </w:p>
    <w:p w14:paraId="39E1B6A9" w14:textId="1412461C" w:rsidR="009D7451" w:rsidRPr="00231DCB" w:rsidRDefault="004D29C2" w:rsidP="00231DCB">
      <w:pPr>
        <w:pStyle w:val="Heading1"/>
      </w:pPr>
      <w:bookmarkStart w:id="0" w:name="_Toc121344194"/>
      <w:r w:rsidRPr="00231DCB">
        <w:lastRenderedPageBreak/>
        <w:t>Introduction:</w:t>
      </w:r>
      <w:bookmarkEnd w:id="0"/>
    </w:p>
    <w:p w14:paraId="1C18687B" w14:textId="77777777" w:rsidR="00231DCB" w:rsidRPr="00231DCB" w:rsidRDefault="00231DCB" w:rsidP="00231DCB">
      <w:pPr>
        <w:spacing w:line="360" w:lineRule="auto"/>
        <w:jc w:val="both"/>
        <w:rPr>
          <w:rFonts w:ascii="Arial" w:hAnsi="Arial" w:cs="Arial"/>
          <w:sz w:val="24"/>
          <w:szCs w:val="24"/>
          <w:lang w:val="en-GB"/>
        </w:rPr>
      </w:pPr>
    </w:p>
    <w:p w14:paraId="32940B03" w14:textId="4C5AD98D" w:rsidR="004D29C2" w:rsidRPr="00231DCB" w:rsidRDefault="004D29C2" w:rsidP="00231DCB">
      <w:pPr>
        <w:spacing w:line="360" w:lineRule="auto"/>
        <w:jc w:val="both"/>
        <w:rPr>
          <w:rFonts w:ascii="Arial" w:hAnsi="Arial" w:cs="Arial"/>
          <w:sz w:val="24"/>
          <w:szCs w:val="24"/>
        </w:rPr>
      </w:pPr>
      <w:r w:rsidRPr="00231DCB">
        <w:rPr>
          <w:rFonts w:ascii="Arial" w:hAnsi="Arial" w:cs="Arial"/>
          <w:sz w:val="24"/>
          <w:szCs w:val="24"/>
        </w:rPr>
        <w:t>In addition to the fact that accounting is vital, it's one of the assignments that each corporate association should finish. Inside a hierarchical setting, accounting has different benefits. The purpose of this course is to look at and give examples of accounting basics. The pay explanation and the assertion of the monetary situation for a firm called Wales Plc will be ready in the main segment. It will demonstrate the cycles used to make these fiscal summaries. We'll likewise discuss the variables that add to the assertion of the monetary position's intrinsic equilibrium. What's more, the fiscal summaries of Sweet</w:t>
      </w:r>
      <w:r w:rsidR="002D2FAA" w:rsidRPr="00231DCB">
        <w:rPr>
          <w:rFonts w:ascii="Arial" w:hAnsi="Arial" w:cs="Arial"/>
          <w:sz w:val="24"/>
          <w:szCs w:val="24"/>
        </w:rPr>
        <w:t>'</w:t>
      </w:r>
      <w:r w:rsidRPr="00231DCB">
        <w:rPr>
          <w:rFonts w:ascii="Arial" w:hAnsi="Arial" w:cs="Arial"/>
          <w:sz w:val="24"/>
          <w:szCs w:val="24"/>
        </w:rPr>
        <w:t>s plc, a maker of confections and desserts, will be considered while computing the organization's monetary proportions. The monetary status and execution of the organization will be evaluated in light of the computation of these proportions.</w:t>
      </w:r>
    </w:p>
    <w:p w14:paraId="36F05EB7" w14:textId="3E6E6B92" w:rsidR="004D29C2" w:rsidRPr="00231DCB" w:rsidRDefault="004D29C2" w:rsidP="00231DCB">
      <w:pPr>
        <w:spacing w:line="360" w:lineRule="auto"/>
        <w:jc w:val="both"/>
        <w:rPr>
          <w:rFonts w:ascii="Arial" w:hAnsi="Arial" w:cs="Arial"/>
          <w:sz w:val="24"/>
          <w:szCs w:val="24"/>
        </w:rPr>
      </w:pPr>
    </w:p>
    <w:p w14:paraId="5EE59798" w14:textId="77777777" w:rsidR="004D29C2" w:rsidRPr="00231DCB" w:rsidRDefault="004D29C2" w:rsidP="00231DCB">
      <w:pPr>
        <w:pStyle w:val="Heading1"/>
      </w:pPr>
      <w:bookmarkStart w:id="1" w:name="_Toc110362688"/>
      <w:bookmarkStart w:id="2" w:name="_Toc121344195"/>
      <w:r w:rsidRPr="00231DCB">
        <w:t>Question 1</w:t>
      </w:r>
      <w:bookmarkEnd w:id="1"/>
      <w:bookmarkEnd w:id="2"/>
    </w:p>
    <w:p w14:paraId="28F58E7E" w14:textId="4F8E9B2F" w:rsidR="004D29C2" w:rsidRDefault="004D29C2" w:rsidP="00231DCB">
      <w:pPr>
        <w:pStyle w:val="Heading2"/>
        <w:numPr>
          <w:ilvl w:val="0"/>
          <w:numId w:val="1"/>
        </w:numPr>
      </w:pPr>
      <w:bookmarkStart w:id="3" w:name="_Toc121344196"/>
      <w:r w:rsidRPr="00231DCB">
        <w:t xml:space="preserve">Prepare an income statement for the year ended 31st December 2021 for Wales plc and a statement of financial position as </w:t>
      </w:r>
      <w:r w:rsidR="002D2FAA" w:rsidRPr="00231DCB">
        <w:t>of</w:t>
      </w:r>
      <w:r w:rsidRPr="00231DCB">
        <w:t xml:space="preserve"> that date</w:t>
      </w:r>
      <w:bookmarkEnd w:id="3"/>
    </w:p>
    <w:p w14:paraId="57CF8783" w14:textId="77777777" w:rsidR="00231DCB" w:rsidRPr="00231DCB" w:rsidRDefault="00231DCB" w:rsidP="00231DCB">
      <w:pPr>
        <w:rPr>
          <w:lang w:val="en-GB"/>
        </w:rPr>
      </w:pPr>
    </w:p>
    <w:p w14:paraId="6342D76D" w14:textId="4980743E" w:rsidR="004D29C2" w:rsidRPr="00231DCB" w:rsidRDefault="004D29C2" w:rsidP="00231DCB">
      <w:pPr>
        <w:spacing w:line="360" w:lineRule="auto"/>
        <w:jc w:val="both"/>
        <w:rPr>
          <w:rFonts w:ascii="Arial" w:hAnsi="Arial" w:cs="Arial"/>
          <w:sz w:val="24"/>
          <w:szCs w:val="24"/>
        </w:rPr>
      </w:pPr>
      <w:r w:rsidRPr="00231DCB">
        <w:rPr>
          <w:rFonts w:ascii="Arial" w:hAnsi="Arial" w:cs="Arial"/>
          <w:sz w:val="24"/>
          <w:szCs w:val="24"/>
        </w:rPr>
        <w:t>One of the principal undertakings or exercises in the domain of accounting is the planning of fiscal reports. Fiscal summaries are the reports that are made by organizations and associations toward the end of every year to detail their monetary exhibition and status. Liabilities, resources, incomes, costs, profits, misfortunes, and incomes are the viewpoints that these monetary records record and unveil. The pay proclamation and the assertion of monetary position are the two essential types of budget summaries made in business associations</w:t>
      </w:r>
      <w:r w:rsidR="00775DA6">
        <w:rPr>
          <w:rFonts w:ascii="Arial" w:hAnsi="Arial" w:cs="Arial"/>
          <w:sz w:val="24"/>
          <w:szCs w:val="24"/>
        </w:rPr>
        <w:t xml:space="preserve"> (</w:t>
      </w:r>
      <w:proofErr w:type="spellStart"/>
      <w:r w:rsidR="00775DA6">
        <w:rPr>
          <w:rFonts w:ascii="Arial" w:hAnsi="Arial" w:cs="Arial"/>
          <w:sz w:val="24"/>
          <w:szCs w:val="24"/>
        </w:rPr>
        <w:t>Almagtome</w:t>
      </w:r>
      <w:proofErr w:type="spellEnd"/>
      <w:r w:rsidR="00775DA6">
        <w:rPr>
          <w:rFonts w:ascii="Arial" w:hAnsi="Arial" w:cs="Arial"/>
          <w:sz w:val="24"/>
          <w:szCs w:val="24"/>
        </w:rPr>
        <w:t xml:space="preserve">, et al, 2019). </w:t>
      </w:r>
      <w:r w:rsidRPr="00231DCB">
        <w:rPr>
          <w:rFonts w:ascii="Arial" w:hAnsi="Arial" w:cs="Arial"/>
          <w:sz w:val="24"/>
          <w:szCs w:val="24"/>
        </w:rPr>
        <w:t>The pay proclamation is a monetary report prepared by organizations that shows their incomes, costs, and profits or losses. The fiscal report wherein corporate associations sum up and reveal their resources, liabilities, and investors' money is known as the "articulation of monetary position."</w:t>
      </w:r>
    </w:p>
    <w:p w14:paraId="2D2198C1" w14:textId="73942CC1" w:rsidR="004D29C2" w:rsidRPr="00231DCB" w:rsidRDefault="004D29C2" w:rsidP="00231DCB">
      <w:pPr>
        <w:spacing w:line="360" w:lineRule="auto"/>
        <w:jc w:val="both"/>
        <w:rPr>
          <w:rFonts w:ascii="Arial" w:hAnsi="Arial" w:cs="Arial"/>
          <w:sz w:val="24"/>
          <w:szCs w:val="24"/>
        </w:rPr>
      </w:pPr>
      <w:r w:rsidRPr="00231DCB">
        <w:rPr>
          <w:rFonts w:ascii="Arial" w:hAnsi="Arial" w:cs="Arial"/>
          <w:sz w:val="24"/>
          <w:szCs w:val="24"/>
        </w:rPr>
        <w:lastRenderedPageBreak/>
        <w:t>The pay explanation made for the organization for the year finishing December 31, 2021, is as per the following, contingent upon the data that is currently accessible about Wales Plc:</w:t>
      </w:r>
    </w:p>
    <w:p w14:paraId="1685E180" w14:textId="2928A8DE" w:rsidR="004D29C2" w:rsidRPr="00231DCB" w:rsidRDefault="004D29C2" w:rsidP="00231DCB">
      <w:pPr>
        <w:spacing w:line="360" w:lineRule="auto"/>
        <w:jc w:val="both"/>
        <w:rPr>
          <w:rFonts w:ascii="Arial" w:hAnsi="Arial" w:cs="Arial"/>
          <w:sz w:val="24"/>
          <w:szCs w:val="24"/>
        </w:rPr>
      </w:pPr>
    </w:p>
    <w:p w14:paraId="4CB9DFF6" w14:textId="77777777" w:rsidR="004D29C2" w:rsidRPr="00231DCB" w:rsidRDefault="004D29C2" w:rsidP="00231DCB">
      <w:pPr>
        <w:spacing w:line="360" w:lineRule="auto"/>
        <w:jc w:val="center"/>
        <w:rPr>
          <w:rFonts w:ascii="Arial" w:hAnsi="Arial" w:cs="Arial"/>
          <w:b/>
          <w:bCs/>
          <w:color w:val="000000" w:themeColor="text1"/>
          <w:sz w:val="24"/>
          <w:szCs w:val="24"/>
        </w:rPr>
      </w:pPr>
      <w:r w:rsidRPr="00231DCB">
        <w:rPr>
          <w:rFonts w:ascii="Arial" w:hAnsi="Arial" w:cs="Arial"/>
          <w:b/>
          <w:bCs/>
          <w:color w:val="000000" w:themeColor="text1"/>
          <w:sz w:val="24"/>
          <w:szCs w:val="24"/>
        </w:rPr>
        <w:t>In the books of Wales Plc</w:t>
      </w:r>
    </w:p>
    <w:p w14:paraId="11D1B437" w14:textId="77777777" w:rsidR="004D29C2" w:rsidRPr="00231DCB" w:rsidRDefault="004D29C2" w:rsidP="00231DCB">
      <w:pPr>
        <w:spacing w:line="360" w:lineRule="auto"/>
        <w:jc w:val="center"/>
        <w:rPr>
          <w:rFonts w:ascii="Arial" w:hAnsi="Arial" w:cs="Arial"/>
          <w:b/>
          <w:bCs/>
          <w:color w:val="000000" w:themeColor="text1"/>
          <w:sz w:val="24"/>
          <w:szCs w:val="24"/>
        </w:rPr>
      </w:pPr>
      <w:r w:rsidRPr="00231DCB">
        <w:rPr>
          <w:rFonts w:ascii="Arial" w:hAnsi="Arial" w:cs="Arial"/>
          <w:b/>
          <w:bCs/>
          <w:color w:val="000000" w:themeColor="text1"/>
          <w:sz w:val="24"/>
          <w:szCs w:val="24"/>
        </w:rPr>
        <w:t>Income Statement prepared for the year ended 31</w:t>
      </w:r>
      <w:r w:rsidRPr="00231DCB">
        <w:rPr>
          <w:rFonts w:ascii="Arial" w:hAnsi="Arial" w:cs="Arial"/>
          <w:b/>
          <w:bCs/>
          <w:color w:val="000000" w:themeColor="text1"/>
          <w:sz w:val="24"/>
          <w:szCs w:val="24"/>
          <w:vertAlign w:val="superscript"/>
        </w:rPr>
        <w:t>st</w:t>
      </w:r>
      <w:r w:rsidRPr="00231DCB">
        <w:rPr>
          <w:rFonts w:ascii="Arial" w:hAnsi="Arial" w:cs="Arial"/>
          <w:b/>
          <w:bCs/>
          <w:color w:val="000000" w:themeColor="text1"/>
          <w:sz w:val="24"/>
          <w:szCs w:val="24"/>
        </w:rPr>
        <w:t xml:space="preserve"> December 2021</w:t>
      </w:r>
    </w:p>
    <w:tbl>
      <w:tblPr>
        <w:tblStyle w:val="TableGrid"/>
        <w:tblW w:w="5000" w:type="pct"/>
        <w:tblLook w:val="04A0" w:firstRow="1" w:lastRow="0" w:firstColumn="1" w:lastColumn="0" w:noHBand="0" w:noVBand="1"/>
      </w:tblPr>
      <w:tblGrid>
        <w:gridCol w:w="5768"/>
        <w:gridCol w:w="1484"/>
        <w:gridCol w:w="1764"/>
      </w:tblGrid>
      <w:tr w:rsidR="004D29C2" w:rsidRPr="00231DCB" w14:paraId="05CDCD99" w14:textId="77777777" w:rsidTr="003E0DF7">
        <w:trPr>
          <w:trHeight w:val="300"/>
        </w:trPr>
        <w:tc>
          <w:tcPr>
            <w:tcW w:w="3337" w:type="pct"/>
            <w:noWrap/>
            <w:hideMark/>
          </w:tcPr>
          <w:p w14:paraId="3140CB51" w14:textId="77777777" w:rsidR="004D29C2" w:rsidRPr="00231DCB" w:rsidRDefault="004D29C2" w:rsidP="00231DCB">
            <w:pPr>
              <w:spacing w:line="360" w:lineRule="auto"/>
              <w:jc w:val="both"/>
              <w:rPr>
                <w:rFonts w:ascii="Arial" w:hAnsi="Arial" w:cs="Arial"/>
                <w:b/>
                <w:bCs/>
                <w:color w:val="000000" w:themeColor="text1"/>
                <w:sz w:val="24"/>
                <w:szCs w:val="24"/>
              </w:rPr>
            </w:pPr>
            <w:bookmarkStart w:id="4" w:name="_Hlk121243566"/>
            <w:r w:rsidRPr="00231DCB">
              <w:rPr>
                <w:rFonts w:ascii="Arial" w:hAnsi="Arial" w:cs="Arial"/>
                <w:b/>
                <w:bCs/>
                <w:color w:val="000000" w:themeColor="text1"/>
                <w:sz w:val="24"/>
                <w:szCs w:val="24"/>
              </w:rPr>
              <w:t>Items</w:t>
            </w:r>
          </w:p>
        </w:tc>
        <w:tc>
          <w:tcPr>
            <w:tcW w:w="809" w:type="pct"/>
            <w:noWrap/>
            <w:hideMark/>
          </w:tcPr>
          <w:p w14:paraId="1DC4C0D6" w14:textId="77777777" w:rsidR="004D29C2" w:rsidRPr="00231DCB" w:rsidRDefault="004D29C2"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Amount</w:t>
            </w:r>
          </w:p>
        </w:tc>
        <w:tc>
          <w:tcPr>
            <w:tcW w:w="854" w:type="pct"/>
            <w:noWrap/>
            <w:hideMark/>
          </w:tcPr>
          <w:p w14:paraId="2026A67D" w14:textId="77777777" w:rsidR="004D29C2" w:rsidRPr="00231DCB" w:rsidRDefault="004D29C2"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Amount</w:t>
            </w:r>
          </w:p>
        </w:tc>
      </w:tr>
      <w:tr w:rsidR="004D29C2" w:rsidRPr="00231DCB" w14:paraId="4046744F" w14:textId="77777777" w:rsidTr="003E0DF7">
        <w:trPr>
          <w:trHeight w:val="300"/>
        </w:trPr>
        <w:tc>
          <w:tcPr>
            <w:tcW w:w="3337" w:type="pct"/>
            <w:noWrap/>
            <w:hideMark/>
          </w:tcPr>
          <w:p w14:paraId="4355254C"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Revenue from sales</w:t>
            </w:r>
          </w:p>
        </w:tc>
        <w:tc>
          <w:tcPr>
            <w:tcW w:w="809" w:type="pct"/>
            <w:noWrap/>
            <w:hideMark/>
          </w:tcPr>
          <w:p w14:paraId="3484AFB9"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61562140"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£ 800,980.00</w:t>
            </w:r>
          </w:p>
        </w:tc>
      </w:tr>
      <w:tr w:rsidR="004D29C2" w:rsidRPr="00231DCB" w14:paraId="0CA5441B" w14:textId="77777777" w:rsidTr="003E0DF7">
        <w:trPr>
          <w:trHeight w:val="300"/>
        </w:trPr>
        <w:tc>
          <w:tcPr>
            <w:tcW w:w="3337" w:type="pct"/>
            <w:noWrap/>
            <w:hideMark/>
          </w:tcPr>
          <w:p w14:paraId="69E8CF4B"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Less: Cost of Goods Sold (or COGS)</w:t>
            </w:r>
          </w:p>
        </w:tc>
        <w:tc>
          <w:tcPr>
            <w:tcW w:w="809" w:type="pct"/>
            <w:noWrap/>
            <w:hideMark/>
          </w:tcPr>
          <w:p w14:paraId="23654CDC"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00425AE2"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£ 578,650.00</w:t>
            </w:r>
          </w:p>
        </w:tc>
      </w:tr>
      <w:tr w:rsidR="004D29C2" w:rsidRPr="00231DCB" w14:paraId="635C73ED" w14:textId="77777777" w:rsidTr="003E0DF7">
        <w:trPr>
          <w:trHeight w:val="300"/>
        </w:trPr>
        <w:tc>
          <w:tcPr>
            <w:tcW w:w="3337" w:type="pct"/>
            <w:noWrap/>
            <w:hideMark/>
          </w:tcPr>
          <w:p w14:paraId="3B327589"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Gross profit</w:t>
            </w:r>
          </w:p>
        </w:tc>
        <w:tc>
          <w:tcPr>
            <w:tcW w:w="809" w:type="pct"/>
            <w:noWrap/>
            <w:hideMark/>
          </w:tcPr>
          <w:p w14:paraId="19D3D3B1"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6E6CEA11"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£ 222,330.00</w:t>
            </w:r>
          </w:p>
        </w:tc>
      </w:tr>
      <w:tr w:rsidR="004D29C2" w:rsidRPr="00231DCB" w14:paraId="73A2F9C7" w14:textId="77777777" w:rsidTr="003E0DF7">
        <w:trPr>
          <w:trHeight w:val="300"/>
        </w:trPr>
        <w:tc>
          <w:tcPr>
            <w:tcW w:w="3337" w:type="pct"/>
            <w:noWrap/>
            <w:hideMark/>
          </w:tcPr>
          <w:p w14:paraId="6CD83EB6"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Less: Operating costs and expenses</w:t>
            </w:r>
          </w:p>
        </w:tc>
        <w:tc>
          <w:tcPr>
            <w:tcW w:w="809" w:type="pct"/>
            <w:noWrap/>
            <w:hideMark/>
          </w:tcPr>
          <w:p w14:paraId="3EEAB05F"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4C7D07D9" w14:textId="77777777" w:rsidR="004D29C2" w:rsidRPr="00231DCB" w:rsidRDefault="004D29C2" w:rsidP="00231DCB">
            <w:pPr>
              <w:spacing w:line="360" w:lineRule="auto"/>
              <w:jc w:val="both"/>
              <w:rPr>
                <w:rFonts w:ascii="Arial" w:hAnsi="Arial" w:cs="Arial"/>
                <w:color w:val="000000" w:themeColor="text1"/>
                <w:sz w:val="24"/>
                <w:szCs w:val="24"/>
              </w:rPr>
            </w:pPr>
          </w:p>
        </w:tc>
      </w:tr>
      <w:tr w:rsidR="004D29C2" w:rsidRPr="00231DCB" w14:paraId="3F349258" w14:textId="77777777" w:rsidTr="003E0DF7">
        <w:trPr>
          <w:trHeight w:val="300"/>
        </w:trPr>
        <w:tc>
          <w:tcPr>
            <w:tcW w:w="3337" w:type="pct"/>
            <w:noWrap/>
            <w:hideMark/>
          </w:tcPr>
          <w:p w14:paraId="4E55415A"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Administrative expenses</w:t>
            </w:r>
          </w:p>
        </w:tc>
        <w:tc>
          <w:tcPr>
            <w:tcW w:w="809" w:type="pct"/>
            <w:noWrap/>
            <w:hideMark/>
          </w:tcPr>
          <w:p w14:paraId="37B8EF7D"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£ 30,000.00</w:t>
            </w:r>
          </w:p>
        </w:tc>
        <w:tc>
          <w:tcPr>
            <w:tcW w:w="854" w:type="pct"/>
            <w:noWrap/>
            <w:hideMark/>
          </w:tcPr>
          <w:p w14:paraId="4CC8676D" w14:textId="77777777" w:rsidR="004D29C2" w:rsidRPr="00231DCB" w:rsidRDefault="004D29C2" w:rsidP="00231DCB">
            <w:pPr>
              <w:spacing w:line="360" w:lineRule="auto"/>
              <w:jc w:val="both"/>
              <w:rPr>
                <w:rFonts w:ascii="Arial" w:hAnsi="Arial" w:cs="Arial"/>
                <w:color w:val="000000" w:themeColor="text1"/>
                <w:sz w:val="24"/>
                <w:szCs w:val="24"/>
              </w:rPr>
            </w:pPr>
          </w:p>
        </w:tc>
      </w:tr>
      <w:tr w:rsidR="004D29C2" w:rsidRPr="00231DCB" w14:paraId="1E8E9849" w14:textId="77777777" w:rsidTr="003E0DF7">
        <w:trPr>
          <w:trHeight w:val="300"/>
        </w:trPr>
        <w:tc>
          <w:tcPr>
            <w:tcW w:w="3337" w:type="pct"/>
            <w:noWrap/>
            <w:hideMark/>
          </w:tcPr>
          <w:p w14:paraId="5EDF1A53"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Distribution costs</w:t>
            </w:r>
          </w:p>
        </w:tc>
        <w:tc>
          <w:tcPr>
            <w:tcW w:w="809" w:type="pct"/>
            <w:noWrap/>
            <w:hideMark/>
          </w:tcPr>
          <w:p w14:paraId="3001D29F"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£ 28,000.00</w:t>
            </w:r>
          </w:p>
        </w:tc>
        <w:tc>
          <w:tcPr>
            <w:tcW w:w="854" w:type="pct"/>
            <w:noWrap/>
            <w:hideMark/>
          </w:tcPr>
          <w:p w14:paraId="50F9E9E3" w14:textId="77777777" w:rsidR="004D29C2" w:rsidRPr="00231DCB" w:rsidRDefault="004D29C2" w:rsidP="00231DCB">
            <w:pPr>
              <w:spacing w:line="360" w:lineRule="auto"/>
              <w:jc w:val="both"/>
              <w:rPr>
                <w:rFonts w:ascii="Arial" w:hAnsi="Arial" w:cs="Arial"/>
                <w:color w:val="000000" w:themeColor="text1"/>
                <w:sz w:val="24"/>
                <w:szCs w:val="24"/>
              </w:rPr>
            </w:pPr>
          </w:p>
        </w:tc>
      </w:tr>
      <w:tr w:rsidR="004D29C2" w:rsidRPr="00231DCB" w14:paraId="0A2D72B3" w14:textId="77777777" w:rsidTr="003E0DF7">
        <w:trPr>
          <w:trHeight w:val="300"/>
        </w:trPr>
        <w:tc>
          <w:tcPr>
            <w:tcW w:w="3337" w:type="pct"/>
            <w:noWrap/>
            <w:hideMark/>
          </w:tcPr>
          <w:p w14:paraId="5F74F4CC"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Salaries to staff (Director’s remuneration)</w:t>
            </w:r>
          </w:p>
        </w:tc>
        <w:tc>
          <w:tcPr>
            <w:tcW w:w="809" w:type="pct"/>
            <w:noWrap/>
            <w:hideMark/>
          </w:tcPr>
          <w:p w14:paraId="24E00C81"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£ 5,000.00</w:t>
            </w:r>
          </w:p>
        </w:tc>
        <w:tc>
          <w:tcPr>
            <w:tcW w:w="854" w:type="pct"/>
            <w:noWrap/>
            <w:hideMark/>
          </w:tcPr>
          <w:p w14:paraId="424C74E6"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£ 63,000.00</w:t>
            </w:r>
          </w:p>
        </w:tc>
      </w:tr>
      <w:tr w:rsidR="004D29C2" w:rsidRPr="00231DCB" w14:paraId="222E7FE0" w14:textId="77777777" w:rsidTr="003E0DF7">
        <w:trPr>
          <w:trHeight w:val="300"/>
        </w:trPr>
        <w:tc>
          <w:tcPr>
            <w:tcW w:w="3337" w:type="pct"/>
            <w:noWrap/>
            <w:hideMark/>
          </w:tcPr>
          <w:p w14:paraId="0C95FA06" w14:textId="77777777" w:rsidR="004D29C2" w:rsidRPr="00231DCB" w:rsidRDefault="004D29C2" w:rsidP="00231DCB">
            <w:pPr>
              <w:spacing w:line="360" w:lineRule="auto"/>
              <w:jc w:val="both"/>
              <w:rPr>
                <w:rFonts w:ascii="Arial" w:hAnsi="Arial" w:cs="Arial"/>
                <w:color w:val="000000" w:themeColor="text1"/>
                <w:sz w:val="24"/>
                <w:szCs w:val="24"/>
              </w:rPr>
            </w:pPr>
          </w:p>
        </w:tc>
        <w:tc>
          <w:tcPr>
            <w:tcW w:w="809" w:type="pct"/>
            <w:noWrap/>
            <w:hideMark/>
          </w:tcPr>
          <w:p w14:paraId="70A5661C"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144B2747"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£ 159,330.00</w:t>
            </w:r>
          </w:p>
        </w:tc>
      </w:tr>
      <w:tr w:rsidR="004D29C2" w:rsidRPr="00231DCB" w14:paraId="4DBE6018" w14:textId="77777777" w:rsidTr="003E0DF7">
        <w:trPr>
          <w:trHeight w:val="300"/>
        </w:trPr>
        <w:tc>
          <w:tcPr>
            <w:tcW w:w="3337" w:type="pct"/>
            <w:noWrap/>
            <w:hideMark/>
          </w:tcPr>
          <w:p w14:paraId="6CEC66E0"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Less: Outstanding expenditures</w:t>
            </w:r>
          </w:p>
        </w:tc>
        <w:tc>
          <w:tcPr>
            <w:tcW w:w="809" w:type="pct"/>
            <w:noWrap/>
            <w:hideMark/>
          </w:tcPr>
          <w:p w14:paraId="4433898C"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0830A88A"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£ 3,000.00</w:t>
            </w:r>
          </w:p>
        </w:tc>
      </w:tr>
      <w:tr w:rsidR="004D29C2" w:rsidRPr="00231DCB" w14:paraId="0CFB7333" w14:textId="77777777" w:rsidTr="003E0DF7">
        <w:trPr>
          <w:trHeight w:val="300"/>
        </w:trPr>
        <w:tc>
          <w:tcPr>
            <w:tcW w:w="3337" w:type="pct"/>
            <w:noWrap/>
            <w:hideMark/>
          </w:tcPr>
          <w:p w14:paraId="1B7947C5"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Profit Before Interests &amp; Taxes (or PBIT)</w:t>
            </w:r>
          </w:p>
        </w:tc>
        <w:tc>
          <w:tcPr>
            <w:tcW w:w="809" w:type="pct"/>
            <w:noWrap/>
            <w:hideMark/>
          </w:tcPr>
          <w:p w14:paraId="16C31C3F"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561F61E5"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£ 156,330.00</w:t>
            </w:r>
          </w:p>
        </w:tc>
      </w:tr>
      <w:tr w:rsidR="004D29C2" w:rsidRPr="00231DCB" w14:paraId="010CCF37" w14:textId="77777777" w:rsidTr="003E0DF7">
        <w:trPr>
          <w:trHeight w:val="300"/>
        </w:trPr>
        <w:tc>
          <w:tcPr>
            <w:tcW w:w="3337" w:type="pct"/>
            <w:noWrap/>
            <w:hideMark/>
          </w:tcPr>
          <w:p w14:paraId="257F194F"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Less: Interests paid</w:t>
            </w:r>
          </w:p>
        </w:tc>
        <w:tc>
          <w:tcPr>
            <w:tcW w:w="809" w:type="pct"/>
            <w:noWrap/>
            <w:hideMark/>
          </w:tcPr>
          <w:p w14:paraId="17FAC4DE"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0A5F31F9"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£ 2,000.00</w:t>
            </w:r>
          </w:p>
        </w:tc>
      </w:tr>
      <w:tr w:rsidR="004D29C2" w:rsidRPr="00231DCB" w14:paraId="0A7F7D8C" w14:textId="77777777" w:rsidTr="003E0DF7">
        <w:trPr>
          <w:trHeight w:val="300"/>
        </w:trPr>
        <w:tc>
          <w:tcPr>
            <w:tcW w:w="3337" w:type="pct"/>
            <w:noWrap/>
            <w:hideMark/>
          </w:tcPr>
          <w:p w14:paraId="63761578"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Profit before taxes (or PBT)</w:t>
            </w:r>
          </w:p>
        </w:tc>
        <w:tc>
          <w:tcPr>
            <w:tcW w:w="809" w:type="pct"/>
            <w:noWrap/>
            <w:hideMark/>
          </w:tcPr>
          <w:p w14:paraId="4422880B"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7BC9DF11"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£ 154,330.00</w:t>
            </w:r>
          </w:p>
        </w:tc>
      </w:tr>
      <w:tr w:rsidR="004D29C2" w:rsidRPr="00231DCB" w14:paraId="138C7A46" w14:textId="77777777" w:rsidTr="003E0DF7">
        <w:trPr>
          <w:trHeight w:val="300"/>
        </w:trPr>
        <w:tc>
          <w:tcPr>
            <w:tcW w:w="3337" w:type="pct"/>
            <w:noWrap/>
            <w:hideMark/>
          </w:tcPr>
          <w:p w14:paraId="58002CC3"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Less: Corporation taxes for the year</w:t>
            </w:r>
          </w:p>
        </w:tc>
        <w:tc>
          <w:tcPr>
            <w:tcW w:w="809" w:type="pct"/>
            <w:noWrap/>
            <w:hideMark/>
          </w:tcPr>
          <w:p w14:paraId="19C22AEE" w14:textId="77777777" w:rsidR="004D29C2" w:rsidRPr="00231DCB" w:rsidRDefault="004D29C2" w:rsidP="00231DCB">
            <w:pPr>
              <w:spacing w:line="360" w:lineRule="auto"/>
              <w:jc w:val="both"/>
              <w:rPr>
                <w:rFonts w:ascii="Arial" w:hAnsi="Arial" w:cs="Arial"/>
                <w:color w:val="000000" w:themeColor="text1"/>
                <w:sz w:val="24"/>
                <w:szCs w:val="24"/>
              </w:rPr>
            </w:pPr>
          </w:p>
        </w:tc>
        <w:tc>
          <w:tcPr>
            <w:tcW w:w="854" w:type="pct"/>
            <w:noWrap/>
            <w:hideMark/>
          </w:tcPr>
          <w:p w14:paraId="48F5AA20" w14:textId="77777777" w:rsidR="004D29C2" w:rsidRPr="00231DCB" w:rsidRDefault="004D29C2"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£ 100,000.00</w:t>
            </w:r>
          </w:p>
        </w:tc>
      </w:tr>
      <w:tr w:rsidR="004D29C2" w:rsidRPr="00231DCB" w14:paraId="65A8D18B" w14:textId="77777777" w:rsidTr="003E0DF7">
        <w:trPr>
          <w:trHeight w:val="300"/>
        </w:trPr>
        <w:tc>
          <w:tcPr>
            <w:tcW w:w="3337" w:type="pct"/>
            <w:noWrap/>
            <w:hideMark/>
          </w:tcPr>
          <w:p w14:paraId="0F3B9172" w14:textId="77777777" w:rsidR="004D29C2" w:rsidRPr="00231DCB" w:rsidRDefault="004D29C2"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Profit after taxes (or PAT)</w:t>
            </w:r>
          </w:p>
        </w:tc>
        <w:tc>
          <w:tcPr>
            <w:tcW w:w="809" w:type="pct"/>
            <w:noWrap/>
            <w:hideMark/>
          </w:tcPr>
          <w:p w14:paraId="7B4776DC" w14:textId="77777777" w:rsidR="004D29C2" w:rsidRPr="00231DCB" w:rsidRDefault="004D29C2" w:rsidP="00231DCB">
            <w:pPr>
              <w:spacing w:line="360" w:lineRule="auto"/>
              <w:jc w:val="both"/>
              <w:rPr>
                <w:rFonts w:ascii="Arial" w:hAnsi="Arial" w:cs="Arial"/>
                <w:b/>
                <w:bCs/>
                <w:color w:val="000000" w:themeColor="text1"/>
                <w:sz w:val="24"/>
                <w:szCs w:val="24"/>
              </w:rPr>
            </w:pPr>
          </w:p>
        </w:tc>
        <w:tc>
          <w:tcPr>
            <w:tcW w:w="854" w:type="pct"/>
            <w:noWrap/>
            <w:hideMark/>
          </w:tcPr>
          <w:p w14:paraId="7FA7DBD1" w14:textId="77777777" w:rsidR="004D29C2" w:rsidRPr="00231DCB" w:rsidRDefault="004D29C2"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£ 54,330.00</w:t>
            </w:r>
          </w:p>
        </w:tc>
      </w:tr>
      <w:bookmarkEnd w:id="4"/>
    </w:tbl>
    <w:p w14:paraId="17E31D6D" w14:textId="19011763" w:rsidR="004D29C2" w:rsidRPr="00231DCB" w:rsidRDefault="004D29C2" w:rsidP="00231DCB">
      <w:pPr>
        <w:spacing w:line="360" w:lineRule="auto"/>
        <w:jc w:val="both"/>
        <w:rPr>
          <w:rFonts w:ascii="Arial" w:hAnsi="Arial" w:cs="Arial"/>
          <w:sz w:val="24"/>
          <w:szCs w:val="24"/>
        </w:rPr>
      </w:pPr>
    </w:p>
    <w:p w14:paraId="59EAF752" w14:textId="6E1C2137" w:rsidR="004D29C2" w:rsidRPr="009D4F7E" w:rsidRDefault="001E2498" w:rsidP="00231DCB">
      <w:pPr>
        <w:spacing w:line="360" w:lineRule="auto"/>
        <w:jc w:val="both"/>
        <w:rPr>
          <w:rFonts w:ascii="Arial" w:hAnsi="Arial" w:cs="Arial"/>
          <w:b/>
          <w:bCs/>
          <w:sz w:val="24"/>
          <w:szCs w:val="24"/>
        </w:rPr>
      </w:pPr>
      <w:r w:rsidRPr="009D4F7E">
        <w:rPr>
          <w:rFonts w:ascii="Arial" w:hAnsi="Arial" w:cs="Arial"/>
          <w:b/>
          <w:bCs/>
          <w:sz w:val="24"/>
          <w:szCs w:val="24"/>
        </w:rPr>
        <w:t>Working Notes:</w:t>
      </w:r>
    </w:p>
    <w:p w14:paraId="7D68A8AC" w14:textId="4A6D0988"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1. Sales revenue equals sales recorded in the books of accounts as of December 31, 2021</w:t>
      </w:r>
      <w:r w:rsidR="002D2FAA" w:rsidRPr="00231DCB">
        <w:rPr>
          <w:rFonts w:ascii="Arial" w:hAnsi="Arial" w:cs="Arial"/>
          <w:sz w:val="24"/>
          <w:szCs w:val="24"/>
        </w:rPr>
        <w:t>,</w:t>
      </w:r>
      <w:r w:rsidRPr="00231DCB">
        <w:rPr>
          <w:rFonts w:ascii="Arial" w:hAnsi="Arial" w:cs="Arial"/>
          <w:sz w:val="24"/>
          <w:szCs w:val="24"/>
        </w:rPr>
        <w:t xml:space="preserve"> plus goods delivered to consumers on December 31, 2021, but not yet recorded in ledger accounts.</w:t>
      </w:r>
    </w:p>
    <w:p w14:paraId="331BBAE8"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2. Operating costs and expenses are calculated as follows: administrative costs, distribution costs, and employee salaries (including the director's compensation) = £30000 + £28000 + 5000 = £63000.</w:t>
      </w:r>
    </w:p>
    <w:p w14:paraId="49DE29D3" w14:textId="7D9B5085"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lastRenderedPageBreak/>
        <w:t>3. Unpaid expenses: £3000 in commission due to salesmen for the sales made in December.</w:t>
      </w:r>
    </w:p>
    <w:p w14:paraId="6AF771CB"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4. Gross profit - Operating costs and expenses - Outstanding expenses equals £222330 - £63000 - £3000, which is £156330.</w:t>
      </w:r>
    </w:p>
    <w:p w14:paraId="31D57966"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5. Profit before taxes (PBT) is calculated as PBIT minus interest costs. Therefore, £156330 minus £2000 is £154330.</w:t>
      </w:r>
    </w:p>
    <w:p w14:paraId="48332574" w14:textId="22B245E2"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6. Corporation taxes for the year = anticipated but unpaid corporation taxes for the year = £100000</w:t>
      </w:r>
    </w:p>
    <w:p w14:paraId="2C2FBB74" w14:textId="72B8E408"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7. Profit after taxes (PAT) is calculated as profit before taxes (PBT) minus corporate taxes for the year, which equals £154330 minus £100000, or £54330.</w:t>
      </w:r>
    </w:p>
    <w:p w14:paraId="3A10ECF6" w14:textId="365F5C21" w:rsidR="001E2498" w:rsidRPr="00231DCB" w:rsidRDefault="001E2498" w:rsidP="00231DCB">
      <w:pPr>
        <w:spacing w:line="360" w:lineRule="auto"/>
        <w:jc w:val="both"/>
        <w:rPr>
          <w:rFonts w:ascii="Arial" w:hAnsi="Arial" w:cs="Arial"/>
          <w:sz w:val="24"/>
          <w:szCs w:val="24"/>
        </w:rPr>
      </w:pPr>
    </w:p>
    <w:p w14:paraId="035E31C3" w14:textId="058C9776"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 xml:space="preserve">Then again, </w:t>
      </w:r>
      <w:r w:rsidR="002D2FAA" w:rsidRPr="00231DCB">
        <w:rPr>
          <w:rFonts w:ascii="Arial" w:hAnsi="Arial" w:cs="Arial"/>
          <w:sz w:val="24"/>
          <w:szCs w:val="24"/>
        </w:rPr>
        <w:t>given</w:t>
      </w:r>
      <w:r w:rsidRPr="00231DCB">
        <w:rPr>
          <w:rFonts w:ascii="Arial" w:hAnsi="Arial" w:cs="Arial"/>
          <w:sz w:val="24"/>
          <w:szCs w:val="24"/>
        </w:rPr>
        <w:t xml:space="preserve"> the data that had some significant awareness of Wales Plc, the association's assertion of monetary status as of December 31, 2021, is as per the following:</w:t>
      </w:r>
    </w:p>
    <w:p w14:paraId="1E8FF181" w14:textId="77777777" w:rsidR="001E2498" w:rsidRPr="00231DCB" w:rsidRDefault="001E2498" w:rsidP="009D4F7E">
      <w:pPr>
        <w:spacing w:line="360" w:lineRule="auto"/>
        <w:jc w:val="center"/>
        <w:rPr>
          <w:rFonts w:ascii="Arial" w:hAnsi="Arial" w:cs="Arial"/>
          <w:b/>
          <w:bCs/>
          <w:color w:val="000000" w:themeColor="text1"/>
          <w:sz w:val="24"/>
          <w:szCs w:val="24"/>
        </w:rPr>
      </w:pPr>
      <w:r w:rsidRPr="00231DCB">
        <w:rPr>
          <w:rFonts w:ascii="Arial" w:hAnsi="Arial" w:cs="Arial"/>
          <w:b/>
          <w:bCs/>
          <w:color w:val="000000" w:themeColor="text1"/>
          <w:sz w:val="24"/>
          <w:szCs w:val="24"/>
        </w:rPr>
        <w:t>In the books of Wales Plc</w:t>
      </w:r>
    </w:p>
    <w:p w14:paraId="1330B6AF" w14:textId="49EF15AD" w:rsidR="001E2498" w:rsidRPr="00231DCB" w:rsidRDefault="001E2498" w:rsidP="009D4F7E">
      <w:pPr>
        <w:spacing w:line="360" w:lineRule="auto"/>
        <w:jc w:val="center"/>
        <w:rPr>
          <w:rFonts w:ascii="Arial" w:hAnsi="Arial" w:cs="Arial"/>
          <w:b/>
          <w:bCs/>
          <w:color w:val="000000" w:themeColor="text1"/>
          <w:sz w:val="24"/>
          <w:szCs w:val="24"/>
        </w:rPr>
      </w:pPr>
      <w:r w:rsidRPr="00231DCB">
        <w:rPr>
          <w:rFonts w:ascii="Arial" w:hAnsi="Arial" w:cs="Arial"/>
          <w:b/>
          <w:bCs/>
          <w:color w:val="000000" w:themeColor="text1"/>
          <w:sz w:val="24"/>
          <w:szCs w:val="24"/>
        </w:rPr>
        <w:t>Statement of Financial Position as o</w:t>
      </w:r>
      <w:r w:rsidR="002D2FAA" w:rsidRPr="00231DCB">
        <w:rPr>
          <w:rFonts w:ascii="Arial" w:hAnsi="Arial" w:cs="Arial"/>
          <w:b/>
          <w:bCs/>
          <w:color w:val="000000" w:themeColor="text1"/>
          <w:sz w:val="24"/>
          <w:szCs w:val="24"/>
        </w:rPr>
        <w:t>f</w:t>
      </w:r>
      <w:r w:rsidRPr="00231DCB">
        <w:rPr>
          <w:rFonts w:ascii="Arial" w:hAnsi="Arial" w:cs="Arial"/>
          <w:b/>
          <w:bCs/>
          <w:color w:val="000000" w:themeColor="text1"/>
          <w:sz w:val="24"/>
          <w:szCs w:val="24"/>
        </w:rPr>
        <w:t xml:space="preserve"> 31</w:t>
      </w:r>
      <w:r w:rsidRPr="00231DCB">
        <w:rPr>
          <w:rFonts w:ascii="Arial" w:hAnsi="Arial" w:cs="Arial"/>
          <w:b/>
          <w:bCs/>
          <w:color w:val="000000" w:themeColor="text1"/>
          <w:sz w:val="24"/>
          <w:szCs w:val="24"/>
          <w:vertAlign w:val="superscript"/>
        </w:rPr>
        <w:t>st</w:t>
      </w:r>
      <w:r w:rsidRPr="00231DCB">
        <w:rPr>
          <w:rFonts w:ascii="Arial" w:hAnsi="Arial" w:cs="Arial"/>
          <w:b/>
          <w:bCs/>
          <w:color w:val="000000" w:themeColor="text1"/>
          <w:sz w:val="24"/>
          <w:szCs w:val="24"/>
        </w:rPr>
        <w:t xml:space="preserve"> December 202</w:t>
      </w:r>
    </w:p>
    <w:tbl>
      <w:tblPr>
        <w:tblStyle w:val="TableGrid"/>
        <w:tblW w:w="5000" w:type="pct"/>
        <w:tblLook w:val="04A0" w:firstRow="1" w:lastRow="0" w:firstColumn="1" w:lastColumn="0" w:noHBand="0" w:noVBand="1"/>
      </w:tblPr>
      <w:tblGrid>
        <w:gridCol w:w="5614"/>
        <w:gridCol w:w="1602"/>
        <w:gridCol w:w="1800"/>
      </w:tblGrid>
      <w:tr w:rsidR="001E2498" w:rsidRPr="00231DCB" w14:paraId="109F93CE" w14:textId="77777777" w:rsidTr="003E0DF7">
        <w:trPr>
          <w:trHeight w:val="300"/>
        </w:trPr>
        <w:tc>
          <w:tcPr>
            <w:tcW w:w="2991" w:type="pct"/>
            <w:noWrap/>
            <w:hideMark/>
          </w:tcPr>
          <w:p w14:paraId="659743E7"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Items</w:t>
            </w:r>
          </w:p>
        </w:tc>
        <w:tc>
          <w:tcPr>
            <w:tcW w:w="964" w:type="pct"/>
            <w:noWrap/>
            <w:hideMark/>
          </w:tcPr>
          <w:p w14:paraId="7714E861"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Amount</w:t>
            </w:r>
          </w:p>
        </w:tc>
        <w:tc>
          <w:tcPr>
            <w:tcW w:w="1045" w:type="pct"/>
            <w:noWrap/>
            <w:hideMark/>
          </w:tcPr>
          <w:p w14:paraId="7823CDEA"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Amount</w:t>
            </w:r>
          </w:p>
        </w:tc>
      </w:tr>
      <w:tr w:rsidR="001E2498" w:rsidRPr="00231DCB" w14:paraId="28A7DE4B" w14:textId="77777777" w:rsidTr="003E0DF7">
        <w:trPr>
          <w:trHeight w:val="300"/>
        </w:trPr>
        <w:tc>
          <w:tcPr>
            <w:tcW w:w="2991" w:type="pct"/>
            <w:noWrap/>
            <w:hideMark/>
          </w:tcPr>
          <w:p w14:paraId="54F5FACF"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(A) ASSETS</w:t>
            </w:r>
          </w:p>
        </w:tc>
        <w:tc>
          <w:tcPr>
            <w:tcW w:w="964" w:type="pct"/>
            <w:noWrap/>
            <w:hideMark/>
          </w:tcPr>
          <w:p w14:paraId="7BA3C125"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5435A280"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15E7AACE" w14:textId="77777777" w:rsidTr="003E0DF7">
        <w:trPr>
          <w:trHeight w:val="300"/>
        </w:trPr>
        <w:tc>
          <w:tcPr>
            <w:tcW w:w="2991" w:type="pct"/>
            <w:noWrap/>
            <w:hideMark/>
          </w:tcPr>
          <w:p w14:paraId="4B07BC43"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I. Non-Current Assets</w:t>
            </w:r>
          </w:p>
        </w:tc>
        <w:tc>
          <w:tcPr>
            <w:tcW w:w="964" w:type="pct"/>
            <w:noWrap/>
            <w:hideMark/>
          </w:tcPr>
          <w:p w14:paraId="02CE2817"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39E4B45A"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30C9FA0C" w14:textId="77777777" w:rsidTr="003E0DF7">
        <w:trPr>
          <w:trHeight w:val="300"/>
        </w:trPr>
        <w:tc>
          <w:tcPr>
            <w:tcW w:w="2991" w:type="pct"/>
            <w:noWrap/>
            <w:hideMark/>
          </w:tcPr>
          <w:p w14:paraId="73905D9A"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Plant and Equipment</w:t>
            </w:r>
          </w:p>
        </w:tc>
        <w:tc>
          <w:tcPr>
            <w:tcW w:w="964" w:type="pct"/>
            <w:noWrap/>
            <w:hideMark/>
          </w:tcPr>
          <w:p w14:paraId="0463C2B4"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02311A48"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£ 650,000.00</w:t>
            </w:r>
          </w:p>
        </w:tc>
      </w:tr>
      <w:tr w:rsidR="001E2498" w:rsidRPr="00231DCB" w14:paraId="01A10CAF" w14:textId="77777777" w:rsidTr="003E0DF7">
        <w:trPr>
          <w:trHeight w:val="300"/>
        </w:trPr>
        <w:tc>
          <w:tcPr>
            <w:tcW w:w="2991" w:type="pct"/>
            <w:noWrap/>
            <w:hideMark/>
          </w:tcPr>
          <w:p w14:paraId="4F8A798C"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non-current assets</w:t>
            </w:r>
          </w:p>
        </w:tc>
        <w:tc>
          <w:tcPr>
            <w:tcW w:w="964" w:type="pct"/>
            <w:noWrap/>
            <w:hideMark/>
          </w:tcPr>
          <w:p w14:paraId="0E65E2E1" w14:textId="77777777" w:rsidR="001E2498" w:rsidRPr="00231DCB" w:rsidRDefault="001E2498" w:rsidP="00231DCB">
            <w:pPr>
              <w:spacing w:line="360" w:lineRule="auto"/>
              <w:jc w:val="both"/>
              <w:rPr>
                <w:rFonts w:ascii="Arial" w:hAnsi="Arial" w:cs="Arial"/>
                <w:b/>
                <w:bCs/>
                <w:color w:val="000000" w:themeColor="text1"/>
                <w:sz w:val="24"/>
                <w:szCs w:val="24"/>
              </w:rPr>
            </w:pPr>
          </w:p>
        </w:tc>
        <w:tc>
          <w:tcPr>
            <w:tcW w:w="1045" w:type="pct"/>
            <w:noWrap/>
            <w:hideMark/>
          </w:tcPr>
          <w:p w14:paraId="75BD7E3E"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£ 650,000.00</w:t>
            </w:r>
          </w:p>
        </w:tc>
      </w:tr>
      <w:tr w:rsidR="001E2498" w:rsidRPr="00231DCB" w14:paraId="45E5EB03" w14:textId="77777777" w:rsidTr="003E0DF7">
        <w:trPr>
          <w:trHeight w:val="300"/>
        </w:trPr>
        <w:tc>
          <w:tcPr>
            <w:tcW w:w="2991" w:type="pct"/>
            <w:noWrap/>
            <w:hideMark/>
          </w:tcPr>
          <w:p w14:paraId="1A70484E"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II. Current Assets</w:t>
            </w:r>
          </w:p>
        </w:tc>
        <w:tc>
          <w:tcPr>
            <w:tcW w:w="964" w:type="pct"/>
            <w:noWrap/>
            <w:hideMark/>
          </w:tcPr>
          <w:p w14:paraId="60928AB0"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70DF69AC"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4BCE9778" w14:textId="77777777" w:rsidTr="003E0DF7">
        <w:trPr>
          <w:trHeight w:val="300"/>
        </w:trPr>
        <w:tc>
          <w:tcPr>
            <w:tcW w:w="2991" w:type="pct"/>
            <w:noWrap/>
            <w:hideMark/>
          </w:tcPr>
          <w:p w14:paraId="2075B1ED"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Accounts receivables (or sundry debtors)</w:t>
            </w:r>
          </w:p>
        </w:tc>
        <w:tc>
          <w:tcPr>
            <w:tcW w:w="964" w:type="pct"/>
            <w:noWrap/>
            <w:hideMark/>
          </w:tcPr>
          <w:p w14:paraId="5E3790C9"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£ 170,125.00</w:t>
            </w:r>
          </w:p>
        </w:tc>
        <w:tc>
          <w:tcPr>
            <w:tcW w:w="1045" w:type="pct"/>
            <w:noWrap/>
            <w:hideMark/>
          </w:tcPr>
          <w:p w14:paraId="14BA57FF"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5D8BC3C7" w14:textId="77777777" w:rsidTr="003E0DF7">
        <w:trPr>
          <w:trHeight w:val="300"/>
        </w:trPr>
        <w:tc>
          <w:tcPr>
            <w:tcW w:w="2991" w:type="pct"/>
            <w:noWrap/>
            <w:hideMark/>
          </w:tcPr>
          <w:p w14:paraId="4F95BB86"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Add: Credit sales to be collected in the next year</w:t>
            </w:r>
          </w:p>
        </w:tc>
        <w:tc>
          <w:tcPr>
            <w:tcW w:w="964" w:type="pct"/>
            <w:noWrap/>
            <w:hideMark/>
          </w:tcPr>
          <w:p w14:paraId="3E47D0DB"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£ 980.00</w:t>
            </w:r>
          </w:p>
        </w:tc>
        <w:tc>
          <w:tcPr>
            <w:tcW w:w="1045" w:type="pct"/>
            <w:noWrap/>
            <w:hideMark/>
          </w:tcPr>
          <w:p w14:paraId="64243ED8"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£ 171,105.00</w:t>
            </w:r>
          </w:p>
        </w:tc>
      </w:tr>
      <w:tr w:rsidR="001E2498" w:rsidRPr="00231DCB" w14:paraId="7639E034" w14:textId="77777777" w:rsidTr="003E0DF7">
        <w:trPr>
          <w:trHeight w:val="300"/>
        </w:trPr>
        <w:tc>
          <w:tcPr>
            <w:tcW w:w="2991" w:type="pct"/>
            <w:noWrap/>
            <w:hideMark/>
          </w:tcPr>
          <w:p w14:paraId="55E284EE"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Stock in hand</w:t>
            </w:r>
          </w:p>
        </w:tc>
        <w:tc>
          <w:tcPr>
            <w:tcW w:w="964" w:type="pct"/>
            <w:noWrap/>
            <w:hideMark/>
          </w:tcPr>
          <w:p w14:paraId="6E127DEB"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567589F2"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£ 330,600.00</w:t>
            </w:r>
          </w:p>
        </w:tc>
      </w:tr>
      <w:tr w:rsidR="001E2498" w:rsidRPr="00231DCB" w14:paraId="5F157AB8" w14:textId="77777777" w:rsidTr="003E0DF7">
        <w:trPr>
          <w:trHeight w:val="300"/>
        </w:trPr>
        <w:tc>
          <w:tcPr>
            <w:tcW w:w="2991" w:type="pct"/>
            <w:noWrap/>
            <w:hideMark/>
          </w:tcPr>
          <w:p w14:paraId="255B1C2F"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Cash in hand and at bank</w:t>
            </w:r>
          </w:p>
        </w:tc>
        <w:tc>
          <w:tcPr>
            <w:tcW w:w="964" w:type="pct"/>
            <w:noWrap/>
            <w:hideMark/>
          </w:tcPr>
          <w:p w14:paraId="33550321"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5F65CA79"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£ 76,250.00</w:t>
            </w:r>
          </w:p>
        </w:tc>
      </w:tr>
      <w:tr w:rsidR="001E2498" w:rsidRPr="00231DCB" w14:paraId="1787B2AE" w14:textId="77777777" w:rsidTr="003E0DF7">
        <w:trPr>
          <w:trHeight w:val="300"/>
        </w:trPr>
        <w:tc>
          <w:tcPr>
            <w:tcW w:w="2991" w:type="pct"/>
            <w:noWrap/>
            <w:hideMark/>
          </w:tcPr>
          <w:p w14:paraId="5611BADC"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current assets</w:t>
            </w:r>
          </w:p>
        </w:tc>
        <w:tc>
          <w:tcPr>
            <w:tcW w:w="964" w:type="pct"/>
            <w:noWrap/>
            <w:hideMark/>
          </w:tcPr>
          <w:p w14:paraId="013A77D9" w14:textId="77777777" w:rsidR="001E2498" w:rsidRPr="00231DCB" w:rsidRDefault="001E2498" w:rsidP="00231DCB">
            <w:pPr>
              <w:spacing w:line="360" w:lineRule="auto"/>
              <w:jc w:val="both"/>
              <w:rPr>
                <w:rFonts w:ascii="Arial" w:hAnsi="Arial" w:cs="Arial"/>
                <w:b/>
                <w:bCs/>
                <w:color w:val="000000" w:themeColor="text1"/>
                <w:sz w:val="24"/>
                <w:szCs w:val="24"/>
              </w:rPr>
            </w:pPr>
          </w:p>
        </w:tc>
        <w:tc>
          <w:tcPr>
            <w:tcW w:w="1045" w:type="pct"/>
            <w:noWrap/>
            <w:hideMark/>
          </w:tcPr>
          <w:p w14:paraId="3B145EDA"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£ 577,955.00</w:t>
            </w:r>
          </w:p>
        </w:tc>
      </w:tr>
      <w:tr w:rsidR="001E2498" w:rsidRPr="00231DCB" w14:paraId="46394EB5" w14:textId="77777777" w:rsidTr="003E0DF7">
        <w:trPr>
          <w:trHeight w:val="300"/>
        </w:trPr>
        <w:tc>
          <w:tcPr>
            <w:tcW w:w="2991" w:type="pct"/>
            <w:noWrap/>
            <w:hideMark/>
          </w:tcPr>
          <w:p w14:paraId="4BDE8837"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Assets [I + II]</w:t>
            </w:r>
          </w:p>
        </w:tc>
        <w:tc>
          <w:tcPr>
            <w:tcW w:w="964" w:type="pct"/>
            <w:noWrap/>
            <w:hideMark/>
          </w:tcPr>
          <w:p w14:paraId="331C7901" w14:textId="77777777" w:rsidR="001E2498" w:rsidRPr="00231DCB" w:rsidRDefault="001E2498" w:rsidP="00231DCB">
            <w:pPr>
              <w:spacing w:line="360" w:lineRule="auto"/>
              <w:jc w:val="both"/>
              <w:rPr>
                <w:rFonts w:ascii="Arial" w:hAnsi="Arial" w:cs="Arial"/>
                <w:b/>
                <w:bCs/>
                <w:color w:val="000000" w:themeColor="text1"/>
                <w:sz w:val="24"/>
                <w:szCs w:val="24"/>
              </w:rPr>
            </w:pPr>
          </w:p>
        </w:tc>
        <w:tc>
          <w:tcPr>
            <w:tcW w:w="1045" w:type="pct"/>
            <w:noWrap/>
            <w:hideMark/>
          </w:tcPr>
          <w:p w14:paraId="665AD8BA"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£ 1,227,955.00</w:t>
            </w:r>
          </w:p>
        </w:tc>
      </w:tr>
      <w:tr w:rsidR="001E2498" w:rsidRPr="00231DCB" w14:paraId="512FD5B2" w14:textId="77777777" w:rsidTr="003E0DF7">
        <w:trPr>
          <w:trHeight w:val="300"/>
        </w:trPr>
        <w:tc>
          <w:tcPr>
            <w:tcW w:w="2991" w:type="pct"/>
            <w:noWrap/>
            <w:hideMark/>
          </w:tcPr>
          <w:p w14:paraId="1F8D4841"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lastRenderedPageBreak/>
              <w:t>(B) LIABILITIES AND SHAREHOLDERS' EQUITY</w:t>
            </w:r>
          </w:p>
        </w:tc>
        <w:tc>
          <w:tcPr>
            <w:tcW w:w="964" w:type="pct"/>
            <w:noWrap/>
            <w:hideMark/>
          </w:tcPr>
          <w:p w14:paraId="0A199891"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12FEB9F0"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74176A68" w14:textId="77777777" w:rsidTr="003E0DF7">
        <w:trPr>
          <w:trHeight w:val="300"/>
        </w:trPr>
        <w:tc>
          <w:tcPr>
            <w:tcW w:w="2991" w:type="pct"/>
            <w:noWrap/>
            <w:hideMark/>
          </w:tcPr>
          <w:p w14:paraId="3325FFA2"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I. Non-current liabilities</w:t>
            </w:r>
          </w:p>
        </w:tc>
        <w:tc>
          <w:tcPr>
            <w:tcW w:w="964" w:type="pct"/>
            <w:noWrap/>
            <w:hideMark/>
          </w:tcPr>
          <w:p w14:paraId="53CCA7E4"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6D51BEF3"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06938587" w14:textId="77777777" w:rsidTr="003E0DF7">
        <w:trPr>
          <w:trHeight w:val="300"/>
        </w:trPr>
        <w:tc>
          <w:tcPr>
            <w:tcW w:w="2991" w:type="pct"/>
            <w:noWrap/>
            <w:hideMark/>
          </w:tcPr>
          <w:p w14:paraId="415A1AFB"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4% Debentures</w:t>
            </w:r>
          </w:p>
        </w:tc>
        <w:tc>
          <w:tcPr>
            <w:tcW w:w="964" w:type="pct"/>
            <w:noWrap/>
            <w:hideMark/>
          </w:tcPr>
          <w:p w14:paraId="38C9EB1F"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354DD93B"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£ 100,000.00</w:t>
            </w:r>
          </w:p>
        </w:tc>
      </w:tr>
      <w:tr w:rsidR="001E2498" w:rsidRPr="00231DCB" w14:paraId="1342AE29" w14:textId="77777777" w:rsidTr="003E0DF7">
        <w:trPr>
          <w:trHeight w:val="300"/>
        </w:trPr>
        <w:tc>
          <w:tcPr>
            <w:tcW w:w="2991" w:type="pct"/>
            <w:noWrap/>
            <w:hideMark/>
          </w:tcPr>
          <w:p w14:paraId="64763E65"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non-current liabilities</w:t>
            </w:r>
          </w:p>
        </w:tc>
        <w:tc>
          <w:tcPr>
            <w:tcW w:w="964" w:type="pct"/>
            <w:noWrap/>
            <w:hideMark/>
          </w:tcPr>
          <w:p w14:paraId="274484EE"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0AAC68F1"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£ 100,000.00</w:t>
            </w:r>
          </w:p>
        </w:tc>
      </w:tr>
      <w:tr w:rsidR="001E2498" w:rsidRPr="00231DCB" w14:paraId="3ED25ADB" w14:textId="77777777" w:rsidTr="003E0DF7">
        <w:trPr>
          <w:trHeight w:val="300"/>
        </w:trPr>
        <w:tc>
          <w:tcPr>
            <w:tcW w:w="2991" w:type="pct"/>
            <w:noWrap/>
            <w:hideMark/>
          </w:tcPr>
          <w:p w14:paraId="00200EC0"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II. Current Liabilities</w:t>
            </w:r>
          </w:p>
        </w:tc>
        <w:tc>
          <w:tcPr>
            <w:tcW w:w="964" w:type="pct"/>
            <w:noWrap/>
            <w:hideMark/>
          </w:tcPr>
          <w:p w14:paraId="68E28389"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54DD09EB"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177093AA" w14:textId="77777777" w:rsidTr="003E0DF7">
        <w:trPr>
          <w:trHeight w:val="300"/>
        </w:trPr>
        <w:tc>
          <w:tcPr>
            <w:tcW w:w="2991" w:type="pct"/>
            <w:noWrap/>
            <w:hideMark/>
          </w:tcPr>
          <w:p w14:paraId="26F45F46"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Corporation taxes payable</w:t>
            </w:r>
          </w:p>
        </w:tc>
        <w:tc>
          <w:tcPr>
            <w:tcW w:w="964" w:type="pct"/>
            <w:noWrap/>
            <w:hideMark/>
          </w:tcPr>
          <w:p w14:paraId="07F7C07F"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46A0873A"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£ 100,000.00</w:t>
            </w:r>
          </w:p>
        </w:tc>
      </w:tr>
      <w:tr w:rsidR="001E2498" w:rsidRPr="00231DCB" w14:paraId="525633DA" w14:textId="77777777" w:rsidTr="003E0DF7">
        <w:trPr>
          <w:trHeight w:val="300"/>
        </w:trPr>
        <w:tc>
          <w:tcPr>
            <w:tcW w:w="2991" w:type="pct"/>
            <w:noWrap/>
            <w:hideMark/>
          </w:tcPr>
          <w:p w14:paraId="54DDA132"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Accounts payables (or sundry creditors)</w:t>
            </w:r>
          </w:p>
        </w:tc>
        <w:tc>
          <w:tcPr>
            <w:tcW w:w="964" w:type="pct"/>
            <w:noWrap/>
            <w:hideMark/>
          </w:tcPr>
          <w:p w14:paraId="557DDD18"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5897CB11"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£ 188,625.00</w:t>
            </w:r>
          </w:p>
        </w:tc>
      </w:tr>
      <w:tr w:rsidR="001E2498" w:rsidRPr="00231DCB" w14:paraId="2473B607" w14:textId="77777777" w:rsidTr="003E0DF7">
        <w:trPr>
          <w:trHeight w:val="300"/>
        </w:trPr>
        <w:tc>
          <w:tcPr>
            <w:tcW w:w="2991" w:type="pct"/>
            <w:noWrap/>
            <w:hideMark/>
          </w:tcPr>
          <w:p w14:paraId="50100285"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Outstanding expenditures</w:t>
            </w:r>
          </w:p>
        </w:tc>
        <w:tc>
          <w:tcPr>
            <w:tcW w:w="964" w:type="pct"/>
            <w:noWrap/>
            <w:hideMark/>
          </w:tcPr>
          <w:p w14:paraId="113D775E"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7E191CD3"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£ 3,000.00</w:t>
            </w:r>
          </w:p>
        </w:tc>
      </w:tr>
      <w:tr w:rsidR="001E2498" w:rsidRPr="00231DCB" w14:paraId="1AFD781E" w14:textId="77777777" w:rsidTr="003E0DF7">
        <w:trPr>
          <w:trHeight w:val="300"/>
        </w:trPr>
        <w:tc>
          <w:tcPr>
            <w:tcW w:w="2991" w:type="pct"/>
            <w:noWrap/>
            <w:hideMark/>
          </w:tcPr>
          <w:p w14:paraId="061AE943" w14:textId="77777777" w:rsidR="001E2498" w:rsidRPr="00231DCB" w:rsidRDefault="001E2498" w:rsidP="00231DCB">
            <w:pPr>
              <w:spacing w:line="360" w:lineRule="auto"/>
              <w:jc w:val="both"/>
              <w:rPr>
                <w:rFonts w:ascii="Arial" w:hAnsi="Arial" w:cs="Arial"/>
                <w:color w:val="000000" w:themeColor="text1"/>
                <w:sz w:val="24"/>
                <w:szCs w:val="24"/>
              </w:rPr>
            </w:pPr>
          </w:p>
        </w:tc>
        <w:tc>
          <w:tcPr>
            <w:tcW w:w="964" w:type="pct"/>
            <w:noWrap/>
            <w:hideMark/>
          </w:tcPr>
          <w:p w14:paraId="51736417"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52D39B66"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6F574147" w14:textId="77777777" w:rsidTr="003E0DF7">
        <w:trPr>
          <w:trHeight w:val="300"/>
        </w:trPr>
        <w:tc>
          <w:tcPr>
            <w:tcW w:w="2991" w:type="pct"/>
            <w:noWrap/>
            <w:hideMark/>
          </w:tcPr>
          <w:p w14:paraId="08F5C522"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current liabilities</w:t>
            </w:r>
          </w:p>
        </w:tc>
        <w:tc>
          <w:tcPr>
            <w:tcW w:w="964" w:type="pct"/>
            <w:noWrap/>
            <w:hideMark/>
          </w:tcPr>
          <w:p w14:paraId="57985F99" w14:textId="77777777" w:rsidR="001E2498" w:rsidRPr="00231DCB" w:rsidRDefault="001E2498" w:rsidP="00231DCB">
            <w:pPr>
              <w:spacing w:line="360" w:lineRule="auto"/>
              <w:jc w:val="both"/>
              <w:rPr>
                <w:rFonts w:ascii="Arial" w:hAnsi="Arial" w:cs="Arial"/>
                <w:b/>
                <w:bCs/>
                <w:color w:val="000000" w:themeColor="text1"/>
                <w:sz w:val="24"/>
                <w:szCs w:val="24"/>
              </w:rPr>
            </w:pPr>
          </w:p>
        </w:tc>
        <w:tc>
          <w:tcPr>
            <w:tcW w:w="1045" w:type="pct"/>
            <w:noWrap/>
            <w:hideMark/>
          </w:tcPr>
          <w:p w14:paraId="0B985DE8"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£ 291,625.00</w:t>
            </w:r>
          </w:p>
        </w:tc>
      </w:tr>
      <w:tr w:rsidR="001E2498" w:rsidRPr="00231DCB" w14:paraId="678A9404" w14:textId="77777777" w:rsidTr="003E0DF7">
        <w:trPr>
          <w:trHeight w:val="300"/>
        </w:trPr>
        <w:tc>
          <w:tcPr>
            <w:tcW w:w="2991" w:type="pct"/>
            <w:noWrap/>
            <w:hideMark/>
          </w:tcPr>
          <w:p w14:paraId="0170433F"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Net Assets</w:t>
            </w:r>
          </w:p>
        </w:tc>
        <w:tc>
          <w:tcPr>
            <w:tcW w:w="964" w:type="pct"/>
            <w:noWrap/>
            <w:hideMark/>
          </w:tcPr>
          <w:p w14:paraId="4AD08481"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3C7820AE"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£ 936,330.00</w:t>
            </w:r>
          </w:p>
        </w:tc>
      </w:tr>
      <w:tr w:rsidR="001E2498" w:rsidRPr="00231DCB" w14:paraId="2FBFEEB4" w14:textId="77777777" w:rsidTr="003E0DF7">
        <w:trPr>
          <w:trHeight w:val="300"/>
        </w:trPr>
        <w:tc>
          <w:tcPr>
            <w:tcW w:w="2991" w:type="pct"/>
            <w:noWrap/>
            <w:hideMark/>
          </w:tcPr>
          <w:p w14:paraId="4A5D515E"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III. Shareholders' funds</w:t>
            </w:r>
          </w:p>
        </w:tc>
        <w:tc>
          <w:tcPr>
            <w:tcW w:w="964" w:type="pct"/>
            <w:noWrap/>
            <w:hideMark/>
          </w:tcPr>
          <w:p w14:paraId="79075CE9" w14:textId="77777777" w:rsidR="001E2498" w:rsidRPr="00231DCB" w:rsidRDefault="001E2498" w:rsidP="00231DCB">
            <w:pPr>
              <w:spacing w:line="360" w:lineRule="auto"/>
              <w:jc w:val="both"/>
              <w:rPr>
                <w:rFonts w:ascii="Arial" w:hAnsi="Arial" w:cs="Arial"/>
                <w:color w:val="000000" w:themeColor="text1"/>
                <w:sz w:val="24"/>
                <w:szCs w:val="24"/>
              </w:rPr>
            </w:pPr>
          </w:p>
        </w:tc>
        <w:tc>
          <w:tcPr>
            <w:tcW w:w="1045" w:type="pct"/>
            <w:noWrap/>
            <w:hideMark/>
          </w:tcPr>
          <w:p w14:paraId="2A8447B7"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7018A409" w14:textId="77777777" w:rsidTr="003E0DF7">
        <w:trPr>
          <w:trHeight w:val="300"/>
        </w:trPr>
        <w:tc>
          <w:tcPr>
            <w:tcW w:w="2991" w:type="pct"/>
            <w:noWrap/>
            <w:hideMark/>
          </w:tcPr>
          <w:p w14:paraId="71354435"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Ordinary shares (@£1 per share)</w:t>
            </w:r>
          </w:p>
        </w:tc>
        <w:tc>
          <w:tcPr>
            <w:tcW w:w="964" w:type="pct"/>
            <w:noWrap/>
            <w:hideMark/>
          </w:tcPr>
          <w:p w14:paraId="238696C6"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£ 500,000.00</w:t>
            </w:r>
          </w:p>
        </w:tc>
        <w:tc>
          <w:tcPr>
            <w:tcW w:w="1045" w:type="pct"/>
            <w:noWrap/>
            <w:hideMark/>
          </w:tcPr>
          <w:p w14:paraId="7D52E498"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3D964F79" w14:textId="77777777" w:rsidTr="003E0DF7">
        <w:trPr>
          <w:trHeight w:hRule="exact" w:val="413"/>
        </w:trPr>
        <w:tc>
          <w:tcPr>
            <w:tcW w:w="2991" w:type="pct"/>
            <w:noWrap/>
            <w:hideMark/>
          </w:tcPr>
          <w:p w14:paraId="7C59E12E"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10% preference shares (@£1 per share)</w:t>
            </w:r>
          </w:p>
        </w:tc>
        <w:tc>
          <w:tcPr>
            <w:tcW w:w="964" w:type="pct"/>
            <w:noWrap/>
            <w:hideMark/>
          </w:tcPr>
          <w:p w14:paraId="1F20A1EA"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£ 200,000.00</w:t>
            </w:r>
          </w:p>
        </w:tc>
        <w:tc>
          <w:tcPr>
            <w:tcW w:w="1045" w:type="pct"/>
            <w:noWrap/>
            <w:hideMark/>
          </w:tcPr>
          <w:p w14:paraId="41F05FC1"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18893B02" w14:textId="77777777" w:rsidTr="003E0DF7">
        <w:trPr>
          <w:trHeight w:val="300"/>
        </w:trPr>
        <w:tc>
          <w:tcPr>
            <w:tcW w:w="2991" w:type="pct"/>
            <w:noWrap/>
            <w:hideMark/>
          </w:tcPr>
          <w:p w14:paraId="4A739F10"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Retained profits</w:t>
            </w:r>
          </w:p>
        </w:tc>
        <w:tc>
          <w:tcPr>
            <w:tcW w:w="964" w:type="pct"/>
            <w:noWrap/>
            <w:hideMark/>
          </w:tcPr>
          <w:p w14:paraId="50A9F4F0" w14:textId="77777777" w:rsidR="001E2498" w:rsidRPr="00231DCB" w:rsidRDefault="001E2498" w:rsidP="00231DCB">
            <w:pPr>
              <w:spacing w:line="360" w:lineRule="auto"/>
              <w:jc w:val="both"/>
              <w:rPr>
                <w:rFonts w:ascii="Arial" w:hAnsi="Arial" w:cs="Arial"/>
                <w:color w:val="000000" w:themeColor="text1"/>
                <w:sz w:val="24"/>
                <w:szCs w:val="24"/>
              </w:rPr>
            </w:pPr>
            <w:r w:rsidRPr="00231DCB">
              <w:rPr>
                <w:rFonts w:ascii="Arial" w:hAnsi="Arial" w:cs="Arial"/>
                <w:color w:val="000000" w:themeColor="text1"/>
                <w:sz w:val="24"/>
                <w:szCs w:val="24"/>
              </w:rPr>
              <w:t>£ 136,330.00</w:t>
            </w:r>
          </w:p>
        </w:tc>
        <w:tc>
          <w:tcPr>
            <w:tcW w:w="1045" w:type="pct"/>
            <w:noWrap/>
            <w:hideMark/>
          </w:tcPr>
          <w:p w14:paraId="23268A02" w14:textId="77777777" w:rsidR="001E2498" w:rsidRPr="00231DCB" w:rsidRDefault="001E2498" w:rsidP="00231DCB">
            <w:pPr>
              <w:spacing w:line="360" w:lineRule="auto"/>
              <w:jc w:val="both"/>
              <w:rPr>
                <w:rFonts w:ascii="Arial" w:hAnsi="Arial" w:cs="Arial"/>
                <w:color w:val="000000" w:themeColor="text1"/>
                <w:sz w:val="24"/>
                <w:szCs w:val="24"/>
              </w:rPr>
            </w:pPr>
          </w:p>
        </w:tc>
      </w:tr>
      <w:tr w:rsidR="001E2498" w:rsidRPr="00231DCB" w14:paraId="27829E5E" w14:textId="77777777" w:rsidTr="003E0DF7">
        <w:trPr>
          <w:trHeight w:val="300"/>
        </w:trPr>
        <w:tc>
          <w:tcPr>
            <w:tcW w:w="2991" w:type="pct"/>
            <w:noWrap/>
            <w:hideMark/>
          </w:tcPr>
          <w:p w14:paraId="63A96BC1"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shareholders' funds</w:t>
            </w:r>
          </w:p>
        </w:tc>
        <w:tc>
          <w:tcPr>
            <w:tcW w:w="964" w:type="pct"/>
            <w:noWrap/>
            <w:hideMark/>
          </w:tcPr>
          <w:p w14:paraId="7597B582" w14:textId="77777777" w:rsidR="001E2498" w:rsidRPr="00231DCB" w:rsidRDefault="001E2498" w:rsidP="00231DCB">
            <w:pPr>
              <w:spacing w:line="360" w:lineRule="auto"/>
              <w:jc w:val="both"/>
              <w:rPr>
                <w:rFonts w:ascii="Arial" w:hAnsi="Arial" w:cs="Arial"/>
                <w:b/>
                <w:bCs/>
                <w:color w:val="000000" w:themeColor="text1"/>
                <w:sz w:val="24"/>
                <w:szCs w:val="24"/>
              </w:rPr>
            </w:pPr>
          </w:p>
        </w:tc>
        <w:tc>
          <w:tcPr>
            <w:tcW w:w="1045" w:type="pct"/>
            <w:noWrap/>
            <w:hideMark/>
          </w:tcPr>
          <w:p w14:paraId="581B39BB"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£ 836,330.00</w:t>
            </w:r>
          </w:p>
        </w:tc>
      </w:tr>
      <w:tr w:rsidR="001E2498" w:rsidRPr="00231DCB" w14:paraId="47F71D94" w14:textId="77777777" w:rsidTr="003E0DF7">
        <w:trPr>
          <w:trHeight w:val="300"/>
        </w:trPr>
        <w:tc>
          <w:tcPr>
            <w:tcW w:w="2991" w:type="pct"/>
            <w:noWrap/>
            <w:hideMark/>
          </w:tcPr>
          <w:p w14:paraId="5902310C"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Total Liabilities and Shareholders' Funds</w:t>
            </w:r>
          </w:p>
        </w:tc>
        <w:tc>
          <w:tcPr>
            <w:tcW w:w="964" w:type="pct"/>
            <w:noWrap/>
            <w:hideMark/>
          </w:tcPr>
          <w:p w14:paraId="44207C57" w14:textId="77777777" w:rsidR="001E2498" w:rsidRPr="00231DCB" w:rsidRDefault="001E2498" w:rsidP="00231DCB">
            <w:pPr>
              <w:spacing w:line="360" w:lineRule="auto"/>
              <w:jc w:val="both"/>
              <w:rPr>
                <w:rFonts w:ascii="Arial" w:hAnsi="Arial" w:cs="Arial"/>
                <w:b/>
                <w:bCs/>
                <w:color w:val="000000" w:themeColor="text1"/>
                <w:sz w:val="24"/>
                <w:szCs w:val="24"/>
              </w:rPr>
            </w:pPr>
          </w:p>
        </w:tc>
        <w:tc>
          <w:tcPr>
            <w:tcW w:w="1045" w:type="pct"/>
            <w:noWrap/>
            <w:hideMark/>
          </w:tcPr>
          <w:p w14:paraId="2D4EED6C" w14:textId="77777777" w:rsidR="001E2498" w:rsidRPr="00231DCB" w:rsidRDefault="001E2498" w:rsidP="00231DCB">
            <w:pPr>
              <w:spacing w:line="360" w:lineRule="auto"/>
              <w:jc w:val="both"/>
              <w:rPr>
                <w:rFonts w:ascii="Arial" w:hAnsi="Arial" w:cs="Arial"/>
                <w:b/>
                <w:bCs/>
                <w:color w:val="000000" w:themeColor="text1"/>
                <w:sz w:val="24"/>
                <w:szCs w:val="24"/>
              </w:rPr>
            </w:pPr>
            <w:r w:rsidRPr="00231DCB">
              <w:rPr>
                <w:rFonts w:ascii="Arial" w:hAnsi="Arial" w:cs="Arial"/>
                <w:b/>
                <w:bCs/>
                <w:color w:val="000000" w:themeColor="text1"/>
                <w:sz w:val="24"/>
                <w:szCs w:val="24"/>
              </w:rPr>
              <w:t>£ 1,227,955.00</w:t>
            </w:r>
          </w:p>
        </w:tc>
      </w:tr>
    </w:tbl>
    <w:p w14:paraId="7B3F3945" w14:textId="6202B25D" w:rsidR="001E2498" w:rsidRPr="00231DCB" w:rsidRDefault="001E2498" w:rsidP="00231DCB">
      <w:pPr>
        <w:spacing w:line="360" w:lineRule="auto"/>
        <w:jc w:val="both"/>
        <w:rPr>
          <w:rFonts w:ascii="Arial" w:hAnsi="Arial" w:cs="Arial"/>
          <w:sz w:val="24"/>
          <w:szCs w:val="24"/>
        </w:rPr>
      </w:pPr>
    </w:p>
    <w:p w14:paraId="1C8183BC" w14:textId="4C4C8FCE" w:rsidR="001E2498" w:rsidRPr="009D4F7E" w:rsidRDefault="001E2498" w:rsidP="00231DCB">
      <w:pPr>
        <w:spacing w:line="360" w:lineRule="auto"/>
        <w:jc w:val="both"/>
        <w:rPr>
          <w:rFonts w:ascii="Arial" w:hAnsi="Arial" w:cs="Arial"/>
          <w:b/>
          <w:bCs/>
          <w:sz w:val="24"/>
          <w:szCs w:val="24"/>
        </w:rPr>
      </w:pPr>
      <w:r w:rsidRPr="009D4F7E">
        <w:rPr>
          <w:rFonts w:ascii="Arial" w:hAnsi="Arial" w:cs="Arial"/>
          <w:b/>
          <w:bCs/>
          <w:sz w:val="24"/>
          <w:szCs w:val="24"/>
        </w:rPr>
        <w:t>Working Notes:</w:t>
      </w:r>
    </w:p>
    <w:p w14:paraId="6DD2CA63"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1. Credit sales to be recovered in the following year plus Accounts receivables (or other debtors) equal £170125 plus £980, or £171105.</w:t>
      </w:r>
    </w:p>
    <w:p w14:paraId="4AAB1972"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2. Stock in hand equals stock as of December 31, 2021, which is £330600</w:t>
      </w:r>
    </w:p>
    <w:p w14:paraId="20FC1065"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3. Corporation taxes payable = anticipated but unpaid corporation taxes for the year = £100000</w:t>
      </w:r>
    </w:p>
    <w:p w14:paraId="010DAE57" w14:textId="4A5FE20B"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4. Unpaid expenses: £3000 in commission due to salesmen for the sales made in December.</w:t>
      </w:r>
    </w:p>
    <w:p w14:paraId="01CA9C56" w14:textId="0249D9B9"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5. Retained profits are calculated as follows: £132000 + £54330 - £30000 - £20000 = £136330 Retained profits are calculated as follows: £132000 + £54330 - £30000 - £20000</w:t>
      </w:r>
    </w:p>
    <w:p w14:paraId="66324409" w14:textId="3169062F" w:rsidR="001E2498" w:rsidRPr="00231DCB" w:rsidRDefault="001E2498" w:rsidP="00231DCB">
      <w:pPr>
        <w:spacing w:line="360" w:lineRule="auto"/>
        <w:jc w:val="both"/>
        <w:rPr>
          <w:rFonts w:ascii="Arial" w:hAnsi="Arial" w:cs="Arial"/>
          <w:sz w:val="24"/>
          <w:szCs w:val="24"/>
        </w:rPr>
      </w:pPr>
    </w:p>
    <w:p w14:paraId="1487A5A7" w14:textId="71A7E54D" w:rsidR="009D4F7E" w:rsidRPr="009D4F7E" w:rsidRDefault="001E2498" w:rsidP="009D4F7E">
      <w:pPr>
        <w:pStyle w:val="Heading2"/>
        <w:numPr>
          <w:ilvl w:val="0"/>
          <w:numId w:val="1"/>
        </w:numPr>
      </w:pPr>
      <w:bookmarkStart w:id="5" w:name="_Toc121344197"/>
      <w:r w:rsidRPr="00231DCB">
        <w:lastRenderedPageBreak/>
        <w:t>Why does the statement of financial position balance?</w:t>
      </w:r>
      <w:bookmarkEnd w:id="5"/>
    </w:p>
    <w:p w14:paraId="1E0541DD" w14:textId="165EFC09"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 xml:space="preserve">The assertion of monetary position is one of the main fiscal reports made by organizations. The budget report is partitioned into two essential segments. The complete resources that an organization or association has </w:t>
      </w:r>
      <w:r w:rsidR="002D2FAA" w:rsidRPr="00231DCB">
        <w:rPr>
          <w:rFonts w:ascii="Arial" w:hAnsi="Arial" w:cs="Arial"/>
          <w:sz w:val="24"/>
          <w:szCs w:val="24"/>
        </w:rPr>
        <w:t>been</w:t>
      </w:r>
      <w:r w:rsidRPr="00231DCB">
        <w:rPr>
          <w:rFonts w:ascii="Arial" w:hAnsi="Arial" w:cs="Arial"/>
          <w:sz w:val="24"/>
          <w:szCs w:val="24"/>
        </w:rPr>
        <w:t xml:space="preserve"> recorded and revealed in the main part of this assertion. An association that carries on with work uncovers its commitments and the assets of its investors in the other piece of this statement. Notwithstanding, the equilibrium should be equivalent in the two bits of the assertion of monetary condition. The monetary position announcement is constantly adjusted. Since an organization's resources are upheld either by their value or by the utilization of liabilities, the assertion of its monetary condition is constantly adjusted. It is an indication of a mistake when there is an error between the resource side and the liability and investor value sides of an assertion of a monetary condition. At the point when an organization's assertion of its monetary condition is unequal, it typically shows that there are blunders, issues, or monetary tricks happening behind the scenes</w:t>
      </w:r>
      <w:r w:rsidR="00775DA6">
        <w:rPr>
          <w:rFonts w:ascii="Arial" w:hAnsi="Arial" w:cs="Arial"/>
          <w:sz w:val="24"/>
          <w:szCs w:val="24"/>
        </w:rPr>
        <w:t xml:space="preserve"> (Felipe, </w:t>
      </w:r>
      <w:proofErr w:type="spellStart"/>
      <w:r w:rsidR="00775DA6">
        <w:rPr>
          <w:rFonts w:ascii="Arial" w:hAnsi="Arial" w:cs="Arial"/>
          <w:sz w:val="24"/>
          <w:szCs w:val="24"/>
        </w:rPr>
        <w:t>Fullwiler</w:t>
      </w:r>
      <w:proofErr w:type="spellEnd"/>
      <w:r w:rsidR="00775DA6">
        <w:rPr>
          <w:rFonts w:ascii="Arial" w:hAnsi="Arial" w:cs="Arial"/>
          <w:sz w:val="24"/>
          <w:szCs w:val="24"/>
        </w:rPr>
        <w:t xml:space="preserve"> and </w:t>
      </w:r>
      <w:proofErr w:type="spellStart"/>
      <w:r w:rsidR="00775DA6">
        <w:rPr>
          <w:rFonts w:ascii="Arial" w:hAnsi="Arial" w:cs="Arial"/>
          <w:sz w:val="24"/>
          <w:szCs w:val="24"/>
        </w:rPr>
        <w:t>Yusoph</w:t>
      </w:r>
      <w:proofErr w:type="spellEnd"/>
      <w:r w:rsidR="00775DA6">
        <w:rPr>
          <w:rFonts w:ascii="Arial" w:hAnsi="Arial" w:cs="Arial"/>
          <w:sz w:val="24"/>
          <w:szCs w:val="24"/>
        </w:rPr>
        <w:t>, 2021).</w:t>
      </w:r>
    </w:p>
    <w:p w14:paraId="4ABC86E3" w14:textId="5ADDFDAB"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A two-section accounting framework is an important tool for business associations in adjusting their financial statement. This accounting framework is an approach to keeping track of exchanges where no less than two records get a section for each monetary exchange</w:t>
      </w:r>
      <w:r w:rsidR="00775DA6">
        <w:rPr>
          <w:rFonts w:ascii="Arial" w:hAnsi="Arial" w:cs="Arial"/>
          <w:sz w:val="24"/>
          <w:szCs w:val="24"/>
        </w:rPr>
        <w:t xml:space="preserve"> (Robinson, 2020).</w:t>
      </w:r>
    </w:p>
    <w:p w14:paraId="5DCCF90A" w14:textId="55176F95"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Wales Plc, for example, has had the option to modify its financial statement as a result of the implementation of the two-pass accounting framework. Every monetary transaction of the organization has been recorded in two separate record accounts. As a result, the organization's overall record adjustments have remained correct. Thus, Wales Plc has a fair arrangement of resources, liabilities, and investors' assets. This guarantees that each organization's assertion of monetary circumstance is reliably adjusted</w:t>
      </w:r>
      <w:r w:rsidR="00775DA6">
        <w:rPr>
          <w:rFonts w:ascii="Arial" w:hAnsi="Arial" w:cs="Arial"/>
          <w:sz w:val="24"/>
          <w:szCs w:val="24"/>
        </w:rPr>
        <w:t xml:space="preserve"> (</w:t>
      </w:r>
      <w:proofErr w:type="spellStart"/>
      <w:r w:rsidR="00775DA6">
        <w:rPr>
          <w:rFonts w:ascii="Arial" w:hAnsi="Arial" w:cs="Arial"/>
          <w:sz w:val="24"/>
          <w:szCs w:val="24"/>
        </w:rPr>
        <w:t>Pichniak</w:t>
      </w:r>
      <w:proofErr w:type="spellEnd"/>
      <w:r w:rsidR="00775DA6">
        <w:rPr>
          <w:rFonts w:ascii="Arial" w:hAnsi="Arial" w:cs="Arial"/>
          <w:sz w:val="24"/>
          <w:szCs w:val="24"/>
        </w:rPr>
        <w:t>, 2019).</w:t>
      </w:r>
    </w:p>
    <w:p w14:paraId="1804A7FF" w14:textId="77777777" w:rsidR="001E2498" w:rsidRPr="00231DCB" w:rsidRDefault="001E2498" w:rsidP="009D4F7E">
      <w:pPr>
        <w:pStyle w:val="Heading1"/>
      </w:pPr>
      <w:bookmarkStart w:id="6" w:name="_Toc110362689"/>
      <w:bookmarkStart w:id="7" w:name="_Toc121344198"/>
      <w:r w:rsidRPr="00231DCB">
        <w:t>Question 2</w:t>
      </w:r>
      <w:bookmarkEnd w:id="6"/>
      <w:bookmarkEnd w:id="7"/>
    </w:p>
    <w:p w14:paraId="05AD9C62" w14:textId="3B0FF10E" w:rsidR="001E2498" w:rsidRPr="00231DCB" w:rsidRDefault="001E2498" w:rsidP="009D4F7E">
      <w:pPr>
        <w:pStyle w:val="Heading2"/>
      </w:pPr>
      <w:bookmarkStart w:id="8" w:name="_Toc121344199"/>
      <w:r w:rsidRPr="00231DCB">
        <w:t>a. Calculate the following ratios for Sweet</w:t>
      </w:r>
      <w:r w:rsidR="002D2FAA" w:rsidRPr="00231DCB">
        <w:t>'</w:t>
      </w:r>
      <w:r w:rsidRPr="00231DCB">
        <w:t>s plc for 2021 and 2020, showing the formulas and workings</w:t>
      </w:r>
      <w:bookmarkEnd w:id="8"/>
    </w:p>
    <w:p w14:paraId="2726D6A1" w14:textId="4EDC63BE"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1</w:t>
      </w:r>
      <w:r w:rsidRPr="009D4F7E">
        <w:rPr>
          <w:rFonts w:ascii="Arial" w:hAnsi="Arial" w:cs="Arial"/>
          <w:b/>
          <w:bCs/>
          <w:sz w:val="24"/>
          <w:szCs w:val="24"/>
        </w:rPr>
        <w:t>: ROCE</w:t>
      </w:r>
    </w:p>
    <w:p w14:paraId="5145ED8E" w14:textId="7777777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Formula: Total assets - Current liabilities * 100 + Operating profit (or EBIT)</w:t>
      </w:r>
    </w:p>
    <w:p w14:paraId="02B74A17" w14:textId="6BD0AB47"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lastRenderedPageBreak/>
        <w:t>2021 = £805 ÷ £9736 – £2511 * 100 = £805 ÷ £7225 * 100 = 11.1418 = 11.14%</w:t>
      </w:r>
    </w:p>
    <w:p w14:paraId="77EB3C99" w14:textId="3F3E8051"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2020= £699 ÷ £10087 – £3046 * 100 = £699 ÷ £7041 * 100 = 9.9275 = 9.93%</w:t>
      </w:r>
    </w:p>
    <w:p w14:paraId="5BCD6835" w14:textId="49CB745F" w:rsidR="001E2498" w:rsidRPr="00231DCB" w:rsidRDefault="001E2498" w:rsidP="00231DCB">
      <w:pPr>
        <w:spacing w:line="360" w:lineRule="auto"/>
        <w:jc w:val="both"/>
        <w:rPr>
          <w:rFonts w:ascii="Arial" w:hAnsi="Arial" w:cs="Arial"/>
          <w:sz w:val="24"/>
          <w:szCs w:val="24"/>
        </w:rPr>
      </w:pPr>
      <w:r w:rsidRPr="00231DCB">
        <w:rPr>
          <w:rFonts w:ascii="Arial" w:hAnsi="Arial" w:cs="Arial"/>
          <w:sz w:val="24"/>
          <w:szCs w:val="24"/>
        </w:rPr>
        <w:t xml:space="preserve">2: </w:t>
      </w:r>
      <w:r w:rsidRPr="009D4F7E">
        <w:rPr>
          <w:rFonts w:ascii="Arial" w:hAnsi="Arial" w:cs="Arial"/>
          <w:b/>
          <w:bCs/>
          <w:sz w:val="24"/>
          <w:szCs w:val="24"/>
        </w:rPr>
        <w:t>ROE</w:t>
      </w:r>
    </w:p>
    <w:p w14:paraId="21E796CC" w14:textId="77777777"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Formula: Profit for the year ÷(Ordinary share capital + Share premium + Retained profit) * 100 </w:t>
      </w:r>
    </w:p>
    <w:p w14:paraId="4C90D3FE" w14:textId="6CB2AAD2"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2021 = £431 ÷ (£300 + £1071 + £1717) * 100 = £431 ÷ £3088 * 100 = 13.9572 = 13.96%</w:t>
      </w:r>
    </w:p>
    <w:p w14:paraId="1D3C4F68" w14:textId="6ADDD72D" w:rsidR="001E2498"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2020 = £366 ÷ (£300 + £1071 + £1541) * 100 = £366 ÷ £2915 = 12.5686 = 12.57%</w:t>
      </w:r>
    </w:p>
    <w:p w14:paraId="5B94CBE9" w14:textId="13839D41"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 xml:space="preserve">3: </w:t>
      </w:r>
      <w:r w:rsidRPr="009D4F7E">
        <w:rPr>
          <w:rFonts w:ascii="Arial" w:hAnsi="Arial" w:cs="Arial"/>
          <w:b/>
          <w:bCs/>
          <w:sz w:val="24"/>
          <w:szCs w:val="24"/>
        </w:rPr>
        <w:t>Earning Per Share</w:t>
      </w:r>
    </w:p>
    <w:p w14:paraId="6222A15E" w14:textId="77777777" w:rsidR="00AB7C51" w:rsidRPr="00231DCB" w:rsidRDefault="00AB7C51"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Profit for the year ÷ Weighted average shares outstanding</w:t>
      </w:r>
    </w:p>
    <w:p w14:paraId="4A89685B" w14:textId="77777777"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2021: £431,000,000 (£300,000,000 * 0.5 pence) = 431000000 150000000 = 2.87333 = 2.87 penny</w:t>
      </w:r>
    </w:p>
    <w:p w14:paraId="3B347272" w14:textId="74D4FB36"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2020 = £366,000,000 * (£300,000,000 * 0.5 pence) = 366,000,000,000 * 150,000,000 = 2.44 pennies</w:t>
      </w:r>
    </w:p>
    <w:p w14:paraId="29B63CB5" w14:textId="13C65D13" w:rsidR="00AB7C51" w:rsidRPr="009D4F7E" w:rsidRDefault="00AB7C51" w:rsidP="00231DCB">
      <w:pPr>
        <w:spacing w:line="360" w:lineRule="auto"/>
        <w:jc w:val="both"/>
        <w:rPr>
          <w:rFonts w:ascii="Arial" w:hAnsi="Arial" w:cs="Arial"/>
          <w:b/>
          <w:bCs/>
          <w:sz w:val="24"/>
          <w:szCs w:val="24"/>
        </w:rPr>
      </w:pPr>
      <w:r w:rsidRPr="00231DCB">
        <w:rPr>
          <w:rFonts w:ascii="Arial" w:hAnsi="Arial" w:cs="Arial"/>
          <w:sz w:val="24"/>
          <w:szCs w:val="24"/>
        </w:rPr>
        <w:t>4</w:t>
      </w:r>
      <w:r w:rsidRPr="009D4F7E">
        <w:rPr>
          <w:rFonts w:ascii="Arial" w:hAnsi="Arial" w:cs="Arial"/>
          <w:b/>
          <w:bCs/>
          <w:sz w:val="24"/>
          <w:szCs w:val="24"/>
        </w:rPr>
        <w:t>: Net Profit Margin</w:t>
      </w:r>
    </w:p>
    <w:p w14:paraId="3927A4C3" w14:textId="77777777" w:rsidR="00AB7C51" w:rsidRPr="00231DCB" w:rsidRDefault="00AB7C51"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Profit for the year ÷ Net sales revenues * 100</w:t>
      </w:r>
    </w:p>
    <w:p w14:paraId="52F8B757" w14:textId="77777777"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 xml:space="preserve">2021 = £431 ÷ £6738 * 100 = 0.0639655 * 100 = 6.3965 = 6.4% </w:t>
      </w:r>
    </w:p>
    <w:p w14:paraId="3888B04C" w14:textId="6E3823FE"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2020  = £366 ÷ £6441 * 100 = 0.0568234 * 100= 5.682347 = 5.68%</w:t>
      </w:r>
    </w:p>
    <w:p w14:paraId="7AC9B57D" w14:textId="0D1F4D8F" w:rsidR="00AB7C51" w:rsidRPr="009D4F7E" w:rsidRDefault="00AB7C51" w:rsidP="00231DCB">
      <w:pPr>
        <w:spacing w:line="360" w:lineRule="auto"/>
        <w:jc w:val="both"/>
        <w:rPr>
          <w:rFonts w:ascii="Arial" w:hAnsi="Arial" w:cs="Arial"/>
          <w:b/>
          <w:bCs/>
          <w:sz w:val="24"/>
          <w:szCs w:val="24"/>
        </w:rPr>
      </w:pPr>
      <w:r w:rsidRPr="00231DCB">
        <w:rPr>
          <w:rFonts w:ascii="Arial" w:hAnsi="Arial" w:cs="Arial"/>
          <w:sz w:val="24"/>
          <w:szCs w:val="24"/>
        </w:rPr>
        <w:t>5:</w:t>
      </w:r>
      <w:r w:rsidRPr="009D4F7E">
        <w:rPr>
          <w:rFonts w:ascii="Arial" w:hAnsi="Arial" w:cs="Arial"/>
          <w:b/>
          <w:bCs/>
          <w:sz w:val="24"/>
          <w:szCs w:val="24"/>
        </w:rPr>
        <w:t xml:space="preserve"> Asset Turnover Ratio</w:t>
      </w:r>
    </w:p>
    <w:p w14:paraId="11D85281" w14:textId="3E874533"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Formula: Net sales/ Total Assets</w:t>
      </w:r>
    </w:p>
    <w:p w14:paraId="32E1ECA4" w14:textId="1230E26B"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2021 = £6441 ÷ £10087 = 0.036284 = 0.04 times</w:t>
      </w:r>
    </w:p>
    <w:p w14:paraId="04EF103D" w14:textId="1C20F66C"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2020 = £6738 ÷ £9736 = 0.04426 = 0.04 times</w:t>
      </w:r>
    </w:p>
    <w:p w14:paraId="55EB7BBF" w14:textId="77777777" w:rsidR="00AB7C51" w:rsidRPr="00231DCB" w:rsidRDefault="00AB7C51" w:rsidP="00231DCB">
      <w:pPr>
        <w:spacing w:line="360" w:lineRule="auto"/>
        <w:jc w:val="both"/>
        <w:rPr>
          <w:rFonts w:ascii="Arial" w:hAnsi="Arial" w:cs="Arial"/>
          <w:b/>
          <w:bCs/>
          <w:color w:val="000000" w:themeColor="text1"/>
          <w:sz w:val="24"/>
          <w:szCs w:val="24"/>
        </w:rPr>
      </w:pPr>
      <w:r w:rsidRPr="00231DCB">
        <w:rPr>
          <w:rFonts w:ascii="Arial" w:hAnsi="Arial" w:cs="Arial"/>
          <w:sz w:val="24"/>
          <w:szCs w:val="24"/>
        </w:rPr>
        <w:t xml:space="preserve">6: </w:t>
      </w:r>
      <w:r w:rsidRPr="00231DCB">
        <w:rPr>
          <w:rFonts w:ascii="Arial" w:hAnsi="Arial" w:cs="Arial"/>
          <w:b/>
          <w:bCs/>
          <w:color w:val="000000" w:themeColor="text1"/>
          <w:sz w:val="24"/>
          <w:szCs w:val="24"/>
        </w:rPr>
        <w:t xml:space="preserve">Stock holding days </w:t>
      </w:r>
    </w:p>
    <w:p w14:paraId="45F72C6C" w14:textId="77777777" w:rsidR="00AB7C51" w:rsidRPr="00231DCB" w:rsidRDefault="00AB7C51"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Average stock in hand ÷ Cost of Sales * 365 </w:t>
      </w:r>
    </w:p>
    <w:p w14:paraId="4195B028" w14:textId="5B812DB2"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2021= £708 ÷ £3235 * 365 = 708 ÷ 1180775= 79.8825 = 79.88 days</w:t>
      </w:r>
    </w:p>
    <w:p w14:paraId="379A4608" w14:textId="6B51ADB5"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lastRenderedPageBreak/>
        <w:t>2020 = £659 ÷ £3096 * 365 = 659 ÷ 113004= 77.692183 = 77.69 days</w:t>
      </w:r>
    </w:p>
    <w:p w14:paraId="233AAD6A" w14:textId="77777777" w:rsidR="00AB7C51" w:rsidRPr="00231DCB" w:rsidRDefault="00AB7C51" w:rsidP="00231DCB">
      <w:pPr>
        <w:spacing w:line="360" w:lineRule="auto"/>
        <w:jc w:val="both"/>
        <w:rPr>
          <w:rFonts w:ascii="Arial" w:hAnsi="Arial" w:cs="Arial"/>
          <w:b/>
          <w:bCs/>
          <w:color w:val="000000" w:themeColor="text1"/>
          <w:sz w:val="24"/>
          <w:szCs w:val="24"/>
        </w:rPr>
      </w:pPr>
      <w:r w:rsidRPr="00231DCB">
        <w:rPr>
          <w:rFonts w:ascii="Arial" w:hAnsi="Arial" w:cs="Arial"/>
          <w:sz w:val="24"/>
          <w:szCs w:val="24"/>
        </w:rPr>
        <w:t xml:space="preserve">7: </w:t>
      </w:r>
      <w:r w:rsidRPr="00231DCB">
        <w:rPr>
          <w:rFonts w:ascii="Arial" w:hAnsi="Arial" w:cs="Arial"/>
          <w:b/>
          <w:bCs/>
          <w:color w:val="000000" w:themeColor="text1"/>
          <w:sz w:val="24"/>
          <w:szCs w:val="24"/>
        </w:rPr>
        <w:t xml:space="preserve">Debtors collection period </w:t>
      </w:r>
    </w:p>
    <w:p w14:paraId="1D1B8E62" w14:textId="77777777" w:rsidR="00AB7C51" w:rsidRPr="00231DCB" w:rsidRDefault="00AB7C51"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Average trade debtors ÷ Sales revenue on credit * 365 </w:t>
      </w:r>
    </w:p>
    <w:p w14:paraId="6C2B9E51" w14:textId="77777777"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2021 \s= £1249 ÷ £6738 * 365 \s= 1249 ÷ 2459370 \s= 67.65880 \s= 67.66 days</w:t>
      </w:r>
    </w:p>
    <w:p w14:paraId="3781DD15" w14:textId="323B38CA"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2020 \s= £1287 ÷ £6441 * 365 \s= 1287 ÷ 2350965 \s= 72.93199 \s= 72.93 days</w:t>
      </w:r>
    </w:p>
    <w:p w14:paraId="7270C095" w14:textId="77777777" w:rsidR="00AB7C51" w:rsidRPr="00231DCB" w:rsidRDefault="00AB7C51" w:rsidP="00231DCB">
      <w:pPr>
        <w:spacing w:line="360" w:lineRule="auto"/>
        <w:jc w:val="both"/>
        <w:rPr>
          <w:rFonts w:ascii="Arial" w:hAnsi="Arial" w:cs="Arial"/>
          <w:b/>
          <w:bCs/>
          <w:color w:val="000000" w:themeColor="text1"/>
          <w:sz w:val="24"/>
          <w:szCs w:val="24"/>
        </w:rPr>
      </w:pPr>
      <w:r w:rsidRPr="00231DCB">
        <w:rPr>
          <w:rFonts w:ascii="Arial" w:hAnsi="Arial" w:cs="Arial"/>
          <w:sz w:val="24"/>
          <w:szCs w:val="24"/>
        </w:rPr>
        <w:t xml:space="preserve">8: </w:t>
      </w:r>
      <w:r w:rsidRPr="00231DCB">
        <w:rPr>
          <w:rFonts w:ascii="Arial" w:hAnsi="Arial" w:cs="Arial"/>
          <w:b/>
          <w:bCs/>
          <w:color w:val="000000" w:themeColor="text1"/>
          <w:sz w:val="24"/>
          <w:szCs w:val="24"/>
        </w:rPr>
        <w:t>Current ratio</w:t>
      </w:r>
    </w:p>
    <w:p w14:paraId="6A9908A4" w14:textId="77777777" w:rsidR="00AB7C51" w:rsidRPr="00231DCB" w:rsidRDefault="00AB7C51"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Current assets ÷ Current liabilities</w:t>
      </w:r>
    </w:p>
    <w:p w14:paraId="2CBFFE1F" w14:textId="77777777"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2021 \s= £2303 ÷ £2511 \s= 0.91716 \s= 0.92 \s</w:t>
      </w:r>
    </w:p>
    <w:p w14:paraId="24FE6278" w14:textId="5C84AA46" w:rsidR="00AB7C51" w:rsidRPr="00231DCB" w:rsidRDefault="00AB7C51" w:rsidP="00231DCB">
      <w:pPr>
        <w:spacing w:line="360" w:lineRule="auto"/>
        <w:jc w:val="both"/>
        <w:rPr>
          <w:rFonts w:ascii="Arial" w:hAnsi="Arial" w:cs="Arial"/>
          <w:sz w:val="24"/>
          <w:szCs w:val="24"/>
        </w:rPr>
      </w:pPr>
      <w:r w:rsidRPr="00231DCB">
        <w:rPr>
          <w:rFonts w:ascii="Arial" w:hAnsi="Arial" w:cs="Arial"/>
          <w:sz w:val="24"/>
          <w:szCs w:val="24"/>
        </w:rPr>
        <w:t>2020 \s= £2355 ÷ £3046 \s= 0.77314 \s= 0.77</w:t>
      </w:r>
    </w:p>
    <w:p w14:paraId="2F8C083F" w14:textId="626B9508" w:rsidR="00AB7C51" w:rsidRPr="00231DCB" w:rsidRDefault="00AB7C51" w:rsidP="00231DCB">
      <w:pPr>
        <w:spacing w:line="360" w:lineRule="auto"/>
        <w:jc w:val="both"/>
        <w:rPr>
          <w:rFonts w:ascii="Arial" w:hAnsi="Arial" w:cs="Arial"/>
          <w:b/>
          <w:bCs/>
          <w:color w:val="000000" w:themeColor="text1"/>
          <w:sz w:val="24"/>
          <w:szCs w:val="24"/>
        </w:rPr>
      </w:pPr>
      <w:r w:rsidRPr="00231DCB">
        <w:rPr>
          <w:rFonts w:ascii="Arial" w:hAnsi="Arial" w:cs="Arial"/>
          <w:sz w:val="24"/>
          <w:szCs w:val="24"/>
        </w:rPr>
        <w:t xml:space="preserve">9: </w:t>
      </w:r>
      <w:r w:rsidRPr="00231DCB">
        <w:rPr>
          <w:rFonts w:ascii="Arial" w:hAnsi="Arial" w:cs="Arial"/>
          <w:b/>
          <w:bCs/>
          <w:color w:val="000000" w:themeColor="text1"/>
          <w:sz w:val="24"/>
          <w:szCs w:val="24"/>
        </w:rPr>
        <w:t xml:space="preserve">Gearing ratio </w:t>
      </w:r>
    </w:p>
    <w:p w14:paraId="2A2537BF" w14:textId="77777777" w:rsidR="00AB7C51" w:rsidRPr="00231DCB" w:rsidRDefault="00AB7C51"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Total liabilities ÷ (Total liabilities + Total shareholders’ funds) * 100</w:t>
      </w:r>
    </w:p>
    <w:p w14:paraId="06F82697" w14:textId="77777777" w:rsidR="00C767D4"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2021 \s= £6648 ÷ (£6648 + £3088) * 100 \s= 6648 ÷ 9736 * 100 \s= 68.2826 \s= 68.28% \s</w:t>
      </w:r>
    </w:p>
    <w:p w14:paraId="6885366A" w14:textId="78ED27A6" w:rsidR="00AB7C51"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2020 \s= £7175 ÷ (£7175 + £2912) * 100 \s= 7175 ÷ 10087 * 100 \s= 71.13115 \s= 71.13%</w:t>
      </w:r>
    </w:p>
    <w:p w14:paraId="7AFE3FD1" w14:textId="77777777" w:rsidR="00C767D4" w:rsidRPr="00231DCB" w:rsidRDefault="00C767D4" w:rsidP="00231DCB">
      <w:pPr>
        <w:spacing w:line="360" w:lineRule="auto"/>
        <w:jc w:val="both"/>
        <w:rPr>
          <w:rFonts w:ascii="Arial" w:hAnsi="Arial" w:cs="Arial"/>
          <w:b/>
          <w:bCs/>
          <w:color w:val="000000" w:themeColor="text1"/>
          <w:sz w:val="24"/>
          <w:szCs w:val="24"/>
        </w:rPr>
      </w:pPr>
      <w:r w:rsidRPr="00231DCB">
        <w:rPr>
          <w:rFonts w:ascii="Arial" w:hAnsi="Arial" w:cs="Arial"/>
          <w:sz w:val="24"/>
          <w:szCs w:val="24"/>
        </w:rPr>
        <w:t xml:space="preserve">10: </w:t>
      </w:r>
      <w:r w:rsidRPr="00231DCB">
        <w:rPr>
          <w:rFonts w:ascii="Arial" w:hAnsi="Arial" w:cs="Arial"/>
          <w:b/>
          <w:bCs/>
          <w:color w:val="000000" w:themeColor="text1"/>
          <w:sz w:val="24"/>
          <w:szCs w:val="24"/>
        </w:rPr>
        <w:t xml:space="preserve">Interest cover </w:t>
      </w:r>
    </w:p>
    <w:p w14:paraId="06E329F8" w14:textId="77777777" w:rsidR="00C767D4" w:rsidRPr="00231DCB" w:rsidRDefault="00C767D4" w:rsidP="00231DCB">
      <w:pPr>
        <w:spacing w:line="360" w:lineRule="auto"/>
        <w:jc w:val="both"/>
        <w:rPr>
          <w:rFonts w:ascii="Arial" w:hAnsi="Arial" w:cs="Arial"/>
          <w:color w:val="000000" w:themeColor="text1"/>
          <w:sz w:val="24"/>
          <w:szCs w:val="24"/>
        </w:rPr>
      </w:pPr>
      <w:r w:rsidRPr="00231DCB">
        <w:rPr>
          <w:rFonts w:ascii="Arial" w:hAnsi="Arial" w:cs="Arial"/>
          <w:b/>
          <w:bCs/>
          <w:i/>
          <w:iCs/>
          <w:color w:val="000000" w:themeColor="text1"/>
          <w:sz w:val="24"/>
          <w:szCs w:val="24"/>
        </w:rPr>
        <w:t>Formula</w:t>
      </w:r>
      <w:r w:rsidRPr="00231DCB">
        <w:rPr>
          <w:rFonts w:ascii="Arial" w:hAnsi="Arial" w:cs="Arial"/>
          <w:color w:val="000000" w:themeColor="text1"/>
          <w:sz w:val="24"/>
          <w:szCs w:val="24"/>
        </w:rPr>
        <w:t xml:space="preserve"> = Operating profit (or EBIT) ÷ Total interest expenses</w:t>
      </w:r>
    </w:p>
    <w:p w14:paraId="43E3FE7E" w14:textId="77777777" w:rsidR="00C767D4"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2021 \s= £805 ÷ £226 \s= 3.56194 \s= 3.56 \s</w:t>
      </w:r>
    </w:p>
    <w:p w14:paraId="3D16FF5E" w14:textId="1CA706DC" w:rsidR="00C767D4"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2020 \s= £699 ÷ £181 \s= 3.86187 \s= 3.86</w:t>
      </w:r>
    </w:p>
    <w:p w14:paraId="65D916FB" w14:textId="6B6C76A1" w:rsidR="00C767D4" w:rsidRPr="00231DCB" w:rsidRDefault="00C767D4" w:rsidP="009D4F7E">
      <w:pPr>
        <w:pStyle w:val="Heading2"/>
      </w:pPr>
      <w:bookmarkStart w:id="9" w:name="_Toc121344200"/>
      <w:r w:rsidRPr="00231DCB">
        <w:t>b) Using the information in the financial statements and the ratios you have calculated, comment on the financial performance and position of Sweet</w:t>
      </w:r>
      <w:r w:rsidR="002D2FAA" w:rsidRPr="00231DCB">
        <w:t>'</w:t>
      </w:r>
      <w:r w:rsidRPr="00231DCB">
        <w:t>s plc.</w:t>
      </w:r>
      <w:bookmarkEnd w:id="9"/>
    </w:p>
    <w:p w14:paraId="4863D97B" w14:textId="19D7A230" w:rsidR="00C767D4"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Monetary proportions are figures generated by the examination of a few focused pieces of mathematical information given in associations' monetary records. Monetary proportions show the position and execution of organizations monetarily through time. For example, the monetary proportions that were generated above for Sweet</w:t>
      </w:r>
      <w:r w:rsidR="002D2FAA" w:rsidRPr="00231DCB">
        <w:rPr>
          <w:rFonts w:ascii="Arial" w:hAnsi="Arial" w:cs="Arial"/>
          <w:sz w:val="24"/>
          <w:szCs w:val="24"/>
        </w:rPr>
        <w:t>'</w:t>
      </w:r>
      <w:r w:rsidRPr="00231DCB">
        <w:rPr>
          <w:rFonts w:ascii="Arial" w:hAnsi="Arial" w:cs="Arial"/>
          <w:sz w:val="24"/>
          <w:szCs w:val="24"/>
        </w:rPr>
        <w:t xml:space="preserve">s plc help in evaluating the organization's monetary exhibition and condition. The ROCE is a profitability ratio that measures how much profit a company made from the capital it </w:t>
      </w:r>
      <w:r w:rsidRPr="00231DCB">
        <w:rPr>
          <w:rFonts w:ascii="Arial" w:hAnsi="Arial" w:cs="Arial"/>
          <w:sz w:val="24"/>
          <w:szCs w:val="24"/>
        </w:rPr>
        <w:lastRenderedPageBreak/>
        <w:t>used over a given period</w:t>
      </w:r>
      <w:r w:rsidR="00775DA6">
        <w:rPr>
          <w:rFonts w:ascii="Arial" w:hAnsi="Arial" w:cs="Arial"/>
          <w:sz w:val="24"/>
          <w:szCs w:val="24"/>
        </w:rPr>
        <w:t xml:space="preserve"> (</w:t>
      </w:r>
      <w:proofErr w:type="spellStart"/>
      <w:r w:rsidR="00775DA6">
        <w:rPr>
          <w:rFonts w:ascii="Arial" w:hAnsi="Arial" w:cs="Arial"/>
          <w:sz w:val="24"/>
          <w:szCs w:val="24"/>
        </w:rPr>
        <w:t>Jurakulovna</w:t>
      </w:r>
      <w:proofErr w:type="spellEnd"/>
      <w:r w:rsidR="00775DA6">
        <w:rPr>
          <w:rFonts w:ascii="Arial" w:hAnsi="Arial" w:cs="Arial"/>
          <w:sz w:val="24"/>
          <w:szCs w:val="24"/>
        </w:rPr>
        <w:t xml:space="preserve">, 2021). </w:t>
      </w:r>
      <w:r w:rsidRPr="00231DCB">
        <w:rPr>
          <w:rFonts w:ascii="Arial" w:hAnsi="Arial" w:cs="Arial"/>
          <w:sz w:val="24"/>
          <w:szCs w:val="24"/>
        </w:rPr>
        <w:t xml:space="preserve">As indicated by Sweets Plc's examination, this proportion changed from 9.93% to 11.14% somewhere in the range of 2020 and 2021. This shows that somewhere in the range of 2020 and 2021, the association's ROCE developed, which recommends an improvement in the profits recognized from capital utilized. The profitability proportion, known as ROE, then again assesses the level of profit that a business association has the option of generating throughout a given </w:t>
      </w:r>
      <w:r w:rsidR="002D2FAA" w:rsidRPr="00231DCB">
        <w:rPr>
          <w:rFonts w:ascii="Arial" w:hAnsi="Arial" w:cs="Arial"/>
          <w:sz w:val="24"/>
          <w:szCs w:val="24"/>
        </w:rPr>
        <w:t>period</w:t>
      </w:r>
      <w:r w:rsidRPr="00231DCB">
        <w:rPr>
          <w:rFonts w:ascii="Arial" w:hAnsi="Arial" w:cs="Arial"/>
          <w:sz w:val="24"/>
          <w:szCs w:val="24"/>
        </w:rPr>
        <w:t>. Somewhere in the range of 2020 and 2021, this proportion of Sweet</w:t>
      </w:r>
      <w:r w:rsidR="002D2FAA" w:rsidRPr="00231DCB">
        <w:rPr>
          <w:rFonts w:ascii="Arial" w:hAnsi="Arial" w:cs="Arial"/>
          <w:sz w:val="24"/>
          <w:szCs w:val="24"/>
        </w:rPr>
        <w:t>'</w:t>
      </w:r>
      <w:r w:rsidRPr="00231DCB">
        <w:rPr>
          <w:rFonts w:ascii="Arial" w:hAnsi="Arial" w:cs="Arial"/>
          <w:sz w:val="24"/>
          <w:szCs w:val="24"/>
        </w:rPr>
        <w:t>s plc changed from 12.57% to 13.96%, as per examination. The profit the association generates from its value is expanding, as indicated by this proportion again</w:t>
      </w:r>
      <w:r w:rsidR="00775DA6">
        <w:rPr>
          <w:rFonts w:ascii="Arial" w:hAnsi="Arial" w:cs="Arial"/>
          <w:sz w:val="24"/>
          <w:szCs w:val="24"/>
        </w:rPr>
        <w:t xml:space="preserve"> (Shakil, et al, 2019).</w:t>
      </w:r>
    </w:p>
    <w:p w14:paraId="399B27A3" w14:textId="29C4C8D8" w:rsidR="00C767D4"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The monetary measurement known as "income per share," or "EPS," decides an organization's profitability by distributing a specific measure of profit to every one of its parts. Somewhere in the range of 2020 and 2021, this proportion for Sweet</w:t>
      </w:r>
      <w:r w:rsidR="002D2FAA" w:rsidRPr="00231DCB">
        <w:rPr>
          <w:rFonts w:ascii="Arial" w:hAnsi="Arial" w:cs="Arial"/>
          <w:sz w:val="24"/>
          <w:szCs w:val="24"/>
        </w:rPr>
        <w:t>'</w:t>
      </w:r>
      <w:r w:rsidRPr="00231DCB">
        <w:rPr>
          <w:rFonts w:ascii="Arial" w:hAnsi="Arial" w:cs="Arial"/>
          <w:sz w:val="24"/>
          <w:szCs w:val="24"/>
        </w:rPr>
        <w:t>s plc changed from 2.44 to 2.87 pence, as per examination. In light of the organization's presen</w:t>
      </w:r>
      <w:r w:rsidR="002D2FAA" w:rsidRPr="00231DCB">
        <w:rPr>
          <w:rFonts w:ascii="Arial" w:hAnsi="Arial" w:cs="Arial"/>
          <w:sz w:val="24"/>
          <w:szCs w:val="24"/>
        </w:rPr>
        <w:t>ce</w:t>
      </w:r>
      <w:r w:rsidRPr="00231DCB">
        <w:rPr>
          <w:rFonts w:ascii="Arial" w:hAnsi="Arial" w:cs="Arial"/>
          <w:sz w:val="24"/>
          <w:szCs w:val="24"/>
        </w:rPr>
        <w:t xml:space="preserve"> on the securities exchange, this demonstrates an expansion in profit. Another profitable proportion is the net profit edge. </w:t>
      </w:r>
      <w:r w:rsidR="002D2FAA" w:rsidRPr="00231DCB">
        <w:rPr>
          <w:rFonts w:ascii="Arial" w:hAnsi="Arial" w:cs="Arial"/>
          <w:sz w:val="24"/>
          <w:szCs w:val="24"/>
        </w:rPr>
        <w:t>After</w:t>
      </w:r>
      <w:r w:rsidRPr="00231DCB">
        <w:rPr>
          <w:rFonts w:ascii="Arial" w:hAnsi="Arial" w:cs="Arial"/>
          <w:sz w:val="24"/>
          <w:szCs w:val="24"/>
        </w:rPr>
        <w:t xml:space="preserve"> deducting all immediate, working, premium, and duty charges, this proportion demonstrates the level of profit that an organization or association has delivered inside its setting from its tasks. Furthermore, a change might be found in this proportion for Sweet</w:t>
      </w:r>
      <w:r w:rsidR="002D2FAA" w:rsidRPr="00231DCB">
        <w:rPr>
          <w:rFonts w:ascii="Arial" w:hAnsi="Arial" w:cs="Arial"/>
          <w:sz w:val="24"/>
          <w:szCs w:val="24"/>
        </w:rPr>
        <w:t>'</w:t>
      </w:r>
      <w:r w:rsidRPr="00231DCB">
        <w:rPr>
          <w:rFonts w:ascii="Arial" w:hAnsi="Arial" w:cs="Arial"/>
          <w:sz w:val="24"/>
          <w:szCs w:val="24"/>
        </w:rPr>
        <w:t>s plc. Somewhere in the range of 2020 and 2021, this proportion for Sweets Plc changed from 5.68% to 6.4%, as per examination. Subsequently, the profitability proportions show an expansion in the association's profitability during the past two year</w:t>
      </w:r>
      <w:r w:rsidR="00775DA6">
        <w:rPr>
          <w:rFonts w:ascii="Arial" w:hAnsi="Arial" w:cs="Arial"/>
          <w:sz w:val="24"/>
          <w:szCs w:val="24"/>
        </w:rPr>
        <w:t>s (</w:t>
      </w:r>
      <w:proofErr w:type="spellStart"/>
      <w:r w:rsidR="00775DA6">
        <w:rPr>
          <w:rFonts w:ascii="Arial" w:hAnsi="Arial" w:cs="Arial"/>
          <w:sz w:val="24"/>
          <w:szCs w:val="24"/>
        </w:rPr>
        <w:t>Chychyla</w:t>
      </w:r>
      <w:proofErr w:type="spellEnd"/>
      <w:r w:rsidR="00775DA6">
        <w:rPr>
          <w:rFonts w:ascii="Arial" w:hAnsi="Arial" w:cs="Arial"/>
          <w:sz w:val="24"/>
          <w:szCs w:val="24"/>
        </w:rPr>
        <w:t xml:space="preserve">, Leone and </w:t>
      </w:r>
      <w:proofErr w:type="spellStart"/>
      <w:r w:rsidR="00775DA6">
        <w:rPr>
          <w:rFonts w:ascii="Arial" w:hAnsi="Arial" w:cs="Arial"/>
          <w:sz w:val="24"/>
          <w:szCs w:val="24"/>
        </w:rPr>
        <w:t>Minutti</w:t>
      </w:r>
      <w:proofErr w:type="spellEnd"/>
      <w:r w:rsidR="00775DA6">
        <w:rPr>
          <w:rFonts w:ascii="Arial" w:hAnsi="Arial" w:cs="Arial"/>
          <w:sz w:val="24"/>
          <w:szCs w:val="24"/>
        </w:rPr>
        <w:t>-Meza, 2019).</w:t>
      </w:r>
    </w:p>
    <w:p w14:paraId="75F7D9DB" w14:textId="48824DCA" w:rsidR="00C767D4" w:rsidRPr="00231DCB" w:rsidRDefault="00C767D4" w:rsidP="00231DCB">
      <w:pPr>
        <w:spacing w:line="360" w:lineRule="auto"/>
        <w:jc w:val="both"/>
        <w:rPr>
          <w:rFonts w:ascii="Arial" w:hAnsi="Arial" w:cs="Arial"/>
          <w:sz w:val="24"/>
          <w:szCs w:val="24"/>
        </w:rPr>
      </w:pPr>
      <w:r w:rsidRPr="00231DCB">
        <w:rPr>
          <w:rFonts w:ascii="Arial" w:hAnsi="Arial" w:cs="Arial"/>
          <w:sz w:val="24"/>
          <w:szCs w:val="24"/>
        </w:rPr>
        <w:t xml:space="preserve">Resource turnover is a particular sort of productivity proportion that measures how well organizations utilize their resources to generate deals. Examination of this proportion for Sweets Plc shows that it will be around 0.04 times in both 2020 and 2021. </w:t>
      </w:r>
      <w:r w:rsidR="003956F1">
        <w:rPr>
          <w:rFonts w:ascii="Arial" w:hAnsi="Arial" w:cs="Arial"/>
          <w:sz w:val="24"/>
          <w:szCs w:val="24"/>
        </w:rPr>
        <w:t>There have been no tremendous changes in this association's resource turnover in recent years</w:t>
      </w:r>
      <w:r w:rsidRPr="00231DCB">
        <w:rPr>
          <w:rFonts w:ascii="Arial" w:hAnsi="Arial" w:cs="Arial"/>
          <w:sz w:val="24"/>
          <w:szCs w:val="24"/>
        </w:rPr>
        <w:t xml:space="preserve">. The association likewise has a moderately low resource turnover rate. Then again, the stock holding days productivity proportion represents the </w:t>
      </w:r>
      <w:r w:rsidR="002D2FAA" w:rsidRPr="00231DCB">
        <w:rPr>
          <w:rFonts w:ascii="Arial" w:hAnsi="Arial" w:cs="Arial"/>
          <w:sz w:val="24"/>
          <w:szCs w:val="24"/>
        </w:rPr>
        <w:t>number</w:t>
      </w:r>
      <w:r w:rsidRPr="00231DCB">
        <w:rPr>
          <w:rFonts w:ascii="Arial" w:hAnsi="Arial" w:cs="Arial"/>
          <w:sz w:val="24"/>
          <w:szCs w:val="24"/>
        </w:rPr>
        <w:t xml:space="preserve"> of days required by an organization to transform its inventories into incomes. Examination of this proportion for Sweets Plc shows that during 2020 and 2021, it expanded from 77.69 days to 79.88 days. This uncovers a little weakening in the business' stock administration viability</w:t>
      </w:r>
      <w:r w:rsidR="00775DA6">
        <w:rPr>
          <w:rFonts w:ascii="Arial" w:hAnsi="Arial" w:cs="Arial"/>
          <w:sz w:val="24"/>
          <w:szCs w:val="24"/>
        </w:rPr>
        <w:t xml:space="preserve"> (</w:t>
      </w:r>
      <w:proofErr w:type="spellStart"/>
      <w:r w:rsidR="00775DA6">
        <w:rPr>
          <w:rFonts w:ascii="Arial" w:hAnsi="Arial" w:cs="Arial"/>
          <w:sz w:val="24"/>
          <w:szCs w:val="24"/>
        </w:rPr>
        <w:t>Dvoulety</w:t>
      </w:r>
      <w:proofErr w:type="spellEnd"/>
      <w:r w:rsidR="00775DA6">
        <w:rPr>
          <w:rFonts w:ascii="Arial" w:hAnsi="Arial" w:cs="Arial"/>
          <w:sz w:val="24"/>
          <w:szCs w:val="24"/>
        </w:rPr>
        <w:t xml:space="preserve">, </w:t>
      </w:r>
      <w:proofErr w:type="spellStart"/>
      <w:r w:rsidR="00775DA6">
        <w:rPr>
          <w:rFonts w:ascii="Arial" w:hAnsi="Arial" w:cs="Arial"/>
          <w:sz w:val="24"/>
          <w:szCs w:val="24"/>
        </w:rPr>
        <w:t>Cadil</w:t>
      </w:r>
      <w:proofErr w:type="spellEnd"/>
      <w:r w:rsidR="00775DA6">
        <w:rPr>
          <w:rFonts w:ascii="Arial" w:hAnsi="Arial" w:cs="Arial"/>
          <w:sz w:val="24"/>
          <w:szCs w:val="24"/>
        </w:rPr>
        <w:t xml:space="preserve"> and </w:t>
      </w:r>
      <w:proofErr w:type="spellStart"/>
      <w:r w:rsidR="00775DA6">
        <w:rPr>
          <w:rFonts w:ascii="Arial" w:hAnsi="Arial" w:cs="Arial"/>
          <w:sz w:val="24"/>
          <w:szCs w:val="24"/>
        </w:rPr>
        <w:t>Mirosnik</w:t>
      </w:r>
      <w:proofErr w:type="spellEnd"/>
      <w:r w:rsidR="00775DA6">
        <w:rPr>
          <w:rFonts w:ascii="Arial" w:hAnsi="Arial" w:cs="Arial"/>
          <w:sz w:val="24"/>
          <w:szCs w:val="24"/>
        </w:rPr>
        <w:t>, 2019).</w:t>
      </w:r>
      <w:r w:rsidRPr="00231DCB">
        <w:rPr>
          <w:rFonts w:ascii="Arial" w:hAnsi="Arial" w:cs="Arial"/>
          <w:sz w:val="24"/>
          <w:szCs w:val="24"/>
        </w:rPr>
        <w:t xml:space="preserve"> </w:t>
      </w:r>
      <w:r w:rsidRPr="00231DCB">
        <w:rPr>
          <w:rFonts w:ascii="Arial" w:hAnsi="Arial" w:cs="Arial"/>
          <w:sz w:val="24"/>
          <w:szCs w:val="24"/>
        </w:rPr>
        <w:lastRenderedPageBreak/>
        <w:t xml:space="preserve">Furthermore, the association's stock administration proficiency is inferior since it requires more than 2.5 months for stockpiles to switch over completely to deals. The timeframe it takes for debt holders to be gathered is a proportion of an association's viability in overseeing borrowers. As indicated by an investigation of this proportion for Sweets Plc, somewhere in the range of 2020 and 2021, there was a decline from 72.93 days to 67.66 days. This recommends that the association's effectiveness in dealing with its account holders has expanded. The ongoing proportion is a liquidity proportion that demonstrates </w:t>
      </w:r>
      <w:r w:rsidR="003956F1">
        <w:rPr>
          <w:rFonts w:ascii="Arial" w:hAnsi="Arial" w:cs="Arial"/>
          <w:sz w:val="24"/>
          <w:szCs w:val="24"/>
        </w:rPr>
        <w:t>how well an enterprise can utilize its ongoing resources to pay down its obligations</w:t>
      </w:r>
      <w:r w:rsidR="00775DA6">
        <w:rPr>
          <w:rFonts w:ascii="Arial" w:hAnsi="Arial" w:cs="Arial"/>
          <w:sz w:val="24"/>
          <w:szCs w:val="24"/>
        </w:rPr>
        <w:t xml:space="preserve"> (Barker, et al, 2022).</w:t>
      </w:r>
      <w:r w:rsidRPr="00231DCB">
        <w:rPr>
          <w:rFonts w:ascii="Arial" w:hAnsi="Arial" w:cs="Arial"/>
          <w:sz w:val="24"/>
          <w:szCs w:val="24"/>
        </w:rPr>
        <w:t xml:space="preserve"> Investigation of this proportion for Sweets Plc shows that during 2020 and 2021, it changed from 0.77 to 0.92. Despite an improvement in this proportion, the ongoing proportion in the two years remains below average and recommends that the association has little liquidity. The equipping proportion is a proportion of an organization's dissolvability that uncovers its capacity to pay both short-and long haul credits. Nonetheless, the interest cover is a proportion that shows an organization's capacity to make interest instalments. Somewhere in the range of 2020 and 2021, Sweets plc's equipping proportion diminished from 71.13% to 68.28%, and its advantage cover went from 3.86 to 3.56. These actions show that the organization's dissolvability has expanded somewhere in the range of 2020 and 2021. To accomplish higher dissolvability, the organization's equipping proportion should be additionally gotten to the next level. The minor decrease in interest cover throughout the two years shows that the company needs to expand its advantage cover. Subsequently, Sweets Plc's profitability is solid generally speaking. The association's general monetary exhibition and position as far as adequacy and dissolvability are satisfactory. Be that as it may, Sweets plc's liquidity needs to increment immediately</w:t>
      </w:r>
      <w:r w:rsidR="00775DA6">
        <w:rPr>
          <w:rFonts w:ascii="Arial" w:hAnsi="Arial" w:cs="Arial"/>
          <w:sz w:val="24"/>
          <w:szCs w:val="24"/>
        </w:rPr>
        <w:t xml:space="preserve"> (Iqbal, Nawaz and Ehsan, 2019).</w:t>
      </w:r>
    </w:p>
    <w:p w14:paraId="1192028E" w14:textId="77777777" w:rsidR="009D4F7E" w:rsidRDefault="009D4F7E">
      <w:pPr>
        <w:rPr>
          <w:rFonts w:ascii="Arial" w:hAnsi="Arial" w:cs="Arial"/>
          <w:sz w:val="24"/>
          <w:szCs w:val="24"/>
        </w:rPr>
      </w:pPr>
      <w:r>
        <w:rPr>
          <w:rFonts w:ascii="Arial" w:hAnsi="Arial" w:cs="Arial"/>
          <w:sz w:val="24"/>
          <w:szCs w:val="24"/>
        </w:rPr>
        <w:br w:type="page"/>
      </w:r>
    </w:p>
    <w:p w14:paraId="7FF5CA96" w14:textId="081B1219" w:rsidR="00C767D4" w:rsidRPr="009D4F7E" w:rsidRDefault="00C767D4" w:rsidP="009D4F7E">
      <w:pPr>
        <w:pStyle w:val="Heading1"/>
      </w:pPr>
      <w:bookmarkStart w:id="10" w:name="_Toc121344201"/>
      <w:r w:rsidRPr="009D4F7E">
        <w:lastRenderedPageBreak/>
        <w:t>Conclusion:</w:t>
      </w:r>
      <w:bookmarkEnd w:id="10"/>
    </w:p>
    <w:p w14:paraId="2C6A5BD9" w14:textId="611DA334" w:rsidR="00C767D4" w:rsidRDefault="00C767D4" w:rsidP="00231DCB">
      <w:pPr>
        <w:spacing w:line="360" w:lineRule="auto"/>
        <w:jc w:val="both"/>
        <w:rPr>
          <w:rFonts w:ascii="Arial" w:hAnsi="Arial" w:cs="Arial"/>
          <w:sz w:val="24"/>
          <w:szCs w:val="24"/>
        </w:rPr>
      </w:pPr>
      <w:r w:rsidRPr="00231DCB">
        <w:rPr>
          <w:rFonts w:ascii="Arial" w:hAnsi="Arial" w:cs="Arial"/>
          <w:sz w:val="24"/>
          <w:szCs w:val="24"/>
        </w:rPr>
        <w:t xml:space="preserve">As a result, the review's decisions aid in comprehending and surveying the two central components of accounting—fiscal report planning and monetary proportions. Understanding how </w:t>
      </w:r>
      <w:r w:rsidR="002D2FAA" w:rsidRPr="00231DCB">
        <w:rPr>
          <w:rFonts w:ascii="Arial" w:hAnsi="Arial" w:cs="Arial"/>
          <w:sz w:val="24"/>
          <w:szCs w:val="24"/>
        </w:rPr>
        <w:t xml:space="preserve">to </w:t>
      </w:r>
      <w:r w:rsidRPr="00231DCB">
        <w:rPr>
          <w:rFonts w:ascii="Arial" w:hAnsi="Arial" w:cs="Arial"/>
          <w:sz w:val="24"/>
          <w:szCs w:val="24"/>
        </w:rPr>
        <w:t xml:space="preserve">budget summaries for a firm </w:t>
      </w:r>
      <w:r w:rsidR="003956F1">
        <w:rPr>
          <w:rFonts w:ascii="Arial" w:hAnsi="Arial" w:cs="Arial"/>
          <w:sz w:val="24"/>
          <w:szCs w:val="24"/>
        </w:rPr>
        <w:t xml:space="preserve">assisted with making </w:t>
      </w:r>
      <w:r w:rsidRPr="00231DCB">
        <w:rPr>
          <w:rFonts w:ascii="Arial" w:hAnsi="Arial" w:cs="Arial"/>
          <w:sz w:val="24"/>
          <w:szCs w:val="24"/>
        </w:rPr>
        <w:t xml:space="preserve">Wales Plc's fiscal reports. Moreover, the hidden reason for the assertion of </w:t>
      </w:r>
      <w:r w:rsidR="002D2FAA" w:rsidRPr="00231DCB">
        <w:rPr>
          <w:rFonts w:ascii="Arial" w:hAnsi="Arial" w:cs="Arial"/>
          <w:sz w:val="24"/>
          <w:szCs w:val="24"/>
        </w:rPr>
        <w:t xml:space="preserve">the </w:t>
      </w:r>
      <w:r w:rsidRPr="00231DCB">
        <w:rPr>
          <w:rFonts w:ascii="Arial" w:hAnsi="Arial" w:cs="Arial"/>
          <w:sz w:val="24"/>
          <w:szCs w:val="24"/>
        </w:rPr>
        <w:t>monetary position's steady equilibrium might be found. In any case, the proportion computation helped explain how monetary matters are not entirely settled. Proportions were useful in evaluating an organization's monetary accomplishments after some time as well as its general monetary status.</w:t>
      </w:r>
    </w:p>
    <w:p w14:paraId="54AEB286" w14:textId="4D039FB6" w:rsidR="009D4F7E" w:rsidRDefault="009D4F7E">
      <w:pPr>
        <w:rPr>
          <w:rFonts w:ascii="Arial" w:hAnsi="Arial" w:cs="Arial"/>
          <w:sz w:val="24"/>
          <w:szCs w:val="24"/>
        </w:rPr>
      </w:pPr>
      <w:r>
        <w:rPr>
          <w:rFonts w:ascii="Arial" w:hAnsi="Arial" w:cs="Arial"/>
          <w:sz w:val="24"/>
          <w:szCs w:val="24"/>
        </w:rPr>
        <w:br w:type="page"/>
      </w:r>
    </w:p>
    <w:p w14:paraId="1F12EB93" w14:textId="57415CF6" w:rsidR="009D4F7E" w:rsidRDefault="009D4F7E" w:rsidP="009D4F7E">
      <w:pPr>
        <w:pStyle w:val="Heading1"/>
      </w:pPr>
      <w:bookmarkStart w:id="11" w:name="_Toc121344202"/>
      <w:r>
        <w:lastRenderedPageBreak/>
        <w:t>References:</w:t>
      </w:r>
      <w:bookmarkEnd w:id="11"/>
    </w:p>
    <w:p w14:paraId="01981F64" w14:textId="77777777" w:rsidR="00775DA6" w:rsidRPr="00775DA6" w:rsidRDefault="00775DA6" w:rsidP="00775DA6">
      <w:pPr>
        <w:rPr>
          <w:lang w:val="en-GB"/>
        </w:rPr>
      </w:pPr>
    </w:p>
    <w:p w14:paraId="24DBA9CD" w14:textId="77777777" w:rsidR="00775DA6" w:rsidRPr="00775DA6" w:rsidRDefault="00775DA6" w:rsidP="00775DA6">
      <w:pPr>
        <w:spacing w:line="360" w:lineRule="auto"/>
        <w:jc w:val="both"/>
        <w:rPr>
          <w:rFonts w:ascii="Arial" w:hAnsi="Arial" w:cs="Arial"/>
          <w:color w:val="222222"/>
          <w:sz w:val="24"/>
          <w:szCs w:val="24"/>
          <w:shd w:val="clear" w:color="auto" w:fill="FFFFFF"/>
        </w:rPr>
      </w:pPr>
      <w:proofErr w:type="spellStart"/>
      <w:r w:rsidRPr="00775DA6">
        <w:rPr>
          <w:rFonts w:ascii="Arial" w:hAnsi="Arial" w:cs="Arial"/>
          <w:color w:val="222222"/>
          <w:sz w:val="24"/>
          <w:szCs w:val="24"/>
          <w:shd w:val="clear" w:color="auto" w:fill="FFFFFF"/>
        </w:rPr>
        <w:t>Almagtome</w:t>
      </w:r>
      <w:proofErr w:type="spellEnd"/>
      <w:r w:rsidRPr="00775DA6">
        <w:rPr>
          <w:rFonts w:ascii="Arial" w:hAnsi="Arial" w:cs="Arial"/>
          <w:color w:val="222222"/>
          <w:sz w:val="24"/>
          <w:szCs w:val="24"/>
          <w:shd w:val="clear" w:color="auto" w:fill="FFFFFF"/>
        </w:rPr>
        <w:t>, A., Shaker, A., Al-</w:t>
      </w:r>
      <w:proofErr w:type="spellStart"/>
      <w:r w:rsidRPr="00775DA6">
        <w:rPr>
          <w:rFonts w:ascii="Arial" w:hAnsi="Arial" w:cs="Arial"/>
          <w:color w:val="222222"/>
          <w:sz w:val="24"/>
          <w:szCs w:val="24"/>
          <w:shd w:val="clear" w:color="auto" w:fill="FFFFFF"/>
        </w:rPr>
        <w:t>Fatlawi</w:t>
      </w:r>
      <w:proofErr w:type="spellEnd"/>
      <w:r w:rsidRPr="00775DA6">
        <w:rPr>
          <w:rFonts w:ascii="Arial" w:hAnsi="Arial" w:cs="Arial"/>
          <w:color w:val="222222"/>
          <w:sz w:val="24"/>
          <w:szCs w:val="24"/>
          <w:shd w:val="clear" w:color="auto" w:fill="FFFFFF"/>
        </w:rPr>
        <w:t xml:space="preserve">, Q. and </w:t>
      </w:r>
      <w:proofErr w:type="spellStart"/>
      <w:r w:rsidRPr="00775DA6">
        <w:rPr>
          <w:rFonts w:ascii="Arial" w:hAnsi="Arial" w:cs="Arial"/>
          <w:color w:val="222222"/>
          <w:sz w:val="24"/>
          <w:szCs w:val="24"/>
          <w:shd w:val="clear" w:color="auto" w:fill="FFFFFF"/>
        </w:rPr>
        <w:t>Bekheet</w:t>
      </w:r>
      <w:proofErr w:type="spellEnd"/>
      <w:r w:rsidRPr="00775DA6">
        <w:rPr>
          <w:rFonts w:ascii="Arial" w:hAnsi="Arial" w:cs="Arial"/>
          <w:color w:val="222222"/>
          <w:sz w:val="24"/>
          <w:szCs w:val="24"/>
          <w:shd w:val="clear" w:color="auto" w:fill="FFFFFF"/>
        </w:rPr>
        <w:t>, H., (2019). The integration between financial sustainability and accountability in higher education institutions: an exploratory case study. </w:t>
      </w:r>
      <w:r w:rsidRPr="00775DA6">
        <w:rPr>
          <w:rFonts w:ascii="Arial" w:hAnsi="Arial" w:cs="Arial"/>
          <w:i/>
          <w:iCs/>
          <w:color w:val="222222"/>
          <w:sz w:val="24"/>
          <w:szCs w:val="24"/>
          <w:shd w:val="clear" w:color="auto" w:fill="FFFFFF"/>
        </w:rPr>
        <w:t>Integration</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8</w:t>
      </w:r>
      <w:r w:rsidRPr="00775DA6">
        <w:rPr>
          <w:rFonts w:ascii="Arial" w:hAnsi="Arial" w:cs="Arial"/>
          <w:color w:val="222222"/>
          <w:sz w:val="24"/>
          <w:szCs w:val="24"/>
          <w:shd w:val="clear" w:color="auto" w:fill="FFFFFF"/>
        </w:rPr>
        <w:t>(2), pp.202-221.</w:t>
      </w:r>
    </w:p>
    <w:p w14:paraId="1A0DF49E" w14:textId="77777777" w:rsidR="00775DA6" w:rsidRPr="00775DA6" w:rsidRDefault="00775DA6" w:rsidP="00775DA6">
      <w:pPr>
        <w:spacing w:line="360" w:lineRule="auto"/>
        <w:jc w:val="both"/>
        <w:rPr>
          <w:rFonts w:ascii="Arial" w:hAnsi="Arial" w:cs="Arial"/>
          <w:color w:val="222222"/>
          <w:sz w:val="24"/>
          <w:szCs w:val="24"/>
          <w:shd w:val="clear" w:color="auto" w:fill="FFFFFF"/>
        </w:rPr>
      </w:pPr>
      <w:r w:rsidRPr="00775DA6">
        <w:rPr>
          <w:rFonts w:ascii="Arial" w:hAnsi="Arial" w:cs="Arial"/>
          <w:color w:val="222222"/>
          <w:sz w:val="24"/>
          <w:szCs w:val="24"/>
          <w:shd w:val="clear" w:color="auto" w:fill="FFFFFF"/>
        </w:rPr>
        <w:t>Barker, R., Lennard, A., Penman, S. and Teixeira, A., (2022). Accounting for intangible assets: suggested solutions. </w:t>
      </w:r>
      <w:r w:rsidRPr="00775DA6">
        <w:rPr>
          <w:rFonts w:ascii="Arial" w:hAnsi="Arial" w:cs="Arial"/>
          <w:i/>
          <w:iCs/>
          <w:color w:val="222222"/>
          <w:sz w:val="24"/>
          <w:szCs w:val="24"/>
          <w:shd w:val="clear" w:color="auto" w:fill="FFFFFF"/>
        </w:rPr>
        <w:t>Accounting and Business Research</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52</w:t>
      </w:r>
      <w:r w:rsidRPr="00775DA6">
        <w:rPr>
          <w:rFonts w:ascii="Arial" w:hAnsi="Arial" w:cs="Arial"/>
          <w:color w:val="222222"/>
          <w:sz w:val="24"/>
          <w:szCs w:val="24"/>
          <w:shd w:val="clear" w:color="auto" w:fill="FFFFFF"/>
        </w:rPr>
        <w:t>(6), pp.601-630.</w:t>
      </w:r>
    </w:p>
    <w:p w14:paraId="246E0E64" w14:textId="5391548C" w:rsidR="00775DA6" w:rsidRPr="00775DA6" w:rsidRDefault="00775DA6" w:rsidP="00775DA6">
      <w:pPr>
        <w:spacing w:line="360" w:lineRule="auto"/>
        <w:jc w:val="both"/>
        <w:rPr>
          <w:rFonts w:ascii="Arial" w:hAnsi="Arial" w:cs="Arial"/>
          <w:color w:val="222222"/>
          <w:sz w:val="24"/>
          <w:szCs w:val="24"/>
          <w:shd w:val="clear" w:color="auto" w:fill="FFFFFF"/>
        </w:rPr>
      </w:pPr>
      <w:proofErr w:type="spellStart"/>
      <w:r w:rsidRPr="00775DA6">
        <w:rPr>
          <w:rFonts w:ascii="Arial" w:hAnsi="Arial" w:cs="Arial"/>
          <w:color w:val="222222"/>
          <w:sz w:val="24"/>
          <w:szCs w:val="24"/>
          <w:shd w:val="clear" w:color="auto" w:fill="FFFFFF"/>
        </w:rPr>
        <w:t>Dvouletý</w:t>
      </w:r>
      <w:proofErr w:type="spellEnd"/>
      <w:r w:rsidRPr="00775DA6">
        <w:rPr>
          <w:rFonts w:ascii="Arial" w:hAnsi="Arial" w:cs="Arial"/>
          <w:color w:val="222222"/>
          <w:sz w:val="24"/>
          <w:szCs w:val="24"/>
          <w:shd w:val="clear" w:color="auto" w:fill="FFFFFF"/>
        </w:rPr>
        <w:t xml:space="preserve">, O., </w:t>
      </w:r>
      <w:proofErr w:type="spellStart"/>
      <w:r w:rsidRPr="00775DA6">
        <w:rPr>
          <w:rFonts w:ascii="Arial" w:hAnsi="Arial" w:cs="Arial"/>
          <w:color w:val="222222"/>
          <w:sz w:val="24"/>
          <w:szCs w:val="24"/>
          <w:shd w:val="clear" w:color="auto" w:fill="FFFFFF"/>
        </w:rPr>
        <w:t>Čadil</w:t>
      </w:r>
      <w:proofErr w:type="spellEnd"/>
      <w:r w:rsidRPr="00775DA6">
        <w:rPr>
          <w:rFonts w:ascii="Arial" w:hAnsi="Arial" w:cs="Arial"/>
          <w:color w:val="222222"/>
          <w:sz w:val="24"/>
          <w:szCs w:val="24"/>
          <w:shd w:val="clear" w:color="auto" w:fill="FFFFFF"/>
        </w:rPr>
        <w:t xml:space="preserve">, J. and </w:t>
      </w:r>
      <w:proofErr w:type="spellStart"/>
      <w:r w:rsidRPr="00775DA6">
        <w:rPr>
          <w:rFonts w:ascii="Arial" w:hAnsi="Arial" w:cs="Arial"/>
          <w:color w:val="222222"/>
          <w:sz w:val="24"/>
          <w:szCs w:val="24"/>
          <w:shd w:val="clear" w:color="auto" w:fill="FFFFFF"/>
        </w:rPr>
        <w:t>Mirošník</w:t>
      </w:r>
      <w:proofErr w:type="spellEnd"/>
      <w:r w:rsidRPr="00775DA6">
        <w:rPr>
          <w:rFonts w:ascii="Arial" w:hAnsi="Arial" w:cs="Arial"/>
          <w:color w:val="222222"/>
          <w:sz w:val="24"/>
          <w:szCs w:val="24"/>
          <w:shd w:val="clear" w:color="auto" w:fill="FFFFFF"/>
        </w:rPr>
        <w:t>, K., (2019). Do firms supported by credit guarantee schemes report better financial results 2 years after the end of intervention</w:t>
      </w:r>
      <w:r w:rsidR="003956F1">
        <w:rPr>
          <w:rFonts w:ascii="Arial" w:hAnsi="Arial" w:cs="Arial"/>
          <w:color w:val="222222"/>
          <w:sz w:val="24"/>
          <w:szCs w:val="24"/>
          <w:shd w:val="clear" w:color="auto" w:fill="FFFFFF"/>
        </w:rPr>
        <w:t>?</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The BE Journal of Economic Analysis &amp; Policy</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19</w:t>
      </w:r>
      <w:r w:rsidRPr="00775DA6">
        <w:rPr>
          <w:rFonts w:ascii="Arial" w:hAnsi="Arial" w:cs="Arial"/>
          <w:color w:val="222222"/>
          <w:sz w:val="24"/>
          <w:szCs w:val="24"/>
          <w:shd w:val="clear" w:color="auto" w:fill="FFFFFF"/>
        </w:rPr>
        <w:t>(1).</w:t>
      </w:r>
    </w:p>
    <w:p w14:paraId="2D2AE6A0" w14:textId="77777777" w:rsidR="00775DA6" w:rsidRPr="00775DA6" w:rsidRDefault="00775DA6" w:rsidP="00775DA6">
      <w:pPr>
        <w:spacing w:line="360" w:lineRule="auto"/>
        <w:jc w:val="both"/>
        <w:rPr>
          <w:rFonts w:ascii="Arial" w:hAnsi="Arial" w:cs="Arial"/>
          <w:color w:val="222222"/>
          <w:sz w:val="24"/>
          <w:szCs w:val="24"/>
          <w:shd w:val="clear" w:color="auto" w:fill="FFFFFF"/>
        </w:rPr>
      </w:pPr>
      <w:r w:rsidRPr="00775DA6">
        <w:rPr>
          <w:rFonts w:ascii="Arial" w:hAnsi="Arial" w:cs="Arial"/>
          <w:color w:val="222222"/>
          <w:sz w:val="24"/>
          <w:szCs w:val="24"/>
          <w:shd w:val="clear" w:color="auto" w:fill="FFFFFF"/>
        </w:rPr>
        <w:t xml:space="preserve">Felipe, J., </w:t>
      </w:r>
      <w:proofErr w:type="spellStart"/>
      <w:r w:rsidRPr="00775DA6">
        <w:rPr>
          <w:rFonts w:ascii="Arial" w:hAnsi="Arial" w:cs="Arial"/>
          <w:color w:val="222222"/>
          <w:sz w:val="24"/>
          <w:szCs w:val="24"/>
          <w:shd w:val="clear" w:color="auto" w:fill="FFFFFF"/>
        </w:rPr>
        <w:t>Fullwiler</w:t>
      </w:r>
      <w:proofErr w:type="spellEnd"/>
      <w:r w:rsidRPr="00775DA6">
        <w:rPr>
          <w:rFonts w:ascii="Arial" w:hAnsi="Arial" w:cs="Arial"/>
          <w:color w:val="222222"/>
          <w:sz w:val="24"/>
          <w:szCs w:val="24"/>
          <w:shd w:val="clear" w:color="auto" w:fill="FFFFFF"/>
        </w:rPr>
        <w:t xml:space="preserve">, S. and </w:t>
      </w:r>
      <w:proofErr w:type="spellStart"/>
      <w:r w:rsidRPr="00775DA6">
        <w:rPr>
          <w:rFonts w:ascii="Arial" w:hAnsi="Arial" w:cs="Arial"/>
          <w:color w:val="222222"/>
          <w:sz w:val="24"/>
          <w:szCs w:val="24"/>
          <w:shd w:val="clear" w:color="auto" w:fill="FFFFFF"/>
        </w:rPr>
        <w:t>Yusoph</w:t>
      </w:r>
      <w:proofErr w:type="spellEnd"/>
      <w:r w:rsidRPr="00775DA6">
        <w:rPr>
          <w:rFonts w:ascii="Arial" w:hAnsi="Arial" w:cs="Arial"/>
          <w:color w:val="222222"/>
          <w:sz w:val="24"/>
          <w:szCs w:val="24"/>
          <w:shd w:val="clear" w:color="auto" w:fill="FFFFFF"/>
        </w:rPr>
        <w:t>, A.H., (2021). The ADB COVID-19 Policy Database: A Guide to Understanding Changes in Sectoral Balances and Private Sector Financial Positions in 2020. </w:t>
      </w:r>
      <w:r w:rsidRPr="00775DA6">
        <w:rPr>
          <w:rFonts w:ascii="Arial" w:hAnsi="Arial" w:cs="Arial"/>
          <w:i/>
          <w:iCs/>
          <w:color w:val="222222"/>
          <w:sz w:val="24"/>
          <w:szCs w:val="24"/>
          <w:shd w:val="clear" w:color="auto" w:fill="FFFFFF"/>
        </w:rPr>
        <w:t>Asian Development Review</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38</w:t>
      </w:r>
      <w:r w:rsidRPr="00775DA6">
        <w:rPr>
          <w:rFonts w:ascii="Arial" w:hAnsi="Arial" w:cs="Arial"/>
          <w:color w:val="222222"/>
          <w:sz w:val="24"/>
          <w:szCs w:val="24"/>
          <w:shd w:val="clear" w:color="auto" w:fill="FFFFFF"/>
        </w:rPr>
        <w:t>(02), pp.1-29.</w:t>
      </w:r>
    </w:p>
    <w:p w14:paraId="61DE48DC" w14:textId="77777777" w:rsidR="00775DA6" w:rsidRPr="00775DA6" w:rsidRDefault="00775DA6" w:rsidP="00775DA6">
      <w:pPr>
        <w:spacing w:line="360" w:lineRule="auto"/>
        <w:jc w:val="both"/>
        <w:rPr>
          <w:rFonts w:ascii="Arial" w:hAnsi="Arial" w:cs="Arial"/>
          <w:sz w:val="24"/>
          <w:szCs w:val="24"/>
        </w:rPr>
      </w:pPr>
      <w:r w:rsidRPr="00775DA6">
        <w:rPr>
          <w:rFonts w:ascii="Arial" w:hAnsi="Arial" w:cs="Arial"/>
          <w:color w:val="222222"/>
          <w:sz w:val="24"/>
          <w:szCs w:val="24"/>
          <w:shd w:val="clear" w:color="auto" w:fill="FFFFFF"/>
        </w:rPr>
        <w:t>Iqbal, S., Nawaz, A. and Ehsan, S., (2019). Financial performance and corporate governance in microfinance: Evidence from Asia. </w:t>
      </w:r>
      <w:r w:rsidRPr="00775DA6">
        <w:rPr>
          <w:rFonts w:ascii="Arial" w:hAnsi="Arial" w:cs="Arial"/>
          <w:i/>
          <w:iCs/>
          <w:color w:val="222222"/>
          <w:sz w:val="24"/>
          <w:szCs w:val="24"/>
          <w:shd w:val="clear" w:color="auto" w:fill="FFFFFF"/>
        </w:rPr>
        <w:t>Journal of Asian Economics</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60</w:t>
      </w:r>
      <w:r w:rsidRPr="00775DA6">
        <w:rPr>
          <w:rFonts w:ascii="Arial" w:hAnsi="Arial" w:cs="Arial"/>
          <w:color w:val="222222"/>
          <w:sz w:val="24"/>
          <w:szCs w:val="24"/>
          <w:shd w:val="clear" w:color="auto" w:fill="FFFFFF"/>
        </w:rPr>
        <w:t>, pp.1-13.</w:t>
      </w:r>
    </w:p>
    <w:p w14:paraId="279E1DBA" w14:textId="77777777" w:rsidR="00775DA6" w:rsidRPr="00775DA6" w:rsidRDefault="00775DA6" w:rsidP="00775DA6">
      <w:pPr>
        <w:spacing w:line="360" w:lineRule="auto"/>
        <w:jc w:val="both"/>
        <w:rPr>
          <w:rFonts w:ascii="Arial" w:hAnsi="Arial" w:cs="Arial"/>
          <w:color w:val="222222"/>
          <w:sz w:val="24"/>
          <w:szCs w:val="24"/>
          <w:shd w:val="clear" w:color="auto" w:fill="FFFFFF"/>
        </w:rPr>
      </w:pPr>
      <w:proofErr w:type="spellStart"/>
      <w:r w:rsidRPr="00775DA6">
        <w:rPr>
          <w:rFonts w:ascii="Arial" w:hAnsi="Arial" w:cs="Arial"/>
          <w:color w:val="222222"/>
          <w:sz w:val="24"/>
          <w:szCs w:val="24"/>
          <w:shd w:val="clear" w:color="auto" w:fill="FFFFFF"/>
        </w:rPr>
        <w:t>Jurakulovna</w:t>
      </w:r>
      <w:proofErr w:type="spellEnd"/>
      <w:r w:rsidRPr="00775DA6">
        <w:rPr>
          <w:rFonts w:ascii="Arial" w:hAnsi="Arial" w:cs="Arial"/>
          <w:color w:val="222222"/>
          <w:sz w:val="24"/>
          <w:szCs w:val="24"/>
          <w:shd w:val="clear" w:color="auto" w:fill="FFFFFF"/>
        </w:rPr>
        <w:t>, J.G., (2021). The Necessity and Theoretical Basis of Financial Statement Analysis in Modern Management. </w:t>
      </w:r>
      <w:r w:rsidRPr="00775DA6">
        <w:rPr>
          <w:rFonts w:ascii="Arial" w:hAnsi="Arial" w:cs="Arial"/>
          <w:i/>
          <w:iCs/>
          <w:color w:val="222222"/>
          <w:sz w:val="24"/>
          <w:szCs w:val="24"/>
          <w:shd w:val="clear" w:color="auto" w:fill="FFFFFF"/>
        </w:rPr>
        <w:t>Academic Journal of Digital Economics and Stability</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7</w:t>
      </w:r>
      <w:r w:rsidRPr="00775DA6">
        <w:rPr>
          <w:rFonts w:ascii="Arial" w:hAnsi="Arial" w:cs="Arial"/>
          <w:color w:val="222222"/>
          <w:sz w:val="24"/>
          <w:szCs w:val="24"/>
          <w:shd w:val="clear" w:color="auto" w:fill="FFFFFF"/>
        </w:rPr>
        <w:t>, pp.89-95.</w:t>
      </w:r>
    </w:p>
    <w:p w14:paraId="77E7416F" w14:textId="77777777" w:rsidR="00775DA6" w:rsidRPr="00775DA6" w:rsidRDefault="00775DA6" w:rsidP="00775DA6">
      <w:pPr>
        <w:spacing w:line="360" w:lineRule="auto"/>
        <w:jc w:val="both"/>
        <w:rPr>
          <w:rFonts w:ascii="Arial" w:hAnsi="Arial" w:cs="Arial"/>
          <w:color w:val="222222"/>
          <w:sz w:val="24"/>
          <w:szCs w:val="24"/>
          <w:shd w:val="clear" w:color="auto" w:fill="FFFFFF"/>
        </w:rPr>
      </w:pPr>
      <w:r w:rsidRPr="00775DA6">
        <w:rPr>
          <w:rFonts w:ascii="Arial" w:hAnsi="Arial" w:cs="Arial"/>
          <w:color w:val="222222"/>
          <w:sz w:val="24"/>
          <w:szCs w:val="24"/>
          <w:shd w:val="clear" w:color="auto" w:fill="FFFFFF"/>
        </w:rPr>
        <w:t>PICHNIAK, T., (2019). Methodological approaches to the analysis of an enterprise accounting balance. </w:t>
      </w:r>
      <w:r w:rsidRPr="00775DA6">
        <w:rPr>
          <w:rFonts w:ascii="Arial" w:hAnsi="Arial" w:cs="Arial"/>
          <w:i/>
          <w:iCs/>
          <w:color w:val="222222"/>
          <w:sz w:val="24"/>
          <w:szCs w:val="24"/>
          <w:shd w:val="clear" w:color="auto" w:fill="FFFFFF"/>
        </w:rPr>
        <w:t>EUROPEAN HUMANITIES STUDIES: State and Society</w:t>
      </w:r>
      <w:r w:rsidRPr="00775DA6">
        <w:rPr>
          <w:rFonts w:ascii="Arial" w:hAnsi="Arial" w:cs="Arial"/>
          <w:color w:val="222222"/>
          <w:sz w:val="24"/>
          <w:szCs w:val="24"/>
          <w:shd w:val="clear" w:color="auto" w:fill="FFFFFF"/>
        </w:rPr>
        <w:t>, (1 (II)), pp.284-294.</w:t>
      </w:r>
    </w:p>
    <w:p w14:paraId="7DC6297F" w14:textId="77777777" w:rsidR="00775DA6" w:rsidRPr="00775DA6" w:rsidRDefault="00775DA6" w:rsidP="00775DA6">
      <w:pPr>
        <w:spacing w:line="360" w:lineRule="auto"/>
        <w:jc w:val="both"/>
        <w:rPr>
          <w:rFonts w:ascii="Arial" w:hAnsi="Arial" w:cs="Arial"/>
          <w:color w:val="222222"/>
          <w:sz w:val="24"/>
          <w:szCs w:val="24"/>
          <w:shd w:val="clear" w:color="auto" w:fill="FFFFFF"/>
        </w:rPr>
      </w:pPr>
      <w:r w:rsidRPr="00775DA6">
        <w:rPr>
          <w:rFonts w:ascii="Arial" w:hAnsi="Arial" w:cs="Arial"/>
          <w:color w:val="222222"/>
          <w:sz w:val="24"/>
          <w:szCs w:val="24"/>
          <w:shd w:val="clear" w:color="auto" w:fill="FFFFFF"/>
        </w:rPr>
        <w:t>Robinson, T.R., (2020). </w:t>
      </w:r>
      <w:r w:rsidRPr="00775DA6">
        <w:rPr>
          <w:rFonts w:ascii="Arial" w:hAnsi="Arial" w:cs="Arial"/>
          <w:i/>
          <w:iCs/>
          <w:color w:val="222222"/>
          <w:sz w:val="24"/>
          <w:szCs w:val="24"/>
          <w:shd w:val="clear" w:color="auto" w:fill="FFFFFF"/>
        </w:rPr>
        <w:t>International financial statement analysis</w:t>
      </w:r>
      <w:r w:rsidRPr="00775DA6">
        <w:rPr>
          <w:rFonts w:ascii="Arial" w:hAnsi="Arial" w:cs="Arial"/>
          <w:color w:val="222222"/>
          <w:sz w:val="24"/>
          <w:szCs w:val="24"/>
          <w:shd w:val="clear" w:color="auto" w:fill="FFFFFF"/>
        </w:rPr>
        <w:t>. John Wiley &amp; Sons.</w:t>
      </w:r>
    </w:p>
    <w:p w14:paraId="3632D5D0" w14:textId="0AD2E88F" w:rsidR="00775DA6" w:rsidRPr="00775DA6" w:rsidRDefault="00775DA6" w:rsidP="00775DA6">
      <w:pPr>
        <w:spacing w:line="360" w:lineRule="auto"/>
        <w:jc w:val="both"/>
        <w:rPr>
          <w:rFonts w:ascii="Arial" w:hAnsi="Arial" w:cs="Arial"/>
          <w:color w:val="222222"/>
          <w:sz w:val="24"/>
          <w:szCs w:val="24"/>
          <w:shd w:val="clear" w:color="auto" w:fill="FFFFFF"/>
        </w:rPr>
      </w:pPr>
      <w:r w:rsidRPr="00775DA6">
        <w:rPr>
          <w:rFonts w:ascii="Arial" w:hAnsi="Arial" w:cs="Arial"/>
          <w:color w:val="222222"/>
          <w:sz w:val="24"/>
          <w:szCs w:val="24"/>
          <w:shd w:val="clear" w:color="auto" w:fill="FFFFFF"/>
        </w:rPr>
        <w:t xml:space="preserve">Shakil, M.H., Mahmood, N., </w:t>
      </w:r>
      <w:proofErr w:type="spellStart"/>
      <w:r w:rsidRPr="00775DA6">
        <w:rPr>
          <w:rFonts w:ascii="Arial" w:hAnsi="Arial" w:cs="Arial"/>
          <w:color w:val="222222"/>
          <w:sz w:val="24"/>
          <w:szCs w:val="24"/>
          <w:shd w:val="clear" w:color="auto" w:fill="FFFFFF"/>
        </w:rPr>
        <w:t>Tasnia</w:t>
      </w:r>
      <w:proofErr w:type="spellEnd"/>
      <w:r w:rsidRPr="00775DA6">
        <w:rPr>
          <w:rFonts w:ascii="Arial" w:hAnsi="Arial" w:cs="Arial"/>
          <w:color w:val="222222"/>
          <w:sz w:val="24"/>
          <w:szCs w:val="24"/>
          <w:shd w:val="clear" w:color="auto" w:fill="FFFFFF"/>
        </w:rPr>
        <w:t xml:space="preserve">, M. and </w:t>
      </w:r>
      <w:proofErr w:type="spellStart"/>
      <w:r w:rsidRPr="00775DA6">
        <w:rPr>
          <w:rFonts w:ascii="Arial" w:hAnsi="Arial" w:cs="Arial"/>
          <w:color w:val="222222"/>
          <w:sz w:val="24"/>
          <w:szCs w:val="24"/>
          <w:shd w:val="clear" w:color="auto" w:fill="FFFFFF"/>
        </w:rPr>
        <w:t>Munim</w:t>
      </w:r>
      <w:proofErr w:type="spellEnd"/>
      <w:r w:rsidRPr="00775DA6">
        <w:rPr>
          <w:rFonts w:ascii="Arial" w:hAnsi="Arial" w:cs="Arial"/>
          <w:color w:val="222222"/>
          <w:sz w:val="24"/>
          <w:szCs w:val="24"/>
          <w:shd w:val="clear" w:color="auto" w:fill="FFFFFF"/>
        </w:rPr>
        <w:t>, Z.H., (2019). Do environmental, social and governance performance affect the financial performance of banks? A cross-country study of emerging market banks. </w:t>
      </w:r>
      <w:r w:rsidRPr="00775DA6">
        <w:rPr>
          <w:rFonts w:ascii="Arial" w:hAnsi="Arial" w:cs="Arial"/>
          <w:i/>
          <w:iCs/>
          <w:color w:val="222222"/>
          <w:sz w:val="24"/>
          <w:szCs w:val="24"/>
          <w:shd w:val="clear" w:color="auto" w:fill="FFFFFF"/>
        </w:rPr>
        <w:t>Management of Environmental Quality: An International Journal</w:t>
      </w:r>
      <w:r w:rsidRPr="00775DA6">
        <w:rPr>
          <w:rFonts w:ascii="Arial" w:hAnsi="Arial" w:cs="Arial"/>
          <w:color w:val="222222"/>
          <w:sz w:val="24"/>
          <w:szCs w:val="24"/>
          <w:shd w:val="clear" w:color="auto" w:fill="FFFFFF"/>
        </w:rPr>
        <w:t xml:space="preserve">. </w:t>
      </w:r>
      <w:proofErr w:type="spellStart"/>
      <w:r w:rsidRPr="00775DA6">
        <w:rPr>
          <w:rFonts w:ascii="Arial" w:hAnsi="Arial" w:cs="Arial"/>
          <w:color w:val="222222"/>
          <w:sz w:val="24"/>
          <w:szCs w:val="24"/>
          <w:shd w:val="clear" w:color="auto" w:fill="FFFFFF"/>
        </w:rPr>
        <w:t>Chychyla</w:t>
      </w:r>
      <w:proofErr w:type="spellEnd"/>
      <w:r w:rsidRPr="00775DA6">
        <w:rPr>
          <w:rFonts w:ascii="Arial" w:hAnsi="Arial" w:cs="Arial"/>
          <w:color w:val="222222"/>
          <w:sz w:val="24"/>
          <w:szCs w:val="24"/>
          <w:shd w:val="clear" w:color="auto" w:fill="FFFFFF"/>
        </w:rPr>
        <w:t xml:space="preserve">, R., Leone, A.J. and </w:t>
      </w:r>
      <w:proofErr w:type="spellStart"/>
      <w:r w:rsidRPr="00775DA6">
        <w:rPr>
          <w:rFonts w:ascii="Arial" w:hAnsi="Arial" w:cs="Arial"/>
          <w:color w:val="222222"/>
          <w:sz w:val="24"/>
          <w:szCs w:val="24"/>
          <w:shd w:val="clear" w:color="auto" w:fill="FFFFFF"/>
        </w:rPr>
        <w:t>Minutti</w:t>
      </w:r>
      <w:proofErr w:type="spellEnd"/>
      <w:r w:rsidRPr="00775DA6">
        <w:rPr>
          <w:rFonts w:ascii="Arial" w:hAnsi="Arial" w:cs="Arial"/>
          <w:color w:val="222222"/>
          <w:sz w:val="24"/>
          <w:szCs w:val="24"/>
          <w:shd w:val="clear" w:color="auto" w:fill="FFFFFF"/>
        </w:rPr>
        <w:t xml:space="preserve">-Meza, M.,(2019). </w:t>
      </w:r>
      <w:r w:rsidR="003956F1">
        <w:rPr>
          <w:rFonts w:ascii="Arial" w:hAnsi="Arial" w:cs="Arial"/>
          <w:color w:val="222222"/>
          <w:sz w:val="24"/>
          <w:szCs w:val="24"/>
          <w:shd w:val="clear" w:color="auto" w:fill="FFFFFF"/>
        </w:rPr>
        <w:t>The complexity</w:t>
      </w:r>
      <w:r w:rsidRPr="00775DA6">
        <w:rPr>
          <w:rFonts w:ascii="Arial" w:hAnsi="Arial" w:cs="Arial"/>
          <w:color w:val="222222"/>
          <w:sz w:val="24"/>
          <w:szCs w:val="24"/>
          <w:shd w:val="clear" w:color="auto" w:fill="FFFFFF"/>
        </w:rPr>
        <w:t xml:space="preserve"> of financial reporting standards and accounting expertise. </w:t>
      </w:r>
      <w:r w:rsidRPr="00775DA6">
        <w:rPr>
          <w:rFonts w:ascii="Arial" w:hAnsi="Arial" w:cs="Arial"/>
          <w:i/>
          <w:iCs/>
          <w:color w:val="222222"/>
          <w:sz w:val="24"/>
          <w:szCs w:val="24"/>
          <w:shd w:val="clear" w:color="auto" w:fill="FFFFFF"/>
        </w:rPr>
        <w:t>Journal of Accounting and Economics</w:t>
      </w:r>
      <w:r w:rsidRPr="00775DA6">
        <w:rPr>
          <w:rFonts w:ascii="Arial" w:hAnsi="Arial" w:cs="Arial"/>
          <w:color w:val="222222"/>
          <w:sz w:val="24"/>
          <w:szCs w:val="24"/>
          <w:shd w:val="clear" w:color="auto" w:fill="FFFFFF"/>
        </w:rPr>
        <w:t>, </w:t>
      </w:r>
      <w:r w:rsidRPr="00775DA6">
        <w:rPr>
          <w:rFonts w:ascii="Arial" w:hAnsi="Arial" w:cs="Arial"/>
          <w:i/>
          <w:iCs/>
          <w:color w:val="222222"/>
          <w:sz w:val="24"/>
          <w:szCs w:val="24"/>
          <w:shd w:val="clear" w:color="auto" w:fill="FFFFFF"/>
        </w:rPr>
        <w:t>67</w:t>
      </w:r>
      <w:r w:rsidRPr="00775DA6">
        <w:rPr>
          <w:rFonts w:ascii="Arial" w:hAnsi="Arial" w:cs="Arial"/>
          <w:color w:val="222222"/>
          <w:sz w:val="24"/>
          <w:szCs w:val="24"/>
          <w:shd w:val="clear" w:color="auto" w:fill="FFFFFF"/>
        </w:rPr>
        <w:t>(1), pp.226-253.</w:t>
      </w:r>
    </w:p>
    <w:p w14:paraId="556C8B14" w14:textId="77777777" w:rsidR="009D4F7E" w:rsidRPr="00231DCB" w:rsidRDefault="009D4F7E" w:rsidP="00231DCB">
      <w:pPr>
        <w:spacing w:line="360" w:lineRule="auto"/>
        <w:jc w:val="both"/>
        <w:rPr>
          <w:rFonts w:ascii="Arial" w:hAnsi="Arial" w:cs="Arial"/>
          <w:sz w:val="24"/>
          <w:szCs w:val="24"/>
        </w:rPr>
      </w:pPr>
    </w:p>
    <w:p w14:paraId="17199EB4" w14:textId="77777777" w:rsidR="001E2498" w:rsidRPr="00231DCB" w:rsidRDefault="001E2498" w:rsidP="00231DCB">
      <w:pPr>
        <w:spacing w:line="360" w:lineRule="auto"/>
        <w:jc w:val="both"/>
        <w:rPr>
          <w:rFonts w:ascii="Arial" w:hAnsi="Arial" w:cs="Arial"/>
          <w:sz w:val="24"/>
          <w:szCs w:val="24"/>
        </w:rPr>
      </w:pPr>
    </w:p>
    <w:sectPr w:rsidR="001E2498" w:rsidRPr="00231D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D643D" w14:textId="77777777" w:rsidR="00C23C4D" w:rsidRDefault="00C23C4D" w:rsidP="00F32E2A">
      <w:pPr>
        <w:spacing w:after="0" w:line="240" w:lineRule="auto"/>
      </w:pPr>
      <w:r>
        <w:separator/>
      </w:r>
    </w:p>
  </w:endnote>
  <w:endnote w:type="continuationSeparator" w:id="0">
    <w:p w14:paraId="31158B32" w14:textId="77777777" w:rsidR="00C23C4D" w:rsidRDefault="00C23C4D" w:rsidP="00F32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A508D" w14:textId="77777777" w:rsidR="00C23C4D" w:rsidRDefault="00C23C4D" w:rsidP="00F32E2A">
      <w:pPr>
        <w:spacing w:after="0" w:line="240" w:lineRule="auto"/>
      </w:pPr>
      <w:r>
        <w:separator/>
      </w:r>
    </w:p>
  </w:footnote>
  <w:footnote w:type="continuationSeparator" w:id="0">
    <w:p w14:paraId="1776E8AA" w14:textId="77777777" w:rsidR="00C23C4D" w:rsidRDefault="00C23C4D" w:rsidP="00F32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34A3D"/>
    <w:multiLevelType w:val="hybridMultilevel"/>
    <w:tmpl w:val="D22A224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83099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E0MDEwNzAwMTMwMjBW0lEKTi0uzszPAykwrAUA/RiFKiwAAAA="/>
  </w:docVars>
  <w:rsids>
    <w:rsidRoot w:val="004D29C2"/>
    <w:rsid w:val="000652DD"/>
    <w:rsid w:val="00137D3B"/>
    <w:rsid w:val="001E2498"/>
    <w:rsid w:val="00231DCB"/>
    <w:rsid w:val="002D2FAA"/>
    <w:rsid w:val="003956F1"/>
    <w:rsid w:val="004D29C2"/>
    <w:rsid w:val="00775DA6"/>
    <w:rsid w:val="00900A25"/>
    <w:rsid w:val="009D4F7E"/>
    <w:rsid w:val="009D7451"/>
    <w:rsid w:val="00AB7C51"/>
    <w:rsid w:val="00C23C4D"/>
    <w:rsid w:val="00C767D4"/>
    <w:rsid w:val="00CA5244"/>
    <w:rsid w:val="00F32E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D87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31DCB"/>
    <w:pPr>
      <w:keepNext/>
      <w:keepLines/>
      <w:spacing w:before="480" w:after="0" w:line="360" w:lineRule="auto"/>
      <w:jc w:val="both"/>
      <w:outlineLvl w:val="0"/>
    </w:pPr>
    <w:rPr>
      <w:rFonts w:ascii="Arial" w:eastAsiaTheme="majorEastAsia" w:hAnsi="Arial" w:cs="Arial"/>
      <w:b/>
      <w:bCs/>
      <w:color w:val="000000" w:themeColor="text1"/>
      <w:sz w:val="24"/>
      <w:szCs w:val="24"/>
      <w:lang w:val="en-GB"/>
    </w:rPr>
  </w:style>
  <w:style w:type="paragraph" w:styleId="Heading2">
    <w:name w:val="heading 2"/>
    <w:basedOn w:val="Normal"/>
    <w:next w:val="Normal"/>
    <w:link w:val="Heading2Char"/>
    <w:autoRedefine/>
    <w:uiPriority w:val="9"/>
    <w:unhideWhenUsed/>
    <w:qFormat/>
    <w:rsid w:val="00231DCB"/>
    <w:pPr>
      <w:keepNext/>
      <w:keepLines/>
      <w:spacing w:before="200" w:after="0" w:line="360" w:lineRule="auto"/>
      <w:jc w:val="both"/>
      <w:outlineLvl w:val="1"/>
    </w:pPr>
    <w:rPr>
      <w:rFonts w:ascii="Arial" w:eastAsiaTheme="majorEastAsia" w:hAnsi="Arial" w:cs="Arial"/>
      <w:b/>
      <w:bCs/>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DCB"/>
    <w:rPr>
      <w:rFonts w:ascii="Arial" w:eastAsiaTheme="majorEastAsia" w:hAnsi="Arial" w:cs="Arial"/>
      <w:b/>
      <w:bCs/>
      <w:color w:val="000000" w:themeColor="text1"/>
      <w:sz w:val="24"/>
      <w:szCs w:val="24"/>
      <w:lang w:val="en-GB"/>
    </w:rPr>
  </w:style>
  <w:style w:type="character" w:customStyle="1" w:styleId="Heading2Char">
    <w:name w:val="Heading 2 Char"/>
    <w:basedOn w:val="DefaultParagraphFont"/>
    <w:link w:val="Heading2"/>
    <w:uiPriority w:val="9"/>
    <w:rsid w:val="00231DCB"/>
    <w:rPr>
      <w:rFonts w:ascii="Arial" w:eastAsiaTheme="majorEastAsia" w:hAnsi="Arial" w:cs="Arial"/>
      <w:b/>
      <w:bCs/>
      <w:color w:val="000000" w:themeColor="text1"/>
      <w:sz w:val="24"/>
      <w:szCs w:val="24"/>
      <w:lang w:val="en-GB"/>
    </w:rPr>
  </w:style>
  <w:style w:type="table" w:styleId="TableGrid">
    <w:name w:val="Table Grid"/>
    <w:basedOn w:val="TableNormal"/>
    <w:uiPriority w:val="59"/>
    <w:rsid w:val="004D29C2"/>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D4F7E"/>
    <w:pPr>
      <w:ind w:left="720"/>
      <w:contextualSpacing/>
    </w:pPr>
  </w:style>
  <w:style w:type="paragraph" w:styleId="Title">
    <w:name w:val="Title"/>
    <w:basedOn w:val="Normal"/>
    <w:next w:val="Normal"/>
    <w:link w:val="TitleChar"/>
    <w:autoRedefine/>
    <w:uiPriority w:val="10"/>
    <w:qFormat/>
    <w:rsid w:val="00775DA6"/>
    <w:pPr>
      <w:spacing w:after="0" w:line="240" w:lineRule="auto"/>
      <w:contextualSpacing/>
      <w:jc w:val="center"/>
    </w:pPr>
    <w:rPr>
      <w:rFonts w:ascii="Arial" w:eastAsiaTheme="majorEastAsia" w:hAnsi="Arial" w:cstheme="majorBidi"/>
      <w:b/>
      <w:color w:val="000000" w:themeColor="text1"/>
      <w:spacing w:val="-10"/>
      <w:kern w:val="28"/>
      <w:sz w:val="56"/>
      <w:szCs w:val="56"/>
    </w:rPr>
  </w:style>
  <w:style w:type="character" w:customStyle="1" w:styleId="TitleChar">
    <w:name w:val="Title Char"/>
    <w:basedOn w:val="DefaultParagraphFont"/>
    <w:link w:val="Title"/>
    <w:uiPriority w:val="10"/>
    <w:rsid w:val="00775DA6"/>
    <w:rPr>
      <w:rFonts w:ascii="Arial" w:eastAsiaTheme="majorEastAsia" w:hAnsi="Arial" w:cstheme="majorBidi"/>
      <w:b/>
      <w:color w:val="000000" w:themeColor="text1"/>
      <w:spacing w:val="-10"/>
      <w:kern w:val="28"/>
      <w:sz w:val="56"/>
      <w:szCs w:val="56"/>
    </w:rPr>
  </w:style>
  <w:style w:type="paragraph" w:styleId="TOCHeading">
    <w:name w:val="TOC Heading"/>
    <w:basedOn w:val="Heading1"/>
    <w:next w:val="Normal"/>
    <w:uiPriority w:val="39"/>
    <w:unhideWhenUsed/>
    <w:qFormat/>
    <w:rsid w:val="00775DA6"/>
    <w:pPr>
      <w:spacing w:before="240"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775DA6"/>
    <w:pPr>
      <w:spacing w:after="100"/>
    </w:pPr>
  </w:style>
  <w:style w:type="paragraph" w:styleId="TOC2">
    <w:name w:val="toc 2"/>
    <w:basedOn w:val="Normal"/>
    <w:next w:val="Normal"/>
    <w:autoRedefine/>
    <w:uiPriority w:val="39"/>
    <w:unhideWhenUsed/>
    <w:rsid w:val="00775DA6"/>
    <w:pPr>
      <w:spacing w:after="100"/>
      <w:ind w:left="220"/>
    </w:pPr>
  </w:style>
  <w:style w:type="character" w:styleId="Hyperlink">
    <w:name w:val="Hyperlink"/>
    <w:basedOn w:val="DefaultParagraphFont"/>
    <w:uiPriority w:val="99"/>
    <w:unhideWhenUsed/>
    <w:rsid w:val="00775DA6"/>
    <w:rPr>
      <w:color w:val="0563C1" w:themeColor="hyperlink"/>
      <w:u w:val="single"/>
    </w:rPr>
  </w:style>
  <w:style w:type="paragraph" w:styleId="Header">
    <w:name w:val="header"/>
    <w:basedOn w:val="Normal"/>
    <w:link w:val="HeaderChar"/>
    <w:uiPriority w:val="99"/>
    <w:unhideWhenUsed/>
    <w:rsid w:val="00F32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E2A"/>
  </w:style>
  <w:style w:type="paragraph" w:styleId="Footer">
    <w:name w:val="footer"/>
    <w:basedOn w:val="Normal"/>
    <w:link w:val="FooterChar"/>
    <w:uiPriority w:val="99"/>
    <w:unhideWhenUsed/>
    <w:rsid w:val="00F32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43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2847</Words>
  <Characters>16232</Characters>
  <Application>Microsoft Office Word</Application>
  <DocSecurity>0</DocSecurity>
  <Lines>135</Lines>
  <Paragraphs>38</Paragraphs>
  <ScaleCrop>false</ScaleCrop>
  <Company/>
  <LinksUpToDate>false</LinksUpToDate>
  <CharactersWithSpaces>19041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2022-12-07T16:53:00Z</dcterms:created>
  <dcterms:modified xsi:type="dcterms:W3CDTF">2022-12-18T16:59:00Z</dcterms:modified>
</cp:coreProperties>
</file>