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Competitor Ratio Analysis &amp; Benchmark Comparison</w:t>
      </w:r>
    </w:p>
    <w:p>
      <w:pPr>
        <w:pStyle w:val="Heading1"/>
      </w:pPr>
      <w:r>
        <w:t>Introduction</w:t>
      </w:r>
    </w:p>
    <w:p>
      <w:r>
        <w:t>This report provides a benchmark comparison for Marriott International, Inc. against two of its primary direct competitors: Hilton Worldwide Holdings Inc. (HLT) and Hyatt Hotels Corporation (H). The ratios reflect the latest fiscal year (2025) and assess profitability, investment returns, liquidity, and cash flow generation.</w:t>
      </w:r>
    </w:p>
    <w:p>
      <w:pPr>
        <w:pStyle w:val="Heading1"/>
      </w:pPr>
      <w:r>
        <w:t>Key Strengths</w:t>
      </w:r>
    </w:p>
    <w:p>
      <w:r>
        <w:rPr>
          <w:b/>
        </w:rPr>
        <w:t xml:space="preserve">1. Strong Cash Flow Generation: </w:t>
      </w:r>
      <w:r>
        <w:t>Marriott's Operating Cash Flow Ratio (0.38) and Free Cash Flow Margin (9.93%) outperform Hyatt and closely trail Hilton. This highlights highly efficient conversion of revenues into free cash flow, supporting ongoing capital returns and debt servicing.</w:t>
      </w:r>
    </w:p>
    <w:p>
      <w:r>
        <w:rPr>
          <w:b/>
        </w:rPr>
        <w:t xml:space="preserve">2. Solid Operational Profitability: </w:t>
      </w:r>
      <w:r>
        <w:t>With a Net Profit Margin of 9.90% and an Operating Margin of 15.80%, Marriott demonstrates stronger pricing power and cost control compared to Hyatt, operating comfortably above the industry average.</w:t>
      </w:r>
    </w:p>
    <w:p>
      <w:pPr>
        <w:pStyle w:val="Heading1"/>
      </w:pPr>
      <w:r>
        <w:t>Key Weaknesses / Risks</w:t>
      </w:r>
    </w:p>
    <w:p>
      <w:r>
        <w:rPr>
          <w:b/>
        </w:rPr>
        <w:t xml:space="preserve">1. Negative Equity / High Leverage Profile: </w:t>
      </w:r>
      <w:r>
        <w:t>Like Hilton, Marriott displays a negative Debt-to-Equity ratio due to aggressive share repurchases creating a total stockholders' deficit. While common in the franchise-heavy hotel industry, a Current Ratio of 0.43 (lower than Hyatt's 1.05) suggests tighter short-term liquidity, leaving less margin for error during macroeconomic downturns.</w:t>
      </w:r>
    </w:p>
    <w:p>
      <w:r>
        <w:rPr>
          <w:b/>
        </w:rPr>
        <w:t xml:space="preserve">2. Valuation Premium: </w:t>
      </w:r>
      <w:r>
        <w:t>Marriott trades at a Price-to-Earnings (P/E) multiple of 32.0x. While cheaper than Hilton (36.5x), it is notably more expensive than Hyatt (24.0x) and the industry average. This higher multiple demands consistent, high-end growth to justify investor expectations.</w:t>
      </w:r>
    </w:p>
    <w:p>
      <w:pPr>
        <w:pStyle w:val="Heading1"/>
      </w:pPr>
      <w:r>
        <w:t>Conclusion</w:t>
      </w:r>
    </w:p>
    <w:p>
      <w:r>
        <w:t>Marriott maintains a strong competitive position in the hospitality sector. While Hilton edges out Marriott slightly in overall margins and ROA, Marriott remains significantly more profitable and cash-generative than Hyatt. Management must, however, carefully monitor short-term liquidity (current ratio) and manage its highly leveraged balance sheet.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