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7822450"/>
        <w:docPartObj>
          <w:docPartGallery w:val="Cover Pages"/>
          <w:docPartUnique/>
        </w:docPartObj>
      </w:sdtPr>
      <w:sdtContent>
        <w:p w14:paraId="5796D729" w14:textId="78FE6B26" w:rsidR="00467A4F" w:rsidRDefault="00467A4F">
          <w:r>
            <w:rPr>
              <w:noProof/>
            </w:rPr>
            <mc:AlternateContent>
              <mc:Choice Requires="wpg">
                <w:drawing>
                  <wp:anchor distT="0" distB="0" distL="114300" distR="114300" simplePos="0" relativeHeight="251662336" behindDoc="0" locked="0" layoutInCell="1" allowOverlap="1" wp14:anchorId="50C911CA" wp14:editId="4CBC60A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76BB82"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1D5B512" wp14:editId="2E9066C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C57BAE" w14:textId="08A11227" w:rsidR="00467A4F" w:rsidRDefault="00467A4F">
                                    <w:pPr>
                                      <w:pStyle w:val="NoSpacing"/>
                                      <w:jc w:val="right"/>
                                      <w:rPr>
                                        <w:color w:val="595959" w:themeColor="text1" w:themeTint="A6"/>
                                        <w:sz w:val="28"/>
                                        <w:szCs w:val="28"/>
                                      </w:rPr>
                                    </w:pPr>
                                    <w:r>
                                      <w:rPr>
                                        <w:color w:val="595959" w:themeColor="text1" w:themeTint="A6"/>
                                        <w:sz w:val="28"/>
                                        <w:szCs w:val="28"/>
                                      </w:rPr>
                                      <w:t>Lucy Roche (1902211)</w:t>
                                    </w:r>
                                  </w:p>
                                </w:sdtContent>
                              </w:sdt>
                              <w:p w14:paraId="4D26BBE5" w14:textId="097A64E1" w:rsidR="00467A4F" w:rsidRDefault="00467A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1902211@student.uwtsd.ac.uk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1D5B512"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C57BAE" w14:textId="08A11227" w:rsidR="00467A4F" w:rsidRDefault="00467A4F">
                              <w:pPr>
                                <w:pStyle w:val="NoSpacing"/>
                                <w:jc w:val="right"/>
                                <w:rPr>
                                  <w:color w:val="595959" w:themeColor="text1" w:themeTint="A6"/>
                                  <w:sz w:val="28"/>
                                  <w:szCs w:val="28"/>
                                </w:rPr>
                              </w:pPr>
                              <w:r>
                                <w:rPr>
                                  <w:color w:val="595959" w:themeColor="text1" w:themeTint="A6"/>
                                  <w:sz w:val="28"/>
                                  <w:szCs w:val="28"/>
                                </w:rPr>
                                <w:t>Lucy Roche (1902211)</w:t>
                              </w:r>
                            </w:p>
                          </w:sdtContent>
                        </w:sdt>
                        <w:p w14:paraId="4D26BBE5" w14:textId="097A64E1" w:rsidR="00467A4F" w:rsidRDefault="00467A4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1902211@student.uwtsd.ac.uk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008F2B" wp14:editId="53618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09608" w14:textId="29C72027" w:rsidR="00467A4F" w:rsidRDefault="00467A4F">
                                <w:pPr>
                                  <w:jc w:val="right"/>
                                  <w:rPr>
                                    <w:color w:val="4472C4" w:themeColor="accent1"/>
                                    <w:sz w:val="64"/>
                                    <w:szCs w:val="64"/>
                                  </w:rPr>
                                </w:pPr>
                                <w:sdt>
                                  <w:sdtPr>
                                    <w:rPr>
                                      <w:rFonts w:ascii="Arial" w:eastAsia="Times New Roman" w:hAnsi="Arial" w:cs="Arial"/>
                                      <w:kern w:val="0"/>
                                      <w:sz w:val="24"/>
                                      <w:szCs w:val="2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7A4F">
                                      <w:rPr>
                                        <w:rFonts w:ascii="Arial" w:eastAsia="Times New Roman" w:hAnsi="Arial" w:cs="Arial"/>
                                        <w:kern w:val="0"/>
                                        <w:sz w:val="24"/>
                                        <w:szCs w:val="24"/>
                                        <w:lang w:eastAsia="en-GB"/>
                                        <w14:ligatures w14:val="none"/>
                                      </w:rPr>
                                      <w:t>Critically Evaluate the difficulties vulnerable victims may encounter within the criminal justice system.</w:t>
                                    </w:r>
                                  </w:sdtContent>
                                </w:sdt>
                              </w:p>
                              <w:p w14:paraId="66C87C22" w14:textId="2F732493" w:rsidR="00467A4F" w:rsidRDefault="00467A4F">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9008F2B"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6409608" w14:textId="29C72027" w:rsidR="00467A4F" w:rsidRDefault="00467A4F">
                          <w:pPr>
                            <w:jc w:val="right"/>
                            <w:rPr>
                              <w:color w:val="4472C4" w:themeColor="accent1"/>
                              <w:sz w:val="64"/>
                              <w:szCs w:val="64"/>
                            </w:rPr>
                          </w:pPr>
                          <w:sdt>
                            <w:sdtPr>
                              <w:rPr>
                                <w:rFonts w:ascii="Arial" w:eastAsia="Times New Roman" w:hAnsi="Arial" w:cs="Arial"/>
                                <w:kern w:val="0"/>
                                <w:sz w:val="24"/>
                                <w:szCs w:val="24"/>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67A4F">
                                <w:rPr>
                                  <w:rFonts w:ascii="Arial" w:eastAsia="Times New Roman" w:hAnsi="Arial" w:cs="Arial"/>
                                  <w:kern w:val="0"/>
                                  <w:sz w:val="24"/>
                                  <w:szCs w:val="24"/>
                                  <w:lang w:eastAsia="en-GB"/>
                                  <w14:ligatures w14:val="none"/>
                                </w:rPr>
                                <w:t>Critically Evaluate the difficulties vulnerable victims may encounter within the criminal justice system.</w:t>
                              </w:r>
                            </w:sdtContent>
                          </w:sdt>
                        </w:p>
                        <w:p w14:paraId="66C87C22" w14:textId="2F732493" w:rsidR="00467A4F" w:rsidRDefault="00467A4F">
                          <w:pPr>
                            <w:jc w:val="right"/>
                            <w:rPr>
                              <w:smallCaps/>
                              <w:color w:val="404040" w:themeColor="text1" w:themeTint="BF"/>
                              <w:sz w:val="36"/>
                              <w:szCs w:val="36"/>
                            </w:rPr>
                          </w:pPr>
                        </w:p>
                      </w:txbxContent>
                    </v:textbox>
                    <w10:wrap type="square" anchorx="page" anchory="page"/>
                  </v:shape>
                </w:pict>
              </mc:Fallback>
            </mc:AlternateContent>
          </w:r>
        </w:p>
        <w:p w14:paraId="53DD1041" w14:textId="73EDEF9B" w:rsidR="00467A4F" w:rsidRDefault="00467A4F">
          <w:r>
            <w:br w:type="page"/>
          </w:r>
        </w:p>
      </w:sdtContent>
    </w:sdt>
    <w:p w14:paraId="2DDB4A06" w14:textId="009F5166" w:rsidR="0043775E" w:rsidRPr="00504A51" w:rsidRDefault="0051094F" w:rsidP="00504A51">
      <w:pPr>
        <w:spacing w:line="480" w:lineRule="auto"/>
        <w:rPr>
          <w:rFonts w:ascii="Arial" w:hAnsi="Arial" w:cs="Arial"/>
          <w:sz w:val="24"/>
          <w:szCs w:val="24"/>
        </w:rPr>
      </w:pPr>
      <w:r w:rsidRPr="00504A51">
        <w:rPr>
          <w:rFonts w:ascii="Arial" w:hAnsi="Arial" w:cs="Arial"/>
          <w:sz w:val="24"/>
          <w:szCs w:val="24"/>
        </w:rPr>
        <w:lastRenderedPageBreak/>
        <w:t>In navigating the intricate terrain of vulnerability within society, it becomes imperative to critically evaluate the multifaceted challenges faced by vulnerable individuals within the criminal justice system. The fear of vulnerability, often rooted in past experiences of rejection, heartache, or judgment, serves as a powerful motivator, prompting heightened self-awareness and caution to avoid situations that may render one susceptible.</w:t>
      </w:r>
      <w:r w:rsidRPr="00504A51">
        <w:rPr>
          <w:rFonts w:ascii="Arial" w:hAnsi="Arial" w:cs="Arial"/>
          <w:sz w:val="24"/>
          <w:szCs w:val="24"/>
        </w:rPr>
        <w:t xml:space="preserve"> </w:t>
      </w:r>
      <w:r w:rsidRPr="00504A51">
        <w:rPr>
          <w:rFonts w:ascii="Arial" w:hAnsi="Arial" w:cs="Arial"/>
          <w:sz w:val="24"/>
          <w:szCs w:val="24"/>
        </w:rPr>
        <w:t xml:space="preserve">Underpinning this apprehension is the Mental Health Act of 1983 (Department of Health, 2015), which broadly defines vulnerable victims as those under 17 at the time of committing a criminal offense or individuals grappling with mental disorders. However, vulnerability extends beyond these parameters, encompassing various demographics—whether young or elderly, homeless, or contending with mental health challenges. This essay </w:t>
      </w:r>
      <w:r w:rsidRPr="00504A51">
        <w:rPr>
          <w:rFonts w:ascii="Arial" w:hAnsi="Arial" w:cs="Arial"/>
          <w:sz w:val="24"/>
          <w:szCs w:val="24"/>
        </w:rPr>
        <w:t>endeavours</w:t>
      </w:r>
      <w:r w:rsidRPr="00504A51">
        <w:rPr>
          <w:rFonts w:ascii="Arial" w:hAnsi="Arial" w:cs="Arial"/>
          <w:sz w:val="24"/>
          <w:szCs w:val="24"/>
        </w:rPr>
        <w:t xml:space="preserve"> to critically </w:t>
      </w:r>
      <w:r w:rsidRPr="00504A51">
        <w:rPr>
          <w:rFonts w:ascii="Arial" w:hAnsi="Arial" w:cs="Arial"/>
          <w:sz w:val="24"/>
          <w:szCs w:val="24"/>
        </w:rPr>
        <w:t>analyse</w:t>
      </w:r>
      <w:r w:rsidRPr="00504A51">
        <w:rPr>
          <w:rFonts w:ascii="Arial" w:hAnsi="Arial" w:cs="Arial"/>
          <w:sz w:val="24"/>
          <w:szCs w:val="24"/>
        </w:rPr>
        <w:t xml:space="preserve"> how individuals in society, marked by diverse vulnerabilities such as gender, age, mental health, and race, are prone to becoming victims of crime and, conversely, becoming drawn into criminality.</w:t>
      </w:r>
      <w:r w:rsidRPr="00504A51">
        <w:rPr>
          <w:rFonts w:ascii="Arial" w:hAnsi="Arial" w:cs="Arial"/>
          <w:sz w:val="24"/>
          <w:szCs w:val="24"/>
        </w:rPr>
        <w:t xml:space="preserve"> </w:t>
      </w:r>
      <w:r w:rsidRPr="00504A51">
        <w:rPr>
          <w:rFonts w:ascii="Arial" w:hAnsi="Arial" w:cs="Arial"/>
          <w:sz w:val="24"/>
          <w:szCs w:val="24"/>
        </w:rPr>
        <w:t>Examining vulnerability through the lens of gender and diversity, this essay aims to unravel the intricate web of challenges faced by distinct vulnerable groups within the criminal justice system</w:t>
      </w:r>
      <w:r w:rsidR="0043775E" w:rsidRPr="00504A51">
        <w:rPr>
          <w:rFonts w:ascii="Arial" w:hAnsi="Arial" w:cs="Arial"/>
          <w:sz w:val="24"/>
          <w:szCs w:val="24"/>
        </w:rPr>
        <w:t xml:space="preserve"> (Noy and Yonson, 2018)</w:t>
      </w:r>
      <w:r w:rsidRPr="00504A51">
        <w:rPr>
          <w:rFonts w:ascii="Arial" w:hAnsi="Arial" w:cs="Arial"/>
          <w:sz w:val="24"/>
          <w:szCs w:val="24"/>
        </w:rPr>
        <w:t>. By delving into the experiences of those grappling with mental health issues, the elderly, and young people,</w:t>
      </w:r>
      <w:r w:rsidR="00467A4F" w:rsidRPr="00504A51">
        <w:rPr>
          <w:rFonts w:ascii="Arial" w:hAnsi="Arial" w:cs="Arial"/>
          <w:sz w:val="24"/>
          <w:szCs w:val="24"/>
        </w:rPr>
        <w:t xml:space="preserve"> </w:t>
      </w:r>
      <w:r w:rsidRPr="00504A51">
        <w:rPr>
          <w:rFonts w:ascii="Arial" w:hAnsi="Arial" w:cs="Arial"/>
          <w:sz w:val="24"/>
          <w:szCs w:val="24"/>
        </w:rPr>
        <w:t>uncover</w:t>
      </w:r>
      <w:r w:rsidR="00467A4F" w:rsidRPr="00504A51">
        <w:rPr>
          <w:rFonts w:ascii="Arial" w:hAnsi="Arial" w:cs="Arial"/>
          <w:sz w:val="24"/>
          <w:szCs w:val="24"/>
        </w:rPr>
        <w:t>ing</w:t>
      </w:r>
      <w:r w:rsidRPr="00504A51">
        <w:rPr>
          <w:rFonts w:ascii="Arial" w:hAnsi="Arial" w:cs="Arial"/>
          <w:sz w:val="24"/>
          <w:szCs w:val="24"/>
        </w:rPr>
        <w:t xml:space="preserve"> the nuanced difficulties encountered by these groups. Moreover, explor</w:t>
      </w:r>
      <w:r w:rsidR="00467A4F" w:rsidRPr="00504A51">
        <w:rPr>
          <w:rFonts w:ascii="Arial" w:hAnsi="Arial" w:cs="Arial"/>
          <w:sz w:val="24"/>
          <w:szCs w:val="24"/>
        </w:rPr>
        <w:t>ing</w:t>
      </w:r>
      <w:r w:rsidRPr="00504A51">
        <w:rPr>
          <w:rFonts w:ascii="Arial" w:hAnsi="Arial" w:cs="Arial"/>
          <w:sz w:val="24"/>
          <w:szCs w:val="24"/>
        </w:rPr>
        <w:t xml:space="preserve"> additional factors contributing to vulnerability, such as socioeconomic disparities, racial inequalities, and systemic barriers that amplify the risk of victimization or involvement in criminal activities.</w:t>
      </w:r>
      <w:r w:rsidRPr="00504A51">
        <w:rPr>
          <w:rFonts w:ascii="Arial" w:hAnsi="Arial" w:cs="Arial"/>
          <w:sz w:val="24"/>
          <w:szCs w:val="24"/>
        </w:rPr>
        <w:t xml:space="preserve"> </w:t>
      </w:r>
      <w:r w:rsidRPr="00504A51">
        <w:rPr>
          <w:rFonts w:ascii="Arial" w:hAnsi="Arial" w:cs="Arial"/>
          <w:sz w:val="24"/>
          <w:szCs w:val="24"/>
        </w:rPr>
        <w:t>Through this analysis,</w:t>
      </w:r>
      <w:r w:rsidR="00467A4F" w:rsidRPr="00504A51">
        <w:rPr>
          <w:rFonts w:ascii="Arial" w:hAnsi="Arial" w:cs="Arial"/>
          <w:sz w:val="24"/>
          <w:szCs w:val="24"/>
        </w:rPr>
        <w:t xml:space="preserve"> it</w:t>
      </w:r>
      <w:r w:rsidRPr="00504A51">
        <w:rPr>
          <w:rFonts w:ascii="Arial" w:hAnsi="Arial" w:cs="Arial"/>
          <w:sz w:val="24"/>
          <w:szCs w:val="24"/>
        </w:rPr>
        <w:t xml:space="preserve"> will shed light on the interconnected factors that shape vulnerability in society, offering a comprehensive understanding of how these dynamics manifest within the criminal justice system. By doing so, </w:t>
      </w:r>
      <w:r w:rsidR="00467A4F" w:rsidRPr="00504A51">
        <w:rPr>
          <w:rFonts w:ascii="Arial" w:hAnsi="Arial" w:cs="Arial"/>
          <w:sz w:val="24"/>
          <w:szCs w:val="24"/>
        </w:rPr>
        <w:t xml:space="preserve">it </w:t>
      </w:r>
      <w:r w:rsidR="004A663F" w:rsidRPr="00504A51">
        <w:rPr>
          <w:rFonts w:ascii="Arial" w:hAnsi="Arial" w:cs="Arial"/>
          <w:sz w:val="24"/>
          <w:szCs w:val="24"/>
        </w:rPr>
        <w:t>aims</w:t>
      </w:r>
      <w:r w:rsidRPr="00504A51">
        <w:rPr>
          <w:rFonts w:ascii="Arial" w:hAnsi="Arial" w:cs="Arial"/>
          <w:sz w:val="24"/>
          <w:szCs w:val="24"/>
        </w:rPr>
        <w:t xml:space="preserve"> to contribute to the ongoing discourse surrounding the complexities of vulnerability and its implications for individuals navigating the legal framework designed to protect them</w:t>
      </w:r>
      <w:r w:rsidR="0043775E" w:rsidRPr="00504A51">
        <w:rPr>
          <w:rFonts w:ascii="Arial" w:hAnsi="Arial" w:cs="Arial"/>
          <w:sz w:val="24"/>
          <w:szCs w:val="24"/>
        </w:rPr>
        <w:t xml:space="preserve"> (Green, 2012)</w:t>
      </w:r>
      <w:r w:rsidRPr="00504A51">
        <w:rPr>
          <w:rFonts w:ascii="Arial" w:hAnsi="Arial" w:cs="Arial"/>
          <w:sz w:val="24"/>
          <w:szCs w:val="24"/>
        </w:rPr>
        <w:t>.</w:t>
      </w:r>
    </w:p>
    <w:p w14:paraId="30B26B99" w14:textId="7EDC0197" w:rsidR="00B935DF" w:rsidRPr="00504A51" w:rsidRDefault="00B935DF" w:rsidP="00504A51">
      <w:pPr>
        <w:spacing w:line="480" w:lineRule="auto"/>
        <w:rPr>
          <w:rFonts w:ascii="Arial" w:hAnsi="Arial" w:cs="Arial"/>
          <w:sz w:val="24"/>
          <w:szCs w:val="24"/>
        </w:rPr>
      </w:pPr>
      <w:r w:rsidRPr="00504A51">
        <w:rPr>
          <w:rFonts w:ascii="Arial" w:hAnsi="Arial" w:cs="Arial"/>
          <w:sz w:val="24"/>
          <w:szCs w:val="24"/>
        </w:rPr>
        <w:t>Exploring the multifaceted landscape of vulnerability in society demands an examination of the societal factors that contribute to individuals' susceptibility to victimization and involvement in criminal activities.</w:t>
      </w:r>
    </w:p>
    <w:p w14:paraId="3B705443" w14:textId="1D24E1E1" w:rsidR="0047127C" w:rsidRPr="00504A51" w:rsidRDefault="0047127C" w:rsidP="00504A51">
      <w:pPr>
        <w:spacing w:line="480" w:lineRule="auto"/>
        <w:rPr>
          <w:rFonts w:ascii="Arial" w:hAnsi="Arial" w:cs="Arial"/>
          <w:sz w:val="24"/>
          <w:szCs w:val="24"/>
        </w:rPr>
      </w:pPr>
      <w:r w:rsidRPr="00504A51">
        <w:rPr>
          <w:rFonts w:ascii="Arial" w:hAnsi="Arial" w:cs="Arial"/>
          <w:sz w:val="24"/>
          <w:szCs w:val="24"/>
        </w:rPr>
        <w:t>Stigmatisation, which is deeply embedded in society views, has a substantial impact on the vulnerability of certain populations. In "Purity and Danger," Douglas (2002) investigates how symbolic cultural norms lead to the stigmatisation of deviance. This explains how cultural standards may become tools for discrimination, influencing interactions inside the criminal justice system.</w:t>
      </w:r>
      <w:r w:rsidRPr="00504A51">
        <w:rPr>
          <w:rFonts w:ascii="Arial" w:hAnsi="Arial" w:cs="Arial"/>
          <w:sz w:val="24"/>
          <w:szCs w:val="24"/>
        </w:rPr>
        <w:t xml:space="preserve"> </w:t>
      </w:r>
      <w:r w:rsidRPr="00504A51">
        <w:rPr>
          <w:rFonts w:ascii="Arial" w:hAnsi="Arial" w:cs="Arial"/>
          <w:sz w:val="24"/>
          <w:szCs w:val="24"/>
        </w:rPr>
        <w:t>Douglas' (2002) discoveries expose the symbolic basis of cultural standards that label some behaviours as "pure" or "dangerous." Deviations, such as those linked to mental health or socioeconomic status, lead to stigmatisation, worsening affected populations' vulnerability. Recognising this dynamic is critical in resolving systemic difficulties within the criminal justice system, emphasising the need of challenging cultural norms that lead to vulnerable communities' marginalisation.</w:t>
      </w:r>
    </w:p>
    <w:p w14:paraId="309BB21E" w14:textId="177B032D" w:rsidR="0047127C" w:rsidRPr="00504A51" w:rsidRDefault="0047127C" w:rsidP="00504A51">
      <w:pPr>
        <w:spacing w:line="480" w:lineRule="auto"/>
        <w:rPr>
          <w:rFonts w:ascii="Arial" w:hAnsi="Arial" w:cs="Arial"/>
          <w:sz w:val="24"/>
          <w:szCs w:val="24"/>
        </w:rPr>
      </w:pPr>
      <w:r w:rsidRPr="00504A51">
        <w:rPr>
          <w:rFonts w:ascii="Arial" w:hAnsi="Arial" w:cs="Arial"/>
          <w:sz w:val="24"/>
          <w:szCs w:val="24"/>
        </w:rPr>
        <w:t>Individuals with a history of mental health illnesses, for example, may encounter stigma, which affects not only their self-esteem but also shapes attitudes within the criminal justice system (Herman, 2003). The stigma associated with mental health can lead to misunderstanding of behaviours, which can lead to victimisation or unfair prosecution.</w:t>
      </w:r>
    </w:p>
    <w:p w14:paraId="2870F6E7" w14:textId="0506B40B" w:rsidR="00A96A96" w:rsidRPr="00504A51" w:rsidRDefault="0047127C" w:rsidP="00504A51">
      <w:pPr>
        <w:spacing w:line="480" w:lineRule="auto"/>
        <w:rPr>
          <w:rFonts w:ascii="Arial" w:hAnsi="Arial" w:cs="Arial"/>
          <w:sz w:val="24"/>
          <w:szCs w:val="24"/>
        </w:rPr>
      </w:pPr>
      <w:r w:rsidRPr="00504A51">
        <w:rPr>
          <w:rFonts w:ascii="Arial" w:hAnsi="Arial" w:cs="Arial"/>
          <w:sz w:val="24"/>
          <w:szCs w:val="24"/>
        </w:rPr>
        <w:t xml:space="preserve">Stereotypes increase vulnerability by categorising people as criminals based on their ethnicity, gender, or socioeconomic background. Gilroy (2013) examines racial stereotypes in "There Ain't No Black in the Union Jack," emphasising the need of confronting preconceptions that contribute to the disproportionate presence of Black people in the criminal justice system. Gilroy's (2013) research deconstructs the historical underpinnings of racial stereotypes, demonstrating how embedded biases sustain systemic injustices. These preconceptions not only influence public attitudes, but they also </w:t>
      </w:r>
      <w:r w:rsidR="0064382E" w:rsidRPr="00504A51">
        <w:rPr>
          <w:rFonts w:ascii="Arial" w:hAnsi="Arial" w:cs="Arial"/>
          <w:sz w:val="24"/>
          <w:szCs w:val="24"/>
        </w:rPr>
        <w:t>penetrate</w:t>
      </w:r>
      <w:r w:rsidRPr="00504A51">
        <w:rPr>
          <w:rFonts w:ascii="Arial" w:hAnsi="Arial" w:cs="Arial"/>
          <w:sz w:val="24"/>
          <w:szCs w:val="24"/>
        </w:rPr>
        <w:t xml:space="preserve"> institutional practises, influencing how vulnerable populations are treated (MacLin and Herrera, 2006). Understanding this link is critical for eradicating discriminatory practises in the criminal justice system and establishing an atmosphere in which individuals are not unfairly targeted based on preconceived assumptions.</w:t>
      </w:r>
    </w:p>
    <w:p w14:paraId="4FF71213" w14:textId="44FC6194" w:rsidR="00A96A96" w:rsidRPr="00504A51" w:rsidRDefault="00A96A96" w:rsidP="00504A51">
      <w:pPr>
        <w:spacing w:line="480" w:lineRule="auto"/>
        <w:rPr>
          <w:rFonts w:ascii="Arial" w:hAnsi="Arial" w:cs="Arial"/>
          <w:sz w:val="24"/>
          <w:szCs w:val="24"/>
        </w:rPr>
      </w:pPr>
      <w:r w:rsidRPr="00504A51">
        <w:rPr>
          <w:rFonts w:ascii="Arial" w:hAnsi="Arial" w:cs="Arial"/>
          <w:sz w:val="24"/>
          <w:szCs w:val="24"/>
        </w:rPr>
        <w:t>In line with what has already been said, Crenshaw's (2013) idea of intersectionality adds a nuanced viewpoint to the understanding of vulnerability. This theory recognises that people have several overlapping identities, each of which contributes to their vulnerability in a unique way. "Demarginalizing the Intersection of Race and Sex: A Black Feminist Critique of Antidiscrimination Doctrine, Feminist Theory, and Antiracist Politics," by Crenshaw (2013), offers the groundwork for recognising the complexities of vulnerability among various groups.</w:t>
      </w:r>
      <w:r w:rsidRPr="00504A51">
        <w:rPr>
          <w:rFonts w:ascii="Arial" w:hAnsi="Arial" w:cs="Arial"/>
          <w:sz w:val="24"/>
          <w:szCs w:val="24"/>
        </w:rPr>
        <w:t xml:space="preserve"> </w:t>
      </w:r>
      <w:r w:rsidRPr="00504A51">
        <w:rPr>
          <w:rFonts w:ascii="Arial" w:hAnsi="Arial" w:cs="Arial"/>
          <w:sz w:val="24"/>
          <w:szCs w:val="24"/>
        </w:rPr>
        <w:t xml:space="preserve">When applied to the realities of those navigating the criminal justice system, Crenshaw's (2013) findings become more relevant. Given the interplay of race and gender, a Black woman has vulnerabilities that a white woman does not (Patel, 2018). This complex interplay of identities highlights the importance of a personalised strategy within the criminal justice system that </w:t>
      </w:r>
      <w:r w:rsidR="00667BB0" w:rsidRPr="00504A51">
        <w:rPr>
          <w:rFonts w:ascii="Arial" w:hAnsi="Arial" w:cs="Arial"/>
          <w:sz w:val="24"/>
          <w:szCs w:val="24"/>
        </w:rPr>
        <w:t>considers</w:t>
      </w:r>
      <w:r w:rsidRPr="00504A51">
        <w:rPr>
          <w:rFonts w:ascii="Arial" w:hAnsi="Arial" w:cs="Arial"/>
          <w:sz w:val="24"/>
          <w:szCs w:val="24"/>
        </w:rPr>
        <w:t xml:space="preserve"> the diverse character of vulnerability. Addressing these intersections promotes a more thorough knowledge and response to the issues encountered by various persons, resulting in a fairer and more equal society</w:t>
      </w:r>
      <w:r w:rsidR="00504A51" w:rsidRPr="00504A51">
        <w:rPr>
          <w:rFonts w:ascii="Arial" w:hAnsi="Arial" w:cs="Arial"/>
          <w:sz w:val="24"/>
          <w:szCs w:val="24"/>
        </w:rPr>
        <w:t xml:space="preserve"> (Levitas, 1998)</w:t>
      </w:r>
      <w:r w:rsidRPr="00504A51">
        <w:rPr>
          <w:rFonts w:ascii="Arial" w:hAnsi="Arial" w:cs="Arial"/>
          <w:sz w:val="24"/>
          <w:szCs w:val="24"/>
        </w:rPr>
        <w:t>.</w:t>
      </w:r>
    </w:p>
    <w:p w14:paraId="1B9ED523" w14:textId="77777777" w:rsidR="004202FA" w:rsidRPr="00504A51" w:rsidRDefault="004202FA" w:rsidP="00504A51">
      <w:pPr>
        <w:spacing w:line="480" w:lineRule="auto"/>
        <w:rPr>
          <w:rFonts w:ascii="Arial" w:hAnsi="Arial" w:cs="Arial"/>
          <w:sz w:val="24"/>
          <w:szCs w:val="24"/>
        </w:rPr>
      </w:pPr>
      <w:r w:rsidRPr="00504A51">
        <w:rPr>
          <w:rFonts w:ascii="Arial" w:hAnsi="Arial" w:cs="Arial"/>
          <w:sz w:val="24"/>
          <w:szCs w:val="24"/>
        </w:rPr>
        <w:t>In addition to race and ethnicity, the LGBTQ+ population suffers unique vulnerabilities influenced by cultural prejudices, as explained by London-based professor Jeffrey Weeks (2007). Weeks (2007) goes into the complexities of sexual orientation and gender identity in his work "The World We Have Won: The Remaking of Erotic and Intimate Life," uncovering the specific pressures encountered by members within this group.</w:t>
      </w:r>
      <w:r w:rsidRPr="00504A51">
        <w:rPr>
          <w:rFonts w:ascii="Arial" w:hAnsi="Arial" w:cs="Arial"/>
          <w:sz w:val="24"/>
          <w:szCs w:val="24"/>
        </w:rPr>
        <w:t xml:space="preserve"> </w:t>
      </w:r>
      <w:r w:rsidRPr="00504A51">
        <w:rPr>
          <w:rFonts w:ascii="Arial" w:hAnsi="Arial" w:cs="Arial"/>
          <w:sz w:val="24"/>
          <w:szCs w:val="24"/>
        </w:rPr>
        <w:t>Weeks' (2007) research reveals how social prejudices, embedded in norms and attitudes, contribute to LGBTQ+ people's vulnerability in the criminal justice system. The confluence of sexual orientation and gender identity puts people at risk for mental health issues (Cops and Pleysier, 2010). This vulnerability connects cultural prejudices, mental health concerns, and the possibility of criminal victimisation. Recognising these intersections is critical for developing policies and practises that address the unique issues encountered by the LGBTQ+ population, resulting in a more inclusive and responsive criminal justice system (Kruttschnitt, 2013)</w:t>
      </w:r>
    </w:p>
    <w:p w14:paraId="2EAC9C45" w14:textId="77777777" w:rsidR="00C40AEE" w:rsidRPr="00504A51" w:rsidRDefault="00C40AEE" w:rsidP="00504A51">
      <w:pPr>
        <w:spacing w:line="480" w:lineRule="auto"/>
        <w:rPr>
          <w:rFonts w:ascii="Arial" w:hAnsi="Arial" w:cs="Arial"/>
          <w:sz w:val="24"/>
          <w:szCs w:val="24"/>
        </w:rPr>
      </w:pPr>
    </w:p>
    <w:p w14:paraId="5CBEFE55" w14:textId="414281AC" w:rsidR="00C40AEE" w:rsidRPr="00504A51" w:rsidRDefault="00C40AEE" w:rsidP="00504A51">
      <w:pPr>
        <w:spacing w:line="480" w:lineRule="auto"/>
        <w:rPr>
          <w:rFonts w:ascii="Arial" w:hAnsi="Arial" w:cs="Arial"/>
          <w:sz w:val="24"/>
          <w:szCs w:val="24"/>
        </w:rPr>
      </w:pPr>
      <w:r w:rsidRPr="00504A51">
        <w:rPr>
          <w:rFonts w:ascii="Arial" w:hAnsi="Arial" w:cs="Arial"/>
          <w:sz w:val="24"/>
          <w:szCs w:val="24"/>
        </w:rPr>
        <w:t xml:space="preserve">The investigation of sociocultural elements that contribute to vulnerability highlights the complex processes that influence individuals inside the criminal justice system. The environment of vulnerability is shaped by stigmatisation, prejudices, and the sophisticated idea of intersectionality. As Mary Douglas and Jeffrey Weeks discuss the symbolic components of cultural standards and the </w:t>
      </w:r>
      <w:r w:rsidR="0064382E" w:rsidRPr="00504A51">
        <w:rPr>
          <w:rFonts w:ascii="Arial" w:hAnsi="Arial" w:cs="Arial"/>
          <w:sz w:val="24"/>
          <w:szCs w:val="24"/>
        </w:rPr>
        <w:t>pressures</w:t>
      </w:r>
      <w:r w:rsidRPr="00504A51">
        <w:rPr>
          <w:rFonts w:ascii="Arial" w:hAnsi="Arial" w:cs="Arial"/>
          <w:sz w:val="24"/>
          <w:szCs w:val="24"/>
        </w:rPr>
        <w:t xml:space="preserve"> encountered by the LGBTQ+ population, it becomes clear that treating vulnerability necessitates a holistic approach.</w:t>
      </w:r>
    </w:p>
    <w:p w14:paraId="6F9C704E" w14:textId="5031F9DA" w:rsidR="00C40AEE" w:rsidRPr="00504A51" w:rsidRDefault="00C40AEE" w:rsidP="00504A51">
      <w:pPr>
        <w:spacing w:line="480" w:lineRule="auto"/>
        <w:rPr>
          <w:rFonts w:ascii="Arial" w:hAnsi="Arial" w:cs="Arial"/>
          <w:sz w:val="24"/>
          <w:szCs w:val="24"/>
        </w:rPr>
      </w:pPr>
      <w:r w:rsidRPr="00504A51">
        <w:rPr>
          <w:rFonts w:ascii="Arial" w:hAnsi="Arial" w:cs="Arial"/>
          <w:sz w:val="24"/>
          <w:szCs w:val="24"/>
        </w:rPr>
        <w:t>Moving on from these societal roots, the emphasis is now on the role of institutional variables in sustaining or easing vulnerability within the criminal justice system. The article then goes into the influence of institutional responses, emphasising the critical function of support services and the importance of legislative frameworks in moulding vulnerable persons' lives. This investigation seeks to unearth the intricacies buried in institutional structures and policies, shining light on the potential and problems they bring in the pursuit of a just and equitable criminal justice system.</w:t>
      </w:r>
    </w:p>
    <w:p w14:paraId="462B9FB9" w14:textId="77777777" w:rsidR="00AD13AF" w:rsidRPr="00504A51" w:rsidRDefault="00AD13AF" w:rsidP="00504A51">
      <w:pPr>
        <w:spacing w:line="480" w:lineRule="auto"/>
        <w:rPr>
          <w:rFonts w:ascii="Arial" w:hAnsi="Arial" w:cs="Arial"/>
          <w:sz w:val="24"/>
          <w:szCs w:val="24"/>
        </w:rPr>
      </w:pPr>
      <w:r w:rsidRPr="00504A51">
        <w:rPr>
          <w:rFonts w:ascii="Arial" w:hAnsi="Arial" w:cs="Arial"/>
          <w:sz w:val="24"/>
          <w:szCs w:val="24"/>
        </w:rPr>
        <w:t>The investigation of vulnerability within the criminal justice system goes beyond sociocultural factors to include the legal and policy frameworks that control criminal and victimisation responses. This section examines existing legal and policy frameworks critically, assessing their effectiveness in addressing the unique requirements of vulnerable people.</w:t>
      </w:r>
    </w:p>
    <w:p w14:paraId="78CA254C" w14:textId="77777777" w:rsidR="00AD13AF" w:rsidRPr="00504A51" w:rsidRDefault="00AD13AF" w:rsidP="00504A51">
      <w:pPr>
        <w:spacing w:line="480" w:lineRule="auto"/>
        <w:rPr>
          <w:rFonts w:ascii="Arial" w:hAnsi="Arial" w:cs="Arial"/>
          <w:sz w:val="24"/>
          <w:szCs w:val="24"/>
        </w:rPr>
      </w:pPr>
      <w:r w:rsidRPr="00504A51">
        <w:rPr>
          <w:rFonts w:ascii="Arial" w:hAnsi="Arial" w:cs="Arial"/>
          <w:sz w:val="24"/>
          <w:szCs w:val="24"/>
        </w:rPr>
        <w:t>Legal frameworks, which are intended to promote justice and fairness, have an important role in influencing the experiences of vulnerable people in the criminal justice system. Existing law, such as the Mental Health Act of 1983, seeks to define the bounds of vulnerability by classifying vulnerable victims as those under the age of 17 or those suffering from a mental disease (Department of Health, 2015). The efficacy of such frameworks, however, is dependent on their deployment and adaptation to various weaknesses.</w:t>
      </w:r>
    </w:p>
    <w:p w14:paraId="6199CFF8" w14:textId="5BA20BE9" w:rsidR="00C40AEE" w:rsidRPr="00504A51" w:rsidRDefault="00AD13AF" w:rsidP="00504A51">
      <w:pPr>
        <w:spacing w:line="480" w:lineRule="auto"/>
        <w:rPr>
          <w:rFonts w:ascii="Arial" w:hAnsi="Arial" w:cs="Arial"/>
          <w:sz w:val="24"/>
          <w:szCs w:val="24"/>
        </w:rPr>
      </w:pPr>
      <w:r w:rsidRPr="00504A51">
        <w:rPr>
          <w:rFonts w:ascii="Arial" w:hAnsi="Arial" w:cs="Arial"/>
          <w:sz w:val="24"/>
          <w:szCs w:val="24"/>
        </w:rPr>
        <w:t>Victim-protection policies, such as those articulated in recent years by the governments of England and Wales (Home Office, 2002; Ministry of Justice, 2012), demonstrate a commitment to prioritising victims within the criminal justice agenda. The question is whether these policies go far enough in addressing the diverse needs of many disadvantaged populations. A critical examination of legal and policy frameworks involves an investigation of their ability to accommodate the specific requirements of vulnerable people. Policies aimed towards children, victims of abuse, or people facing homelessness, for example, should be scrutinised for their uniqueness and inclusion.</w:t>
      </w:r>
    </w:p>
    <w:p w14:paraId="2FCD59D9" w14:textId="0644C5F4" w:rsidR="00AD13AF" w:rsidRPr="00504A51" w:rsidRDefault="00AD13AF" w:rsidP="00504A51">
      <w:pPr>
        <w:spacing w:line="480" w:lineRule="auto"/>
        <w:rPr>
          <w:rFonts w:ascii="Arial" w:hAnsi="Arial" w:cs="Arial"/>
          <w:sz w:val="24"/>
          <w:szCs w:val="24"/>
        </w:rPr>
      </w:pPr>
      <w:r w:rsidRPr="00504A51">
        <w:rPr>
          <w:rFonts w:ascii="Arial" w:hAnsi="Arial" w:cs="Arial"/>
          <w:sz w:val="24"/>
          <w:szCs w:val="24"/>
        </w:rPr>
        <w:t>Social workers' actions are critical in deciding whether vulnerable children receive enough care and protection under child protection programmes. According to Korbin et al. (1998) and Coulton et al. (2007), social workers play an important role in appraising the safety of a child's surroundings, impacting the child's vulnerability to abuse or neglect</w:t>
      </w:r>
      <w:r w:rsidR="00504A51" w:rsidRPr="00504A51">
        <w:rPr>
          <w:rFonts w:ascii="Arial" w:hAnsi="Arial" w:cs="Arial"/>
          <w:sz w:val="24"/>
          <w:szCs w:val="24"/>
        </w:rPr>
        <w:t xml:space="preserve"> (Mcclendon and Lane, 2014; Daniel, 2010)</w:t>
      </w:r>
      <w:r w:rsidRPr="00504A51">
        <w:rPr>
          <w:rFonts w:ascii="Arial" w:hAnsi="Arial" w:cs="Arial"/>
          <w:sz w:val="24"/>
          <w:szCs w:val="24"/>
        </w:rPr>
        <w:t>. The legal framework should guarantee that these measures are proactive rather than reactive, preventing harm before it occurs.</w:t>
      </w:r>
    </w:p>
    <w:p w14:paraId="53E054F6" w14:textId="597150C0" w:rsidR="00AD13AF" w:rsidRPr="00504A51" w:rsidRDefault="00AD13AF" w:rsidP="00504A51">
      <w:pPr>
        <w:spacing w:line="480" w:lineRule="auto"/>
        <w:rPr>
          <w:rFonts w:ascii="Arial" w:hAnsi="Arial" w:cs="Arial"/>
          <w:sz w:val="24"/>
          <w:szCs w:val="24"/>
        </w:rPr>
      </w:pPr>
      <w:r w:rsidRPr="00504A51">
        <w:rPr>
          <w:rFonts w:ascii="Arial" w:hAnsi="Arial" w:cs="Arial"/>
          <w:sz w:val="24"/>
          <w:szCs w:val="24"/>
        </w:rPr>
        <w:t xml:space="preserve">Similarly, policies treating victims of abuse, particularly in intimate relationships, must be evaluated for efficacy. According to Thaller et al. (2014), the criminal justice system's reaction to intimate partner abuse should be examined in terms of creating a secure atmosphere for reporting, delivering support services, and guaranteeing legal repercussions for perpetrators. The unintended effect of re-victimization, in which victims avoid reporting because of potential reprisal, must be addressed within the legal system </w:t>
      </w:r>
      <w:r w:rsidRPr="00504A51">
        <w:rPr>
          <w:rFonts w:ascii="Arial" w:hAnsi="Arial" w:cs="Arial"/>
          <w:sz w:val="24"/>
          <w:szCs w:val="24"/>
        </w:rPr>
        <w:t>to</w:t>
      </w:r>
      <w:r w:rsidRPr="00504A51">
        <w:rPr>
          <w:rFonts w:ascii="Arial" w:hAnsi="Arial" w:cs="Arial"/>
          <w:sz w:val="24"/>
          <w:szCs w:val="24"/>
        </w:rPr>
        <w:t xml:space="preserve"> encourage fearless reporting.</w:t>
      </w:r>
      <w:r w:rsidRPr="00504A51">
        <w:rPr>
          <w:rFonts w:ascii="Arial" w:hAnsi="Arial" w:cs="Arial"/>
          <w:sz w:val="24"/>
          <w:szCs w:val="24"/>
        </w:rPr>
        <w:t xml:space="preserve"> </w:t>
      </w:r>
      <w:r w:rsidRPr="00504A51">
        <w:rPr>
          <w:rFonts w:ascii="Arial" w:hAnsi="Arial" w:cs="Arial"/>
          <w:sz w:val="24"/>
          <w:szCs w:val="24"/>
        </w:rPr>
        <w:t>While legal and regulatory frameworks strive to protect vulnerable people, unexpected effects may lead to more victimisation or incarceration. Homelessness criminalization is an example of how measures designed to solve one issue unwittingly victimise another vulnerable group.</w:t>
      </w:r>
    </w:p>
    <w:p w14:paraId="0A28CFB9" w14:textId="2EF5FD40" w:rsidR="00C40AEE" w:rsidRPr="00504A51" w:rsidRDefault="00667BB0" w:rsidP="00504A51">
      <w:pPr>
        <w:spacing w:line="480" w:lineRule="auto"/>
        <w:rPr>
          <w:rFonts w:ascii="Arial" w:hAnsi="Arial" w:cs="Arial"/>
          <w:sz w:val="24"/>
          <w:szCs w:val="24"/>
        </w:rPr>
      </w:pPr>
      <w:r w:rsidRPr="00504A51">
        <w:rPr>
          <w:rFonts w:ascii="Arial" w:hAnsi="Arial" w:cs="Arial"/>
          <w:sz w:val="24"/>
          <w:szCs w:val="24"/>
        </w:rPr>
        <w:t>Didenko and Pankratz (2007) emphasise how laws criminalising homelessness subject individuals to legal repercussions for life-sustaining efforts. Such unintended consequences disproportionately harm disadvantaged people, perpetuating a cycle of incarceration rather than addressing the underlying causes of homelessness.</w:t>
      </w:r>
      <w:r w:rsidRPr="00504A51">
        <w:rPr>
          <w:rFonts w:ascii="Arial" w:hAnsi="Arial" w:cs="Arial"/>
          <w:sz w:val="24"/>
          <w:szCs w:val="24"/>
        </w:rPr>
        <w:t xml:space="preserve"> </w:t>
      </w:r>
      <w:r w:rsidRPr="00504A51">
        <w:rPr>
          <w:rFonts w:ascii="Arial" w:hAnsi="Arial" w:cs="Arial"/>
          <w:sz w:val="24"/>
          <w:szCs w:val="24"/>
        </w:rPr>
        <w:t>The examination of legal and policy frameworks highlights their critical role in determining the experiences of vulnerable people in the criminal justice system. The next part delves into the intricacy of legal remedies, as well as the role of support services in converting legislative goals into concrete help for vulnerable people.</w:t>
      </w:r>
    </w:p>
    <w:p w14:paraId="17B0BF5A" w14:textId="77777777" w:rsidR="00667BB0" w:rsidRPr="00504A51" w:rsidRDefault="00667BB0" w:rsidP="00504A51">
      <w:pPr>
        <w:spacing w:line="480" w:lineRule="auto"/>
        <w:rPr>
          <w:rFonts w:ascii="Arial" w:hAnsi="Arial" w:cs="Arial"/>
          <w:sz w:val="24"/>
          <w:szCs w:val="24"/>
        </w:rPr>
      </w:pPr>
      <w:r w:rsidRPr="00504A51">
        <w:rPr>
          <w:rFonts w:ascii="Arial" w:hAnsi="Arial" w:cs="Arial"/>
          <w:sz w:val="24"/>
          <w:szCs w:val="24"/>
        </w:rPr>
        <w:t>When investigating the dynamics of vulnerability within the criminal justice system, it is critical to examine the impact of law enforcement practises on vulnerable populations. This section delves into the intricacies of these practises, focusing on concerns such as profiling, prejudice, and the critical necessity for sensitivity training.</w:t>
      </w:r>
    </w:p>
    <w:p w14:paraId="63AAB9EA" w14:textId="17DEF046" w:rsidR="00667BB0" w:rsidRPr="00504A51" w:rsidRDefault="00667BB0" w:rsidP="00504A51">
      <w:pPr>
        <w:spacing w:line="480" w:lineRule="auto"/>
        <w:rPr>
          <w:rFonts w:ascii="Arial" w:hAnsi="Arial" w:cs="Arial"/>
          <w:sz w:val="24"/>
          <w:szCs w:val="24"/>
        </w:rPr>
      </w:pPr>
      <w:r w:rsidRPr="00504A51">
        <w:rPr>
          <w:rFonts w:ascii="Arial" w:hAnsi="Arial" w:cs="Arial"/>
          <w:sz w:val="24"/>
          <w:szCs w:val="24"/>
        </w:rPr>
        <w:t>As the frontline interaction between the criminal justice system and communities, law enforcement has a profound impact on the experiences of vulnerable groups. The issue of how law enforcement interacts with and responds to these communities becomes critical. According to Smith and Holmes (200</w:t>
      </w:r>
      <w:r w:rsidRPr="00504A51">
        <w:rPr>
          <w:rFonts w:ascii="Arial" w:hAnsi="Arial" w:cs="Arial"/>
          <w:sz w:val="24"/>
          <w:szCs w:val="24"/>
        </w:rPr>
        <w:t>6</w:t>
      </w:r>
      <w:r w:rsidRPr="00504A51">
        <w:rPr>
          <w:rFonts w:ascii="Arial" w:hAnsi="Arial" w:cs="Arial"/>
          <w:sz w:val="24"/>
          <w:szCs w:val="24"/>
        </w:rPr>
        <w:t>), community policing tactics that create trust and collaboration between law enforcement and vulnerable populations are critical. This strategy seeks to break down barriers, making vulnerable people feel supported rather than targeted.</w:t>
      </w:r>
    </w:p>
    <w:p w14:paraId="57609448" w14:textId="153BC2C1" w:rsidR="00667BB0" w:rsidRPr="00504A51" w:rsidRDefault="00667BB0" w:rsidP="00504A51">
      <w:pPr>
        <w:spacing w:line="480" w:lineRule="auto"/>
        <w:rPr>
          <w:rFonts w:ascii="Arial" w:hAnsi="Arial" w:cs="Arial"/>
          <w:sz w:val="24"/>
          <w:szCs w:val="24"/>
        </w:rPr>
      </w:pPr>
      <w:r w:rsidRPr="00504A51">
        <w:rPr>
          <w:rFonts w:ascii="Arial" w:hAnsi="Arial" w:cs="Arial"/>
          <w:sz w:val="24"/>
          <w:szCs w:val="24"/>
        </w:rPr>
        <w:t>Profiling, in which individuals are picked out based on factors such as ethnicity, gender, or socioeconomic position, remains a difficulty. The disproportionate stopping and searching of Black people, as shown in investigations such as the Equality and Human Rights Commission (201</w:t>
      </w:r>
      <w:r w:rsidRPr="00504A51">
        <w:rPr>
          <w:rFonts w:ascii="Arial" w:hAnsi="Arial" w:cs="Arial"/>
          <w:sz w:val="24"/>
          <w:szCs w:val="24"/>
        </w:rPr>
        <w:t>3</w:t>
      </w:r>
      <w:r w:rsidRPr="00504A51">
        <w:rPr>
          <w:rFonts w:ascii="Arial" w:hAnsi="Arial" w:cs="Arial"/>
          <w:sz w:val="24"/>
          <w:szCs w:val="24"/>
        </w:rPr>
        <w:t>), exemplifies the underlying difficulties in police enforcement practises. This profiling not only reinforces preconceptions, but it also increases vulnerability, resulting to a cycle of mistrust between law enforcement and marginalised populations.</w:t>
      </w:r>
    </w:p>
    <w:p w14:paraId="14CB9CCA" w14:textId="4A5E1EED" w:rsidR="000E38A8" w:rsidRPr="00504A51" w:rsidRDefault="000E38A8" w:rsidP="00504A51">
      <w:pPr>
        <w:spacing w:line="480" w:lineRule="auto"/>
        <w:rPr>
          <w:rFonts w:ascii="Arial" w:hAnsi="Arial" w:cs="Arial"/>
          <w:sz w:val="24"/>
          <w:szCs w:val="24"/>
        </w:rPr>
      </w:pPr>
      <w:r w:rsidRPr="00504A51">
        <w:rPr>
          <w:rFonts w:ascii="Arial" w:hAnsi="Arial" w:cs="Arial"/>
          <w:sz w:val="24"/>
          <w:szCs w:val="24"/>
        </w:rPr>
        <w:t xml:space="preserve">Discrimination in law enforcement is a systematic issue that must be addressed. Discrimination </w:t>
      </w:r>
      <w:r w:rsidR="0064382E" w:rsidRPr="00504A51">
        <w:rPr>
          <w:rFonts w:ascii="Arial" w:hAnsi="Arial" w:cs="Arial"/>
          <w:sz w:val="24"/>
          <w:szCs w:val="24"/>
        </w:rPr>
        <w:t>based on</w:t>
      </w:r>
      <w:r w:rsidRPr="00504A51">
        <w:rPr>
          <w:rFonts w:ascii="Arial" w:hAnsi="Arial" w:cs="Arial"/>
          <w:sz w:val="24"/>
          <w:szCs w:val="24"/>
        </w:rPr>
        <w:t xml:space="preserve"> race, gender, or other factors exacerbates the vulnerability of impacted groups. Bowling and Phillips (2002) found that comprehensive anti-discrimination rules and training within law enforcement agencies are needed to address these challenges. Without such safeguards, vulnerable persons are more likely to be unfairly targeted or treated, creating a cycle of victimisation.</w:t>
      </w:r>
    </w:p>
    <w:p w14:paraId="41C0F75C" w14:textId="1E9BBD2E" w:rsidR="000E38A8" w:rsidRPr="00504A51" w:rsidRDefault="000E38A8" w:rsidP="00504A51">
      <w:pPr>
        <w:spacing w:line="480" w:lineRule="auto"/>
        <w:rPr>
          <w:rFonts w:ascii="Arial" w:hAnsi="Arial" w:cs="Arial"/>
          <w:sz w:val="24"/>
          <w:szCs w:val="24"/>
        </w:rPr>
      </w:pPr>
      <w:r w:rsidRPr="00504A51">
        <w:rPr>
          <w:rFonts w:ascii="Arial" w:hAnsi="Arial" w:cs="Arial"/>
          <w:sz w:val="24"/>
          <w:szCs w:val="24"/>
        </w:rPr>
        <w:t>Addressing issues of profiling and prejudice demands a multifaceted strategy, with sensitivity training emerging as a critical component. Using insights from Tyler</w:t>
      </w:r>
      <w:r w:rsidRPr="00504A51">
        <w:rPr>
          <w:rFonts w:ascii="Arial" w:hAnsi="Arial" w:cs="Arial"/>
          <w:sz w:val="24"/>
          <w:szCs w:val="24"/>
        </w:rPr>
        <w:t xml:space="preserve"> and Wakslaks’ </w:t>
      </w:r>
      <w:r w:rsidRPr="00504A51">
        <w:rPr>
          <w:rFonts w:ascii="Arial" w:hAnsi="Arial" w:cs="Arial"/>
          <w:sz w:val="24"/>
          <w:szCs w:val="24"/>
        </w:rPr>
        <w:t>(2004) work, sensitivity training strives to provide law enforcement officers with the knowledge and skills necessary to communicate peacefully with various populations. Such training aims to bridge the gap between law enforcement and vulnerable populations by promoting cultural competency and empathy.</w:t>
      </w:r>
    </w:p>
    <w:p w14:paraId="0733BE09" w14:textId="57D8CA79" w:rsidR="00C40AEE" w:rsidRPr="00504A51" w:rsidRDefault="000E38A8" w:rsidP="00504A51">
      <w:pPr>
        <w:spacing w:line="480" w:lineRule="auto"/>
        <w:rPr>
          <w:rFonts w:ascii="Arial" w:hAnsi="Arial" w:cs="Arial"/>
          <w:sz w:val="24"/>
          <w:szCs w:val="24"/>
        </w:rPr>
      </w:pPr>
      <w:r w:rsidRPr="00504A51">
        <w:rPr>
          <w:rFonts w:ascii="Arial" w:hAnsi="Arial" w:cs="Arial"/>
          <w:sz w:val="24"/>
          <w:szCs w:val="24"/>
        </w:rPr>
        <w:t>Nonetheless, sensitivity training's efficacy is dependent on its execution and incorporation into the larger organisational culture. Fridell et al. (2009) emphasise the need of continual, evidence-based training to combat prejudice and promote fair and just policing. This not only safeguards vulnerable populations, but also guarantees that law enforcement practises are consistent with equity and justice values.</w:t>
      </w:r>
      <w:r w:rsidRPr="00504A51">
        <w:rPr>
          <w:rFonts w:ascii="Arial" w:hAnsi="Arial" w:cs="Arial"/>
          <w:sz w:val="24"/>
          <w:szCs w:val="24"/>
        </w:rPr>
        <w:t xml:space="preserve"> </w:t>
      </w:r>
      <w:r w:rsidRPr="00504A51">
        <w:rPr>
          <w:rFonts w:ascii="Arial" w:hAnsi="Arial" w:cs="Arial"/>
          <w:sz w:val="24"/>
          <w:szCs w:val="24"/>
        </w:rPr>
        <w:t>Law enforcement practises, in the larger context of vulnerability within the criminal justice system, have a critical role in either perpetuating or reducing the issues encountered by vulnerable communities. Analysing legal frameworks, regulations, and law enforcement practises reveals that a complete and integrated strategy is critical to providing justice for all, regardless of vulnerability. The next section looks at the implementation of support services and its role in turning policy goals into real assistance for vulnerable people.</w:t>
      </w:r>
    </w:p>
    <w:p w14:paraId="4CB0499C" w14:textId="77777777" w:rsidR="000E38A8" w:rsidRPr="00504A51" w:rsidRDefault="000E38A8" w:rsidP="00504A51">
      <w:pPr>
        <w:spacing w:line="480" w:lineRule="auto"/>
        <w:rPr>
          <w:rFonts w:ascii="Arial" w:hAnsi="Arial" w:cs="Arial"/>
          <w:sz w:val="24"/>
          <w:szCs w:val="24"/>
        </w:rPr>
      </w:pPr>
      <w:r w:rsidRPr="00504A51">
        <w:rPr>
          <w:rFonts w:ascii="Arial" w:hAnsi="Arial" w:cs="Arial"/>
          <w:sz w:val="24"/>
          <w:szCs w:val="24"/>
        </w:rPr>
        <w:t>Navigating the difficulties of vulnerability within the criminal justice system, the emphasis is increasingly shifting to preventative initiatives aimed at promoting resilience and addressing the core factors that make people vulnerable to victimisation and crime. This section delves into numerous preventative strategies, such as educational programmes, community outreach, and legislative efforts, to provide light on their role in addressing the issues that vulnerable populations confront.</w:t>
      </w:r>
    </w:p>
    <w:p w14:paraId="5597D7FC" w14:textId="3A678E48" w:rsidR="000E38A8" w:rsidRPr="00504A51" w:rsidRDefault="008E44CF" w:rsidP="00504A51">
      <w:pPr>
        <w:spacing w:line="480" w:lineRule="auto"/>
        <w:rPr>
          <w:rFonts w:ascii="Arial" w:hAnsi="Arial" w:cs="Arial"/>
          <w:sz w:val="24"/>
          <w:szCs w:val="24"/>
        </w:rPr>
      </w:pPr>
      <w:r w:rsidRPr="00504A51">
        <w:rPr>
          <w:rFonts w:ascii="Arial" w:hAnsi="Arial" w:cs="Arial"/>
          <w:sz w:val="24"/>
          <w:szCs w:val="24"/>
        </w:rPr>
        <w:t>Educational programmes are effective instruments for strengthening marginalised populations. Davies and Tanner (2005) found that targeted educational interventions had a good impact on lowering vulnerability among young people. These programmes provide individuals with the tools they need to overcome problems and make educated decisions, lowering the chance of involvement in illegal activities. Furthermore, educational programmes can help to combat prejudices and biases, resulting in a more inclusive and understanding society</w:t>
      </w:r>
      <w:r w:rsidR="00467A4F" w:rsidRPr="00504A51">
        <w:rPr>
          <w:rFonts w:ascii="Arial" w:hAnsi="Arial" w:cs="Arial"/>
          <w:sz w:val="24"/>
          <w:szCs w:val="24"/>
        </w:rPr>
        <w:t xml:space="preserve"> </w:t>
      </w:r>
      <w:r w:rsidR="00467A4F" w:rsidRPr="00504A51">
        <w:rPr>
          <w:rFonts w:ascii="Arial" w:hAnsi="Arial" w:cs="Arial"/>
          <w:sz w:val="24"/>
          <w:szCs w:val="24"/>
        </w:rPr>
        <w:t>(Ecclestone and Lewis, 2014).</w:t>
      </w:r>
      <w:r w:rsidRPr="00504A51">
        <w:rPr>
          <w:rFonts w:ascii="Arial" w:hAnsi="Arial" w:cs="Arial"/>
          <w:sz w:val="24"/>
          <w:szCs w:val="24"/>
        </w:rPr>
        <w:t xml:space="preserve"> As Jones et al (2013) emphasise, including programmes that encourage empathy and tolerance helps to dismantle preconceived assumptions that perpetuate vulnerability.</w:t>
      </w:r>
    </w:p>
    <w:p w14:paraId="4AB9D5F9" w14:textId="28ED3D2E" w:rsidR="008E44CF" w:rsidRPr="00504A51" w:rsidRDefault="008E44CF" w:rsidP="00504A51">
      <w:pPr>
        <w:spacing w:line="480" w:lineRule="auto"/>
        <w:rPr>
          <w:rFonts w:ascii="Arial" w:hAnsi="Arial" w:cs="Arial"/>
          <w:sz w:val="24"/>
          <w:szCs w:val="24"/>
        </w:rPr>
      </w:pPr>
      <w:r w:rsidRPr="00504A51">
        <w:rPr>
          <w:rFonts w:ascii="Arial" w:hAnsi="Arial" w:cs="Arial"/>
          <w:sz w:val="24"/>
          <w:szCs w:val="24"/>
        </w:rPr>
        <w:t xml:space="preserve">Community outreach is emerging as a critical component in fostering trust and collaboration between vulnerable communities and the criminal justice system. Murphy and Cherney's (2012) study </w:t>
      </w:r>
      <w:r w:rsidR="004A663F" w:rsidRPr="00504A51">
        <w:rPr>
          <w:rFonts w:ascii="Arial" w:hAnsi="Arial" w:cs="Arial"/>
          <w:sz w:val="24"/>
          <w:szCs w:val="24"/>
        </w:rPr>
        <w:t>emphasise</w:t>
      </w:r>
      <w:r w:rsidRPr="00504A51">
        <w:rPr>
          <w:rFonts w:ascii="Arial" w:hAnsi="Arial" w:cs="Arial"/>
          <w:sz w:val="24"/>
          <w:szCs w:val="24"/>
        </w:rPr>
        <w:t xml:space="preserve"> the necessity of community policing models that actively engage with citizens, ensuring their views are heard and their specific needs are met.</w:t>
      </w:r>
      <w:r w:rsidRPr="00504A51">
        <w:rPr>
          <w:rFonts w:ascii="Arial" w:hAnsi="Arial" w:cs="Arial"/>
          <w:sz w:val="24"/>
          <w:szCs w:val="24"/>
        </w:rPr>
        <w:t xml:space="preserve"> </w:t>
      </w:r>
      <w:r w:rsidRPr="00504A51">
        <w:rPr>
          <w:rFonts w:ascii="Arial" w:hAnsi="Arial" w:cs="Arial"/>
          <w:sz w:val="24"/>
          <w:szCs w:val="24"/>
        </w:rPr>
        <w:t>Effective outreach campaigns include communication and collaborations, as well as recognising the skills and ideas that people of the community bring to the table. This collaborative approach not only strengthens the criminal justice system's credibility, but it also helps to establish policies that are attentive to the needs of disadvantaged populations.</w:t>
      </w:r>
    </w:p>
    <w:p w14:paraId="4238778E" w14:textId="6C3758E0" w:rsidR="008E44CF" w:rsidRPr="00504A51" w:rsidRDefault="008E44CF" w:rsidP="00504A51">
      <w:pPr>
        <w:spacing w:line="480" w:lineRule="auto"/>
        <w:rPr>
          <w:rFonts w:ascii="Arial" w:hAnsi="Arial" w:cs="Arial"/>
          <w:sz w:val="24"/>
          <w:szCs w:val="24"/>
        </w:rPr>
      </w:pPr>
      <w:r w:rsidRPr="00504A51">
        <w:rPr>
          <w:rFonts w:ascii="Arial" w:hAnsi="Arial" w:cs="Arial"/>
          <w:sz w:val="24"/>
          <w:szCs w:val="24"/>
        </w:rPr>
        <w:t xml:space="preserve">Comprehensive policy actions are critical for closing gaps and increasing inclusion in the criminal justice system. Franklin and Henry's (2019) study emphasises the need of policies that address socioeconomic factors of vulnerability, such as poverty and inequality. These projects seek to establish a </w:t>
      </w:r>
      <w:r w:rsidR="004A663F" w:rsidRPr="00504A51">
        <w:rPr>
          <w:rFonts w:ascii="Arial" w:hAnsi="Arial" w:cs="Arial"/>
          <w:sz w:val="24"/>
          <w:szCs w:val="24"/>
        </w:rPr>
        <w:t>fairer</w:t>
      </w:r>
      <w:r w:rsidRPr="00504A51">
        <w:rPr>
          <w:rFonts w:ascii="Arial" w:hAnsi="Arial" w:cs="Arial"/>
          <w:sz w:val="24"/>
          <w:szCs w:val="24"/>
        </w:rPr>
        <w:t xml:space="preserve"> society by addressing core causes, hence lowering the conditions that contribute to criminal victimisation. Furthermore, programmes that prioritise rehabilitation over punitive measures are consistent with restorative justice ideas. This approach recognises the multiple elements that contribute to criminal behaviour while also emphasising the significance of treating the core causes of vulnerability </w:t>
      </w:r>
      <w:r w:rsidR="0064382E" w:rsidRPr="00504A51">
        <w:rPr>
          <w:rFonts w:ascii="Arial" w:hAnsi="Arial" w:cs="Arial"/>
          <w:sz w:val="24"/>
          <w:szCs w:val="24"/>
        </w:rPr>
        <w:t>to</w:t>
      </w:r>
      <w:r w:rsidRPr="00504A51">
        <w:rPr>
          <w:rFonts w:ascii="Arial" w:hAnsi="Arial" w:cs="Arial"/>
          <w:sz w:val="24"/>
          <w:szCs w:val="24"/>
        </w:rPr>
        <w:t xml:space="preserve"> break the cycle of engagement in the criminal justice system.</w:t>
      </w:r>
    </w:p>
    <w:p w14:paraId="3FB51AE6" w14:textId="3FB6A36F" w:rsidR="0043775E" w:rsidRPr="00504A51" w:rsidRDefault="008E44CF" w:rsidP="00504A51">
      <w:pPr>
        <w:spacing w:line="480" w:lineRule="auto"/>
        <w:rPr>
          <w:rFonts w:ascii="Arial" w:hAnsi="Arial" w:cs="Arial"/>
          <w:sz w:val="24"/>
          <w:szCs w:val="24"/>
        </w:rPr>
      </w:pPr>
      <w:r w:rsidRPr="00504A51">
        <w:rPr>
          <w:rFonts w:ascii="Arial" w:hAnsi="Arial" w:cs="Arial"/>
          <w:sz w:val="24"/>
          <w:szCs w:val="24"/>
        </w:rPr>
        <w:t xml:space="preserve">In summary, preventative measures should take a comprehensive strategy that goes beyond addressing susceptibility symptoms to addressing its core causes. Educational programmes, community outreach, and policy efforts all contribute to a criminal justice system that is not only responsive to the needs of vulnerable groups, but also proactive in reducing the conditions that make them prone to crime. The section that follows </w:t>
      </w:r>
      <w:r w:rsidR="0064382E" w:rsidRPr="00504A51">
        <w:rPr>
          <w:rFonts w:ascii="Arial" w:hAnsi="Arial" w:cs="Arial"/>
          <w:sz w:val="24"/>
          <w:szCs w:val="24"/>
        </w:rPr>
        <w:t>investigates</w:t>
      </w:r>
      <w:r w:rsidRPr="00504A51">
        <w:rPr>
          <w:rFonts w:ascii="Arial" w:hAnsi="Arial" w:cs="Arial"/>
          <w:sz w:val="24"/>
          <w:szCs w:val="24"/>
        </w:rPr>
        <w:t xml:space="preserve"> the function of support services in turning preventative actions into actual assistance for vulnerable persons.</w:t>
      </w:r>
    </w:p>
    <w:p w14:paraId="708C7590" w14:textId="77777777" w:rsidR="00C40AEE" w:rsidRPr="00504A51" w:rsidRDefault="00C40AEE" w:rsidP="00504A51">
      <w:pPr>
        <w:spacing w:line="480" w:lineRule="auto"/>
        <w:rPr>
          <w:rFonts w:ascii="Arial" w:hAnsi="Arial" w:cs="Arial"/>
          <w:sz w:val="24"/>
          <w:szCs w:val="24"/>
        </w:rPr>
      </w:pPr>
    </w:p>
    <w:p w14:paraId="6B76680E" w14:textId="4C36833A" w:rsidR="00467A4F" w:rsidRPr="00504A51" w:rsidRDefault="00467A4F" w:rsidP="00504A51">
      <w:pPr>
        <w:spacing w:line="480" w:lineRule="auto"/>
        <w:rPr>
          <w:rFonts w:ascii="Arial" w:hAnsi="Arial" w:cs="Arial"/>
          <w:sz w:val="24"/>
          <w:szCs w:val="24"/>
        </w:rPr>
      </w:pPr>
      <w:r w:rsidRPr="00504A51">
        <w:rPr>
          <w:rFonts w:ascii="Arial" w:hAnsi="Arial" w:cs="Arial"/>
          <w:sz w:val="24"/>
          <w:szCs w:val="24"/>
        </w:rPr>
        <w:t xml:space="preserve">To summarise our investigation of vulnerability within the criminal justice system, </w:t>
      </w:r>
      <w:r w:rsidR="0064382E" w:rsidRPr="00504A51">
        <w:rPr>
          <w:rFonts w:ascii="Arial" w:hAnsi="Arial" w:cs="Arial"/>
          <w:sz w:val="24"/>
          <w:szCs w:val="24"/>
        </w:rPr>
        <w:t>the</w:t>
      </w:r>
      <w:r w:rsidRPr="00504A51">
        <w:rPr>
          <w:rFonts w:ascii="Arial" w:hAnsi="Arial" w:cs="Arial"/>
          <w:sz w:val="24"/>
          <w:szCs w:val="24"/>
        </w:rPr>
        <w:t xml:space="preserve"> issues confronting vulnerable groups are varied and firmly founded in social processes. Our journey through the complex environment of stigmatisation, stereotypes, and intersectionality has revealed the widespread effect of these variables on individuals' vulnerability to victimisation and criminal activity. While important, the legal and legislative frameworks that control the criminal justice system frequently fall short of appropriately addressing the unique needs of vulnerable communities. The effect of law enforcement practises, along with unintended outcomes, highlights the critical need for changes that prioritise inclusion, justice, and a nuanced understanding of vulnerability.</w:t>
      </w:r>
    </w:p>
    <w:p w14:paraId="43CDF033" w14:textId="77777777" w:rsidR="00467A4F" w:rsidRPr="00504A51" w:rsidRDefault="00467A4F" w:rsidP="00504A51">
      <w:pPr>
        <w:spacing w:line="480" w:lineRule="auto"/>
        <w:rPr>
          <w:rFonts w:ascii="Arial" w:hAnsi="Arial" w:cs="Arial"/>
          <w:sz w:val="24"/>
          <w:szCs w:val="24"/>
        </w:rPr>
      </w:pPr>
      <w:r w:rsidRPr="00504A51">
        <w:rPr>
          <w:rFonts w:ascii="Arial" w:hAnsi="Arial" w:cs="Arial"/>
          <w:sz w:val="24"/>
          <w:szCs w:val="24"/>
        </w:rPr>
        <w:t>Prevention techniques emerge as beacons of hope in the face of these problems, providing avenues to resilience and empowerment. Educational programmes, community outreach, and comprehensive policy measures all play important roles in breaking down the barriers that keep people vulnerable. These initiatives not only improve the criminal justice system's responsiveness, but also contribute to a more just and inclusive society. Our journey, however, does not finish here. Ongoing issues necessitate ongoing attempts to enhance and broaden our knowledge of vulnerability. Because of the intersectionality of identities, the changing nature of cultural norms, and the influence of structural injustices, a dynamic and responsive criminal justice system is required. Improving recommendations focus on encouraging collaboration among stakeholders, particularly vulnerable populations, in the formulation of legal and policy frameworks. This collaborative approach guarantees that the perspectives of people who are directly affected are heard, resulting in more effective and compassionate systems. Furthermore, continued education and sensitivity training for law enforcement may aid in the reduction of prejudices and the improvement of relationships with vulnerable communities.</w:t>
      </w:r>
    </w:p>
    <w:p w14:paraId="155B990E" w14:textId="5613857A" w:rsidR="0043775E" w:rsidRPr="00504A51" w:rsidRDefault="00467A4F" w:rsidP="00504A51">
      <w:pPr>
        <w:spacing w:line="480" w:lineRule="auto"/>
        <w:rPr>
          <w:rFonts w:ascii="Arial" w:hAnsi="Arial" w:cs="Arial"/>
          <w:sz w:val="24"/>
          <w:szCs w:val="24"/>
        </w:rPr>
      </w:pPr>
      <w:r w:rsidRPr="00504A51">
        <w:rPr>
          <w:rFonts w:ascii="Arial" w:hAnsi="Arial" w:cs="Arial"/>
          <w:sz w:val="24"/>
          <w:szCs w:val="24"/>
        </w:rPr>
        <w:t xml:space="preserve">To summarise, our pursuit of justice necessitates a community commitment to removing the barriers that create vulnerability. </w:t>
      </w:r>
      <w:r w:rsidRPr="00504A51">
        <w:rPr>
          <w:rFonts w:ascii="Arial" w:hAnsi="Arial" w:cs="Arial"/>
          <w:sz w:val="24"/>
          <w:szCs w:val="24"/>
        </w:rPr>
        <w:t xml:space="preserve">There is </w:t>
      </w:r>
      <w:r w:rsidR="004A663F" w:rsidRPr="00504A51">
        <w:rPr>
          <w:rFonts w:ascii="Arial" w:hAnsi="Arial" w:cs="Arial"/>
          <w:sz w:val="24"/>
          <w:szCs w:val="24"/>
        </w:rPr>
        <w:t>hoped</w:t>
      </w:r>
      <w:r w:rsidRPr="00504A51">
        <w:rPr>
          <w:rFonts w:ascii="Arial" w:hAnsi="Arial" w:cs="Arial"/>
          <w:sz w:val="24"/>
          <w:szCs w:val="24"/>
        </w:rPr>
        <w:t xml:space="preserve"> to </w:t>
      </w:r>
      <w:r w:rsidR="004A663F" w:rsidRPr="00504A51">
        <w:rPr>
          <w:rFonts w:ascii="Arial" w:hAnsi="Arial" w:cs="Arial"/>
          <w:sz w:val="24"/>
          <w:szCs w:val="24"/>
        </w:rPr>
        <w:t>have</w:t>
      </w:r>
      <w:r w:rsidRPr="00504A51">
        <w:rPr>
          <w:rFonts w:ascii="Arial" w:hAnsi="Arial" w:cs="Arial"/>
          <w:sz w:val="24"/>
          <w:szCs w:val="24"/>
        </w:rPr>
        <w:t xml:space="preserve"> a criminal justice system that really serves and protects all members of society, regardless of their vulnerabilities, by respecting the intricacies of human experiences, encouraging inclusion, and implementing proactive preventative initiatives.</w:t>
      </w:r>
    </w:p>
    <w:p w14:paraId="51CC1D49" w14:textId="77777777" w:rsidR="00C40AEE" w:rsidRDefault="00C40AEE" w:rsidP="00504A51">
      <w:pPr>
        <w:spacing w:line="480" w:lineRule="auto"/>
      </w:pPr>
    </w:p>
    <w:p w14:paraId="2F413E05" w14:textId="77777777" w:rsidR="00C40AEE" w:rsidRDefault="00C40AEE" w:rsidP="00504A51">
      <w:pPr>
        <w:spacing w:line="480" w:lineRule="auto"/>
      </w:pPr>
    </w:p>
    <w:p w14:paraId="2FC14AEE" w14:textId="77777777" w:rsidR="0043775E" w:rsidRDefault="0043775E" w:rsidP="00504A51">
      <w:pPr>
        <w:spacing w:line="480" w:lineRule="auto"/>
      </w:pPr>
    </w:p>
    <w:p w14:paraId="17C0E921" w14:textId="77777777" w:rsidR="0043775E" w:rsidRDefault="0043775E" w:rsidP="00504A51">
      <w:pPr>
        <w:spacing w:line="480" w:lineRule="auto"/>
      </w:pPr>
    </w:p>
    <w:p w14:paraId="0310B23A" w14:textId="77777777" w:rsidR="00504A51" w:rsidRDefault="00504A51" w:rsidP="00504A51">
      <w:pPr>
        <w:spacing w:line="480" w:lineRule="auto"/>
      </w:pPr>
    </w:p>
    <w:p w14:paraId="299DD304" w14:textId="77777777" w:rsidR="00504A51" w:rsidRDefault="00504A51" w:rsidP="00504A51">
      <w:pPr>
        <w:spacing w:line="480" w:lineRule="auto"/>
      </w:pPr>
    </w:p>
    <w:p w14:paraId="0B00F4F8" w14:textId="77777777" w:rsidR="00504A51" w:rsidRDefault="00504A51" w:rsidP="00504A51">
      <w:pPr>
        <w:spacing w:line="480" w:lineRule="auto"/>
      </w:pPr>
    </w:p>
    <w:p w14:paraId="44DDC7A3" w14:textId="77777777" w:rsidR="00504A51" w:rsidRDefault="00504A51" w:rsidP="00504A51">
      <w:pPr>
        <w:spacing w:line="480" w:lineRule="auto"/>
      </w:pPr>
    </w:p>
    <w:p w14:paraId="4663DDF1" w14:textId="77777777" w:rsidR="00504A51" w:rsidRDefault="00504A51" w:rsidP="00504A51">
      <w:pPr>
        <w:spacing w:line="480" w:lineRule="auto"/>
      </w:pPr>
    </w:p>
    <w:p w14:paraId="1FEAC77B" w14:textId="77777777" w:rsidR="00504A51" w:rsidRDefault="00504A51" w:rsidP="00504A51">
      <w:pPr>
        <w:spacing w:line="480" w:lineRule="auto"/>
      </w:pPr>
    </w:p>
    <w:p w14:paraId="728CF3FE" w14:textId="77777777" w:rsidR="00504A51" w:rsidRDefault="00504A51" w:rsidP="00504A51">
      <w:pPr>
        <w:spacing w:line="480" w:lineRule="auto"/>
      </w:pPr>
    </w:p>
    <w:p w14:paraId="7BB7A3E9" w14:textId="77777777" w:rsidR="0043775E" w:rsidRDefault="0043775E" w:rsidP="00504A51">
      <w:pPr>
        <w:spacing w:line="480" w:lineRule="auto"/>
      </w:pPr>
    </w:p>
    <w:p w14:paraId="177182F3" w14:textId="77777777" w:rsidR="00504A51" w:rsidRDefault="00504A51" w:rsidP="00504A51">
      <w:pPr>
        <w:spacing w:line="480" w:lineRule="auto"/>
      </w:pPr>
    </w:p>
    <w:p w14:paraId="7B5F6226" w14:textId="77777777" w:rsidR="00504A51" w:rsidRDefault="00504A51" w:rsidP="00504A51">
      <w:pPr>
        <w:spacing w:line="480" w:lineRule="auto"/>
      </w:pPr>
    </w:p>
    <w:p w14:paraId="1F9B6DCD" w14:textId="77777777" w:rsidR="00504A51" w:rsidRDefault="00504A51" w:rsidP="00504A51">
      <w:pPr>
        <w:spacing w:line="480" w:lineRule="auto"/>
      </w:pPr>
    </w:p>
    <w:p w14:paraId="530C6566" w14:textId="77777777" w:rsidR="00504A51" w:rsidRDefault="00504A51" w:rsidP="00504A51">
      <w:pPr>
        <w:spacing w:line="480" w:lineRule="auto"/>
      </w:pPr>
    </w:p>
    <w:p w14:paraId="5B773F0E" w14:textId="77777777" w:rsidR="00504A51" w:rsidRDefault="00504A51" w:rsidP="00504A51">
      <w:pPr>
        <w:spacing w:line="480" w:lineRule="auto"/>
      </w:pPr>
    </w:p>
    <w:p w14:paraId="04358D95" w14:textId="77777777" w:rsidR="0043775E" w:rsidRDefault="0043775E" w:rsidP="00504A51">
      <w:pPr>
        <w:spacing w:line="480" w:lineRule="auto"/>
      </w:pPr>
    </w:p>
    <w:p w14:paraId="3476A732" w14:textId="689EE84A" w:rsidR="0043775E" w:rsidRPr="00667BB0" w:rsidRDefault="0043775E" w:rsidP="00504A51">
      <w:pPr>
        <w:spacing w:line="480" w:lineRule="auto"/>
        <w:rPr>
          <w:rFonts w:ascii="Arial" w:hAnsi="Arial" w:cs="Arial"/>
          <w:sz w:val="24"/>
          <w:szCs w:val="24"/>
        </w:rPr>
      </w:pPr>
      <w:r w:rsidRPr="00667BB0">
        <w:rPr>
          <w:rFonts w:ascii="Arial" w:hAnsi="Arial" w:cs="Arial"/>
          <w:sz w:val="24"/>
          <w:szCs w:val="24"/>
        </w:rPr>
        <w:t xml:space="preserve">References </w:t>
      </w:r>
    </w:p>
    <w:p w14:paraId="335BDF8A" w14:textId="77777777" w:rsidR="00504A51" w:rsidRPr="00504A51" w:rsidRDefault="00504A51" w:rsidP="00504A51">
      <w:pPr>
        <w:spacing w:line="480" w:lineRule="auto"/>
        <w:rPr>
          <w:rFonts w:ascii="Arial" w:hAnsi="Arial" w:cs="Arial"/>
          <w:sz w:val="20"/>
          <w:szCs w:val="20"/>
          <w:shd w:val="clear" w:color="auto" w:fill="FFFFFF"/>
        </w:rPr>
      </w:pPr>
      <w:r w:rsidRPr="00504A51">
        <w:rPr>
          <w:rFonts w:ascii="Arial" w:hAnsi="Arial" w:cs="Arial"/>
          <w:sz w:val="24"/>
          <w:szCs w:val="24"/>
          <w:shd w:val="clear" w:color="auto" w:fill="FFFFFF"/>
        </w:rPr>
        <w:t xml:space="preserve">Bowling, B. and Phillips, C., </w:t>
      </w:r>
      <w:r w:rsidRPr="00504A51">
        <w:rPr>
          <w:rFonts w:ascii="Arial" w:hAnsi="Arial" w:cs="Arial"/>
          <w:sz w:val="24"/>
          <w:szCs w:val="24"/>
          <w:shd w:val="clear" w:color="auto" w:fill="FFFFFF"/>
        </w:rPr>
        <w:t>(</w:t>
      </w:r>
      <w:r w:rsidRPr="00504A51">
        <w:rPr>
          <w:rFonts w:ascii="Arial" w:hAnsi="Arial" w:cs="Arial"/>
          <w:sz w:val="24"/>
          <w:szCs w:val="24"/>
          <w:shd w:val="clear" w:color="auto" w:fill="FFFFFF"/>
        </w:rPr>
        <w:t>2002</w:t>
      </w:r>
      <w:r w:rsidRPr="00504A51">
        <w:rPr>
          <w:rFonts w:ascii="Arial" w:hAnsi="Arial" w:cs="Arial"/>
          <w:sz w:val="24"/>
          <w:szCs w:val="24"/>
          <w:shd w:val="clear" w:color="auto" w:fill="FFFFFF"/>
        </w:rPr>
        <w:t>)</w:t>
      </w:r>
      <w:r w:rsidRPr="00504A51">
        <w:rPr>
          <w:rFonts w:ascii="Arial" w:hAnsi="Arial" w:cs="Arial"/>
          <w:sz w:val="24"/>
          <w:szCs w:val="24"/>
          <w:shd w:val="clear" w:color="auto" w:fill="FFFFFF"/>
        </w:rPr>
        <w:t>. </w:t>
      </w:r>
      <w:r w:rsidRPr="00504A51">
        <w:rPr>
          <w:rFonts w:ascii="Arial" w:hAnsi="Arial" w:cs="Arial"/>
          <w:i/>
          <w:iCs/>
          <w:sz w:val="24"/>
          <w:szCs w:val="24"/>
          <w:shd w:val="clear" w:color="auto" w:fill="FFFFFF"/>
        </w:rPr>
        <w:t>Racism, crime and justice</w:t>
      </w:r>
      <w:r w:rsidRPr="00504A51">
        <w:rPr>
          <w:rFonts w:ascii="Arial" w:hAnsi="Arial" w:cs="Arial"/>
          <w:sz w:val="24"/>
          <w:szCs w:val="24"/>
          <w:shd w:val="clear" w:color="auto" w:fill="FFFFFF"/>
        </w:rPr>
        <w:t>. Pearson Education</w:t>
      </w:r>
      <w:r w:rsidRPr="00504A51">
        <w:rPr>
          <w:rFonts w:ascii="Arial" w:hAnsi="Arial" w:cs="Arial"/>
          <w:sz w:val="20"/>
          <w:szCs w:val="20"/>
          <w:shd w:val="clear" w:color="auto" w:fill="FFFFFF"/>
        </w:rPr>
        <w:t>.</w:t>
      </w:r>
    </w:p>
    <w:p w14:paraId="669B8C2B"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Cops, D and Pleysier, S (2011) ‘Doing Gender in Fear of Crime: The Impact of Gender Identity on Reported Levels of Fear of Crime in Adolescents and Young Adults.’ </w:t>
      </w:r>
      <w:r w:rsidRPr="004202FA">
        <w:rPr>
          <w:rFonts w:ascii="Arial" w:hAnsi="Arial" w:cs="Arial"/>
          <w:i/>
          <w:iCs/>
          <w:sz w:val="24"/>
          <w:szCs w:val="24"/>
        </w:rPr>
        <w:t>The British Journal of Criminology</w:t>
      </w:r>
      <w:r>
        <w:rPr>
          <w:rFonts w:ascii="Arial" w:hAnsi="Arial" w:cs="Arial"/>
          <w:sz w:val="24"/>
          <w:szCs w:val="24"/>
        </w:rPr>
        <w:t xml:space="preserve">, 51(1), pp.58-74. DOI: </w:t>
      </w:r>
      <w:hyperlink r:id="rId8" w:history="1">
        <w:r w:rsidRPr="00383A05">
          <w:rPr>
            <w:rStyle w:val="Hyperlink"/>
            <w:rFonts w:ascii="Arial" w:hAnsi="Arial" w:cs="Arial"/>
            <w:sz w:val="24"/>
            <w:szCs w:val="24"/>
          </w:rPr>
          <w:t>https://doi.org/10.1093/bjc/azq065</w:t>
        </w:r>
      </w:hyperlink>
      <w:r>
        <w:rPr>
          <w:rFonts w:ascii="Arial" w:hAnsi="Arial" w:cs="Arial"/>
          <w:sz w:val="24"/>
          <w:szCs w:val="24"/>
        </w:rPr>
        <w:t xml:space="preserve"> </w:t>
      </w:r>
    </w:p>
    <w:p w14:paraId="785D420E"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Coulton, C. J., et al(2007). ‘How neighbourhoods influence child maltreatment. A review of the literature and alternative pathways.’ </w:t>
      </w:r>
      <w:r>
        <w:rPr>
          <w:rFonts w:ascii="Arial" w:hAnsi="Arial" w:cs="Arial"/>
          <w:i/>
          <w:iCs/>
          <w:sz w:val="24"/>
          <w:szCs w:val="24"/>
        </w:rPr>
        <w:t>Child Abuse and Neglect</w:t>
      </w:r>
      <w:r>
        <w:rPr>
          <w:rFonts w:ascii="Arial" w:hAnsi="Arial" w:cs="Arial"/>
          <w:sz w:val="24"/>
          <w:szCs w:val="24"/>
        </w:rPr>
        <w:t xml:space="preserve">, 31(11–12), pp.1117–42. DOI: </w:t>
      </w:r>
      <w:hyperlink r:id="rId9" w:tgtFrame="_blank" w:tooltip="Persistent link using digital object identifier" w:history="1">
        <w:r>
          <w:rPr>
            <w:rStyle w:val="anchor-text"/>
            <w:rFonts w:ascii="Arial" w:hAnsi="Arial" w:cs="Arial"/>
            <w:color w:val="007398"/>
            <w:sz w:val="24"/>
            <w:szCs w:val="24"/>
          </w:rPr>
          <w:t>https://doi.org/10.1016/j.chiabu.2007.03.023</w:t>
        </w:r>
      </w:hyperlink>
      <w:r>
        <w:rPr>
          <w:rFonts w:ascii="Arial" w:hAnsi="Arial" w:cs="Arial"/>
          <w:sz w:val="24"/>
          <w:szCs w:val="24"/>
        </w:rPr>
        <w:t xml:space="preserve"> </w:t>
      </w:r>
    </w:p>
    <w:p w14:paraId="2CBC1DA1" w14:textId="77777777" w:rsidR="00504A51" w:rsidRDefault="00504A51" w:rsidP="00504A51">
      <w:pPr>
        <w:spacing w:line="480" w:lineRule="auto"/>
        <w:rPr>
          <w:rFonts w:ascii="Arial" w:hAnsi="Arial" w:cs="Arial"/>
          <w:sz w:val="24"/>
          <w:szCs w:val="24"/>
          <w:shd w:val="clear" w:color="auto" w:fill="FFFFFF"/>
        </w:rPr>
      </w:pPr>
      <w:r w:rsidRPr="00A96A96">
        <w:rPr>
          <w:rFonts w:ascii="Arial" w:hAnsi="Arial" w:cs="Arial"/>
          <w:sz w:val="24"/>
          <w:szCs w:val="24"/>
          <w:shd w:val="clear" w:color="auto" w:fill="FFFFFF"/>
        </w:rPr>
        <w:t xml:space="preserve">Crenshaw, K., </w:t>
      </w:r>
      <w:r w:rsidRPr="00A96A96">
        <w:rPr>
          <w:rFonts w:ascii="Arial" w:hAnsi="Arial" w:cs="Arial"/>
          <w:sz w:val="24"/>
          <w:szCs w:val="24"/>
          <w:shd w:val="clear" w:color="auto" w:fill="FFFFFF"/>
        </w:rPr>
        <w:t>(</w:t>
      </w:r>
      <w:r w:rsidRPr="00A96A96">
        <w:rPr>
          <w:rFonts w:ascii="Arial" w:hAnsi="Arial" w:cs="Arial"/>
          <w:sz w:val="24"/>
          <w:szCs w:val="24"/>
          <w:shd w:val="clear" w:color="auto" w:fill="FFFFFF"/>
        </w:rPr>
        <w:t>2013</w:t>
      </w:r>
      <w:r w:rsidRPr="00A96A96">
        <w:rPr>
          <w:rFonts w:ascii="Arial" w:hAnsi="Arial" w:cs="Arial"/>
          <w:sz w:val="24"/>
          <w:szCs w:val="24"/>
          <w:shd w:val="clear" w:color="auto" w:fill="FFFFFF"/>
        </w:rPr>
        <w:t>)</w:t>
      </w:r>
      <w:r w:rsidRPr="00A96A96">
        <w:rPr>
          <w:rFonts w:ascii="Arial" w:hAnsi="Arial" w:cs="Arial"/>
          <w:sz w:val="24"/>
          <w:szCs w:val="24"/>
          <w:shd w:val="clear" w:color="auto" w:fill="FFFFFF"/>
        </w:rPr>
        <w:t xml:space="preserve">. </w:t>
      </w:r>
      <w:r w:rsidRPr="00A96A96">
        <w:rPr>
          <w:rFonts w:ascii="Arial" w:hAnsi="Arial" w:cs="Arial"/>
          <w:i/>
          <w:iCs/>
          <w:sz w:val="24"/>
          <w:szCs w:val="24"/>
          <w:shd w:val="clear" w:color="auto" w:fill="FFFFFF"/>
        </w:rPr>
        <w:t>Demarginalizing the intersection of race and sex: A black feminist critique of antidiscrimination doctrine, feminist theory and antiracist politics. In Feminist legal theories</w:t>
      </w:r>
      <w:r w:rsidRPr="00A96A96">
        <w:rPr>
          <w:rFonts w:ascii="Arial" w:hAnsi="Arial" w:cs="Arial"/>
          <w:sz w:val="24"/>
          <w:szCs w:val="24"/>
          <w:shd w:val="clear" w:color="auto" w:fill="FFFFFF"/>
        </w:rPr>
        <w:t> (pp. 23-51). Routledge.</w:t>
      </w:r>
    </w:p>
    <w:p w14:paraId="47C97DC8"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Daniel, B. (2010) ‘Concepts of adversity, risk, vulnerability and resilience: a discussion in the context of the Child Protection System’, </w:t>
      </w:r>
      <w:r>
        <w:rPr>
          <w:rFonts w:ascii="Arial" w:hAnsi="Arial" w:cs="Arial"/>
          <w:i/>
          <w:iCs/>
          <w:sz w:val="24"/>
          <w:szCs w:val="24"/>
        </w:rPr>
        <w:t>Social Policy and Society</w:t>
      </w:r>
      <w:r>
        <w:rPr>
          <w:rFonts w:ascii="Arial" w:hAnsi="Arial" w:cs="Arial"/>
          <w:sz w:val="24"/>
          <w:szCs w:val="24"/>
        </w:rPr>
        <w:t xml:space="preserve">, 9 (2), pp.231–41. DOI: </w:t>
      </w:r>
      <w:hyperlink r:id="rId10" w:history="1">
        <w:r>
          <w:rPr>
            <w:rStyle w:val="Hyperlink"/>
            <w:rFonts w:ascii="Arial" w:hAnsi="Arial" w:cs="Arial"/>
            <w:sz w:val="24"/>
            <w:szCs w:val="24"/>
          </w:rPr>
          <w:t>https://doi.org/10.1017/S1474746409990364</w:t>
        </w:r>
      </w:hyperlink>
      <w:r>
        <w:rPr>
          <w:rFonts w:ascii="Arial" w:hAnsi="Arial" w:cs="Arial"/>
          <w:sz w:val="24"/>
          <w:szCs w:val="24"/>
        </w:rPr>
        <w:t xml:space="preserve"> </w:t>
      </w:r>
    </w:p>
    <w:p w14:paraId="17EB48C3" w14:textId="77777777" w:rsidR="00504A51" w:rsidRDefault="00504A51" w:rsidP="00504A5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Davies, S and Tanner, J (2005) ‘ The Long Arm of the Law.’ </w:t>
      </w:r>
      <w:r w:rsidRPr="008E44CF">
        <w:rPr>
          <w:rFonts w:ascii="Arial" w:hAnsi="Arial" w:cs="Arial"/>
          <w:i/>
          <w:iCs/>
          <w:sz w:val="24"/>
          <w:szCs w:val="24"/>
          <w:shd w:val="clear" w:color="auto" w:fill="FFFFFF"/>
        </w:rPr>
        <w:t>The Sociological Quarterly</w:t>
      </w:r>
      <w:r>
        <w:rPr>
          <w:rFonts w:ascii="Arial" w:hAnsi="Arial" w:cs="Arial"/>
          <w:sz w:val="24"/>
          <w:szCs w:val="24"/>
          <w:shd w:val="clear" w:color="auto" w:fill="FFFFFF"/>
        </w:rPr>
        <w:t xml:space="preserve">, 44(3), pp. 385-404. DOI: </w:t>
      </w:r>
      <w:hyperlink r:id="rId11" w:history="1">
        <w:r w:rsidRPr="00383A05">
          <w:rPr>
            <w:rStyle w:val="Hyperlink"/>
            <w:rFonts w:ascii="Arial" w:hAnsi="Arial" w:cs="Arial"/>
            <w:sz w:val="24"/>
            <w:szCs w:val="24"/>
            <w:shd w:val="clear" w:color="auto" w:fill="FFFFFF"/>
          </w:rPr>
          <w:t>https://doi.org/10.1111/j.1533-8525.2003.tb00538.x</w:t>
        </w:r>
      </w:hyperlink>
    </w:p>
    <w:p w14:paraId="385311EB" w14:textId="77777777" w:rsidR="00504A51" w:rsidRDefault="00504A51" w:rsidP="00504A51">
      <w:pPr>
        <w:spacing w:line="480" w:lineRule="auto"/>
        <w:rPr>
          <w:rFonts w:ascii="Arial" w:hAnsi="Arial" w:cs="Arial"/>
          <w:color w:val="232323"/>
          <w:sz w:val="24"/>
          <w:szCs w:val="24"/>
          <w:shd w:val="clear" w:color="auto" w:fill="FFFFFF"/>
        </w:rPr>
      </w:pPr>
      <w:r>
        <w:rPr>
          <w:rFonts w:ascii="Arial" w:hAnsi="Arial" w:cs="Arial"/>
          <w:color w:val="232323"/>
          <w:sz w:val="24"/>
          <w:szCs w:val="24"/>
          <w:shd w:val="clear" w:color="auto" w:fill="FFFFFF"/>
        </w:rPr>
        <w:t xml:space="preserve">Department of Health (2015) </w:t>
      </w:r>
      <w:r>
        <w:rPr>
          <w:rFonts w:ascii="Arial" w:hAnsi="Arial" w:cs="Arial"/>
          <w:i/>
          <w:iCs/>
          <w:color w:val="232323"/>
          <w:sz w:val="24"/>
          <w:szCs w:val="24"/>
          <w:shd w:val="clear" w:color="auto" w:fill="FFFFFF"/>
        </w:rPr>
        <w:t>Mental Health Act 1983: Code of Practice</w:t>
      </w:r>
      <w:r>
        <w:rPr>
          <w:rFonts w:ascii="Arial" w:hAnsi="Arial" w:cs="Arial"/>
          <w:color w:val="232323"/>
          <w:sz w:val="24"/>
          <w:szCs w:val="24"/>
          <w:shd w:val="clear" w:color="auto" w:fill="FFFFFF"/>
        </w:rPr>
        <w:t xml:space="preserve">. Available at: </w:t>
      </w:r>
      <w:hyperlink r:id="rId12" w:history="1">
        <w:r>
          <w:rPr>
            <w:rStyle w:val="Hyperlink"/>
            <w:rFonts w:ascii="Arial" w:hAnsi="Arial" w:cs="Arial"/>
            <w:sz w:val="24"/>
            <w:szCs w:val="24"/>
          </w:rPr>
          <w:t>Mental Health Act 1983 (publishing.service.gov.uk)</w:t>
        </w:r>
      </w:hyperlink>
      <w:r>
        <w:rPr>
          <w:rFonts w:ascii="Arial" w:hAnsi="Arial" w:cs="Arial"/>
          <w:color w:val="232323"/>
          <w:sz w:val="24"/>
          <w:szCs w:val="24"/>
          <w:shd w:val="clear" w:color="auto" w:fill="FFFFFF"/>
        </w:rPr>
        <w:t xml:space="preserve"> (Accessed: 20 </w:t>
      </w:r>
      <w:r>
        <w:rPr>
          <w:rFonts w:ascii="Arial" w:hAnsi="Arial" w:cs="Arial"/>
          <w:color w:val="232323"/>
          <w:sz w:val="24"/>
          <w:szCs w:val="24"/>
          <w:shd w:val="clear" w:color="auto" w:fill="FFFFFF"/>
        </w:rPr>
        <w:t xml:space="preserve">November </w:t>
      </w:r>
      <w:r>
        <w:rPr>
          <w:rFonts w:ascii="Arial" w:hAnsi="Arial" w:cs="Arial"/>
          <w:color w:val="232323"/>
          <w:sz w:val="24"/>
          <w:szCs w:val="24"/>
          <w:shd w:val="clear" w:color="auto" w:fill="FFFFFF"/>
        </w:rPr>
        <w:t>2023).</w:t>
      </w:r>
    </w:p>
    <w:p w14:paraId="65E33D3C"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Didenko, E., &amp; Pankratz, N. (2007). ‘Substance use: Pathways to homelessness? Or a way of adapting to street life?’ </w:t>
      </w:r>
      <w:r>
        <w:rPr>
          <w:rFonts w:ascii="Arial" w:hAnsi="Arial" w:cs="Arial"/>
          <w:i/>
          <w:iCs/>
          <w:sz w:val="24"/>
          <w:szCs w:val="24"/>
        </w:rPr>
        <w:t>Visions: BC’s Mental Health and Addictions Journal</w:t>
      </w:r>
      <w:r>
        <w:rPr>
          <w:rFonts w:ascii="Arial" w:hAnsi="Arial" w:cs="Arial"/>
          <w:sz w:val="24"/>
          <w:szCs w:val="24"/>
        </w:rPr>
        <w:t>, 4(1), pp.9–10</w:t>
      </w:r>
    </w:p>
    <w:p w14:paraId="59B110F8" w14:textId="77777777" w:rsidR="00504A51" w:rsidRDefault="00504A51" w:rsidP="00504A51">
      <w:pPr>
        <w:spacing w:line="480" w:lineRule="auto"/>
        <w:rPr>
          <w:rFonts w:ascii="Arial" w:hAnsi="Arial" w:cs="Arial"/>
          <w:sz w:val="24"/>
          <w:szCs w:val="24"/>
          <w:shd w:val="clear" w:color="auto" w:fill="FFFFFF"/>
        </w:rPr>
      </w:pPr>
      <w:r w:rsidRPr="00B935DF">
        <w:rPr>
          <w:rFonts w:ascii="Arial" w:hAnsi="Arial" w:cs="Arial"/>
          <w:sz w:val="24"/>
          <w:szCs w:val="24"/>
          <w:shd w:val="clear" w:color="auto" w:fill="FFFFFF"/>
        </w:rPr>
        <w:t xml:space="preserve">Douglas, M. </w:t>
      </w:r>
      <w:r w:rsidRPr="00B935DF">
        <w:rPr>
          <w:rFonts w:ascii="Arial" w:hAnsi="Arial" w:cs="Arial"/>
          <w:sz w:val="24"/>
          <w:szCs w:val="24"/>
          <w:shd w:val="clear" w:color="auto" w:fill="FFFFFF"/>
        </w:rPr>
        <w:t>(2002)</w:t>
      </w:r>
      <w:r w:rsidRPr="00B935DF">
        <w:rPr>
          <w:rFonts w:ascii="Arial" w:hAnsi="Arial" w:cs="Arial"/>
          <w:sz w:val="24"/>
          <w:szCs w:val="24"/>
          <w:shd w:val="clear" w:color="auto" w:fill="FFFFFF"/>
        </w:rPr>
        <w:t>. </w:t>
      </w:r>
      <w:r w:rsidRPr="00B935DF">
        <w:rPr>
          <w:rFonts w:ascii="Arial" w:hAnsi="Arial" w:cs="Arial"/>
          <w:i/>
          <w:iCs/>
          <w:sz w:val="24"/>
          <w:szCs w:val="24"/>
          <w:shd w:val="clear" w:color="auto" w:fill="FFFFFF"/>
        </w:rPr>
        <w:t>Purity and danger</w:t>
      </w:r>
      <w:r w:rsidRPr="00B935DF">
        <w:rPr>
          <w:rFonts w:ascii="Arial" w:hAnsi="Arial" w:cs="Arial"/>
          <w:sz w:val="24"/>
          <w:szCs w:val="24"/>
          <w:shd w:val="clear" w:color="auto" w:fill="FFFFFF"/>
        </w:rPr>
        <w:t xml:space="preserve">. </w:t>
      </w:r>
      <w:r w:rsidRPr="00B935DF">
        <w:rPr>
          <w:rFonts w:ascii="Arial" w:hAnsi="Arial" w:cs="Arial"/>
          <w:sz w:val="24"/>
          <w:szCs w:val="24"/>
          <w:shd w:val="clear" w:color="auto" w:fill="FFFFFF"/>
        </w:rPr>
        <w:t>1</w:t>
      </w:r>
      <w:r w:rsidRPr="00B935DF">
        <w:rPr>
          <w:rFonts w:ascii="Arial" w:hAnsi="Arial" w:cs="Arial"/>
          <w:sz w:val="24"/>
          <w:szCs w:val="24"/>
          <w:shd w:val="clear" w:color="auto" w:fill="FFFFFF"/>
          <w:vertAlign w:val="superscript"/>
        </w:rPr>
        <w:t>st</w:t>
      </w:r>
      <w:r w:rsidRPr="00B935DF">
        <w:rPr>
          <w:rFonts w:ascii="Arial" w:hAnsi="Arial" w:cs="Arial"/>
          <w:sz w:val="24"/>
          <w:szCs w:val="24"/>
          <w:shd w:val="clear" w:color="auto" w:fill="FFFFFF"/>
        </w:rPr>
        <w:t xml:space="preserve"> Ed. London: Routledge.</w:t>
      </w:r>
    </w:p>
    <w:p w14:paraId="78E4E2B1" w14:textId="77777777" w:rsidR="00504A51" w:rsidRDefault="00504A51" w:rsidP="00504A51">
      <w:pPr>
        <w:spacing w:line="480" w:lineRule="auto"/>
        <w:rPr>
          <w:kern w:val="0"/>
          <w14:ligatures w14:val="none"/>
        </w:rPr>
      </w:pPr>
      <w:r>
        <w:rPr>
          <w:rFonts w:ascii="Arial" w:hAnsi="Arial" w:cs="Arial"/>
          <w:kern w:val="0"/>
          <w:sz w:val="24"/>
          <w:szCs w:val="24"/>
          <w14:ligatures w14:val="none"/>
        </w:rPr>
        <w:t xml:space="preserve">Ecclestone, K. and Lewis, L. (2014) ‘Interventions for resilience in educational settings: challenging policy discourses of risk and vulnerability’, </w:t>
      </w:r>
      <w:r>
        <w:rPr>
          <w:rFonts w:ascii="Arial" w:hAnsi="Arial" w:cs="Arial"/>
          <w:i/>
          <w:iCs/>
          <w:kern w:val="0"/>
          <w:sz w:val="24"/>
          <w:szCs w:val="24"/>
          <w14:ligatures w14:val="none"/>
        </w:rPr>
        <w:t>Journal of Education Policy</w:t>
      </w:r>
      <w:r>
        <w:rPr>
          <w:rFonts w:ascii="Arial" w:hAnsi="Arial" w:cs="Arial"/>
          <w:kern w:val="0"/>
          <w:sz w:val="24"/>
          <w:szCs w:val="24"/>
          <w14:ligatures w14:val="none"/>
        </w:rPr>
        <w:t xml:space="preserve">, 29(2), pp.195–216. DOI: </w:t>
      </w:r>
      <w:hyperlink r:id="rId13" w:history="1">
        <w:r>
          <w:rPr>
            <w:rStyle w:val="Hyperlink"/>
            <w:rFonts w:ascii="Arial" w:hAnsi="Arial" w:cs="Arial"/>
            <w:kern w:val="0"/>
            <w:sz w:val="24"/>
            <w:szCs w:val="24"/>
            <w14:ligatures w14:val="none"/>
          </w:rPr>
          <w:t>https://doi.org/10.1080/02680939.2013.806678</w:t>
        </w:r>
      </w:hyperlink>
    </w:p>
    <w:p w14:paraId="7FD99004" w14:textId="77777777" w:rsidR="00504A51" w:rsidRDefault="00504A51" w:rsidP="00504A51">
      <w:pPr>
        <w:spacing w:line="480" w:lineRule="auto"/>
        <w:rPr>
          <w:rFonts w:ascii="Arial" w:hAnsi="Arial" w:cs="Arial"/>
          <w:sz w:val="24"/>
          <w:szCs w:val="24"/>
        </w:rPr>
      </w:pPr>
      <w:r w:rsidRPr="00667BB0">
        <w:rPr>
          <w:rFonts w:ascii="Arial" w:hAnsi="Arial" w:cs="Arial"/>
          <w:sz w:val="24"/>
          <w:szCs w:val="24"/>
        </w:rPr>
        <w:t>Equality and Human Rights Commission</w:t>
      </w:r>
      <w:r>
        <w:rPr>
          <w:rFonts w:ascii="Arial" w:hAnsi="Arial" w:cs="Arial"/>
          <w:sz w:val="24"/>
          <w:szCs w:val="24"/>
        </w:rPr>
        <w:t xml:space="preserve"> (2013) </w:t>
      </w:r>
      <w:r w:rsidRPr="000E38A8">
        <w:rPr>
          <w:rFonts w:ascii="Arial" w:hAnsi="Arial" w:cs="Arial"/>
          <w:i/>
          <w:iCs/>
          <w:sz w:val="24"/>
          <w:szCs w:val="24"/>
        </w:rPr>
        <w:t>Equality and Human Rights Commission Annual Report and Accounts</w:t>
      </w:r>
      <w:r>
        <w:rPr>
          <w:rFonts w:ascii="Arial" w:hAnsi="Arial" w:cs="Arial"/>
          <w:sz w:val="24"/>
          <w:szCs w:val="24"/>
        </w:rPr>
        <w:t xml:space="preserve">. Available at: </w:t>
      </w:r>
      <w:hyperlink r:id="rId14" w:history="1">
        <w:r w:rsidRPr="00383A05">
          <w:rPr>
            <w:rStyle w:val="Hyperlink"/>
            <w:rFonts w:ascii="Arial" w:hAnsi="Arial" w:cs="Arial"/>
            <w:sz w:val="24"/>
            <w:szCs w:val="24"/>
          </w:rPr>
          <w:t>https://assets.publishing.service.gov.uk/media/5a7e199440f0b62305b80ccc/EHRC_ARA_13-14_web_accessible.pdf</w:t>
        </w:r>
      </w:hyperlink>
      <w:r>
        <w:rPr>
          <w:rFonts w:ascii="Arial" w:hAnsi="Arial" w:cs="Arial"/>
          <w:sz w:val="24"/>
          <w:szCs w:val="24"/>
        </w:rPr>
        <w:t xml:space="preserve"> (Accessed: 5 December 2023)</w:t>
      </w:r>
    </w:p>
    <w:p w14:paraId="5876E310" w14:textId="77777777" w:rsidR="00504A51" w:rsidRPr="0047127C" w:rsidRDefault="00504A51" w:rsidP="00504A51">
      <w:pPr>
        <w:spacing w:line="480" w:lineRule="auto"/>
        <w:rPr>
          <w:rFonts w:ascii="Arial" w:hAnsi="Arial" w:cs="Arial"/>
          <w:sz w:val="24"/>
          <w:szCs w:val="24"/>
          <w:shd w:val="clear" w:color="auto" w:fill="FFFFFF"/>
        </w:rPr>
      </w:pPr>
      <w:r w:rsidRPr="0047127C">
        <w:rPr>
          <w:rFonts w:ascii="Arial" w:hAnsi="Arial" w:cs="Arial"/>
          <w:sz w:val="24"/>
          <w:szCs w:val="24"/>
          <w:shd w:val="clear" w:color="auto" w:fill="FFFFFF"/>
        </w:rPr>
        <w:t xml:space="preserve">Gilroy, P., </w:t>
      </w:r>
      <w:r w:rsidRPr="0047127C">
        <w:rPr>
          <w:rFonts w:ascii="Arial" w:hAnsi="Arial" w:cs="Arial"/>
          <w:sz w:val="24"/>
          <w:szCs w:val="24"/>
          <w:shd w:val="clear" w:color="auto" w:fill="FFFFFF"/>
        </w:rPr>
        <w:t>(</w:t>
      </w:r>
      <w:r w:rsidRPr="0047127C">
        <w:rPr>
          <w:rFonts w:ascii="Arial" w:hAnsi="Arial" w:cs="Arial"/>
          <w:sz w:val="24"/>
          <w:szCs w:val="24"/>
          <w:shd w:val="clear" w:color="auto" w:fill="FFFFFF"/>
        </w:rPr>
        <w:t>2013</w:t>
      </w:r>
      <w:r w:rsidRPr="0047127C">
        <w:rPr>
          <w:rFonts w:ascii="Arial" w:hAnsi="Arial" w:cs="Arial"/>
          <w:sz w:val="24"/>
          <w:szCs w:val="24"/>
          <w:shd w:val="clear" w:color="auto" w:fill="FFFFFF"/>
        </w:rPr>
        <w:t>)</w:t>
      </w:r>
      <w:r w:rsidRPr="0047127C">
        <w:rPr>
          <w:rFonts w:ascii="Arial" w:hAnsi="Arial" w:cs="Arial"/>
          <w:sz w:val="24"/>
          <w:szCs w:val="24"/>
          <w:shd w:val="clear" w:color="auto" w:fill="FFFFFF"/>
        </w:rPr>
        <w:t>. </w:t>
      </w:r>
      <w:r w:rsidRPr="0047127C">
        <w:rPr>
          <w:rFonts w:ascii="Arial" w:hAnsi="Arial" w:cs="Arial"/>
          <w:i/>
          <w:iCs/>
          <w:sz w:val="24"/>
          <w:szCs w:val="24"/>
          <w:shd w:val="clear" w:color="auto" w:fill="FFFFFF"/>
        </w:rPr>
        <w:t>There ain't no black in the Union Jack</w:t>
      </w:r>
      <w:r w:rsidRPr="0047127C">
        <w:rPr>
          <w:rFonts w:ascii="Arial" w:hAnsi="Arial" w:cs="Arial"/>
          <w:sz w:val="24"/>
          <w:szCs w:val="24"/>
          <w:shd w:val="clear" w:color="auto" w:fill="FFFFFF"/>
        </w:rPr>
        <w:t>. Routledge.</w:t>
      </w:r>
    </w:p>
    <w:p w14:paraId="63F1AF28" w14:textId="77777777" w:rsidR="00504A51" w:rsidRDefault="00504A51" w:rsidP="00504A51">
      <w:pPr>
        <w:spacing w:line="480" w:lineRule="auto"/>
        <w:rPr>
          <w:rFonts w:ascii="Arial" w:hAnsi="Arial" w:cs="Arial"/>
          <w:color w:val="222222"/>
          <w:sz w:val="24"/>
          <w:szCs w:val="24"/>
          <w:shd w:val="clear" w:color="auto" w:fill="FFFFFF"/>
        </w:rPr>
      </w:pPr>
      <w:r w:rsidRPr="00F80B50">
        <w:rPr>
          <w:rFonts w:ascii="Arial" w:hAnsi="Arial" w:cs="Arial"/>
          <w:sz w:val="24"/>
          <w:szCs w:val="24"/>
          <w:shd w:val="clear" w:color="auto" w:fill="FFFFFF"/>
        </w:rPr>
        <w:t xml:space="preserve">Green, S., (2012). </w:t>
      </w:r>
      <w:r w:rsidRPr="00F80B50">
        <w:rPr>
          <w:rFonts w:ascii="Arial" w:hAnsi="Arial" w:cs="Arial"/>
          <w:i/>
          <w:iCs/>
          <w:sz w:val="24"/>
          <w:szCs w:val="24"/>
          <w:shd w:val="clear" w:color="auto" w:fill="FFFFFF"/>
        </w:rPr>
        <w:t>Handbook of victims and victimology</w:t>
      </w:r>
      <w:r w:rsidRPr="00F80B50">
        <w:rPr>
          <w:rFonts w:ascii="Arial" w:hAnsi="Arial" w:cs="Arial"/>
          <w:sz w:val="24"/>
          <w:szCs w:val="24"/>
          <w:shd w:val="clear" w:color="auto" w:fill="FFFFFF"/>
        </w:rPr>
        <w:t xml:space="preserve">- </w:t>
      </w:r>
      <w:r w:rsidRPr="00F80B50">
        <w:rPr>
          <w:rFonts w:ascii="Arial" w:hAnsi="Arial" w:cs="Arial"/>
          <w:i/>
          <w:iCs/>
          <w:sz w:val="24"/>
          <w:szCs w:val="24"/>
          <w:shd w:val="clear" w:color="auto" w:fill="FFFFFF"/>
        </w:rPr>
        <w:t xml:space="preserve">Crime, victimisation and vulnerability </w:t>
      </w:r>
      <w:r w:rsidRPr="00F80B50">
        <w:rPr>
          <w:rFonts w:ascii="Arial" w:hAnsi="Arial" w:cs="Arial"/>
          <w:sz w:val="24"/>
          <w:szCs w:val="24"/>
          <w:shd w:val="clear" w:color="auto" w:fill="FFFFFF"/>
        </w:rPr>
        <w:t>(pp. 107-134). Willan</w:t>
      </w:r>
      <w:r w:rsidRPr="00F80B50">
        <w:rPr>
          <w:rFonts w:ascii="Arial" w:hAnsi="Arial" w:cs="Arial"/>
          <w:color w:val="222222"/>
          <w:sz w:val="24"/>
          <w:szCs w:val="24"/>
          <w:shd w:val="clear" w:color="auto" w:fill="FFFFFF"/>
        </w:rPr>
        <w:t>.</w:t>
      </w:r>
    </w:p>
    <w:p w14:paraId="49D98346" w14:textId="77777777" w:rsidR="00504A51" w:rsidRDefault="00504A51" w:rsidP="00504A5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Herman, J.L (2003) ‘The Mental Health of Crime Victims: Impact of Legal Intervention’ </w:t>
      </w:r>
      <w:r w:rsidRPr="00B85E25">
        <w:rPr>
          <w:rFonts w:ascii="Arial" w:hAnsi="Arial" w:cs="Arial"/>
          <w:i/>
          <w:iCs/>
          <w:sz w:val="24"/>
          <w:szCs w:val="24"/>
          <w:shd w:val="clear" w:color="auto" w:fill="FFFFFF"/>
        </w:rPr>
        <w:t>Journal of Traumatic Stress</w:t>
      </w:r>
      <w:r>
        <w:rPr>
          <w:rFonts w:ascii="Arial" w:hAnsi="Arial" w:cs="Arial"/>
          <w:sz w:val="24"/>
          <w:szCs w:val="24"/>
          <w:shd w:val="clear" w:color="auto" w:fill="FFFFFF"/>
        </w:rPr>
        <w:t xml:space="preserve">, 16, pp. 159-166. </w:t>
      </w:r>
    </w:p>
    <w:p w14:paraId="388DE3EE" w14:textId="77777777" w:rsidR="00504A51" w:rsidRDefault="00504A51" w:rsidP="00504A51">
      <w:pPr>
        <w:spacing w:line="480" w:lineRule="auto"/>
        <w:rPr>
          <w:rFonts w:ascii="Arial" w:hAnsi="Arial" w:cs="Arial"/>
          <w:sz w:val="24"/>
          <w:szCs w:val="24"/>
        </w:rPr>
      </w:pPr>
      <w:r>
        <w:rPr>
          <w:rFonts w:ascii="Arial" w:hAnsi="Arial" w:cs="Arial"/>
          <w:sz w:val="24"/>
          <w:szCs w:val="24"/>
        </w:rPr>
        <w:t>Home Office (2002) </w:t>
      </w:r>
      <w:r>
        <w:rPr>
          <w:rStyle w:val="Emphasis"/>
          <w:rFonts w:ascii="Arial" w:hAnsi="Arial" w:cs="Arial"/>
          <w:sz w:val="24"/>
          <w:szCs w:val="24"/>
        </w:rPr>
        <w:t>Justice for All</w:t>
      </w:r>
      <w:r>
        <w:rPr>
          <w:rFonts w:ascii="Arial" w:hAnsi="Arial" w:cs="Arial"/>
          <w:sz w:val="24"/>
          <w:szCs w:val="24"/>
        </w:rPr>
        <w:t>. London: Home Office.</w:t>
      </w:r>
    </w:p>
    <w:p w14:paraId="366DF096" w14:textId="77777777" w:rsidR="00504A51" w:rsidRPr="00504A51" w:rsidRDefault="00504A51" w:rsidP="00504A51">
      <w:pPr>
        <w:spacing w:line="480" w:lineRule="auto"/>
        <w:rPr>
          <w:rFonts w:ascii="Arial" w:hAnsi="Arial" w:cs="Arial"/>
          <w:sz w:val="24"/>
          <w:szCs w:val="24"/>
          <w:shd w:val="clear" w:color="auto" w:fill="FFFFFF"/>
        </w:rPr>
      </w:pPr>
      <w:r w:rsidRPr="00504A51">
        <w:rPr>
          <w:rFonts w:ascii="Arial" w:hAnsi="Arial" w:cs="Arial"/>
          <w:sz w:val="24"/>
          <w:szCs w:val="24"/>
          <w:shd w:val="clear" w:color="auto" w:fill="FFFFFF"/>
        </w:rPr>
        <w:t xml:space="preserve">Jones, K., </w:t>
      </w:r>
      <w:r w:rsidRPr="00504A51">
        <w:rPr>
          <w:rFonts w:ascii="Arial" w:hAnsi="Arial" w:cs="Arial"/>
          <w:sz w:val="24"/>
          <w:szCs w:val="24"/>
          <w:shd w:val="clear" w:color="auto" w:fill="FFFFFF"/>
        </w:rPr>
        <w:t>et al (</w:t>
      </w:r>
      <w:r w:rsidRPr="00504A51">
        <w:rPr>
          <w:rFonts w:ascii="Arial" w:hAnsi="Arial" w:cs="Arial"/>
          <w:sz w:val="24"/>
          <w:szCs w:val="24"/>
          <w:shd w:val="clear" w:color="auto" w:fill="FFFFFF"/>
        </w:rPr>
        <w:t>2013</w:t>
      </w:r>
      <w:r w:rsidRPr="00504A51">
        <w:rPr>
          <w:rFonts w:ascii="Arial" w:hAnsi="Arial" w:cs="Arial"/>
          <w:sz w:val="24"/>
          <w:szCs w:val="24"/>
          <w:shd w:val="clear" w:color="auto" w:fill="FFFFFF"/>
        </w:rPr>
        <w:t>)</w:t>
      </w:r>
      <w:r w:rsidRPr="00504A51">
        <w:rPr>
          <w:rFonts w:ascii="Arial" w:hAnsi="Arial" w:cs="Arial"/>
          <w:sz w:val="24"/>
          <w:szCs w:val="24"/>
          <w:shd w:val="clear" w:color="auto" w:fill="FFFFFF"/>
        </w:rPr>
        <w:t xml:space="preserve">. </w:t>
      </w:r>
      <w:r w:rsidRPr="00504A51">
        <w:rPr>
          <w:rFonts w:ascii="Arial" w:hAnsi="Arial" w:cs="Arial"/>
          <w:sz w:val="24"/>
          <w:szCs w:val="24"/>
          <w:shd w:val="clear" w:color="auto" w:fill="FFFFFF"/>
        </w:rPr>
        <w:t>‘</w:t>
      </w:r>
      <w:r w:rsidRPr="00504A51">
        <w:rPr>
          <w:rFonts w:ascii="Arial" w:hAnsi="Arial" w:cs="Arial"/>
          <w:sz w:val="24"/>
          <w:szCs w:val="24"/>
          <w:shd w:val="clear" w:color="auto" w:fill="FFFFFF"/>
        </w:rPr>
        <w:t>Assessing vulnerability, resilience and adaptive capacity of a UK Social Landlord</w:t>
      </w:r>
      <w:r w:rsidRPr="00504A51">
        <w:rPr>
          <w:rFonts w:ascii="Arial" w:hAnsi="Arial" w:cs="Arial"/>
          <w:sz w:val="24"/>
          <w:szCs w:val="24"/>
          <w:shd w:val="clear" w:color="auto" w:fill="FFFFFF"/>
        </w:rPr>
        <w:t>’</w:t>
      </w:r>
      <w:r w:rsidRPr="00504A51">
        <w:rPr>
          <w:rFonts w:ascii="Arial" w:hAnsi="Arial" w:cs="Arial"/>
          <w:sz w:val="24"/>
          <w:szCs w:val="24"/>
          <w:shd w:val="clear" w:color="auto" w:fill="FFFFFF"/>
        </w:rPr>
        <w:t>. </w:t>
      </w:r>
      <w:r w:rsidRPr="00504A51">
        <w:rPr>
          <w:rFonts w:ascii="Arial" w:hAnsi="Arial" w:cs="Arial"/>
          <w:i/>
          <w:iCs/>
          <w:sz w:val="24"/>
          <w:szCs w:val="24"/>
          <w:shd w:val="clear" w:color="auto" w:fill="FFFFFF"/>
        </w:rPr>
        <w:t>International Journal of Disaster Resilience in the Built Environment</w:t>
      </w:r>
      <w:r w:rsidRPr="00504A51">
        <w:rPr>
          <w:rFonts w:ascii="Arial" w:hAnsi="Arial" w:cs="Arial"/>
          <w:sz w:val="24"/>
          <w:szCs w:val="24"/>
          <w:shd w:val="clear" w:color="auto" w:fill="FFFFFF"/>
        </w:rPr>
        <w:t>, </w:t>
      </w:r>
      <w:r w:rsidRPr="00504A51">
        <w:rPr>
          <w:rFonts w:ascii="Arial" w:hAnsi="Arial" w:cs="Arial"/>
          <w:i/>
          <w:iCs/>
          <w:sz w:val="24"/>
          <w:szCs w:val="24"/>
          <w:shd w:val="clear" w:color="auto" w:fill="FFFFFF"/>
        </w:rPr>
        <w:t>4</w:t>
      </w:r>
      <w:r w:rsidRPr="00504A51">
        <w:rPr>
          <w:rFonts w:ascii="Arial" w:hAnsi="Arial" w:cs="Arial"/>
          <w:sz w:val="24"/>
          <w:szCs w:val="24"/>
          <w:shd w:val="clear" w:color="auto" w:fill="FFFFFF"/>
        </w:rPr>
        <w:t>(3), pp.287-296.</w:t>
      </w:r>
    </w:p>
    <w:p w14:paraId="32B37D24"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Korbin, J. E., et al (1998). ‘Impoverishment and child maltreatment in African American and European American neighbourhoods.’ </w:t>
      </w:r>
      <w:r>
        <w:rPr>
          <w:rFonts w:ascii="Arial" w:hAnsi="Arial" w:cs="Arial"/>
          <w:i/>
          <w:iCs/>
          <w:sz w:val="24"/>
          <w:szCs w:val="24"/>
        </w:rPr>
        <w:t>Development and Psychopathology</w:t>
      </w:r>
      <w:r>
        <w:rPr>
          <w:rFonts w:ascii="Arial" w:hAnsi="Arial" w:cs="Arial"/>
          <w:sz w:val="24"/>
          <w:szCs w:val="24"/>
        </w:rPr>
        <w:t xml:space="preserve">, 10(2), pp.215–33. DOI: </w:t>
      </w:r>
      <w:hyperlink r:id="rId15" w:history="1">
        <w:r>
          <w:rPr>
            <w:rStyle w:val="Hyperlink"/>
            <w:rFonts w:ascii="Arial" w:hAnsi="Arial" w:cs="Arial"/>
            <w:sz w:val="24"/>
            <w:szCs w:val="24"/>
            <w:shd w:val="clear" w:color="auto" w:fill="CAE7FF"/>
          </w:rPr>
          <w:t>https://doi.org/10.1017/S0954579498001588</w:t>
        </w:r>
      </w:hyperlink>
      <w:r>
        <w:rPr>
          <w:rFonts w:ascii="Arial" w:hAnsi="Arial" w:cs="Arial"/>
          <w:color w:val="181817"/>
          <w:sz w:val="24"/>
          <w:szCs w:val="24"/>
          <w:shd w:val="clear" w:color="auto" w:fill="CAE7FF"/>
        </w:rPr>
        <w:t xml:space="preserve"> </w:t>
      </w:r>
    </w:p>
    <w:p w14:paraId="2AD48EF8"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Kruttschnitt, C (2013) ‘Gender and Crime.’ </w:t>
      </w:r>
      <w:r w:rsidRPr="004202FA">
        <w:rPr>
          <w:rFonts w:ascii="Arial" w:hAnsi="Arial" w:cs="Arial"/>
          <w:i/>
          <w:iCs/>
          <w:sz w:val="24"/>
          <w:szCs w:val="24"/>
        </w:rPr>
        <w:t>Annual Review of Sociology</w:t>
      </w:r>
      <w:r>
        <w:rPr>
          <w:rFonts w:ascii="Arial" w:hAnsi="Arial" w:cs="Arial"/>
          <w:sz w:val="24"/>
          <w:szCs w:val="24"/>
        </w:rPr>
        <w:t xml:space="preserve">, 39, pp. 291-308. DOI: </w:t>
      </w:r>
      <w:hyperlink r:id="rId16" w:history="1">
        <w:r w:rsidRPr="00383A05">
          <w:rPr>
            <w:rStyle w:val="Hyperlink"/>
            <w:rFonts w:ascii="Arial" w:hAnsi="Arial" w:cs="Arial"/>
            <w:sz w:val="24"/>
            <w:szCs w:val="24"/>
          </w:rPr>
          <w:t>https://doi.org/10.1146/annurev-soc-071312-145605</w:t>
        </w:r>
      </w:hyperlink>
      <w:r>
        <w:rPr>
          <w:rFonts w:ascii="Arial" w:hAnsi="Arial" w:cs="Arial"/>
          <w:sz w:val="24"/>
          <w:szCs w:val="24"/>
        </w:rPr>
        <w:t xml:space="preserve"> </w:t>
      </w:r>
    </w:p>
    <w:p w14:paraId="377D7F1C"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Levitas, R. (1998) </w:t>
      </w:r>
      <w:r>
        <w:rPr>
          <w:rFonts w:ascii="Arial" w:hAnsi="Arial" w:cs="Arial"/>
          <w:i/>
          <w:iCs/>
          <w:sz w:val="24"/>
          <w:szCs w:val="24"/>
        </w:rPr>
        <w:t>The Inclusive Society? Social Exclusion and New Labour</w:t>
      </w:r>
      <w:r>
        <w:rPr>
          <w:rFonts w:ascii="Arial" w:hAnsi="Arial" w:cs="Arial"/>
          <w:sz w:val="24"/>
          <w:szCs w:val="24"/>
        </w:rPr>
        <w:t>, London: Macmillan Press.</w:t>
      </w:r>
    </w:p>
    <w:p w14:paraId="648225CB" w14:textId="77777777" w:rsidR="00504A51" w:rsidRDefault="00504A51" w:rsidP="00504A51">
      <w:pPr>
        <w:spacing w:line="480" w:lineRule="auto"/>
        <w:rPr>
          <w:rFonts w:ascii="Arial" w:hAnsi="Arial" w:cs="Arial"/>
          <w:sz w:val="24"/>
          <w:szCs w:val="24"/>
          <w:shd w:val="clear" w:color="auto" w:fill="FFFFFF"/>
        </w:rPr>
      </w:pPr>
      <w:r w:rsidRPr="0047127C">
        <w:rPr>
          <w:rFonts w:ascii="Arial" w:hAnsi="Arial" w:cs="Arial"/>
          <w:sz w:val="24"/>
          <w:szCs w:val="24"/>
          <w:shd w:val="clear" w:color="auto" w:fill="FFFFFF"/>
        </w:rPr>
        <w:t xml:space="preserve">MacLin, M.K. and Herrera, V., </w:t>
      </w:r>
      <w:r>
        <w:rPr>
          <w:rFonts w:ascii="Arial" w:hAnsi="Arial" w:cs="Arial"/>
          <w:sz w:val="24"/>
          <w:szCs w:val="24"/>
          <w:shd w:val="clear" w:color="auto" w:fill="FFFFFF"/>
        </w:rPr>
        <w:t>(</w:t>
      </w:r>
      <w:r w:rsidRPr="0047127C">
        <w:rPr>
          <w:rFonts w:ascii="Arial" w:hAnsi="Arial" w:cs="Arial"/>
          <w:sz w:val="24"/>
          <w:szCs w:val="24"/>
          <w:shd w:val="clear" w:color="auto" w:fill="FFFFFF"/>
        </w:rPr>
        <w:t>2006</w:t>
      </w:r>
      <w:r>
        <w:rPr>
          <w:rFonts w:ascii="Arial" w:hAnsi="Arial" w:cs="Arial"/>
          <w:sz w:val="24"/>
          <w:szCs w:val="24"/>
          <w:shd w:val="clear" w:color="auto" w:fill="FFFFFF"/>
        </w:rPr>
        <w:t>)</w:t>
      </w:r>
      <w:r w:rsidRPr="0047127C">
        <w:rPr>
          <w:rFonts w:ascii="Arial" w:hAnsi="Arial" w:cs="Arial"/>
          <w:sz w:val="24"/>
          <w:szCs w:val="24"/>
          <w:shd w:val="clear" w:color="auto" w:fill="FFFFFF"/>
        </w:rPr>
        <w:t xml:space="preserve">. </w:t>
      </w:r>
      <w:r>
        <w:rPr>
          <w:rFonts w:ascii="Arial" w:hAnsi="Arial" w:cs="Arial"/>
          <w:sz w:val="24"/>
          <w:szCs w:val="24"/>
          <w:shd w:val="clear" w:color="auto" w:fill="FFFFFF"/>
        </w:rPr>
        <w:t>‘</w:t>
      </w:r>
      <w:r w:rsidRPr="0047127C">
        <w:rPr>
          <w:rFonts w:ascii="Arial" w:hAnsi="Arial" w:cs="Arial"/>
          <w:sz w:val="24"/>
          <w:szCs w:val="24"/>
          <w:shd w:val="clear" w:color="auto" w:fill="FFFFFF"/>
        </w:rPr>
        <w:t>The criminal stereotype.</w:t>
      </w:r>
      <w:r>
        <w:rPr>
          <w:rFonts w:ascii="Arial" w:hAnsi="Arial" w:cs="Arial"/>
          <w:sz w:val="24"/>
          <w:szCs w:val="24"/>
          <w:shd w:val="clear" w:color="auto" w:fill="FFFFFF"/>
        </w:rPr>
        <w:t>’</w:t>
      </w:r>
      <w:r w:rsidRPr="0047127C">
        <w:rPr>
          <w:rFonts w:ascii="Arial" w:hAnsi="Arial" w:cs="Arial"/>
          <w:sz w:val="24"/>
          <w:szCs w:val="24"/>
          <w:shd w:val="clear" w:color="auto" w:fill="FFFFFF"/>
        </w:rPr>
        <w:t> </w:t>
      </w:r>
      <w:r w:rsidRPr="0047127C">
        <w:rPr>
          <w:rFonts w:ascii="Arial" w:hAnsi="Arial" w:cs="Arial"/>
          <w:i/>
          <w:iCs/>
          <w:sz w:val="24"/>
          <w:szCs w:val="24"/>
          <w:shd w:val="clear" w:color="auto" w:fill="FFFFFF"/>
        </w:rPr>
        <w:t>North American Journal of Psychology</w:t>
      </w:r>
      <w:r w:rsidRPr="0047127C">
        <w:rPr>
          <w:rFonts w:ascii="Arial" w:hAnsi="Arial" w:cs="Arial"/>
          <w:sz w:val="24"/>
          <w:szCs w:val="24"/>
          <w:shd w:val="clear" w:color="auto" w:fill="FFFFFF"/>
        </w:rPr>
        <w:t>, </w:t>
      </w:r>
      <w:r w:rsidRPr="0047127C">
        <w:rPr>
          <w:rFonts w:ascii="Arial" w:hAnsi="Arial" w:cs="Arial"/>
          <w:i/>
          <w:iCs/>
          <w:sz w:val="24"/>
          <w:szCs w:val="24"/>
          <w:shd w:val="clear" w:color="auto" w:fill="FFFFFF"/>
        </w:rPr>
        <w:t>8</w:t>
      </w:r>
      <w:r w:rsidRPr="0047127C">
        <w:rPr>
          <w:rFonts w:ascii="Arial" w:hAnsi="Arial" w:cs="Arial"/>
          <w:sz w:val="24"/>
          <w:szCs w:val="24"/>
          <w:shd w:val="clear" w:color="auto" w:fill="FFFFFF"/>
        </w:rPr>
        <w:t>(2), pp.197-208.</w:t>
      </w:r>
    </w:p>
    <w:p w14:paraId="6FF0C7AB" w14:textId="77777777" w:rsidR="00504A51" w:rsidRDefault="00504A51" w:rsidP="00504A51">
      <w:pPr>
        <w:spacing w:line="480" w:lineRule="auto"/>
        <w:rPr>
          <w:rFonts w:ascii="Arial" w:hAnsi="Arial" w:cs="Arial"/>
          <w:sz w:val="24"/>
          <w:szCs w:val="24"/>
        </w:rPr>
      </w:pPr>
      <w:r>
        <w:rPr>
          <w:rFonts w:ascii="Arial" w:hAnsi="Arial" w:cs="Arial"/>
          <w:sz w:val="24"/>
          <w:szCs w:val="24"/>
        </w:rPr>
        <w:t>Mcclendon, J and Lane, S.R (2014</w:t>
      </w:r>
      <w:r>
        <w:rPr>
          <w:rFonts w:ascii="Arial" w:hAnsi="Arial" w:cs="Arial"/>
          <w:i/>
          <w:iCs/>
          <w:sz w:val="24"/>
          <w:szCs w:val="24"/>
        </w:rPr>
        <w:t xml:space="preserve">) Handbook of Social Work Practice with Vulnerable and Resilient Populations. </w:t>
      </w:r>
      <w:r>
        <w:rPr>
          <w:rFonts w:ascii="Arial" w:hAnsi="Arial" w:cs="Arial"/>
          <w:sz w:val="24"/>
          <w:szCs w:val="24"/>
        </w:rPr>
        <w:t>Columbia: Columbia University Press.</w:t>
      </w:r>
    </w:p>
    <w:p w14:paraId="0328CCAF" w14:textId="77777777" w:rsidR="00504A51" w:rsidRDefault="00504A51" w:rsidP="00504A51">
      <w:pPr>
        <w:spacing w:line="480" w:lineRule="auto"/>
        <w:rPr>
          <w:rFonts w:ascii="Arial" w:hAnsi="Arial" w:cs="Arial"/>
          <w:color w:val="000000"/>
          <w:sz w:val="24"/>
          <w:szCs w:val="24"/>
        </w:rPr>
      </w:pPr>
      <w:r>
        <w:rPr>
          <w:rFonts w:ascii="Arial" w:hAnsi="Arial" w:cs="Arial"/>
          <w:color w:val="000000"/>
          <w:sz w:val="24"/>
          <w:szCs w:val="24"/>
        </w:rPr>
        <w:t>Ministry of Justice (2012) </w:t>
      </w:r>
      <w:r>
        <w:rPr>
          <w:rStyle w:val="Emphasis"/>
          <w:rFonts w:ascii="Arial" w:hAnsi="Arial" w:cs="Arial"/>
          <w:color w:val="000000"/>
          <w:sz w:val="24"/>
          <w:szCs w:val="24"/>
        </w:rPr>
        <w:t>Getting it Right for Victims and Witnesses</w:t>
      </w:r>
      <w:r>
        <w:rPr>
          <w:rFonts w:ascii="Arial" w:hAnsi="Arial" w:cs="Arial"/>
          <w:color w:val="000000"/>
          <w:sz w:val="24"/>
          <w:szCs w:val="24"/>
        </w:rPr>
        <w:t>. London: Ministry of Justice.</w:t>
      </w:r>
    </w:p>
    <w:p w14:paraId="4F40F5DE" w14:textId="77777777" w:rsidR="00504A51" w:rsidRPr="00F80B50" w:rsidRDefault="00504A51" w:rsidP="00504A51">
      <w:pPr>
        <w:spacing w:line="480" w:lineRule="auto"/>
        <w:rPr>
          <w:rFonts w:ascii="Arial" w:hAnsi="Arial" w:cs="Arial"/>
          <w:sz w:val="24"/>
          <w:szCs w:val="24"/>
        </w:rPr>
      </w:pPr>
      <w:r w:rsidRPr="00F80B50">
        <w:rPr>
          <w:rFonts w:ascii="Arial" w:hAnsi="Arial" w:cs="Arial"/>
          <w:sz w:val="24"/>
          <w:szCs w:val="24"/>
        </w:rPr>
        <w:t xml:space="preserve">Noy, I and Yonson, R (2018) ‘Economic Vulnerability and Resilience to Natural Hazards: A Survey of Concepts and Measurements’ </w:t>
      </w:r>
      <w:r w:rsidRPr="00F80B50">
        <w:rPr>
          <w:rFonts w:ascii="Arial" w:hAnsi="Arial" w:cs="Arial"/>
          <w:i/>
          <w:iCs/>
          <w:sz w:val="24"/>
          <w:szCs w:val="24"/>
        </w:rPr>
        <w:t>Sustainability</w:t>
      </w:r>
      <w:r w:rsidRPr="00F80B50">
        <w:rPr>
          <w:rFonts w:ascii="Arial" w:hAnsi="Arial" w:cs="Arial"/>
          <w:sz w:val="24"/>
          <w:szCs w:val="24"/>
        </w:rPr>
        <w:t xml:space="preserve"> ,10(8) p, 2850. DOI: </w:t>
      </w:r>
      <w:hyperlink r:id="rId17" w:history="1">
        <w:r w:rsidRPr="00F80B50">
          <w:rPr>
            <w:rStyle w:val="Hyperlink"/>
            <w:rFonts w:ascii="Arial" w:hAnsi="Arial" w:cs="Arial"/>
            <w:sz w:val="24"/>
            <w:szCs w:val="24"/>
          </w:rPr>
          <w:t>https://doi.org/10.3390/su10082850</w:t>
        </w:r>
      </w:hyperlink>
      <w:r w:rsidRPr="00F80B50">
        <w:rPr>
          <w:rFonts w:ascii="Arial" w:hAnsi="Arial" w:cs="Arial"/>
          <w:sz w:val="24"/>
          <w:szCs w:val="24"/>
        </w:rPr>
        <w:t xml:space="preserve"> </w:t>
      </w:r>
    </w:p>
    <w:p w14:paraId="0A252A82" w14:textId="77777777" w:rsidR="00504A51" w:rsidRDefault="00504A51" w:rsidP="00504A5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Patel, T.G (2018) ‘Race/Ethnicity, Crime and Social Control: An Introduction.’ </w:t>
      </w:r>
      <w:r w:rsidRPr="00A96A96">
        <w:rPr>
          <w:rFonts w:ascii="Arial" w:hAnsi="Arial" w:cs="Arial"/>
          <w:i/>
          <w:iCs/>
          <w:sz w:val="24"/>
          <w:szCs w:val="24"/>
          <w:shd w:val="clear" w:color="auto" w:fill="FFFFFF"/>
        </w:rPr>
        <w:t>Social Sciences</w:t>
      </w:r>
      <w:r>
        <w:rPr>
          <w:rFonts w:ascii="Arial" w:hAnsi="Arial" w:cs="Arial"/>
          <w:sz w:val="24"/>
          <w:szCs w:val="24"/>
          <w:shd w:val="clear" w:color="auto" w:fill="FFFFFF"/>
        </w:rPr>
        <w:t xml:space="preserve">, 7(12), pp.271. DOI: </w:t>
      </w:r>
      <w:hyperlink r:id="rId18" w:history="1">
        <w:r w:rsidRPr="00383A05">
          <w:rPr>
            <w:rStyle w:val="Hyperlink"/>
            <w:rFonts w:ascii="Arial" w:hAnsi="Arial" w:cs="Arial"/>
            <w:sz w:val="24"/>
            <w:szCs w:val="24"/>
            <w:shd w:val="clear" w:color="auto" w:fill="FFFFFF"/>
          </w:rPr>
          <w:t>https://doi.org/10.3390/socsci7120271</w:t>
        </w:r>
      </w:hyperlink>
      <w:r>
        <w:rPr>
          <w:rFonts w:ascii="Arial" w:hAnsi="Arial" w:cs="Arial"/>
          <w:sz w:val="24"/>
          <w:szCs w:val="24"/>
          <w:shd w:val="clear" w:color="auto" w:fill="FFFFFF"/>
        </w:rPr>
        <w:t xml:space="preserve"> </w:t>
      </w:r>
    </w:p>
    <w:p w14:paraId="4EDC7413" w14:textId="77777777" w:rsidR="00504A51" w:rsidRDefault="00504A51" w:rsidP="00504A51">
      <w:pPr>
        <w:spacing w:line="480" w:lineRule="auto"/>
        <w:rPr>
          <w:rFonts w:ascii="Arial" w:hAnsi="Arial" w:cs="Arial"/>
          <w:sz w:val="24"/>
          <w:szCs w:val="24"/>
        </w:rPr>
      </w:pPr>
      <w:r>
        <w:rPr>
          <w:rFonts w:ascii="Arial" w:hAnsi="Arial" w:cs="Arial"/>
          <w:sz w:val="24"/>
          <w:szCs w:val="24"/>
        </w:rPr>
        <w:t xml:space="preserve">Smith, B.W and Holmes, M.D (2006) ‘Community accountability, minority threat, and police brutality: an examination of civil rights criminal complaints.’ </w:t>
      </w:r>
      <w:r w:rsidRPr="00667BB0">
        <w:rPr>
          <w:rFonts w:ascii="Arial" w:hAnsi="Arial" w:cs="Arial"/>
          <w:i/>
          <w:iCs/>
          <w:sz w:val="24"/>
          <w:szCs w:val="24"/>
        </w:rPr>
        <w:t>Criminology</w:t>
      </w:r>
      <w:r>
        <w:rPr>
          <w:rFonts w:ascii="Arial" w:hAnsi="Arial" w:cs="Arial"/>
          <w:sz w:val="24"/>
          <w:szCs w:val="24"/>
        </w:rPr>
        <w:t xml:space="preserve">, 41(4), pp. 1035-1064. DOI: </w:t>
      </w:r>
      <w:hyperlink r:id="rId19" w:history="1">
        <w:r w:rsidRPr="00383A05">
          <w:rPr>
            <w:rStyle w:val="Hyperlink"/>
            <w:rFonts w:ascii="Arial" w:hAnsi="Arial" w:cs="Arial"/>
            <w:sz w:val="24"/>
            <w:szCs w:val="24"/>
          </w:rPr>
          <w:t>https://doi.org/10.1111/j.1745-9125.2003.tb01013.x</w:t>
        </w:r>
      </w:hyperlink>
      <w:r>
        <w:rPr>
          <w:rFonts w:ascii="Arial" w:hAnsi="Arial" w:cs="Arial"/>
          <w:sz w:val="24"/>
          <w:szCs w:val="24"/>
        </w:rPr>
        <w:t xml:space="preserve"> </w:t>
      </w:r>
    </w:p>
    <w:p w14:paraId="7A5DD53D" w14:textId="77777777" w:rsidR="00504A51" w:rsidRDefault="00504A51" w:rsidP="00504A51">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Thaller, J et al (2014) </w:t>
      </w:r>
      <w:r>
        <w:rPr>
          <w:rFonts w:ascii="Arial" w:hAnsi="Arial" w:cs="Arial"/>
          <w:i/>
          <w:iCs/>
          <w:sz w:val="24"/>
          <w:szCs w:val="24"/>
          <w:shd w:val="clear" w:color="auto" w:fill="FFFFFF"/>
        </w:rPr>
        <w:t>Handbook of Social Work Practice with Vulnerable and Resilient Populations</w:t>
      </w:r>
      <w:r>
        <w:rPr>
          <w:rFonts w:ascii="Arial" w:hAnsi="Arial" w:cs="Arial"/>
          <w:sz w:val="24"/>
          <w:szCs w:val="24"/>
          <w:shd w:val="clear" w:color="auto" w:fill="FFFFFF"/>
        </w:rPr>
        <w:t>. Columbia: Columbia University Press.</w:t>
      </w:r>
    </w:p>
    <w:p w14:paraId="7CCA8B47" w14:textId="77777777" w:rsidR="00504A51" w:rsidRPr="000E38A8" w:rsidRDefault="00504A51" w:rsidP="00504A51">
      <w:pPr>
        <w:spacing w:line="480" w:lineRule="auto"/>
        <w:rPr>
          <w:rFonts w:ascii="Arial" w:hAnsi="Arial" w:cs="Arial"/>
          <w:sz w:val="32"/>
          <w:szCs w:val="32"/>
        </w:rPr>
      </w:pPr>
      <w:r w:rsidRPr="00504A51">
        <w:rPr>
          <w:rFonts w:ascii="Arial" w:hAnsi="Arial" w:cs="Arial"/>
          <w:sz w:val="24"/>
          <w:szCs w:val="24"/>
          <w:shd w:val="clear" w:color="auto" w:fill="FFFFFF"/>
        </w:rPr>
        <w:t xml:space="preserve">Tyler, T.R and Wakslak, C.J (2006) ‘Policing and Police Legitimacy: Procedural Justice, Attributions of Motive and Acceptance of Police Authority.’ </w:t>
      </w:r>
      <w:r w:rsidRPr="00504A51">
        <w:rPr>
          <w:rFonts w:ascii="Arial" w:hAnsi="Arial" w:cs="Arial"/>
          <w:i/>
          <w:iCs/>
          <w:sz w:val="24"/>
          <w:szCs w:val="24"/>
          <w:shd w:val="clear" w:color="auto" w:fill="FFFFFF"/>
        </w:rPr>
        <w:t>Criminology</w:t>
      </w:r>
      <w:r w:rsidRPr="00504A51">
        <w:rPr>
          <w:rFonts w:ascii="Arial" w:hAnsi="Arial" w:cs="Arial"/>
          <w:sz w:val="24"/>
          <w:szCs w:val="24"/>
          <w:shd w:val="clear" w:color="auto" w:fill="FFFFFF"/>
        </w:rPr>
        <w:t xml:space="preserve">, 42(2), pp. 253-282. DOI: </w:t>
      </w:r>
      <w:hyperlink r:id="rId20" w:history="1">
        <w:r w:rsidRPr="000E38A8">
          <w:rPr>
            <w:rStyle w:val="Hyperlink"/>
            <w:rFonts w:ascii="Arial" w:hAnsi="Arial" w:cs="Arial"/>
            <w:sz w:val="24"/>
            <w:szCs w:val="24"/>
            <w:shd w:val="clear" w:color="auto" w:fill="FFFFFF"/>
          </w:rPr>
          <w:t>https://doi.org/10.1111/j.1745-9125.2004.tb00520.x</w:t>
        </w:r>
      </w:hyperlink>
      <w:r w:rsidRPr="000E38A8">
        <w:rPr>
          <w:rFonts w:ascii="Arial" w:hAnsi="Arial" w:cs="Arial"/>
          <w:color w:val="222222"/>
          <w:sz w:val="24"/>
          <w:szCs w:val="24"/>
          <w:shd w:val="clear" w:color="auto" w:fill="FFFFFF"/>
        </w:rPr>
        <w:t xml:space="preserve"> </w:t>
      </w:r>
    </w:p>
    <w:p w14:paraId="014E2865" w14:textId="77777777" w:rsidR="00504A51" w:rsidRDefault="00504A51" w:rsidP="00504A51">
      <w:pPr>
        <w:spacing w:line="480" w:lineRule="auto"/>
        <w:rPr>
          <w:rFonts w:ascii="Arial" w:hAnsi="Arial" w:cs="Arial"/>
          <w:sz w:val="24"/>
          <w:szCs w:val="24"/>
        </w:rPr>
      </w:pPr>
      <w:r w:rsidRPr="004202FA">
        <w:rPr>
          <w:rFonts w:ascii="Arial" w:hAnsi="Arial" w:cs="Arial"/>
          <w:sz w:val="24"/>
          <w:szCs w:val="24"/>
        </w:rPr>
        <w:t xml:space="preserve">Weeks, J., </w:t>
      </w:r>
      <w:r w:rsidRPr="004202FA">
        <w:rPr>
          <w:rFonts w:ascii="Arial" w:hAnsi="Arial" w:cs="Arial"/>
          <w:sz w:val="24"/>
          <w:szCs w:val="24"/>
        </w:rPr>
        <w:t>(</w:t>
      </w:r>
      <w:r w:rsidRPr="004202FA">
        <w:rPr>
          <w:rFonts w:ascii="Arial" w:hAnsi="Arial" w:cs="Arial"/>
          <w:sz w:val="24"/>
          <w:szCs w:val="24"/>
        </w:rPr>
        <w:t>2007</w:t>
      </w:r>
      <w:r w:rsidRPr="004202FA">
        <w:rPr>
          <w:rFonts w:ascii="Arial" w:hAnsi="Arial" w:cs="Arial"/>
          <w:sz w:val="24"/>
          <w:szCs w:val="24"/>
        </w:rPr>
        <w:t>)</w:t>
      </w:r>
      <w:r w:rsidRPr="004202FA">
        <w:rPr>
          <w:rFonts w:ascii="Arial" w:hAnsi="Arial" w:cs="Arial"/>
          <w:sz w:val="24"/>
          <w:szCs w:val="24"/>
        </w:rPr>
        <w:t>. The world we have won: The remaking of erotic and intimate life. Routledge.</w:t>
      </w:r>
    </w:p>
    <w:p w14:paraId="772E60B3" w14:textId="77777777" w:rsidR="00504A51" w:rsidRDefault="00504A51" w:rsidP="00504A51">
      <w:pPr>
        <w:spacing w:line="480" w:lineRule="auto"/>
        <w:rPr>
          <w:rFonts w:ascii="Arial" w:hAnsi="Arial" w:cs="Arial"/>
          <w:sz w:val="24"/>
          <w:szCs w:val="24"/>
        </w:rPr>
      </w:pPr>
    </w:p>
    <w:p w14:paraId="061186F8" w14:textId="77777777" w:rsidR="00504A51" w:rsidRPr="008E44CF" w:rsidRDefault="00504A51" w:rsidP="00AD13AF">
      <w:pPr>
        <w:spacing w:line="480" w:lineRule="auto"/>
        <w:rPr>
          <w:rFonts w:ascii="Arial" w:hAnsi="Arial" w:cs="Arial"/>
          <w:sz w:val="32"/>
          <w:szCs w:val="32"/>
          <w:shd w:val="clear" w:color="auto" w:fill="FFFFFF"/>
        </w:rPr>
      </w:pPr>
    </w:p>
    <w:p w14:paraId="13763090" w14:textId="77777777" w:rsidR="00AD13AF" w:rsidRDefault="00AD13AF" w:rsidP="00AD13AF">
      <w:pPr>
        <w:spacing w:line="480" w:lineRule="auto"/>
        <w:rPr>
          <w:rFonts w:ascii="Arial" w:hAnsi="Arial" w:cs="Arial"/>
          <w:sz w:val="24"/>
          <w:szCs w:val="24"/>
        </w:rPr>
      </w:pPr>
    </w:p>
    <w:p w14:paraId="74C54EF6" w14:textId="77777777" w:rsidR="00AD13AF" w:rsidRDefault="00AD13AF" w:rsidP="00AD13AF">
      <w:pPr>
        <w:spacing w:line="480" w:lineRule="auto"/>
        <w:rPr>
          <w:rFonts w:ascii="Arial" w:hAnsi="Arial" w:cs="Arial"/>
          <w:color w:val="000000"/>
          <w:sz w:val="24"/>
          <w:szCs w:val="24"/>
        </w:rPr>
      </w:pPr>
    </w:p>
    <w:p w14:paraId="630393A2" w14:textId="77777777" w:rsidR="00AD13AF" w:rsidRDefault="00AD13AF" w:rsidP="00AD13AF">
      <w:pPr>
        <w:spacing w:line="480" w:lineRule="auto"/>
        <w:rPr>
          <w:rFonts w:ascii="Arial" w:hAnsi="Arial" w:cs="Arial"/>
          <w:color w:val="232323"/>
          <w:sz w:val="24"/>
          <w:szCs w:val="24"/>
          <w:shd w:val="clear" w:color="auto" w:fill="FFFFFF"/>
        </w:rPr>
      </w:pPr>
    </w:p>
    <w:p w14:paraId="6CD9352D" w14:textId="77777777" w:rsidR="00AD13AF" w:rsidRPr="004202FA" w:rsidRDefault="00AD13AF" w:rsidP="004202FA">
      <w:pPr>
        <w:rPr>
          <w:rFonts w:ascii="Arial" w:hAnsi="Arial" w:cs="Arial"/>
          <w:sz w:val="24"/>
          <w:szCs w:val="24"/>
        </w:rPr>
      </w:pPr>
    </w:p>
    <w:p w14:paraId="11780100" w14:textId="77777777" w:rsidR="0043775E" w:rsidRDefault="0043775E" w:rsidP="0051094F"/>
    <w:sectPr w:rsidR="0043775E" w:rsidSect="00467A4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B09"/>
    <w:rsid w:val="00021940"/>
    <w:rsid w:val="000E38A8"/>
    <w:rsid w:val="004202FA"/>
    <w:rsid w:val="0043775E"/>
    <w:rsid w:val="00467A4F"/>
    <w:rsid w:val="0047127C"/>
    <w:rsid w:val="00492B09"/>
    <w:rsid w:val="004A663F"/>
    <w:rsid w:val="00504A51"/>
    <w:rsid w:val="0051094F"/>
    <w:rsid w:val="0064382E"/>
    <w:rsid w:val="00667BB0"/>
    <w:rsid w:val="006D15BB"/>
    <w:rsid w:val="008E44CF"/>
    <w:rsid w:val="00A96A96"/>
    <w:rsid w:val="00AD13AF"/>
    <w:rsid w:val="00AF07B8"/>
    <w:rsid w:val="00B85E25"/>
    <w:rsid w:val="00B935DF"/>
    <w:rsid w:val="00C40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C7FF"/>
  <w15:chartTrackingRefBased/>
  <w15:docId w15:val="{B921DA0C-3382-4F65-8AD2-D75101157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92B09"/>
    <w:rPr>
      <w:color w:val="0563C1" w:themeColor="hyperlink"/>
      <w:u w:val="single"/>
    </w:rPr>
  </w:style>
  <w:style w:type="character" w:styleId="UnresolvedMention">
    <w:name w:val="Unresolved Mention"/>
    <w:basedOn w:val="DefaultParagraphFont"/>
    <w:uiPriority w:val="99"/>
    <w:semiHidden/>
    <w:unhideWhenUsed/>
    <w:rsid w:val="00A96A96"/>
    <w:rPr>
      <w:color w:val="605E5C"/>
      <w:shd w:val="clear" w:color="auto" w:fill="E1DFDD"/>
    </w:rPr>
  </w:style>
  <w:style w:type="character" w:styleId="Emphasis">
    <w:name w:val="Emphasis"/>
    <w:basedOn w:val="DefaultParagraphFont"/>
    <w:uiPriority w:val="20"/>
    <w:qFormat/>
    <w:rsid w:val="00AD13AF"/>
    <w:rPr>
      <w:i/>
      <w:iCs/>
    </w:rPr>
  </w:style>
  <w:style w:type="character" w:customStyle="1" w:styleId="anchor-text">
    <w:name w:val="anchor-text"/>
    <w:basedOn w:val="DefaultParagraphFont"/>
    <w:rsid w:val="00AD13AF"/>
  </w:style>
  <w:style w:type="paragraph" w:styleId="NoSpacing">
    <w:name w:val="No Spacing"/>
    <w:link w:val="NoSpacingChar"/>
    <w:uiPriority w:val="1"/>
    <w:qFormat/>
    <w:rsid w:val="00467A4F"/>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67A4F"/>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487124">
      <w:bodyDiv w:val="1"/>
      <w:marLeft w:val="0"/>
      <w:marRight w:val="0"/>
      <w:marTop w:val="0"/>
      <w:marBottom w:val="0"/>
      <w:divBdr>
        <w:top w:val="none" w:sz="0" w:space="0" w:color="auto"/>
        <w:left w:val="none" w:sz="0" w:space="0" w:color="auto"/>
        <w:bottom w:val="none" w:sz="0" w:space="0" w:color="auto"/>
        <w:right w:val="none" w:sz="0" w:space="0" w:color="auto"/>
      </w:divBdr>
    </w:div>
    <w:div w:id="167331586">
      <w:bodyDiv w:val="1"/>
      <w:marLeft w:val="0"/>
      <w:marRight w:val="0"/>
      <w:marTop w:val="0"/>
      <w:marBottom w:val="0"/>
      <w:divBdr>
        <w:top w:val="none" w:sz="0" w:space="0" w:color="auto"/>
        <w:left w:val="none" w:sz="0" w:space="0" w:color="auto"/>
        <w:bottom w:val="none" w:sz="0" w:space="0" w:color="auto"/>
        <w:right w:val="none" w:sz="0" w:space="0" w:color="auto"/>
      </w:divBdr>
    </w:div>
    <w:div w:id="212471776">
      <w:bodyDiv w:val="1"/>
      <w:marLeft w:val="0"/>
      <w:marRight w:val="0"/>
      <w:marTop w:val="0"/>
      <w:marBottom w:val="0"/>
      <w:divBdr>
        <w:top w:val="none" w:sz="0" w:space="0" w:color="auto"/>
        <w:left w:val="none" w:sz="0" w:space="0" w:color="auto"/>
        <w:bottom w:val="none" w:sz="0" w:space="0" w:color="auto"/>
        <w:right w:val="none" w:sz="0" w:space="0" w:color="auto"/>
      </w:divBdr>
    </w:div>
    <w:div w:id="395709501">
      <w:bodyDiv w:val="1"/>
      <w:marLeft w:val="0"/>
      <w:marRight w:val="0"/>
      <w:marTop w:val="0"/>
      <w:marBottom w:val="0"/>
      <w:divBdr>
        <w:top w:val="none" w:sz="0" w:space="0" w:color="auto"/>
        <w:left w:val="none" w:sz="0" w:space="0" w:color="auto"/>
        <w:bottom w:val="none" w:sz="0" w:space="0" w:color="auto"/>
        <w:right w:val="none" w:sz="0" w:space="0" w:color="auto"/>
      </w:divBdr>
    </w:div>
    <w:div w:id="898130284">
      <w:bodyDiv w:val="1"/>
      <w:marLeft w:val="0"/>
      <w:marRight w:val="0"/>
      <w:marTop w:val="0"/>
      <w:marBottom w:val="0"/>
      <w:divBdr>
        <w:top w:val="none" w:sz="0" w:space="0" w:color="auto"/>
        <w:left w:val="none" w:sz="0" w:space="0" w:color="auto"/>
        <w:bottom w:val="none" w:sz="0" w:space="0" w:color="auto"/>
        <w:right w:val="none" w:sz="0" w:space="0" w:color="auto"/>
      </w:divBdr>
    </w:div>
    <w:div w:id="918246149">
      <w:bodyDiv w:val="1"/>
      <w:marLeft w:val="0"/>
      <w:marRight w:val="0"/>
      <w:marTop w:val="0"/>
      <w:marBottom w:val="0"/>
      <w:divBdr>
        <w:top w:val="none" w:sz="0" w:space="0" w:color="auto"/>
        <w:left w:val="none" w:sz="0" w:space="0" w:color="auto"/>
        <w:bottom w:val="none" w:sz="0" w:space="0" w:color="auto"/>
        <w:right w:val="none" w:sz="0" w:space="0" w:color="auto"/>
      </w:divBdr>
    </w:div>
    <w:div w:id="1015964681">
      <w:bodyDiv w:val="1"/>
      <w:marLeft w:val="0"/>
      <w:marRight w:val="0"/>
      <w:marTop w:val="0"/>
      <w:marBottom w:val="0"/>
      <w:divBdr>
        <w:top w:val="none" w:sz="0" w:space="0" w:color="auto"/>
        <w:left w:val="none" w:sz="0" w:space="0" w:color="auto"/>
        <w:bottom w:val="none" w:sz="0" w:space="0" w:color="auto"/>
        <w:right w:val="none" w:sz="0" w:space="0" w:color="auto"/>
      </w:divBdr>
    </w:div>
    <w:div w:id="1466238519">
      <w:bodyDiv w:val="1"/>
      <w:marLeft w:val="0"/>
      <w:marRight w:val="0"/>
      <w:marTop w:val="0"/>
      <w:marBottom w:val="0"/>
      <w:divBdr>
        <w:top w:val="none" w:sz="0" w:space="0" w:color="auto"/>
        <w:left w:val="none" w:sz="0" w:space="0" w:color="auto"/>
        <w:bottom w:val="none" w:sz="0" w:space="0" w:color="auto"/>
        <w:right w:val="none" w:sz="0" w:space="0" w:color="auto"/>
      </w:divBdr>
    </w:div>
    <w:div w:id="1708140445">
      <w:bodyDiv w:val="1"/>
      <w:marLeft w:val="0"/>
      <w:marRight w:val="0"/>
      <w:marTop w:val="0"/>
      <w:marBottom w:val="0"/>
      <w:divBdr>
        <w:top w:val="none" w:sz="0" w:space="0" w:color="auto"/>
        <w:left w:val="none" w:sz="0" w:space="0" w:color="auto"/>
        <w:bottom w:val="none" w:sz="0" w:space="0" w:color="auto"/>
        <w:right w:val="none" w:sz="0" w:space="0" w:color="auto"/>
      </w:divBdr>
    </w:div>
    <w:div w:id="1897354243">
      <w:bodyDiv w:val="1"/>
      <w:marLeft w:val="0"/>
      <w:marRight w:val="0"/>
      <w:marTop w:val="0"/>
      <w:marBottom w:val="0"/>
      <w:divBdr>
        <w:top w:val="none" w:sz="0" w:space="0" w:color="auto"/>
        <w:left w:val="none" w:sz="0" w:space="0" w:color="auto"/>
        <w:bottom w:val="none" w:sz="0" w:space="0" w:color="auto"/>
        <w:right w:val="none" w:sz="0" w:space="0" w:color="auto"/>
      </w:divBdr>
    </w:div>
    <w:div w:id="1916820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bjc/azq065" TargetMode="External"/><Relationship Id="rId13" Type="http://schemas.openxmlformats.org/officeDocument/2006/relationships/hyperlink" Target="https://doi.org/10.1080/02680939.2013.806678" TargetMode="External"/><Relationship Id="rId18" Type="http://schemas.openxmlformats.org/officeDocument/2006/relationships/hyperlink" Target="https://doi.org/10.3390/socsci7120271"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assets.publishing.service.gov.uk/government/uploads/system/uploads/attachment_data/file/435512/MHA_Code_of_Practice.PDF" TargetMode="External"/><Relationship Id="rId17" Type="http://schemas.openxmlformats.org/officeDocument/2006/relationships/hyperlink" Target="https://doi.org/10.3390/su10082850" TargetMode="External"/><Relationship Id="rId2" Type="http://schemas.openxmlformats.org/officeDocument/2006/relationships/customXml" Target="../customXml/item2.xml"/><Relationship Id="rId16" Type="http://schemas.openxmlformats.org/officeDocument/2006/relationships/hyperlink" Target="https://doi.org/10.1146/annurev-soc-071312-145605" TargetMode="External"/><Relationship Id="rId20" Type="http://schemas.openxmlformats.org/officeDocument/2006/relationships/hyperlink" Target="https://doi.org/10.1111/j.1745-9125.2004.tb00520.x"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11/j.1533-8525.2003.tb00538.x" TargetMode="External"/><Relationship Id="rId5" Type="http://schemas.openxmlformats.org/officeDocument/2006/relationships/webSettings" Target="webSettings.xml"/><Relationship Id="rId15" Type="http://schemas.openxmlformats.org/officeDocument/2006/relationships/hyperlink" Target="https://doi.org/10.1017/S0954579498001588" TargetMode="External"/><Relationship Id="rId10" Type="http://schemas.openxmlformats.org/officeDocument/2006/relationships/hyperlink" Target="https://doi.org/10.1017/S1474746409990364" TargetMode="External"/><Relationship Id="rId19" Type="http://schemas.openxmlformats.org/officeDocument/2006/relationships/hyperlink" Target="https://doi.org/10.1111/j.1745-9125.2003.tb01013.x" TargetMode="External"/><Relationship Id="rId4" Type="http://schemas.openxmlformats.org/officeDocument/2006/relationships/settings" Target="settings.xml"/><Relationship Id="rId9" Type="http://schemas.openxmlformats.org/officeDocument/2006/relationships/hyperlink" Target="https://doi.org/10.1016/j.chiabu.2007.03.023" TargetMode="External"/><Relationship Id="rId14" Type="http://schemas.openxmlformats.org/officeDocument/2006/relationships/hyperlink" Target="https://assets.publishing.service.gov.uk/media/5a7e199440f0b62305b80ccc/EHRC_ARA_13-14_web_accessible.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1902211@student.uwtsd.ac.uk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D8CD4E-B00B-4005-961E-CC81653658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17</Pages>
  <Words>3894</Words>
  <Characters>22198</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difficulties vulnerable victims may encounter within the criminal justice system.</dc:title>
  <dc:subject/>
  <dc:creator>Lucy Roche (1902211)</dc:creator>
  <cp:keywords/>
  <dc:description/>
  <cp:lastModifiedBy>Lucy Roche (1902211)</cp:lastModifiedBy>
  <cp:revision>3</cp:revision>
  <dcterms:created xsi:type="dcterms:W3CDTF">2023-12-07T12:53:00Z</dcterms:created>
  <dcterms:modified xsi:type="dcterms:W3CDTF">2023-12-07T17:41:00Z</dcterms:modified>
</cp:coreProperties>
</file>