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b/>
          <w:bCs/>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b/>
          <w:bCs/>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b/>
          <w:bCs/>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b/>
          <w:bCs/>
          <w:sz w:val="24"/>
          <w:szCs w:val="24"/>
        </w:rPr>
      </w:pPr>
    </w:p>
    <w:p>
      <w:pPr>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b/>
          <w:bCs/>
          <w:sz w:val="24"/>
          <w:szCs w:val="24"/>
        </w:rPr>
      </w:pPr>
      <w:r>
        <w:rPr>
          <w:rFonts w:hint="default" w:ascii="Arial" w:hAnsi="Arial" w:cs="Arial"/>
          <w:b/>
          <w:bCs/>
          <w:sz w:val="24"/>
          <w:szCs w:val="24"/>
        </w:rPr>
        <w:t>An Exploration of Cultural Differences in Business Ethics</w:t>
      </w:r>
    </w:p>
    <w:p>
      <w:pPr>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b/>
          <w:bCs/>
          <w:sz w:val="24"/>
          <w:szCs w:val="24"/>
          <w:lang w:val="en-US" w:eastAsia="zh-CN"/>
        </w:rPr>
      </w:pPr>
      <w:r>
        <w:rPr>
          <w:rFonts w:hint="default" w:ascii="Arial" w:hAnsi="Arial" w:cs="Arial"/>
          <w:b/>
          <w:bCs/>
          <w:sz w:val="24"/>
          <w:szCs w:val="24"/>
          <w:lang w:val="en-US" w:eastAsia="zh-CN"/>
        </w:rPr>
        <w:t>Unit name:Global Ethics</w:t>
      </w:r>
    </w:p>
    <w:p>
      <w:pPr>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b/>
          <w:bCs/>
          <w:sz w:val="24"/>
          <w:szCs w:val="24"/>
          <w:lang w:val="en-US" w:eastAsia="zh-CN"/>
        </w:rPr>
      </w:pPr>
      <w:r>
        <w:rPr>
          <w:rFonts w:hint="default" w:ascii="Arial" w:hAnsi="Arial" w:cs="Arial"/>
          <w:b/>
          <w:bCs/>
          <w:sz w:val="24"/>
          <w:szCs w:val="24"/>
          <w:lang w:val="en-US" w:eastAsia="zh-CN"/>
        </w:rPr>
        <w:t>Module code:BMBM6008</w:t>
      </w:r>
    </w:p>
    <w:p>
      <w:pPr>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b/>
          <w:bCs/>
          <w:sz w:val="24"/>
          <w:szCs w:val="24"/>
          <w:lang w:val="en-US" w:eastAsia="zh-CN"/>
        </w:rPr>
      </w:pPr>
      <w:r>
        <w:rPr>
          <w:rFonts w:hint="default" w:ascii="Arial" w:hAnsi="Arial" w:cs="Arial"/>
          <w:b/>
          <w:bCs/>
          <w:sz w:val="24"/>
          <w:szCs w:val="24"/>
          <w:lang w:val="en-US" w:eastAsia="zh-CN"/>
        </w:rPr>
        <w:t>Lecturer:Mike Durke</w:t>
      </w:r>
    </w:p>
    <w:p>
      <w:pPr>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b/>
          <w:bCs/>
          <w:sz w:val="24"/>
          <w:szCs w:val="24"/>
          <w:lang w:val="en-US" w:eastAsia="zh-CN"/>
        </w:rPr>
      </w:pPr>
      <w:r>
        <w:rPr>
          <w:rFonts w:hint="default" w:ascii="Arial" w:hAnsi="Arial" w:cs="Arial"/>
          <w:b/>
          <w:bCs/>
          <w:sz w:val="24"/>
          <w:szCs w:val="24"/>
          <w:lang w:val="en-US" w:eastAsia="zh-CN"/>
        </w:rPr>
        <w:t>Student name:</w:t>
      </w:r>
      <w:r>
        <w:rPr>
          <w:rFonts w:hint="eastAsia" w:ascii="Arial" w:hAnsi="Arial" w:cs="Arial"/>
          <w:b/>
          <w:bCs/>
          <w:sz w:val="24"/>
          <w:szCs w:val="24"/>
          <w:lang w:val="en-US" w:eastAsia="zh-CN"/>
        </w:rPr>
        <w:t>Yaotao Zhang</w:t>
      </w:r>
    </w:p>
    <w:p>
      <w:pPr>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b/>
          <w:bCs/>
          <w:sz w:val="24"/>
          <w:szCs w:val="24"/>
          <w:lang w:val="en-US" w:eastAsia="zh-CN"/>
        </w:rPr>
      </w:pPr>
      <w:r>
        <w:rPr>
          <w:rFonts w:hint="default" w:ascii="Arial" w:hAnsi="Arial" w:cs="Arial"/>
          <w:b/>
          <w:bCs/>
          <w:sz w:val="24"/>
          <w:szCs w:val="24"/>
          <w:lang w:val="en-US" w:eastAsia="zh-CN"/>
        </w:rPr>
        <w:t>Student ID number:230</w:t>
      </w:r>
      <w:r>
        <w:rPr>
          <w:rFonts w:hint="eastAsia" w:ascii="Arial" w:hAnsi="Arial" w:cs="Arial"/>
          <w:b/>
          <w:bCs/>
          <w:sz w:val="24"/>
          <w:szCs w:val="24"/>
          <w:lang w:val="en-US" w:eastAsia="zh-CN"/>
        </w:rPr>
        <w:t>7177</w:t>
      </w:r>
    </w:p>
    <w:p>
      <w:pPr>
        <w:pageBreakBefore w:val="0"/>
        <w:widowControl/>
        <w:kinsoku/>
        <w:wordWrap/>
        <w:overflowPunct/>
        <w:topLinePunct w:val="0"/>
        <w:autoSpaceDE/>
        <w:autoSpaceDN/>
        <w:bidi w:val="0"/>
        <w:adjustRightInd/>
        <w:snapToGrid/>
        <w:spacing w:line="480" w:lineRule="auto"/>
        <w:jc w:val="center"/>
        <w:textAlignment w:val="auto"/>
        <w:rPr>
          <w:rFonts w:hint="default" w:ascii="Arial" w:hAnsi="Arial" w:cs="Arial"/>
          <w:b/>
          <w:bCs/>
          <w:sz w:val="24"/>
          <w:szCs w:val="24"/>
        </w:rPr>
      </w:pPr>
      <w:r>
        <w:rPr>
          <w:rFonts w:hint="default" w:ascii="Arial" w:hAnsi="Arial" w:cs="Arial"/>
          <w:b/>
          <w:bCs/>
          <w:sz w:val="24"/>
          <w:szCs w:val="24"/>
          <w:lang w:val="en-US" w:eastAsia="zh-CN"/>
        </w:rPr>
        <w:t>Date submitted:January 12, 2024</w:t>
      </w:r>
      <w:bookmarkStart w:id="18" w:name="_GoBack"/>
      <w:bookmarkEnd w:id="18"/>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br w:type="page"/>
      </w:r>
    </w:p>
    <w:sdt>
      <w:sdtPr>
        <w:rPr>
          <w:rFonts w:hint="default" w:ascii="Arial" w:hAnsi="Arial" w:eastAsia="宋体" w:cs="Arial"/>
          <w:sz w:val="24"/>
          <w:szCs w:val="24"/>
          <w:lang w:val="en-US" w:eastAsia="en-US" w:bidi="ar-SA"/>
        </w:rPr>
        <w:id w:val="147469661"/>
        <w15:color w:val="DBDBDB"/>
        <w:docPartObj>
          <w:docPartGallery w:val="Table of Contents"/>
          <w:docPartUnique/>
        </w:docPartObj>
      </w:sdtPr>
      <w:sdtEndPr>
        <w:rPr>
          <w:rFonts w:hint="default" w:ascii="Arial" w:hAnsi="Arial" w:cs="Arial" w:eastAsiaTheme="minorHAnsi"/>
          <w:sz w:val="24"/>
          <w:szCs w:val="24"/>
          <w:lang w:val="en-US" w:eastAsia="en-US" w:bidi="ar-SA"/>
        </w:rPr>
      </w:sdtEndPr>
      <w:sdtContent>
        <w:p>
          <w:pPr>
            <w:pageBreakBefore w:val="0"/>
            <w:widowControl/>
            <w:kinsoku/>
            <w:wordWrap/>
            <w:overflowPunct/>
            <w:topLinePunct w:val="0"/>
            <w:autoSpaceDE/>
            <w:autoSpaceDN/>
            <w:bidi w:val="0"/>
            <w:adjustRightInd/>
            <w:snapToGrid/>
            <w:spacing w:before="0" w:beforeLines="0" w:after="0" w:afterLines="0" w:line="480" w:lineRule="auto"/>
            <w:ind w:left="0" w:leftChars="0" w:right="0" w:rightChars="0" w:firstLine="0" w:firstLineChars="0"/>
            <w:jc w:val="center"/>
            <w:textAlignment w:val="auto"/>
            <w:rPr>
              <w:rFonts w:hint="default" w:ascii="Arial" w:hAnsi="Arial" w:eastAsia="宋体" w:cs="Arial"/>
              <w:sz w:val="24"/>
              <w:szCs w:val="24"/>
              <w:lang w:eastAsia="zh-CN"/>
            </w:rPr>
          </w:pPr>
        </w:p>
        <w:p>
          <w:pPr>
            <w:pStyle w:val="7"/>
            <w:tabs>
              <w:tab w:val="right" w:leader="dot" w:pos="9360"/>
            </w:tabs>
          </w:pPr>
          <w:r>
            <w:rPr>
              <w:rFonts w:hint="default" w:ascii="Arial" w:hAnsi="Arial" w:cs="Arial"/>
              <w:sz w:val="24"/>
              <w:szCs w:val="24"/>
            </w:rPr>
            <w:fldChar w:fldCharType="begin"/>
          </w:r>
          <w:r>
            <w:rPr>
              <w:rFonts w:hint="default" w:ascii="Arial" w:hAnsi="Arial" w:cs="Arial"/>
              <w:sz w:val="24"/>
              <w:szCs w:val="24"/>
            </w:rPr>
            <w:instrText xml:space="preserve">TOC \o "1-3" \h \u </w:instrText>
          </w:r>
          <w:r>
            <w:rPr>
              <w:rFonts w:hint="default" w:ascii="Arial" w:hAnsi="Arial" w:cs="Arial"/>
              <w:sz w:val="24"/>
              <w:szCs w:val="24"/>
            </w:rPr>
            <w:fldChar w:fldCharType="separate"/>
          </w:r>
          <w:r>
            <w:rPr>
              <w:rFonts w:hint="default" w:ascii="Arial" w:hAnsi="Arial" w:cs="Arial"/>
              <w:szCs w:val="24"/>
            </w:rPr>
            <w:fldChar w:fldCharType="begin"/>
          </w:r>
          <w:r>
            <w:rPr>
              <w:rFonts w:hint="default" w:ascii="Arial" w:hAnsi="Arial" w:cs="Arial"/>
              <w:szCs w:val="24"/>
            </w:rPr>
            <w:instrText xml:space="preserve"> HYPERLINK \l _Toc28522 </w:instrText>
          </w:r>
          <w:r>
            <w:rPr>
              <w:rFonts w:hint="default" w:ascii="Arial" w:hAnsi="Arial" w:cs="Arial"/>
              <w:szCs w:val="24"/>
            </w:rPr>
            <w:fldChar w:fldCharType="separate"/>
          </w:r>
          <w:r>
            <w:rPr>
              <w:rFonts w:hint="default" w:ascii="Arial" w:hAnsi="Arial" w:cs="Arial"/>
              <w:szCs w:val="24"/>
            </w:rPr>
            <w:t>1.0 Executive Summary</w:t>
          </w:r>
          <w:r>
            <w:tab/>
          </w:r>
          <w:r>
            <w:fldChar w:fldCharType="begin"/>
          </w:r>
          <w:r>
            <w:instrText xml:space="preserve"> PAGEREF _Toc28522 \h </w:instrText>
          </w:r>
          <w:r>
            <w:fldChar w:fldCharType="separate"/>
          </w:r>
          <w:r>
            <w:t>3</w:t>
          </w:r>
          <w:r>
            <w:fldChar w:fldCharType="end"/>
          </w:r>
          <w:r>
            <w:rPr>
              <w:rFonts w:hint="default" w:ascii="Arial" w:hAnsi="Arial" w:cs="Arial"/>
              <w:szCs w:val="24"/>
            </w:rPr>
            <w:fldChar w:fldCharType="end"/>
          </w:r>
        </w:p>
        <w:p>
          <w:pPr>
            <w:pStyle w:val="7"/>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_Toc29001 </w:instrText>
          </w:r>
          <w:r>
            <w:rPr>
              <w:rFonts w:hint="default" w:ascii="Arial" w:hAnsi="Arial" w:cs="Arial"/>
              <w:szCs w:val="24"/>
            </w:rPr>
            <w:fldChar w:fldCharType="separate"/>
          </w:r>
          <w:r>
            <w:rPr>
              <w:rFonts w:hint="default" w:ascii="Arial" w:hAnsi="Arial" w:cs="Arial"/>
              <w:szCs w:val="24"/>
            </w:rPr>
            <w:t>2.0 Introduction</w:t>
          </w:r>
          <w:r>
            <w:tab/>
          </w:r>
          <w:r>
            <w:fldChar w:fldCharType="begin"/>
          </w:r>
          <w:r>
            <w:instrText xml:space="preserve"> PAGEREF _Toc29001 \h </w:instrText>
          </w:r>
          <w:r>
            <w:fldChar w:fldCharType="separate"/>
          </w:r>
          <w:r>
            <w:t>4</w:t>
          </w:r>
          <w:r>
            <w:fldChar w:fldCharType="end"/>
          </w:r>
          <w:r>
            <w:rPr>
              <w:rFonts w:hint="default" w:ascii="Arial" w:hAnsi="Arial" w:cs="Arial"/>
              <w:szCs w:val="24"/>
            </w:rPr>
            <w:fldChar w:fldCharType="end"/>
          </w:r>
        </w:p>
        <w:p>
          <w:pPr>
            <w:pStyle w:val="8"/>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_Toc24652 </w:instrText>
          </w:r>
          <w:r>
            <w:rPr>
              <w:rFonts w:hint="default" w:ascii="Arial" w:hAnsi="Arial" w:cs="Arial"/>
              <w:szCs w:val="24"/>
            </w:rPr>
            <w:fldChar w:fldCharType="separate"/>
          </w:r>
          <w:r>
            <w:rPr>
              <w:rFonts w:hint="default" w:ascii="Arial" w:hAnsi="Arial" w:cs="Arial"/>
              <w:szCs w:val="24"/>
            </w:rPr>
            <w:t>2.1 Background</w:t>
          </w:r>
          <w:r>
            <w:tab/>
          </w:r>
          <w:r>
            <w:fldChar w:fldCharType="begin"/>
          </w:r>
          <w:r>
            <w:instrText xml:space="preserve"> PAGEREF _Toc24652 \h </w:instrText>
          </w:r>
          <w:r>
            <w:fldChar w:fldCharType="separate"/>
          </w:r>
          <w:r>
            <w:t>4</w:t>
          </w:r>
          <w:r>
            <w:fldChar w:fldCharType="end"/>
          </w:r>
          <w:r>
            <w:rPr>
              <w:rFonts w:hint="default" w:ascii="Arial" w:hAnsi="Arial" w:cs="Arial"/>
              <w:szCs w:val="24"/>
            </w:rPr>
            <w:fldChar w:fldCharType="end"/>
          </w:r>
        </w:p>
        <w:p>
          <w:pPr>
            <w:pStyle w:val="8"/>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_Toc4307 </w:instrText>
          </w:r>
          <w:r>
            <w:rPr>
              <w:rFonts w:hint="default" w:ascii="Arial" w:hAnsi="Arial" w:cs="Arial"/>
              <w:szCs w:val="24"/>
            </w:rPr>
            <w:fldChar w:fldCharType="separate"/>
          </w:r>
          <w:r>
            <w:rPr>
              <w:rFonts w:hint="default" w:ascii="Arial" w:hAnsi="Arial" w:cs="Arial"/>
              <w:szCs w:val="24"/>
            </w:rPr>
            <w:t>2.2 Objectives</w:t>
          </w:r>
          <w:r>
            <w:tab/>
          </w:r>
          <w:r>
            <w:fldChar w:fldCharType="begin"/>
          </w:r>
          <w:r>
            <w:instrText xml:space="preserve"> PAGEREF _Toc4307 \h </w:instrText>
          </w:r>
          <w:r>
            <w:fldChar w:fldCharType="separate"/>
          </w:r>
          <w:r>
            <w:t>5</w:t>
          </w:r>
          <w:r>
            <w:fldChar w:fldCharType="end"/>
          </w:r>
          <w:r>
            <w:rPr>
              <w:rFonts w:hint="default" w:ascii="Arial" w:hAnsi="Arial" w:cs="Arial"/>
              <w:szCs w:val="24"/>
            </w:rPr>
            <w:fldChar w:fldCharType="end"/>
          </w:r>
        </w:p>
        <w:p>
          <w:pPr>
            <w:pStyle w:val="7"/>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_Toc13375 </w:instrText>
          </w:r>
          <w:r>
            <w:rPr>
              <w:rFonts w:hint="default" w:ascii="Arial" w:hAnsi="Arial" w:cs="Arial"/>
              <w:szCs w:val="24"/>
            </w:rPr>
            <w:fldChar w:fldCharType="separate"/>
          </w:r>
          <w:r>
            <w:rPr>
              <w:rFonts w:hint="default" w:ascii="Arial" w:hAnsi="Arial" w:cs="Arial"/>
              <w:szCs w:val="24"/>
            </w:rPr>
            <w:t>3.0 Differences and Business Practices</w:t>
          </w:r>
          <w:r>
            <w:tab/>
          </w:r>
          <w:r>
            <w:fldChar w:fldCharType="begin"/>
          </w:r>
          <w:r>
            <w:instrText xml:space="preserve"> PAGEREF _Toc13375 \h </w:instrText>
          </w:r>
          <w:r>
            <w:fldChar w:fldCharType="separate"/>
          </w:r>
          <w:r>
            <w:t>6</w:t>
          </w:r>
          <w:r>
            <w:fldChar w:fldCharType="end"/>
          </w:r>
          <w:r>
            <w:rPr>
              <w:rFonts w:hint="default" w:ascii="Arial" w:hAnsi="Arial" w:cs="Arial"/>
              <w:szCs w:val="24"/>
            </w:rPr>
            <w:fldChar w:fldCharType="end"/>
          </w:r>
        </w:p>
        <w:p>
          <w:pPr>
            <w:pStyle w:val="8"/>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_Toc25063 </w:instrText>
          </w:r>
          <w:r>
            <w:rPr>
              <w:rFonts w:hint="default" w:ascii="Arial" w:hAnsi="Arial" w:cs="Arial"/>
              <w:szCs w:val="24"/>
            </w:rPr>
            <w:fldChar w:fldCharType="separate"/>
          </w:r>
          <w:r>
            <w:rPr>
              <w:rFonts w:hint="default" w:ascii="Arial" w:hAnsi="Arial" w:cs="Arial"/>
              <w:szCs w:val="24"/>
            </w:rPr>
            <w:t>3.1 Ethical trade in global markets: the possibility of win-win outcomes</w:t>
          </w:r>
          <w:r>
            <w:tab/>
          </w:r>
          <w:r>
            <w:fldChar w:fldCharType="begin"/>
          </w:r>
          <w:r>
            <w:instrText xml:space="preserve"> PAGEREF _Toc25063 \h </w:instrText>
          </w:r>
          <w:r>
            <w:fldChar w:fldCharType="separate"/>
          </w:r>
          <w:r>
            <w:t>6</w:t>
          </w:r>
          <w:r>
            <w:fldChar w:fldCharType="end"/>
          </w:r>
          <w:r>
            <w:rPr>
              <w:rFonts w:hint="default" w:ascii="Arial" w:hAnsi="Arial" w:cs="Arial"/>
              <w:szCs w:val="24"/>
            </w:rPr>
            <w:fldChar w:fldCharType="end"/>
          </w:r>
        </w:p>
        <w:p>
          <w:pPr>
            <w:pStyle w:val="5"/>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_Toc11350 </w:instrText>
          </w:r>
          <w:r>
            <w:rPr>
              <w:rFonts w:hint="default" w:ascii="Arial" w:hAnsi="Arial" w:cs="Arial"/>
              <w:szCs w:val="24"/>
            </w:rPr>
            <w:fldChar w:fldCharType="separate"/>
          </w:r>
          <w:r>
            <w:rPr>
              <w:rFonts w:hint="default" w:ascii="Arial" w:hAnsi="Arial" w:eastAsia="宋体" w:cs="Arial"/>
              <w:bCs/>
              <w:szCs w:val="24"/>
              <w:lang w:val="en-US" w:eastAsia="zh-CN"/>
            </w:rPr>
            <w:t>3.1.</w:t>
          </w:r>
          <w:r>
            <w:rPr>
              <w:rFonts w:hint="default" w:ascii="Arial" w:hAnsi="Arial" w:cs="Arial"/>
              <w:bCs/>
              <w:szCs w:val="24"/>
            </w:rPr>
            <w:t>1. Labor standards</w:t>
          </w:r>
          <w:r>
            <w:tab/>
          </w:r>
          <w:r>
            <w:fldChar w:fldCharType="begin"/>
          </w:r>
          <w:r>
            <w:instrText xml:space="preserve"> PAGEREF _Toc11350 \h </w:instrText>
          </w:r>
          <w:r>
            <w:fldChar w:fldCharType="separate"/>
          </w:r>
          <w:r>
            <w:t>6</w:t>
          </w:r>
          <w:r>
            <w:fldChar w:fldCharType="end"/>
          </w:r>
          <w:r>
            <w:rPr>
              <w:rFonts w:hint="default" w:ascii="Arial" w:hAnsi="Arial" w:cs="Arial"/>
              <w:szCs w:val="24"/>
            </w:rPr>
            <w:fldChar w:fldCharType="end"/>
          </w:r>
        </w:p>
        <w:p>
          <w:pPr>
            <w:pStyle w:val="5"/>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_Toc16703 </w:instrText>
          </w:r>
          <w:r>
            <w:rPr>
              <w:rFonts w:hint="default" w:ascii="Arial" w:hAnsi="Arial" w:cs="Arial"/>
              <w:szCs w:val="24"/>
            </w:rPr>
            <w:fldChar w:fldCharType="separate"/>
          </w:r>
          <w:r>
            <w:rPr>
              <w:rFonts w:hint="default" w:ascii="Arial" w:hAnsi="Arial" w:cs="Arial"/>
              <w:bCs/>
              <w:szCs w:val="24"/>
            </w:rPr>
            <w:t>3.1</w:t>
          </w:r>
          <w:r>
            <w:rPr>
              <w:rFonts w:hint="default" w:ascii="Arial" w:hAnsi="Arial" w:eastAsia="宋体" w:cs="Arial"/>
              <w:bCs/>
              <w:szCs w:val="24"/>
              <w:lang w:val="en-US" w:eastAsia="zh-CN"/>
            </w:rPr>
            <w:t>.</w:t>
          </w:r>
          <w:r>
            <w:rPr>
              <w:rFonts w:hint="default" w:ascii="Arial" w:hAnsi="Arial" w:cs="Arial"/>
              <w:bCs/>
              <w:szCs w:val="24"/>
            </w:rPr>
            <w:t>2. Environmental protection</w:t>
          </w:r>
          <w:r>
            <w:tab/>
          </w:r>
          <w:r>
            <w:fldChar w:fldCharType="begin"/>
          </w:r>
          <w:r>
            <w:instrText xml:space="preserve"> PAGEREF _Toc16703 \h </w:instrText>
          </w:r>
          <w:r>
            <w:fldChar w:fldCharType="separate"/>
          </w:r>
          <w:r>
            <w:t>7</w:t>
          </w:r>
          <w:r>
            <w:fldChar w:fldCharType="end"/>
          </w:r>
          <w:r>
            <w:rPr>
              <w:rFonts w:hint="default" w:ascii="Arial" w:hAnsi="Arial" w:cs="Arial"/>
              <w:szCs w:val="24"/>
            </w:rPr>
            <w:fldChar w:fldCharType="end"/>
          </w:r>
        </w:p>
        <w:p>
          <w:pPr>
            <w:pStyle w:val="5"/>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_Toc6804 </w:instrText>
          </w:r>
          <w:r>
            <w:rPr>
              <w:rFonts w:hint="default" w:ascii="Arial" w:hAnsi="Arial" w:cs="Arial"/>
              <w:szCs w:val="24"/>
            </w:rPr>
            <w:fldChar w:fldCharType="separate"/>
          </w:r>
          <w:r>
            <w:rPr>
              <w:rFonts w:hint="default" w:ascii="Arial" w:hAnsi="Arial" w:eastAsia="宋体" w:cs="Arial"/>
              <w:bCs/>
              <w:szCs w:val="24"/>
              <w:lang w:val="en-US" w:eastAsia="zh-CN"/>
            </w:rPr>
            <w:t>3.1.</w:t>
          </w:r>
          <w:r>
            <w:rPr>
              <w:rFonts w:hint="default" w:ascii="Arial" w:hAnsi="Arial" w:cs="Arial"/>
              <w:bCs/>
              <w:szCs w:val="24"/>
            </w:rPr>
            <w:t>3. Fair trade</w:t>
          </w:r>
          <w:r>
            <w:tab/>
          </w:r>
          <w:r>
            <w:fldChar w:fldCharType="begin"/>
          </w:r>
          <w:r>
            <w:instrText xml:space="preserve"> PAGEREF _Toc6804 \h </w:instrText>
          </w:r>
          <w:r>
            <w:fldChar w:fldCharType="separate"/>
          </w:r>
          <w:r>
            <w:t>8</w:t>
          </w:r>
          <w:r>
            <w:fldChar w:fldCharType="end"/>
          </w:r>
          <w:r>
            <w:rPr>
              <w:rFonts w:hint="default" w:ascii="Arial" w:hAnsi="Arial" w:cs="Arial"/>
              <w:szCs w:val="24"/>
            </w:rPr>
            <w:fldChar w:fldCharType="end"/>
          </w:r>
        </w:p>
        <w:p>
          <w:pPr>
            <w:pStyle w:val="8"/>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_Toc10326 </w:instrText>
          </w:r>
          <w:r>
            <w:rPr>
              <w:rFonts w:hint="default" w:ascii="Arial" w:hAnsi="Arial" w:cs="Arial"/>
              <w:szCs w:val="24"/>
            </w:rPr>
            <w:fldChar w:fldCharType="separate"/>
          </w:r>
          <w:r>
            <w:rPr>
              <w:rFonts w:hint="default" w:ascii="Arial" w:hAnsi="Arial" w:cs="Arial"/>
              <w:szCs w:val="24"/>
            </w:rPr>
            <w:t>3.2 Religion, Politics and Culture in International Business</w:t>
          </w:r>
          <w:r>
            <w:tab/>
          </w:r>
          <w:r>
            <w:fldChar w:fldCharType="begin"/>
          </w:r>
          <w:r>
            <w:instrText xml:space="preserve"> PAGEREF _Toc10326 \h </w:instrText>
          </w:r>
          <w:r>
            <w:fldChar w:fldCharType="separate"/>
          </w:r>
          <w:r>
            <w:t>9</w:t>
          </w:r>
          <w:r>
            <w:fldChar w:fldCharType="end"/>
          </w:r>
          <w:r>
            <w:rPr>
              <w:rFonts w:hint="default" w:ascii="Arial" w:hAnsi="Arial" w:cs="Arial"/>
              <w:szCs w:val="24"/>
            </w:rPr>
            <w:fldChar w:fldCharType="end"/>
          </w:r>
        </w:p>
        <w:p>
          <w:pPr>
            <w:pStyle w:val="5"/>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_Toc19454 </w:instrText>
          </w:r>
          <w:r>
            <w:rPr>
              <w:rFonts w:hint="default" w:ascii="Arial" w:hAnsi="Arial" w:cs="Arial"/>
              <w:szCs w:val="24"/>
            </w:rPr>
            <w:fldChar w:fldCharType="separate"/>
          </w:r>
          <w:r>
            <w:rPr>
              <w:rFonts w:hint="default" w:ascii="Arial" w:hAnsi="Arial" w:cs="Arial"/>
              <w:szCs w:val="24"/>
            </w:rPr>
            <w:t>3.2.1.</w:t>
          </w:r>
          <w:r>
            <w:rPr>
              <w:rFonts w:hint="default" w:ascii="Arial" w:hAnsi="Arial" w:cs="Arial"/>
              <w:bCs/>
              <w:szCs w:val="24"/>
            </w:rPr>
            <w:t xml:space="preserve"> </w:t>
          </w:r>
          <w:r>
            <w:rPr>
              <w:rFonts w:hint="default" w:ascii="Arial" w:hAnsi="Arial" w:cs="Arial"/>
              <w:szCs w:val="24"/>
            </w:rPr>
            <w:t>Religion</w:t>
          </w:r>
          <w:r>
            <w:tab/>
          </w:r>
          <w:r>
            <w:fldChar w:fldCharType="begin"/>
          </w:r>
          <w:r>
            <w:instrText xml:space="preserve"> PAGEREF _Toc19454 \h </w:instrText>
          </w:r>
          <w:r>
            <w:fldChar w:fldCharType="separate"/>
          </w:r>
          <w:r>
            <w:t>10</w:t>
          </w:r>
          <w:r>
            <w:fldChar w:fldCharType="end"/>
          </w:r>
          <w:r>
            <w:rPr>
              <w:rFonts w:hint="default" w:ascii="Arial" w:hAnsi="Arial" w:cs="Arial"/>
              <w:szCs w:val="24"/>
            </w:rPr>
            <w:fldChar w:fldCharType="end"/>
          </w:r>
        </w:p>
        <w:p>
          <w:pPr>
            <w:pStyle w:val="5"/>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_Toc27565 </w:instrText>
          </w:r>
          <w:r>
            <w:rPr>
              <w:rFonts w:hint="default" w:ascii="Arial" w:hAnsi="Arial" w:cs="Arial"/>
              <w:szCs w:val="24"/>
            </w:rPr>
            <w:fldChar w:fldCharType="separate"/>
          </w:r>
          <w:r>
            <w:rPr>
              <w:rFonts w:hint="default" w:ascii="Arial" w:hAnsi="Arial" w:cs="Arial"/>
              <w:szCs w:val="24"/>
            </w:rPr>
            <w:t>3.2.</w:t>
          </w:r>
          <w:r>
            <w:rPr>
              <w:rFonts w:hint="default" w:ascii="Arial" w:hAnsi="Arial" w:eastAsia="宋体" w:cs="Arial"/>
              <w:szCs w:val="24"/>
              <w:lang w:val="en-US" w:eastAsia="zh-CN"/>
            </w:rPr>
            <w:t xml:space="preserve">2 </w:t>
          </w:r>
          <w:r>
            <w:rPr>
              <w:rFonts w:hint="default" w:ascii="Arial" w:hAnsi="Arial" w:cs="Arial"/>
              <w:szCs w:val="24"/>
            </w:rPr>
            <w:t>Politics</w:t>
          </w:r>
          <w:r>
            <w:tab/>
          </w:r>
          <w:r>
            <w:fldChar w:fldCharType="begin"/>
          </w:r>
          <w:r>
            <w:instrText xml:space="preserve"> PAGEREF _Toc27565 \h </w:instrText>
          </w:r>
          <w:r>
            <w:fldChar w:fldCharType="separate"/>
          </w:r>
          <w:r>
            <w:t>10</w:t>
          </w:r>
          <w:r>
            <w:fldChar w:fldCharType="end"/>
          </w:r>
          <w:r>
            <w:rPr>
              <w:rFonts w:hint="default" w:ascii="Arial" w:hAnsi="Arial" w:cs="Arial"/>
              <w:szCs w:val="24"/>
            </w:rPr>
            <w:fldChar w:fldCharType="end"/>
          </w:r>
        </w:p>
        <w:p>
          <w:pPr>
            <w:pStyle w:val="5"/>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_Toc22620 </w:instrText>
          </w:r>
          <w:r>
            <w:rPr>
              <w:rFonts w:hint="default" w:ascii="Arial" w:hAnsi="Arial" w:cs="Arial"/>
              <w:szCs w:val="24"/>
            </w:rPr>
            <w:fldChar w:fldCharType="separate"/>
          </w:r>
          <w:r>
            <w:rPr>
              <w:rFonts w:hint="default" w:ascii="Arial" w:hAnsi="Arial" w:cs="Arial"/>
              <w:szCs w:val="24"/>
            </w:rPr>
            <w:t xml:space="preserve">3.2.3 </w:t>
          </w:r>
          <w:r>
            <w:rPr>
              <w:rFonts w:hint="default" w:ascii="Arial" w:hAnsi="Arial" w:cs="Arial"/>
              <w:szCs w:val="24"/>
              <w:lang w:val="en-US" w:eastAsia="en-US"/>
            </w:rPr>
            <w:t>Culture</w:t>
          </w:r>
          <w:r>
            <w:tab/>
          </w:r>
          <w:r>
            <w:fldChar w:fldCharType="begin"/>
          </w:r>
          <w:r>
            <w:instrText xml:space="preserve"> PAGEREF _Toc22620 \h </w:instrText>
          </w:r>
          <w:r>
            <w:fldChar w:fldCharType="separate"/>
          </w:r>
          <w:r>
            <w:t>12</w:t>
          </w:r>
          <w:r>
            <w:fldChar w:fldCharType="end"/>
          </w:r>
          <w:r>
            <w:rPr>
              <w:rFonts w:hint="default" w:ascii="Arial" w:hAnsi="Arial" w:cs="Arial"/>
              <w:szCs w:val="24"/>
            </w:rPr>
            <w:fldChar w:fldCharType="end"/>
          </w:r>
        </w:p>
        <w:p>
          <w:pPr>
            <w:pStyle w:val="8"/>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_Toc11278 </w:instrText>
          </w:r>
          <w:r>
            <w:rPr>
              <w:rFonts w:hint="default" w:ascii="Arial" w:hAnsi="Arial" w:cs="Arial"/>
              <w:szCs w:val="24"/>
            </w:rPr>
            <w:fldChar w:fldCharType="separate"/>
          </w:r>
          <w:r>
            <w:rPr>
              <w:rFonts w:hint="default" w:ascii="Arial" w:hAnsi="Arial" w:cs="Arial"/>
              <w:szCs w:val="24"/>
            </w:rPr>
            <w:t>3.3 Profit first or multiple considerations?</w:t>
          </w:r>
          <w:r>
            <w:tab/>
          </w:r>
          <w:r>
            <w:fldChar w:fldCharType="begin"/>
          </w:r>
          <w:r>
            <w:instrText xml:space="preserve"> PAGEREF _Toc11278 \h </w:instrText>
          </w:r>
          <w:r>
            <w:fldChar w:fldCharType="separate"/>
          </w:r>
          <w:r>
            <w:t>13</w:t>
          </w:r>
          <w:r>
            <w:fldChar w:fldCharType="end"/>
          </w:r>
          <w:r>
            <w:rPr>
              <w:rFonts w:hint="default" w:ascii="Arial" w:hAnsi="Arial" w:cs="Arial"/>
              <w:szCs w:val="24"/>
            </w:rPr>
            <w:fldChar w:fldCharType="end"/>
          </w:r>
        </w:p>
        <w:p>
          <w:pPr>
            <w:pStyle w:val="5"/>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_Toc11494 </w:instrText>
          </w:r>
          <w:r>
            <w:rPr>
              <w:rFonts w:hint="default" w:ascii="Arial" w:hAnsi="Arial" w:cs="Arial"/>
              <w:szCs w:val="24"/>
            </w:rPr>
            <w:fldChar w:fldCharType="separate"/>
          </w:r>
          <w:r>
            <w:rPr>
              <w:rFonts w:hint="default" w:ascii="Arial" w:hAnsi="Arial" w:cs="Arial"/>
              <w:bCs w:val="0"/>
              <w:szCs w:val="24"/>
            </w:rPr>
            <w:t>3.3.1. Corporate Social Responsibility (CSR)</w:t>
          </w:r>
          <w:r>
            <w:tab/>
          </w:r>
          <w:r>
            <w:fldChar w:fldCharType="begin"/>
          </w:r>
          <w:r>
            <w:instrText xml:space="preserve"> PAGEREF _Toc11494 \h </w:instrText>
          </w:r>
          <w:r>
            <w:fldChar w:fldCharType="separate"/>
          </w:r>
          <w:r>
            <w:t>13</w:t>
          </w:r>
          <w:r>
            <w:fldChar w:fldCharType="end"/>
          </w:r>
          <w:r>
            <w:rPr>
              <w:rFonts w:hint="default" w:ascii="Arial" w:hAnsi="Arial" w:cs="Arial"/>
              <w:szCs w:val="24"/>
            </w:rPr>
            <w:fldChar w:fldCharType="end"/>
          </w:r>
        </w:p>
        <w:p>
          <w:pPr>
            <w:pStyle w:val="5"/>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_Toc6915 </w:instrText>
          </w:r>
          <w:r>
            <w:rPr>
              <w:rFonts w:hint="default" w:ascii="Arial" w:hAnsi="Arial" w:cs="Arial"/>
              <w:szCs w:val="24"/>
            </w:rPr>
            <w:fldChar w:fldCharType="separate"/>
          </w:r>
          <w:r>
            <w:rPr>
              <w:rFonts w:hint="default" w:ascii="Arial" w:hAnsi="Arial" w:cs="Arial"/>
              <w:szCs w:val="24"/>
            </w:rPr>
            <w:t>3.3.2. Employee satisf</w:t>
          </w:r>
          <w:r>
            <w:rPr>
              <w:rFonts w:hint="default" w:ascii="Arial" w:hAnsi="Arial" w:cs="Arial"/>
              <w:bCs w:val="0"/>
              <w:szCs w:val="24"/>
            </w:rPr>
            <w:t>action and we</w:t>
          </w:r>
          <w:r>
            <w:rPr>
              <w:rFonts w:hint="default" w:ascii="Arial" w:hAnsi="Arial" w:cs="Arial"/>
              <w:szCs w:val="24"/>
            </w:rPr>
            <w:t>ll-being</w:t>
          </w:r>
          <w:r>
            <w:tab/>
          </w:r>
          <w:r>
            <w:fldChar w:fldCharType="begin"/>
          </w:r>
          <w:r>
            <w:instrText xml:space="preserve"> PAGEREF _Toc6915 \h </w:instrText>
          </w:r>
          <w:r>
            <w:fldChar w:fldCharType="separate"/>
          </w:r>
          <w:r>
            <w:t>14</w:t>
          </w:r>
          <w:r>
            <w:fldChar w:fldCharType="end"/>
          </w:r>
          <w:r>
            <w:rPr>
              <w:rFonts w:hint="default" w:ascii="Arial" w:hAnsi="Arial" w:cs="Arial"/>
              <w:szCs w:val="24"/>
            </w:rPr>
            <w:fldChar w:fldCharType="end"/>
          </w:r>
        </w:p>
        <w:p>
          <w:pPr>
            <w:pStyle w:val="7"/>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_Toc4463 </w:instrText>
          </w:r>
          <w:r>
            <w:rPr>
              <w:rFonts w:hint="default" w:ascii="Arial" w:hAnsi="Arial" w:cs="Arial"/>
              <w:szCs w:val="24"/>
            </w:rPr>
            <w:fldChar w:fldCharType="separate"/>
          </w:r>
          <w:r>
            <w:rPr>
              <w:rFonts w:hint="default" w:ascii="Arial" w:hAnsi="Arial" w:cs="Arial"/>
              <w:szCs w:val="24"/>
            </w:rPr>
            <w:t>4.0 Conclusion</w:t>
          </w:r>
          <w:r>
            <w:tab/>
          </w:r>
          <w:r>
            <w:fldChar w:fldCharType="begin"/>
          </w:r>
          <w:r>
            <w:instrText xml:space="preserve"> PAGEREF _Toc4463 \h </w:instrText>
          </w:r>
          <w:r>
            <w:fldChar w:fldCharType="separate"/>
          </w:r>
          <w:r>
            <w:t>16</w:t>
          </w:r>
          <w:r>
            <w:fldChar w:fldCharType="end"/>
          </w:r>
          <w:r>
            <w:rPr>
              <w:rFonts w:hint="default" w:ascii="Arial" w:hAnsi="Arial" w:cs="Arial"/>
              <w:szCs w:val="24"/>
            </w:rPr>
            <w:fldChar w:fldCharType="end"/>
          </w:r>
        </w:p>
        <w:p>
          <w:pPr>
            <w:pStyle w:val="7"/>
            <w:tabs>
              <w:tab w:val="right" w:leader="dot" w:pos="9360"/>
            </w:tabs>
          </w:pPr>
          <w:r>
            <w:rPr>
              <w:rFonts w:hint="default" w:ascii="Arial" w:hAnsi="Arial" w:cs="Arial"/>
              <w:szCs w:val="24"/>
            </w:rPr>
            <w:fldChar w:fldCharType="begin"/>
          </w:r>
          <w:r>
            <w:rPr>
              <w:rFonts w:hint="default" w:ascii="Arial" w:hAnsi="Arial" w:cs="Arial"/>
              <w:szCs w:val="24"/>
            </w:rPr>
            <w:instrText xml:space="preserve"> HYPERLINK \l _Toc29655 </w:instrText>
          </w:r>
          <w:r>
            <w:rPr>
              <w:rFonts w:hint="default" w:ascii="Arial" w:hAnsi="Arial" w:cs="Arial"/>
              <w:szCs w:val="24"/>
            </w:rPr>
            <w:fldChar w:fldCharType="separate"/>
          </w:r>
          <w:r>
            <w:rPr>
              <w:rFonts w:hint="default" w:ascii="Arial" w:hAnsi="Arial" w:cs="Arial"/>
              <w:szCs w:val="24"/>
            </w:rPr>
            <w:t>5.0 References</w:t>
          </w:r>
          <w:r>
            <w:tab/>
          </w:r>
          <w:r>
            <w:fldChar w:fldCharType="begin"/>
          </w:r>
          <w:r>
            <w:instrText xml:space="preserve"> PAGEREF _Toc29655 \h </w:instrText>
          </w:r>
          <w:r>
            <w:fldChar w:fldCharType="separate"/>
          </w:r>
          <w:r>
            <w:t>17</w:t>
          </w:r>
          <w:r>
            <w:fldChar w:fldCharType="end"/>
          </w:r>
          <w:r>
            <w:rPr>
              <w:rFonts w:hint="default" w:ascii="Arial" w:hAnsi="Arial" w:cs="Arial"/>
              <w:szCs w:val="24"/>
            </w:rPr>
            <w:fldChar w:fldCharType="end"/>
          </w:r>
        </w:p>
        <w:p>
          <w:pPr>
            <w:pageBreakBefore w:val="0"/>
            <w:widowControl/>
            <w:kinsoku/>
            <w:wordWrap/>
            <w:overflowPunct/>
            <w:topLinePunct w:val="0"/>
            <w:autoSpaceDE/>
            <w:autoSpaceDN/>
            <w:bidi w:val="0"/>
            <w:adjustRightInd/>
            <w:snapToGrid/>
            <w:spacing w:line="480" w:lineRule="auto"/>
            <w:jc w:val="both"/>
            <w:textAlignment w:val="auto"/>
          </w:pPr>
          <w:r>
            <w:rPr>
              <w:rFonts w:hint="default" w:ascii="Arial" w:hAnsi="Arial" w:cs="Arial"/>
              <w:szCs w:val="24"/>
            </w:rPr>
            <w:fldChar w:fldCharType="end"/>
          </w:r>
        </w:p>
      </w:sdtContent>
    </w:sdt>
    <w:p>
      <w:pPr>
        <w:rPr>
          <w:rFonts w:hint="default" w:ascii="Arial" w:hAnsi="Arial" w:cs="Arial"/>
          <w:b/>
          <w:color w:val="auto"/>
          <w:sz w:val="24"/>
          <w:szCs w:val="24"/>
        </w:rPr>
      </w:pPr>
      <w:r>
        <w:rPr>
          <w:rFonts w:hint="default" w:ascii="Arial" w:hAnsi="Arial" w:cs="Arial"/>
          <w:b/>
          <w:color w:val="auto"/>
          <w:sz w:val="24"/>
          <w:szCs w:val="24"/>
        </w:rPr>
        <w:br w:type="page"/>
      </w:r>
    </w:p>
    <w:p>
      <w:pPr>
        <w:pageBreakBefore w:val="0"/>
        <w:widowControl/>
        <w:tabs>
          <w:tab w:val="left" w:pos="3901"/>
        </w:tabs>
        <w:kinsoku/>
        <w:wordWrap/>
        <w:overflowPunct/>
        <w:topLinePunct w:val="0"/>
        <w:autoSpaceDE/>
        <w:autoSpaceDN/>
        <w:bidi w:val="0"/>
        <w:adjustRightInd/>
        <w:snapToGrid/>
        <w:spacing w:line="480" w:lineRule="auto"/>
        <w:jc w:val="both"/>
        <w:textAlignment w:val="auto"/>
        <w:outlineLvl w:val="0"/>
        <w:rPr>
          <w:rFonts w:hint="eastAsia" w:ascii="Arial" w:hAnsi="Arial" w:eastAsia="宋体" w:cs="Arial"/>
          <w:b/>
          <w:color w:val="auto"/>
          <w:sz w:val="24"/>
          <w:szCs w:val="24"/>
          <w:lang w:eastAsia="zh-CN"/>
        </w:rPr>
      </w:pPr>
      <w:bookmarkStart w:id="0" w:name="_Toc28522"/>
      <w:r>
        <w:rPr>
          <w:rFonts w:hint="default" w:ascii="Arial" w:hAnsi="Arial" w:cs="Arial"/>
          <w:b/>
          <w:color w:val="auto"/>
          <w:sz w:val="24"/>
          <w:szCs w:val="24"/>
        </w:rPr>
        <w:t>1.0 Executive Summary</w:t>
      </w:r>
      <w:bookmarkEnd w:id="0"/>
      <w:r>
        <w:rPr>
          <w:rFonts w:hint="eastAsia" w:ascii="Arial" w:hAnsi="Arial" w:eastAsia="宋体" w:cs="Arial"/>
          <w:b/>
          <w:color w:val="auto"/>
          <w:sz w:val="24"/>
          <w:szCs w:val="24"/>
          <w:lang w:eastAsia="zh-CN"/>
        </w:rPr>
        <w:tab/>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An in-depth analysis of Western and Asian strategic planning, culture, politics, social demands and moral pressures confirms the need for sophisticated strategies in international business. Research reveals that the two are differentially influenced by values such as independence versus collaboration, short-term versus long-term manageability, and communication technology in strategic planning. This highlights the critical role of social cognition in building strong, comprehensive, and coordinated efforts.</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By providing insights into the impact of social, political and environmental contexts on the complex issues organizations face around the world, it becomes clear that flexibility and a deep understanding of contextual elements are particularly important after managing differences and adhering to cultural norms. Both case studies and global analysis demonstrate that ethical frameworks play a key role in social reflection and that company success is closely linked to ethical values. Key factors include strong ethical ideals, dedication of partners, and the importance of ethical leadership.</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Message-led experiences illustrate the positive relationship between long-term manageability, ethics, strategic approach, and brand reputation. For companies operating globally, recognizing and taking into account social, political and other factors is both a strategic choice and a fundamental goal.</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br w:type="page"/>
      </w:r>
    </w:p>
    <w:p>
      <w:pPr>
        <w:pStyle w:val="2"/>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b/>
          <w:color w:val="auto"/>
          <w:sz w:val="24"/>
          <w:szCs w:val="24"/>
        </w:rPr>
      </w:pPr>
      <w:bookmarkStart w:id="1" w:name="_Toc29001"/>
      <w:r>
        <w:rPr>
          <w:rFonts w:hint="default" w:ascii="Arial" w:hAnsi="Arial" w:cs="Arial"/>
          <w:b/>
          <w:color w:val="auto"/>
          <w:sz w:val="24"/>
          <w:szCs w:val="24"/>
        </w:rPr>
        <w:t>2.0 Introduction</w:t>
      </w:r>
      <w:bookmarkEnd w:id="1"/>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cs="Arial"/>
          <w:b w:val="0"/>
          <w:bCs w:val="0"/>
          <w:sz w:val="24"/>
          <w:szCs w:val="24"/>
        </w:rPr>
      </w:pPr>
      <w:r>
        <w:rPr>
          <w:rFonts w:hint="default" w:ascii="Arial" w:hAnsi="Arial" w:cs="Arial"/>
          <w:b w:val="0"/>
          <w:bCs w:val="0"/>
          <w:sz w:val="24"/>
          <w:szCs w:val="24"/>
        </w:rPr>
        <w:t>Kishore Mahbubani is a distinguished diplomat and academic who served as Singapore's Ambassador to the United Nations. Known for his in-depth analysis of international relations and insights into Asia's rise in the evolving international business environment, Mahbubani is dedicated to revealing the differences between Asian and Western business practices. His work explores globalization, East-West relations, and the future international order, and is often cited in discussions of international politics and economics.</w:t>
      </w:r>
    </w:p>
    <w:p>
      <w:pPr>
        <w:pStyle w:val="3"/>
        <w:pageBreakBefore w:val="0"/>
        <w:widowControl/>
        <w:kinsoku/>
        <w:wordWrap/>
        <w:overflowPunct/>
        <w:topLinePunct w:val="0"/>
        <w:autoSpaceDE/>
        <w:autoSpaceDN/>
        <w:bidi w:val="0"/>
        <w:adjustRightInd/>
        <w:snapToGrid/>
        <w:spacing w:line="480" w:lineRule="auto"/>
        <w:jc w:val="both"/>
        <w:textAlignment w:val="auto"/>
        <w:outlineLvl w:val="0"/>
        <w:rPr>
          <w:rFonts w:hint="default" w:ascii="Arial" w:hAnsi="Arial" w:cs="Arial"/>
          <w:sz w:val="24"/>
          <w:szCs w:val="24"/>
        </w:rPr>
      </w:pPr>
      <w:bookmarkStart w:id="2" w:name="_Toc24652"/>
      <w:r>
        <w:rPr>
          <w:rFonts w:hint="default" w:ascii="Arial" w:hAnsi="Arial" w:cs="Arial"/>
          <w:sz w:val="24"/>
          <w:szCs w:val="24"/>
        </w:rPr>
        <w:t>2.1 Background</w:t>
      </w:r>
      <w:bookmarkEnd w:id="2"/>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cs="Arial"/>
          <w:b w:val="0"/>
          <w:bCs w:val="0"/>
          <w:sz w:val="24"/>
          <w:szCs w:val="24"/>
        </w:rPr>
      </w:pPr>
      <w:r>
        <w:rPr>
          <w:rFonts w:hint="default" w:ascii="Arial" w:hAnsi="Arial" w:cs="Arial"/>
          <w:b w:val="0"/>
          <w:bCs w:val="0"/>
          <w:sz w:val="24"/>
          <w:szCs w:val="24"/>
        </w:rPr>
        <w:t>The book "The Great Convergence: Asia, the West, and the Logic of One World" explores Asian and Western business methods, delving into the philosophy of business operations in these regions. A deeper examination of business operations in Europe, Japan, and China reveals the cultural complexity (Ossoff, J., 2013).</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cs="Arial"/>
          <w:b w:val="0"/>
          <w:bCs w:val="0"/>
          <w:sz w:val="24"/>
          <w:szCs w:val="24"/>
        </w:rPr>
      </w:pPr>
      <w:r>
        <w:rPr>
          <w:rFonts w:hint="default" w:ascii="Arial" w:hAnsi="Arial" w:cs="Arial"/>
          <w:b w:val="0"/>
          <w:bCs w:val="0"/>
          <w:sz w:val="24"/>
          <w:szCs w:val="24"/>
        </w:rPr>
        <w:t>This article aims to transcend geographical limitations, analyzing business ethics through the works of scholars like Mahbubani. It emphasizes historical and cultural context as key influencers of business decisions. Integration of multicultural business practices enhances understanding of global business diversity.</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cs="Arial"/>
          <w:b w:val="0"/>
          <w:bCs w:val="0"/>
          <w:sz w:val="24"/>
          <w:szCs w:val="24"/>
        </w:rPr>
      </w:pPr>
      <w:r>
        <w:rPr>
          <w:rFonts w:hint="default" w:ascii="Arial" w:hAnsi="Arial" w:cs="Arial"/>
          <w:b w:val="0"/>
          <w:bCs w:val="0"/>
          <w:sz w:val="24"/>
          <w:szCs w:val="24"/>
        </w:rPr>
        <w:t>The article proposes a comprehensive understanding of ethical tensions in international business, advocating for flexibility and inclusiveness. It addresses conceptual differences due to cultural variations and promotes the growth of cross-cultural business ethics. Integrating diverse paradigms and cultural perspectives contributes to a more inclusive business ethics framework.</w:t>
      </w:r>
    </w:p>
    <w:p>
      <w:pPr>
        <w:pStyle w:val="3"/>
        <w:pageBreakBefore w:val="0"/>
        <w:widowControl/>
        <w:kinsoku/>
        <w:wordWrap/>
        <w:overflowPunct/>
        <w:topLinePunct w:val="0"/>
        <w:autoSpaceDE/>
        <w:autoSpaceDN/>
        <w:bidi w:val="0"/>
        <w:adjustRightInd/>
        <w:snapToGrid/>
        <w:spacing w:line="480" w:lineRule="auto"/>
        <w:jc w:val="both"/>
        <w:textAlignment w:val="auto"/>
        <w:outlineLvl w:val="0"/>
        <w:rPr>
          <w:rFonts w:hint="default" w:ascii="Arial" w:hAnsi="Arial" w:cs="Arial"/>
          <w:sz w:val="24"/>
          <w:szCs w:val="24"/>
        </w:rPr>
      </w:pPr>
      <w:bookmarkStart w:id="3" w:name="_Toc4307"/>
      <w:r>
        <w:rPr>
          <w:rFonts w:hint="default" w:ascii="Arial" w:hAnsi="Arial" w:cs="Arial"/>
          <w:sz w:val="24"/>
          <w:szCs w:val="24"/>
        </w:rPr>
        <w:t>2.2 Objectives</w:t>
      </w:r>
      <w:bookmarkEnd w:id="3"/>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This report is dedicated to an in-depth exploration of the ethical issues arising from the interaction of social, political and cultural factors in Asian and Western business practices. Then, by analyzing the wider impact of the international business environment, the report will explore the significant impacts of these aspects. Through an in-depth evaluation of case studies and real-life scenarios, this report outlines the core values of these ethical dilemmas. While emphasizing the importance of social considerations, political dynamics and cultural constraints, the report promotes a deeper understanding of the issues faced by multinational corporations in the international environment. Achieving these goals will help promote a broader understanding of the intersection of global business practices and ethics, and increase awareness of the details involved in operating in different cultural environments. </w:t>
      </w:r>
    </w:p>
    <w:p>
      <w:pPr>
        <w:pageBreakBefore w:val="0"/>
        <w:widowControl/>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br w:type="page"/>
      </w:r>
    </w:p>
    <w:p>
      <w:pPr>
        <w:pStyle w:val="2"/>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b/>
          <w:color w:val="auto"/>
          <w:sz w:val="24"/>
          <w:szCs w:val="24"/>
        </w:rPr>
      </w:pPr>
      <w:bookmarkStart w:id="4" w:name="_Toc13375"/>
      <w:r>
        <w:rPr>
          <w:rFonts w:hint="default" w:ascii="Arial" w:hAnsi="Arial" w:cs="Arial"/>
          <w:b/>
          <w:color w:val="auto"/>
          <w:sz w:val="24"/>
          <w:szCs w:val="24"/>
        </w:rPr>
        <w:t>3.0 Differences and Business Practices</w:t>
      </w:r>
      <w:bookmarkEnd w:id="4"/>
    </w:p>
    <w:p>
      <w:pPr>
        <w:pStyle w:val="3"/>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bookmarkStart w:id="5" w:name="_Toc25063"/>
      <w:r>
        <w:rPr>
          <w:rFonts w:hint="default" w:ascii="Arial" w:hAnsi="Arial" w:cs="Arial"/>
          <w:sz w:val="24"/>
          <w:szCs w:val="24"/>
        </w:rPr>
        <w:t>3.1 Ethical trade in global markets: the possibility of win-win outcomes</w:t>
      </w:r>
      <w:bookmarkEnd w:id="5"/>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Trading in global markets without compromising ethical principles is challenging because global trade involves multiple complex factors and the legal, cultural and economic systems of different countries or regions.</w:t>
      </w:r>
      <w:r>
        <w:rPr>
          <w:rFonts w:hint="eastAsia" w:ascii="Arial" w:hAnsi="Arial" w:eastAsia="宋体" w:cs="Arial"/>
          <w:sz w:val="24"/>
          <w:szCs w:val="24"/>
          <w:lang w:eastAsia="zh-CN"/>
        </w:rPr>
        <w:t>（</w:t>
      </w:r>
      <w:r>
        <w:rPr>
          <w:rFonts w:ascii="宋体" w:hAnsi="宋体" w:eastAsia="宋体" w:cs="宋体"/>
          <w:i/>
          <w:iCs/>
          <w:kern w:val="0"/>
          <w:sz w:val="24"/>
          <w:szCs w:val="24"/>
          <w:lang w:val="en-US" w:eastAsia="zh-CN" w:bidi="ar"/>
        </w:rPr>
        <w:t>Asian journal of business ethics.</w:t>
      </w:r>
      <w:r>
        <w:rPr>
          <w:rFonts w:ascii="宋体" w:hAnsi="宋体" w:eastAsia="宋体" w:cs="宋体"/>
          <w:kern w:val="0"/>
          <w:sz w:val="24"/>
          <w:szCs w:val="24"/>
          <w:lang w:val="en-US" w:eastAsia="zh-CN" w:bidi="ar"/>
        </w:rPr>
        <w:t xml:space="preserve"> (2012)</w:t>
      </w:r>
      <w:r>
        <w:rPr>
          <w:rFonts w:hint="eastAsia" w:ascii="宋体" w:hAnsi="宋体" w:eastAsia="宋体" w:cs="宋体"/>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2"/>
        <w:rPr>
          <w:rFonts w:hint="default" w:ascii="Arial" w:hAnsi="Arial" w:cs="Arial"/>
          <w:b/>
          <w:bCs/>
          <w:sz w:val="24"/>
          <w:szCs w:val="24"/>
        </w:rPr>
      </w:pPr>
      <w:bookmarkStart w:id="6" w:name="_Toc11350"/>
      <w:r>
        <w:rPr>
          <w:rFonts w:hint="default" w:ascii="Arial" w:hAnsi="Arial" w:eastAsia="宋体" w:cs="Arial"/>
          <w:b/>
          <w:bCs/>
          <w:sz w:val="24"/>
          <w:szCs w:val="24"/>
          <w:lang w:val="en-US" w:eastAsia="zh-CN"/>
        </w:rPr>
        <w:t>3.1.</w:t>
      </w:r>
      <w:r>
        <w:rPr>
          <w:rFonts w:hint="default" w:ascii="Arial" w:hAnsi="Arial" w:cs="Arial"/>
          <w:b/>
          <w:bCs/>
          <w:sz w:val="24"/>
          <w:szCs w:val="24"/>
        </w:rPr>
        <w:t>1. Labor standards</w:t>
      </w:r>
      <w:bookmarkEnd w:id="6"/>
    </w:p>
    <w:p>
      <w:pPr>
        <w:pageBreakBefore w:val="0"/>
        <w:widowControl/>
        <w:kinsoku/>
        <w:wordWrap/>
        <w:overflowPunct/>
        <w:topLinePunct w:val="0"/>
        <w:autoSpaceDE/>
        <w:autoSpaceDN/>
        <w:bidi w:val="0"/>
        <w:adjustRightInd/>
        <w:snapToGrid/>
        <w:spacing w:line="480" w:lineRule="auto"/>
        <w:jc w:val="both"/>
        <w:textAlignment w:val="auto"/>
        <w:outlineLvl w:val="9"/>
        <w:rPr>
          <w:rFonts w:hint="eastAsia" w:ascii="Arial" w:hAnsi="Arial" w:eastAsia="宋体" w:cs="Arial"/>
          <w:sz w:val="24"/>
          <w:szCs w:val="24"/>
          <w:lang w:eastAsia="zh-CN"/>
        </w:rPr>
      </w:pPr>
      <w:r>
        <w:rPr>
          <w:rFonts w:hint="eastAsia" w:ascii="Arial" w:hAnsi="Arial" w:eastAsia="宋体" w:cs="Arial"/>
          <w:sz w:val="24"/>
          <w:szCs w:val="24"/>
          <w:lang w:eastAsia="zh-CN"/>
        </w:rPr>
        <w:t>Labor laws and standards vary globally, leading to disparities in working conditions and ethical considerations. Some countries witness poor working conditions, child labor, and labor exploitation, practices that businesses might exploit to cut costs, albeit at the expense of violating labor rights and ethical principles.（</w:t>
      </w:r>
      <w:r>
        <w:rPr>
          <w:rFonts w:ascii="宋体" w:hAnsi="宋体" w:eastAsia="宋体" w:cs="宋体"/>
          <w:kern w:val="0"/>
          <w:sz w:val="24"/>
          <w:szCs w:val="24"/>
          <w:lang w:val="en-US" w:eastAsia="zh-CN" w:bidi="ar"/>
        </w:rPr>
        <w:t>HOEHTKER, D. (2022)</w:t>
      </w:r>
      <w:r>
        <w:rPr>
          <w:rFonts w:hint="eastAsia" w:ascii="宋体" w:hAnsi="宋体" w:eastAsia="宋体" w:cs="宋体"/>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9"/>
        <w:rPr>
          <w:rFonts w:hint="eastAsia" w:ascii="Arial" w:hAnsi="Arial" w:eastAsia="宋体" w:cs="Arial"/>
          <w:sz w:val="24"/>
          <w:szCs w:val="24"/>
          <w:lang w:eastAsia="zh-CN"/>
        </w:rPr>
      </w:pPr>
      <w:r>
        <w:rPr>
          <w:rFonts w:hint="eastAsia" w:ascii="Arial" w:hAnsi="Arial" w:eastAsia="宋体" w:cs="Arial"/>
          <w:sz w:val="24"/>
          <w:szCs w:val="24"/>
          <w:lang w:eastAsia="zh-CN"/>
        </w:rPr>
        <w:t>In China, labor laws outline fundamental worker rights, covering aspects such as working hours, wages, rest days, and social insurance. However, challenges persist, including issues like excessive working hours, uncertainties in labor contracts, and the potential misuse of flexibility by businesses to bypass regulations.</w:t>
      </w:r>
    </w:p>
    <w:p>
      <w:pPr>
        <w:pageBreakBefore w:val="0"/>
        <w:widowControl/>
        <w:kinsoku/>
        <w:wordWrap/>
        <w:overflowPunct/>
        <w:topLinePunct w:val="0"/>
        <w:autoSpaceDE/>
        <w:autoSpaceDN/>
        <w:bidi w:val="0"/>
        <w:adjustRightInd/>
        <w:snapToGrid/>
        <w:spacing w:line="480" w:lineRule="auto"/>
        <w:jc w:val="both"/>
        <w:textAlignment w:val="auto"/>
        <w:outlineLvl w:val="9"/>
        <w:rPr>
          <w:rFonts w:hint="eastAsia" w:ascii="Arial" w:hAnsi="Arial" w:eastAsia="宋体" w:cs="Arial"/>
          <w:sz w:val="24"/>
          <w:szCs w:val="24"/>
          <w:lang w:eastAsia="zh-CN"/>
        </w:rPr>
      </w:pPr>
      <w:r>
        <w:rPr>
          <w:rFonts w:hint="eastAsia" w:ascii="Arial" w:hAnsi="Arial" w:eastAsia="宋体" w:cs="Arial"/>
          <w:sz w:val="24"/>
          <w:szCs w:val="24"/>
          <w:lang w:eastAsia="zh-CN"/>
        </w:rPr>
        <w:t>Japan places emphasis on employee protection through labor laws, advocating for fixed working hours and work-life balance. Despite this, challenges such as long working hours (karoshi issues) and informal employment relationships persist, leading to debates on the adequacy of labor standards in safeguarding workers.（</w:t>
      </w:r>
      <w:r>
        <w:rPr>
          <w:rFonts w:ascii="宋体" w:hAnsi="宋体" w:eastAsia="宋体" w:cs="宋体"/>
          <w:kern w:val="0"/>
          <w:sz w:val="24"/>
          <w:szCs w:val="24"/>
          <w:lang w:val="en-US" w:eastAsia="zh-CN" w:bidi="ar"/>
        </w:rPr>
        <w:t>Francis, R. D. (Ronald D., &amp; Murfey, G. (2016)</w:t>
      </w:r>
      <w:r>
        <w:rPr>
          <w:rFonts w:hint="eastAsia" w:ascii="宋体" w:hAnsi="宋体" w:eastAsia="宋体" w:cs="宋体"/>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9"/>
        <w:rPr>
          <w:rFonts w:hint="eastAsia" w:ascii="Arial" w:hAnsi="Arial" w:eastAsia="宋体" w:cs="Arial"/>
          <w:sz w:val="24"/>
          <w:szCs w:val="24"/>
          <w:lang w:eastAsia="zh-CN"/>
        </w:rPr>
      </w:pPr>
      <w:r>
        <w:rPr>
          <w:rFonts w:hint="eastAsia" w:ascii="Arial" w:hAnsi="Arial" w:eastAsia="宋体" w:cs="Arial"/>
          <w:sz w:val="24"/>
          <w:szCs w:val="24"/>
          <w:lang w:eastAsia="zh-CN"/>
        </w:rPr>
        <w:t>European countries generally uphold higher labor standards, highlighting working hours, rest periods, paid leave, and safety. EU member states share common regulations in these areas, and European businesses often must adhere to stricter labor standards.（</w:t>
      </w:r>
      <w:r>
        <w:rPr>
          <w:rFonts w:ascii="宋体" w:hAnsi="宋体" w:eastAsia="宋体" w:cs="宋体"/>
          <w:kern w:val="0"/>
          <w:sz w:val="24"/>
          <w:szCs w:val="24"/>
          <w:lang w:val="en-US" w:eastAsia="zh-CN" w:bidi="ar"/>
        </w:rPr>
        <w:t>Arianna Rossi. (2016)</w:t>
      </w:r>
      <w:r>
        <w:rPr>
          <w:rFonts w:hint="eastAsia" w:ascii="宋体" w:hAnsi="宋体" w:eastAsia="宋体" w:cs="宋体"/>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9"/>
        <w:rPr>
          <w:rFonts w:hint="eastAsia" w:ascii="Arial" w:hAnsi="Arial" w:eastAsia="宋体" w:cs="Arial"/>
          <w:sz w:val="24"/>
          <w:szCs w:val="24"/>
          <w:lang w:eastAsia="zh-CN"/>
        </w:rPr>
      </w:pPr>
      <w:r>
        <w:rPr>
          <w:rFonts w:hint="eastAsia" w:ascii="Arial" w:hAnsi="Arial" w:eastAsia="宋体" w:cs="Arial"/>
          <w:sz w:val="24"/>
          <w:szCs w:val="24"/>
          <w:lang w:eastAsia="zh-CN"/>
        </w:rPr>
        <w:t>Western business practices prioritize the rights and well-being of employees, adhering to higher labor standards. This includes providing favorable working conditions, focusing on work-life balance, and actively fulfilling social responsibilities.（</w:t>
      </w:r>
      <w:r>
        <w:rPr>
          <w:rFonts w:ascii="宋体" w:hAnsi="宋体" w:eastAsia="宋体" w:cs="宋体"/>
          <w:kern w:val="0"/>
          <w:sz w:val="24"/>
          <w:szCs w:val="24"/>
          <w:lang w:val="en-US" w:eastAsia="zh-CN" w:bidi="ar"/>
        </w:rPr>
        <w:t>Crane, A., Matten, D., Glozer, S., &amp; Spence, L. J. (2019)</w:t>
      </w:r>
      <w:r>
        <w:rPr>
          <w:rFonts w:hint="eastAsia" w:ascii="宋体" w:hAnsi="宋体" w:eastAsia="宋体" w:cs="宋体"/>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9"/>
        <w:rPr>
          <w:rFonts w:hint="eastAsia" w:ascii="Arial" w:hAnsi="Arial" w:eastAsia="宋体" w:cs="Arial"/>
          <w:sz w:val="24"/>
          <w:szCs w:val="24"/>
          <w:lang w:eastAsia="zh-CN"/>
        </w:rPr>
      </w:pPr>
      <w:r>
        <w:rPr>
          <w:rFonts w:hint="eastAsia" w:ascii="Arial" w:hAnsi="Arial" w:eastAsia="宋体" w:cs="Arial"/>
          <w:sz w:val="24"/>
          <w:szCs w:val="24"/>
          <w:lang w:eastAsia="zh-CN"/>
        </w:rPr>
        <w:t>In contrast, some Asian countries may prioritize efficiency and cost reduction in their business practices, potentially leading to lower attention to labor standards. This may manifest in longer working hours and flexible employment models.（</w:t>
      </w:r>
      <w:r>
        <w:rPr>
          <w:rFonts w:ascii="宋体" w:hAnsi="宋体" w:eastAsia="宋体" w:cs="宋体"/>
          <w:kern w:val="0"/>
          <w:sz w:val="24"/>
          <w:szCs w:val="24"/>
          <w:lang w:val="en-US" w:eastAsia="zh-CN" w:bidi="ar"/>
        </w:rPr>
        <w:t>Seidman, G. W. (2012)</w:t>
      </w:r>
      <w:r>
        <w:rPr>
          <w:rFonts w:hint="eastAsia" w:ascii="宋体" w:hAnsi="宋体" w:eastAsia="宋体" w:cs="宋体"/>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2"/>
        <w:rPr>
          <w:rFonts w:hint="default" w:ascii="Arial" w:hAnsi="Arial" w:cs="Arial"/>
          <w:b/>
          <w:bCs/>
          <w:sz w:val="24"/>
          <w:szCs w:val="24"/>
        </w:rPr>
      </w:pPr>
      <w:bookmarkStart w:id="7" w:name="_Toc16703"/>
      <w:r>
        <w:rPr>
          <w:rFonts w:hint="default" w:ascii="Arial" w:hAnsi="Arial" w:cs="Arial"/>
          <w:b/>
          <w:bCs/>
          <w:sz w:val="24"/>
          <w:szCs w:val="24"/>
        </w:rPr>
        <w:t>3.1</w:t>
      </w:r>
      <w:r>
        <w:rPr>
          <w:rFonts w:hint="default" w:ascii="Arial" w:hAnsi="Arial" w:eastAsia="宋体" w:cs="Arial"/>
          <w:b/>
          <w:bCs/>
          <w:sz w:val="24"/>
          <w:szCs w:val="24"/>
          <w:lang w:val="en-US" w:eastAsia="zh-CN"/>
        </w:rPr>
        <w:t>.</w:t>
      </w:r>
      <w:r>
        <w:rPr>
          <w:rFonts w:hint="default" w:ascii="Arial" w:hAnsi="Arial" w:cs="Arial"/>
          <w:b/>
          <w:bCs/>
          <w:sz w:val="24"/>
          <w:szCs w:val="24"/>
        </w:rPr>
        <w:t>2. Environmental protection</w:t>
      </w:r>
      <w:bookmarkEnd w:id="7"/>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cs="Arial"/>
          <w:sz w:val="24"/>
          <w:szCs w:val="24"/>
        </w:rPr>
      </w:pPr>
      <w:r>
        <w:rPr>
          <w:rFonts w:hint="default" w:ascii="Arial" w:hAnsi="Arial" w:cs="Arial"/>
          <w:sz w:val="24"/>
          <w:szCs w:val="24"/>
        </w:rPr>
        <w:t>Global trade indeed has the potential to contribute to environmental damage, including carbon emissions and pollution. Some companies may exploit differences in environmental regulations across countries, choosing to manufacture in regions with laxer standards.</w:t>
      </w:r>
      <w:r>
        <w:rPr>
          <w:rFonts w:hint="eastAsia" w:ascii="Arial" w:hAnsi="Arial" w:eastAsia="宋体" w:cs="Arial"/>
          <w:sz w:val="24"/>
          <w:szCs w:val="24"/>
          <w:lang w:eastAsia="zh-CN"/>
        </w:rPr>
        <w:t>（</w:t>
      </w:r>
      <w:r>
        <w:rPr>
          <w:rFonts w:ascii="宋体" w:hAnsi="宋体" w:eastAsia="宋体" w:cs="宋体"/>
          <w:kern w:val="0"/>
          <w:sz w:val="24"/>
          <w:szCs w:val="24"/>
          <w:lang w:val="en-US" w:eastAsia="zh-CN" w:bidi="ar"/>
        </w:rPr>
        <w:t>Chen, R. J. (2011)</w:t>
      </w:r>
      <w:r>
        <w:rPr>
          <w:rFonts w:hint="eastAsia" w:ascii="宋体" w:hAnsi="宋体" w:eastAsia="宋体" w:cs="宋体"/>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cs="Arial"/>
          <w:sz w:val="24"/>
          <w:szCs w:val="24"/>
        </w:rPr>
      </w:pPr>
      <w:r>
        <w:rPr>
          <w:rFonts w:hint="default" w:ascii="Arial" w:hAnsi="Arial" w:cs="Arial"/>
          <w:sz w:val="24"/>
          <w:szCs w:val="24"/>
        </w:rPr>
        <w:t>In China, being a major manufacturing hub, the government has recognized and addressed environmental pollution issues. In recent years, there has been a concerted effort to strengthen environmental regulations and supervision. The Chinese government encourages companies to adopt environmentally friendly production methods. Despite these measures, challenges persist, and some companies may still engage in environmental violations.</w:t>
      </w:r>
      <w:r>
        <w:rPr>
          <w:rFonts w:hint="eastAsia" w:ascii="Arial" w:hAnsi="Arial" w:eastAsia="宋体" w:cs="Arial"/>
          <w:sz w:val="24"/>
          <w:szCs w:val="24"/>
          <w:lang w:eastAsia="zh-CN"/>
        </w:rPr>
        <w:t>（</w:t>
      </w:r>
      <w:r>
        <w:rPr>
          <w:rFonts w:ascii="宋体" w:hAnsi="宋体" w:eastAsia="宋体" w:cs="宋体"/>
          <w:kern w:val="0"/>
          <w:sz w:val="24"/>
          <w:szCs w:val="24"/>
          <w:lang w:val="en-US" w:eastAsia="zh-CN" w:bidi="ar"/>
        </w:rPr>
        <w:t>He, L., Shen, J., &amp; Zhang, Y. (2018)</w:t>
      </w:r>
      <w:r>
        <w:rPr>
          <w:rFonts w:hint="eastAsia" w:ascii="宋体" w:hAnsi="宋体" w:eastAsia="宋体" w:cs="宋体"/>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cs="Arial"/>
          <w:sz w:val="24"/>
          <w:szCs w:val="24"/>
        </w:rPr>
      </w:pPr>
      <w:r>
        <w:rPr>
          <w:rFonts w:hint="default" w:ascii="Arial" w:hAnsi="Arial" w:cs="Arial"/>
          <w:sz w:val="24"/>
          <w:szCs w:val="24"/>
        </w:rPr>
        <w:t>Japan places significant importance on environmental issues, enforcing strict regulations during production processes. Japanese companies are often leaders in technological innovation and sustainable operations, actively working to minimize their environmental impact.</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cs="Arial"/>
          <w:sz w:val="24"/>
          <w:szCs w:val="24"/>
        </w:rPr>
      </w:pPr>
      <w:r>
        <w:rPr>
          <w:rFonts w:hint="default" w:ascii="Arial" w:hAnsi="Arial" w:cs="Arial"/>
          <w:sz w:val="24"/>
          <w:szCs w:val="24"/>
        </w:rPr>
        <w:t>European countries, known for their stringent environmental standards, have established strict regulations to ensure companies fulfill their environmental responsibilities. EU member states maintain consistent regulations on environmental protection, demonstrating a commitment to sustainable development.</w:t>
      </w:r>
      <w:r>
        <w:rPr>
          <w:rFonts w:hint="eastAsia" w:ascii="Arial" w:hAnsi="Arial" w:eastAsia="宋体" w:cs="Arial"/>
          <w:sz w:val="24"/>
          <w:szCs w:val="24"/>
          <w:lang w:eastAsia="zh-CN"/>
        </w:rPr>
        <w:t>（</w:t>
      </w:r>
      <w:r>
        <w:rPr>
          <w:rFonts w:ascii="宋体" w:hAnsi="宋体" w:eastAsia="宋体" w:cs="宋体"/>
          <w:kern w:val="0"/>
          <w:sz w:val="24"/>
          <w:szCs w:val="24"/>
          <w:lang w:val="en-US" w:eastAsia="zh-CN" w:bidi="ar"/>
        </w:rPr>
        <w:t>Adedoyin, F. F., Nwulu, N., &amp; Bekun, F. V. (2021)</w:t>
      </w:r>
      <w:r>
        <w:rPr>
          <w:rFonts w:hint="eastAsia" w:ascii="宋体" w:hAnsi="宋体" w:eastAsia="宋体" w:cs="宋体"/>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cs="Arial"/>
          <w:sz w:val="24"/>
          <w:szCs w:val="24"/>
        </w:rPr>
      </w:pPr>
      <w:r>
        <w:rPr>
          <w:rFonts w:hint="default" w:ascii="Arial" w:hAnsi="Arial" w:cs="Arial"/>
          <w:sz w:val="24"/>
          <w:szCs w:val="24"/>
        </w:rPr>
        <w:t>Western companies generally prioritize environmental protection, taking active measures to reduce carbon footprints, promote renewable energy use, and publicly commit to sustainable operations.</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cs="Arial"/>
          <w:sz w:val="24"/>
          <w:szCs w:val="24"/>
        </w:rPr>
      </w:pPr>
      <w:r>
        <w:rPr>
          <w:rFonts w:hint="default" w:ascii="Arial" w:hAnsi="Arial" w:cs="Arial"/>
          <w:sz w:val="24"/>
          <w:szCs w:val="24"/>
        </w:rPr>
        <w:t>Asian corporate practices have varied over time, with some companies in certain Asian countries initially focusing more on economic growth and industrial development than environmental protection. However, as global environmental concerns intensify, there is a growing trend of companies in these regions adopting more sustainable production methods. This shift reflects an increasing awareness of the need for environmentally responsible business practices.</w:t>
      </w:r>
      <w:r>
        <w:rPr>
          <w:rFonts w:hint="eastAsia" w:ascii="Arial" w:hAnsi="Arial" w:eastAsia="宋体" w:cs="Arial"/>
          <w:sz w:val="24"/>
          <w:szCs w:val="24"/>
          <w:lang w:eastAsia="zh-CN"/>
        </w:rPr>
        <w:t>（</w:t>
      </w:r>
      <w:r>
        <w:rPr>
          <w:rFonts w:ascii="宋体" w:hAnsi="宋体" w:eastAsia="宋体" w:cs="宋体"/>
          <w:kern w:val="0"/>
          <w:sz w:val="24"/>
          <w:szCs w:val="24"/>
          <w:lang w:val="en-US" w:eastAsia="zh-CN" w:bidi="ar"/>
        </w:rPr>
        <w:t>McManus, P. (1997)</w:t>
      </w:r>
      <w:r>
        <w:rPr>
          <w:rFonts w:hint="eastAsia" w:ascii="宋体" w:hAnsi="宋体" w:eastAsia="宋体" w:cs="宋体"/>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2"/>
        <w:rPr>
          <w:rFonts w:hint="default" w:ascii="Arial" w:hAnsi="Arial" w:cs="Arial"/>
          <w:b/>
          <w:bCs/>
          <w:sz w:val="24"/>
          <w:szCs w:val="24"/>
        </w:rPr>
      </w:pPr>
      <w:bookmarkStart w:id="8" w:name="_Toc6804"/>
      <w:r>
        <w:rPr>
          <w:rFonts w:hint="default" w:ascii="Arial" w:hAnsi="Arial" w:eastAsia="宋体" w:cs="Arial"/>
          <w:b/>
          <w:bCs/>
          <w:sz w:val="24"/>
          <w:szCs w:val="24"/>
          <w:lang w:val="en-US" w:eastAsia="zh-CN"/>
        </w:rPr>
        <w:t>3.1.</w:t>
      </w:r>
      <w:r>
        <w:rPr>
          <w:rFonts w:hint="default" w:ascii="Arial" w:hAnsi="Arial" w:cs="Arial"/>
          <w:b/>
          <w:bCs/>
          <w:sz w:val="24"/>
          <w:szCs w:val="24"/>
        </w:rPr>
        <w:t>3. Fair trade</w:t>
      </w:r>
      <w:bookmarkEnd w:id="8"/>
    </w:p>
    <w:p>
      <w:pPr>
        <w:pageBreakBefore w:val="0"/>
        <w:widowControl/>
        <w:kinsoku/>
        <w:wordWrap/>
        <w:overflowPunct/>
        <w:topLinePunct w:val="0"/>
        <w:autoSpaceDE/>
        <w:autoSpaceDN/>
        <w:bidi w:val="0"/>
        <w:adjustRightInd/>
        <w:snapToGrid/>
        <w:spacing w:after="0" w:line="480" w:lineRule="auto"/>
        <w:jc w:val="both"/>
        <w:textAlignment w:val="auto"/>
        <w:outlineLvl w:val="9"/>
        <w:rPr>
          <w:rFonts w:hint="default" w:ascii="Arial" w:hAnsi="Arial" w:cs="Arial"/>
          <w:sz w:val="24"/>
          <w:szCs w:val="24"/>
          <w:lang w:val="en-US"/>
        </w:rPr>
      </w:pPr>
      <w:r>
        <w:rPr>
          <w:rFonts w:hint="default" w:ascii="Arial" w:hAnsi="Arial" w:cs="Arial"/>
          <w:sz w:val="24"/>
          <w:szCs w:val="24"/>
        </w:rPr>
        <w:t xml:space="preserve">The power imbalance in trade negotiations between developing and developed countries can result in unfair agreements disadvantaging developing nations. </w:t>
      </w:r>
      <w:r>
        <w:rPr>
          <w:rFonts w:hint="eastAsia" w:ascii="Arial" w:hAnsi="Arial" w:eastAsia="宋体" w:cs="Arial"/>
          <w:sz w:val="24"/>
          <w:szCs w:val="24"/>
          <w:lang w:eastAsia="zh-CN"/>
        </w:rPr>
        <w:t>（</w:t>
      </w:r>
      <w:r>
        <w:rPr>
          <w:rFonts w:ascii="宋体" w:hAnsi="宋体" w:eastAsia="宋体" w:cs="宋体"/>
          <w:kern w:val="0"/>
          <w:sz w:val="24"/>
          <w:szCs w:val="24"/>
          <w:lang w:val="en-US" w:eastAsia="zh-CN" w:bidi="ar"/>
        </w:rPr>
        <w:t>Özkan, Ö. (2015)</w:t>
      </w:r>
      <w:r>
        <w:rPr>
          <w:rFonts w:hint="eastAsia" w:ascii="宋体" w:hAnsi="宋体" w:eastAsia="宋体" w:cs="宋体"/>
          <w:kern w:val="0"/>
          <w:sz w:val="24"/>
          <w:szCs w:val="24"/>
          <w:lang w:val="en-US" w:eastAsia="zh-CN" w:bidi="ar"/>
        </w:rPr>
        <w:t>)</w:t>
      </w:r>
    </w:p>
    <w:p>
      <w:pPr>
        <w:pageBreakBefore w:val="0"/>
        <w:widowControl/>
        <w:kinsoku/>
        <w:wordWrap/>
        <w:overflowPunct/>
        <w:topLinePunct w:val="0"/>
        <w:autoSpaceDE/>
        <w:autoSpaceDN/>
        <w:bidi w:val="0"/>
        <w:adjustRightInd/>
        <w:snapToGrid/>
        <w:spacing w:after="0" w:line="480" w:lineRule="auto"/>
        <w:jc w:val="both"/>
        <w:textAlignment w:val="auto"/>
        <w:outlineLvl w:val="9"/>
        <w:rPr>
          <w:rFonts w:hint="default" w:ascii="Arial" w:hAnsi="Arial" w:cs="Arial"/>
          <w:sz w:val="24"/>
          <w:szCs w:val="24"/>
        </w:rPr>
      </w:pPr>
      <w:r>
        <w:rPr>
          <w:rFonts w:hint="default" w:ascii="Arial" w:hAnsi="Arial" w:cs="Arial"/>
          <w:sz w:val="24"/>
          <w:szCs w:val="24"/>
        </w:rPr>
        <w:t xml:space="preserve">China is a major player in global trade, improving its international trade status. The Chinese government is committed to fair trade, signing agreements for mutually beneficial cooperation, although it faces criticism on labor rights and environmental standards. </w:t>
      </w:r>
    </w:p>
    <w:p>
      <w:pPr>
        <w:pageBreakBefore w:val="0"/>
        <w:widowControl/>
        <w:kinsoku/>
        <w:wordWrap/>
        <w:overflowPunct/>
        <w:topLinePunct w:val="0"/>
        <w:autoSpaceDE/>
        <w:autoSpaceDN/>
        <w:bidi w:val="0"/>
        <w:adjustRightInd/>
        <w:snapToGrid/>
        <w:spacing w:after="0" w:line="480" w:lineRule="auto"/>
        <w:jc w:val="both"/>
        <w:textAlignment w:val="auto"/>
        <w:outlineLvl w:val="9"/>
        <w:rPr>
          <w:rFonts w:hint="default" w:ascii="Arial" w:hAnsi="Arial" w:cs="Arial"/>
          <w:sz w:val="24"/>
          <w:szCs w:val="24"/>
          <w:lang w:val="en-US"/>
        </w:rPr>
      </w:pPr>
      <w:r>
        <w:rPr>
          <w:rFonts w:hint="default" w:ascii="Arial" w:hAnsi="Arial" w:cs="Arial"/>
          <w:sz w:val="24"/>
          <w:szCs w:val="24"/>
        </w:rPr>
        <w:t xml:space="preserve">Japan, a developed country, is crucial in international trade, with companies generally adhering to high-quality and sustainable practices. However, disputes may arise from certain trade agreements. Japan actively promotes the formulation of international trade rules and supports fair trade. </w:t>
      </w:r>
      <w:r>
        <w:rPr>
          <w:rFonts w:hint="eastAsia" w:ascii="Arial" w:hAnsi="Arial" w:eastAsia="宋体" w:cs="Arial"/>
          <w:sz w:val="24"/>
          <w:szCs w:val="24"/>
          <w:lang w:val="en-US" w:eastAsia="zh-CN"/>
        </w:rPr>
        <w:t>(</w:t>
      </w:r>
      <w:r>
        <w:rPr>
          <w:rFonts w:ascii="宋体" w:hAnsi="宋体" w:eastAsia="宋体" w:cs="宋体"/>
          <w:kern w:val="0"/>
          <w:sz w:val="24"/>
          <w:szCs w:val="24"/>
          <w:lang w:val="en-US" w:eastAsia="zh-CN" w:bidi="ar"/>
        </w:rPr>
        <w:t>Nicholls, Alex., &amp; Opal, Charlotte. (2005)</w:t>
      </w:r>
      <w:r>
        <w:rPr>
          <w:rFonts w:hint="eastAsia" w:ascii="宋体" w:hAnsi="宋体" w:eastAsia="宋体" w:cs="宋体"/>
          <w:kern w:val="0"/>
          <w:sz w:val="24"/>
          <w:szCs w:val="24"/>
          <w:lang w:val="en-US" w:eastAsia="zh-CN" w:bidi="ar"/>
        </w:rPr>
        <w:t>)</w:t>
      </w:r>
    </w:p>
    <w:p>
      <w:pPr>
        <w:pageBreakBefore w:val="0"/>
        <w:widowControl/>
        <w:kinsoku/>
        <w:wordWrap/>
        <w:overflowPunct/>
        <w:topLinePunct w:val="0"/>
        <w:autoSpaceDE/>
        <w:autoSpaceDN/>
        <w:bidi w:val="0"/>
        <w:adjustRightInd/>
        <w:snapToGrid/>
        <w:spacing w:after="0" w:line="480" w:lineRule="auto"/>
        <w:jc w:val="both"/>
        <w:textAlignment w:val="auto"/>
        <w:outlineLvl w:val="9"/>
        <w:rPr>
          <w:rFonts w:hint="default" w:ascii="Arial" w:hAnsi="Arial" w:cs="Arial"/>
          <w:sz w:val="24"/>
          <w:szCs w:val="24"/>
          <w:lang w:val="en-US"/>
        </w:rPr>
      </w:pPr>
      <w:r>
        <w:rPr>
          <w:rFonts w:hint="default" w:ascii="Arial" w:hAnsi="Arial" w:cs="Arial"/>
          <w:sz w:val="24"/>
          <w:szCs w:val="24"/>
        </w:rPr>
        <w:t>European countries, especially EU member states, prioritize fairness, sustainability, inclusivity, and environmental standards in trade negotiations, aiming for equal and reciprocal relations.</w:t>
      </w:r>
      <w:r>
        <w:rPr>
          <w:rFonts w:hint="eastAsia" w:ascii="Arial" w:hAnsi="Arial" w:eastAsia="宋体" w:cs="Arial"/>
          <w:sz w:val="24"/>
          <w:szCs w:val="24"/>
          <w:lang w:val="en-US" w:eastAsia="zh-CN"/>
        </w:rPr>
        <w:t>(</w:t>
      </w:r>
      <w:r>
        <w:rPr>
          <w:rFonts w:ascii="宋体" w:hAnsi="宋体" w:eastAsia="宋体" w:cs="宋体"/>
          <w:kern w:val="0"/>
          <w:sz w:val="24"/>
          <w:szCs w:val="24"/>
          <w:lang w:val="en-US" w:eastAsia="zh-CN" w:bidi="ar"/>
        </w:rPr>
        <w:t>Mantz, F. (2019)</w:t>
      </w:r>
      <w:r>
        <w:rPr>
          <w:rFonts w:hint="eastAsia" w:ascii="宋体" w:hAnsi="宋体" w:eastAsia="宋体" w:cs="宋体"/>
          <w:kern w:val="0"/>
          <w:sz w:val="24"/>
          <w:szCs w:val="24"/>
          <w:lang w:val="en-US" w:eastAsia="zh-CN" w:bidi="ar"/>
        </w:rPr>
        <w:t>)</w:t>
      </w:r>
    </w:p>
    <w:p>
      <w:pPr>
        <w:pageBreakBefore w:val="0"/>
        <w:widowControl/>
        <w:kinsoku/>
        <w:wordWrap/>
        <w:overflowPunct/>
        <w:topLinePunct w:val="0"/>
        <w:autoSpaceDE/>
        <w:autoSpaceDN/>
        <w:bidi w:val="0"/>
        <w:adjustRightInd/>
        <w:snapToGrid/>
        <w:spacing w:after="0" w:line="480" w:lineRule="auto"/>
        <w:jc w:val="both"/>
        <w:textAlignment w:val="auto"/>
        <w:outlineLvl w:val="9"/>
        <w:rPr>
          <w:rFonts w:hint="default" w:ascii="Arial" w:hAnsi="Arial" w:cs="Arial"/>
          <w:sz w:val="24"/>
          <w:szCs w:val="24"/>
          <w:lang w:val="en-US"/>
        </w:rPr>
      </w:pPr>
      <w:r>
        <w:rPr>
          <w:rFonts w:hint="default" w:ascii="Arial" w:hAnsi="Arial" w:cs="Arial"/>
          <w:sz w:val="24"/>
          <w:szCs w:val="24"/>
        </w:rPr>
        <w:t>Western business practices emphasize fair trade, integrating social and environmental standards into agreements. Fair Trade certification organizations have broad support, and consumer demand for certified products is rising. In Asia, some countries focused on economic growth, but with increased global attention to fair trade, businesses are turning to social responsibility and fair trade practices.</w:t>
      </w:r>
      <w:r>
        <w:rPr>
          <w:rFonts w:hint="eastAsia" w:ascii="Arial" w:hAnsi="Arial" w:eastAsia="宋体" w:cs="Arial"/>
          <w:sz w:val="24"/>
          <w:szCs w:val="24"/>
          <w:lang w:val="en-US" w:eastAsia="zh-CN"/>
        </w:rPr>
        <w:t>(</w:t>
      </w:r>
      <w:r>
        <w:rPr>
          <w:rFonts w:ascii="宋体" w:hAnsi="宋体" w:eastAsia="宋体" w:cs="宋体"/>
          <w:kern w:val="0"/>
          <w:sz w:val="24"/>
          <w:szCs w:val="24"/>
          <w:lang w:val="en-US" w:eastAsia="zh-CN" w:bidi="ar"/>
        </w:rPr>
        <w:t>Sylla, N. (2014)</w:t>
      </w:r>
      <w:r>
        <w:rPr>
          <w:rFonts w:hint="eastAsia" w:ascii="宋体" w:hAnsi="宋体" w:eastAsia="宋体" w:cs="宋体"/>
          <w:kern w:val="0"/>
          <w:sz w:val="24"/>
          <w:szCs w:val="24"/>
          <w:lang w:val="en-US" w:eastAsia="zh-CN" w:bidi="ar"/>
        </w:rPr>
        <w:t>)</w:t>
      </w:r>
    </w:p>
    <w:p>
      <w:pPr>
        <w:pageBreakBefore w:val="0"/>
        <w:widowControl/>
        <w:kinsoku/>
        <w:wordWrap/>
        <w:overflowPunct/>
        <w:topLinePunct w:val="0"/>
        <w:autoSpaceDE/>
        <w:autoSpaceDN/>
        <w:bidi w:val="0"/>
        <w:adjustRightInd/>
        <w:snapToGrid/>
        <w:spacing w:after="0" w:line="480" w:lineRule="auto"/>
        <w:jc w:val="both"/>
        <w:textAlignment w:val="auto"/>
        <w:outlineLvl w:val="1"/>
        <w:rPr>
          <w:rFonts w:hint="default" w:ascii="Arial" w:hAnsi="Arial" w:cs="Arial"/>
          <w:b/>
          <w:sz w:val="24"/>
          <w:szCs w:val="24"/>
        </w:rPr>
      </w:pPr>
      <w:bookmarkStart w:id="9" w:name="_Toc10326"/>
      <w:r>
        <w:rPr>
          <w:rFonts w:hint="default" w:ascii="Arial" w:hAnsi="Arial" w:cs="Arial"/>
          <w:b/>
          <w:sz w:val="24"/>
          <w:szCs w:val="24"/>
        </w:rPr>
        <w:t>3.2 Religion, Politics and Culture in International Business</w:t>
      </w:r>
      <w:bookmarkEnd w:id="9"/>
    </w:p>
    <w:p>
      <w:pPr>
        <w:pageBreakBefore w:val="0"/>
        <w:widowControl/>
        <w:kinsoku/>
        <w:wordWrap/>
        <w:overflowPunct/>
        <w:topLinePunct w:val="0"/>
        <w:autoSpaceDE/>
        <w:autoSpaceDN/>
        <w:bidi w:val="0"/>
        <w:adjustRightInd/>
        <w:snapToGrid/>
        <w:spacing w:after="0" w:line="480" w:lineRule="auto"/>
        <w:jc w:val="both"/>
        <w:textAlignment w:val="auto"/>
        <w:outlineLvl w:val="9"/>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eastAsia="zh-CN"/>
        </w:rPr>
        <w:t>The pursuit of profit is the core objective of businesses, but it should not compromise ethics, cultural sensitivities, or legal compliance. Considering holistic factors such as religion, politics, and culture often contributes to long-term business success. Corporate Social Responsibility (CSR) and Sustainable Development Goals (SDGs) are integral to modern corporate strategy. They not only enhance a positive brand image but also provide a competitive edge in the global market.</w:t>
      </w:r>
      <w:r>
        <w:rPr>
          <w:rFonts w:hint="eastAsia" w:ascii="Arial" w:hAnsi="Arial" w:eastAsia="宋体" w:cs="Arial"/>
          <w:color w:val="auto"/>
          <w:sz w:val="24"/>
          <w:szCs w:val="24"/>
          <w:lang w:val="en-US" w:eastAsia="zh-CN"/>
        </w:rPr>
        <w:t>(</w:t>
      </w:r>
      <w:r>
        <w:rPr>
          <w:rFonts w:ascii="宋体" w:hAnsi="宋体" w:eastAsia="宋体" w:cs="宋体"/>
          <w:kern w:val="0"/>
          <w:sz w:val="24"/>
          <w:szCs w:val="24"/>
          <w:lang w:val="en-US" w:eastAsia="zh-CN" w:bidi="ar"/>
        </w:rPr>
        <w:t>Banchoff, T. F., &amp; Wuthnow, Robert. (2011)</w:t>
      </w:r>
      <w:r>
        <w:rPr>
          <w:rFonts w:hint="eastAsia" w:ascii="宋体" w:hAnsi="宋体" w:eastAsia="宋体" w:cs="宋体"/>
          <w:kern w:val="0"/>
          <w:sz w:val="24"/>
          <w:szCs w:val="24"/>
          <w:lang w:val="en-US" w:eastAsia="zh-CN" w:bidi="ar"/>
        </w:rPr>
        <w:t>)</w:t>
      </w:r>
    </w:p>
    <w:p>
      <w:pPr>
        <w:pageBreakBefore w:val="0"/>
        <w:widowControl/>
        <w:kinsoku/>
        <w:wordWrap/>
        <w:overflowPunct/>
        <w:topLinePunct w:val="0"/>
        <w:autoSpaceDE/>
        <w:autoSpaceDN/>
        <w:bidi w:val="0"/>
        <w:adjustRightInd/>
        <w:snapToGrid/>
        <w:spacing w:after="0" w:line="480" w:lineRule="auto"/>
        <w:jc w:val="both"/>
        <w:textAlignment w:val="auto"/>
        <w:outlineLvl w:val="2"/>
        <w:rPr>
          <w:rFonts w:hint="default" w:ascii="Arial" w:hAnsi="Arial" w:cs="Arial"/>
          <w:b w:val="0"/>
          <w:bCs/>
          <w:color w:val="auto"/>
          <w:sz w:val="24"/>
          <w:szCs w:val="24"/>
        </w:rPr>
      </w:pPr>
      <w:bookmarkStart w:id="10" w:name="_Toc19454"/>
      <w:r>
        <w:rPr>
          <w:rFonts w:hint="default" w:ascii="Arial" w:hAnsi="Arial" w:cs="Arial"/>
          <w:b/>
          <w:color w:val="auto"/>
          <w:sz w:val="24"/>
          <w:szCs w:val="24"/>
        </w:rPr>
        <w:t>3.2.1.</w:t>
      </w:r>
      <w:r>
        <w:rPr>
          <w:rFonts w:hint="default" w:ascii="Arial" w:hAnsi="Arial" w:cs="Arial"/>
          <w:b w:val="0"/>
          <w:bCs/>
          <w:color w:val="auto"/>
          <w:sz w:val="24"/>
          <w:szCs w:val="24"/>
        </w:rPr>
        <w:t xml:space="preserve"> </w:t>
      </w:r>
      <w:r>
        <w:rPr>
          <w:rFonts w:hint="default" w:ascii="Arial" w:hAnsi="Arial" w:cs="Arial"/>
          <w:b/>
          <w:color w:val="auto"/>
          <w:sz w:val="24"/>
          <w:szCs w:val="24"/>
        </w:rPr>
        <w:t>Religion</w:t>
      </w:r>
      <w:bookmarkEnd w:id="10"/>
    </w:p>
    <w:p>
      <w:pPr>
        <w:pageBreakBefore w:val="0"/>
        <w:widowControl/>
        <w:kinsoku/>
        <w:wordWrap/>
        <w:overflowPunct/>
        <w:topLinePunct w:val="0"/>
        <w:autoSpaceDE/>
        <w:autoSpaceDN/>
        <w:bidi w:val="0"/>
        <w:adjustRightInd/>
        <w:snapToGrid/>
        <w:spacing w:after="0" w:line="480" w:lineRule="auto"/>
        <w:jc w:val="both"/>
        <w:textAlignment w:val="auto"/>
        <w:outlineLvl w:val="9"/>
        <w:rPr>
          <w:rFonts w:hint="default" w:ascii="Arial" w:hAnsi="Arial" w:cs="Arial"/>
          <w:b w:val="0"/>
          <w:bCs/>
          <w:color w:val="auto"/>
          <w:sz w:val="24"/>
          <w:szCs w:val="24"/>
          <w:lang w:val="en-US"/>
        </w:rPr>
      </w:pPr>
      <w:r>
        <w:rPr>
          <w:rFonts w:hint="default" w:ascii="Arial" w:hAnsi="Arial" w:cs="Arial"/>
          <w:b w:val="0"/>
          <w:bCs/>
          <w:color w:val="auto"/>
          <w:sz w:val="24"/>
          <w:szCs w:val="24"/>
        </w:rPr>
        <w:t>Religious beliefs impact consumer behavior, product design, and marketing strategies significantly. Ignoring these beliefs can lead to offense, damage to the brand image, or market failure.</w:t>
      </w:r>
      <w:r>
        <w:rPr>
          <w:rFonts w:hint="eastAsia" w:ascii="Arial" w:hAnsi="Arial" w:eastAsia="宋体" w:cs="Arial"/>
          <w:b w:val="0"/>
          <w:bCs/>
          <w:color w:val="auto"/>
          <w:sz w:val="24"/>
          <w:szCs w:val="24"/>
          <w:lang w:val="en-US" w:eastAsia="zh-CN"/>
        </w:rPr>
        <w:t>(</w:t>
      </w:r>
      <w:r>
        <w:rPr>
          <w:rFonts w:ascii="宋体" w:hAnsi="宋体" w:eastAsia="宋体" w:cs="宋体"/>
          <w:kern w:val="0"/>
          <w:sz w:val="24"/>
          <w:szCs w:val="24"/>
          <w:lang w:val="en-US" w:eastAsia="zh-CN" w:bidi="ar"/>
        </w:rPr>
        <w:t>Holbrook, M. B., &amp; Grayson, M. W. (1986)</w:t>
      </w:r>
      <w:r>
        <w:rPr>
          <w:rFonts w:hint="eastAsia" w:ascii="宋体" w:hAnsi="宋体" w:eastAsia="宋体" w:cs="宋体"/>
          <w:kern w:val="0"/>
          <w:sz w:val="24"/>
          <w:szCs w:val="24"/>
          <w:lang w:val="en-US" w:eastAsia="zh-CN" w:bidi="ar"/>
        </w:rPr>
        <w:t>)</w:t>
      </w:r>
    </w:p>
    <w:p>
      <w:pPr>
        <w:pageBreakBefore w:val="0"/>
        <w:widowControl/>
        <w:kinsoku/>
        <w:wordWrap/>
        <w:overflowPunct/>
        <w:topLinePunct w:val="0"/>
        <w:autoSpaceDE/>
        <w:autoSpaceDN/>
        <w:bidi w:val="0"/>
        <w:adjustRightInd/>
        <w:snapToGrid/>
        <w:spacing w:after="0" w:line="480" w:lineRule="auto"/>
        <w:jc w:val="both"/>
        <w:textAlignment w:val="auto"/>
        <w:outlineLvl w:val="9"/>
        <w:rPr>
          <w:rFonts w:hint="default" w:ascii="Arial" w:hAnsi="Arial" w:cs="Arial"/>
          <w:b w:val="0"/>
          <w:bCs/>
          <w:color w:val="auto"/>
          <w:sz w:val="24"/>
          <w:szCs w:val="24"/>
          <w:lang w:val="en-US"/>
        </w:rPr>
      </w:pPr>
      <w:r>
        <w:rPr>
          <w:rFonts w:hint="default" w:ascii="Arial" w:hAnsi="Arial" w:cs="Arial"/>
          <w:b w:val="0"/>
          <w:bCs/>
          <w:color w:val="auto"/>
          <w:sz w:val="24"/>
          <w:szCs w:val="24"/>
        </w:rPr>
        <w:t>In China, with diverse religions like Buddhism, Taoism, Christianity, and Islam, companies may adjust strategies based on local religious and cultural norms. This includes considerations for food and festival-related practices.</w:t>
      </w:r>
      <w:r>
        <w:rPr>
          <w:rFonts w:hint="eastAsia" w:ascii="Arial" w:hAnsi="Arial" w:eastAsia="宋体" w:cs="Arial"/>
          <w:b w:val="0"/>
          <w:bCs/>
          <w:color w:val="auto"/>
          <w:sz w:val="24"/>
          <w:szCs w:val="24"/>
          <w:lang w:val="en-US" w:eastAsia="zh-CN"/>
        </w:rPr>
        <w:t>(</w:t>
      </w:r>
      <w:r>
        <w:rPr>
          <w:rFonts w:ascii="宋体" w:hAnsi="宋体" w:eastAsia="宋体" w:cs="宋体"/>
          <w:kern w:val="0"/>
          <w:sz w:val="24"/>
          <w:szCs w:val="24"/>
          <w:lang w:val="en-US" w:eastAsia="zh-CN" w:bidi="ar"/>
        </w:rPr>
        <w:t>Hudson, E. (2012)</w:t>
      </w:r>
      <w:r>
        <w:rPr>
          <w:rFonts w:hint="eastAsia" w:ascii="宋体" w:hAnsi="宋体" w:eastAsia="宋体" w:cs="宋体"/>
          <w:kern w:val="0"/>
          <w:sz w:val="24"/>
          <w:szCs w:val="24"/>
          <w:lang w:val="en-US" w:eastAsia="zh-CN" w:bidi="ar"/>
        </w:rPr>
        <w:t>)</w:t>
      </w:r>
    </w:p>
    <w:p>
      <w:pPr>
        <w:pageBreakBefore w:val="0"/>
        <w:widowControl/>
        <w:kinsoku/>
        <w:wordWrap/>
        <w:overflowPunct/>
        <w:topLinePunct w:val="0"/>
        <w:autoSpaceDE/>
        <w:autoSpaceDN/>
        <w:bidi w:val="0"/>
        <w:adjustRightInd/>
        <w:snapToGrid/>
        <w:spacing w:after="0" w:line="480" w:lineRule="auto"/>
        <w:jc w:val="both"/>
        <w:textAlignment w:val="auto"/>
        <w:outlineLvl w:val="9"/>
        <w:rPr>
          <w:rFonts w:hint="default" w:ascii="Arial" w:hAnsi="Arial" w:cs="Arial"/>
          <w:b w:val="0"/>
          <w:bCs/>
          <w:color w:val="auto"/>
          <w:sz w:val="24"/>
          <w:szCs w:val="24"/>
        </w:rPr>
      </w:pPr>
      <w:r>
        <w:rPr>
          <w:rFonts w:hint="default" w:ascii="Arial" w:hAnsi="Arial" w:cs="Arial"/>
          <w:b w:val="0"/>
          <w:bCs/>
          <w:color w:val="auto"/>
          <w:sz w:val="24"/>
          <w:szCs w:val="24"/>
        </w:rPr>
        <w:t>In Japan, where Shinto and Buddhism are prominent, companies align product design and marketing with religious beliefs and cultural traditions during festivals or ceremonies.</w:t>
      </w:r>
    </w:p>
    <w:p>
      <w:pPr>
        <w:pageBreakBefore w:val="0"/>
        <w:widowControl/>
        <w:kinsoku/>
        <w:wordWrap/>
        <w:overflowPunct/>
        <w:topLinePunct w:val="0"/>
        <w:autoSpaceDE/>
        <w:autoSpaceDN/>
        <w:bidi w:val="0"/>
        <w:adjustRightInd/>
        <w:snapToGrid/>
        <w:spacing w:after="0" w:line="480" w:lineRule="auto"/>
        <w:jc w:val="both"/>
        <w:textAlignment w:val="auto"/>
        <w:outlineLvl w:val="9"/>
        <w:rPr>
          <w:rFonts w:hint="eastAsia" w:ascii="宋体" w:hAnsi="宋体" w:eastAsia="宋体" w:cs="宋体"/>
          <w:kern w:val="0"/>
          <w:sz w:val="24"/>
          <w:szCs w:val="24"/>
          <w:lang w:val="en-US" w:eastAsia="zh-CN" w:bidi="ar"/>
        </w:rPr>
      </w:pPr>
      <w:r>
        <w:rPr>
          <w:rFonts w:hint="eastAsia" w:ascii="Arial" w:hAnsi="Arial" w:eastAsia="宋体" w:cs="Arial"/>
          <w:b w:val="0"/>
          <w:bCs/>
          <w:color w:val="auto"/>
          <w:sz w:val="24"/>
          <w:szCs w:val="24"/>
          <w:lang w:val="en-US" w:eastAsia="zh-CN"/>
        </w:rPr>
        <w:t>(</w:t>
      </w:r>
      <w:r>
        <w:rPr>
          <w:rFonts w:ascii="宋体" w:hAnsi="宋体" w:eastAsia="宋体" w:cs="宋体"/>
          <w:kern w:val="0"/>
          <w:sz w:val="24"/>
          <w:szCs w:val="24"/>
          <w:lang w:val="en-US" w:eastAsia="zh-CN" w:bidi="ar"/>
        </w:rPr>
        <w:t>Gesteland, R. R., &amp; Seyk, G. F. (2002)</w:t>
      </w:r>
      <w:r>
        <w:rPr>
          <w:rFonts w:hint="eastAsia" w:ascii="宋体" w:hAnsi="宋体" w:eastAsia="宋体" w:cs="宋体"/>
          <w:kern w:val="0"/>
          <w:sz w:val="24"/>
          <w:szCs w:val="24"/>
          <w:lang w:val="en-US" w:eastAsia="zh-CN" w:bidi="ar"/>
        </w:rPr>
        <w:t>)</w:t>
      </w:r>
    </w:p>
    <w:p>
      <w:pPr>
        <w:pageBreakBefore w:val="0"/>
        <w:widowControl/>
        <w:kinsoku/>
        <w:wordWrap/>
        <w:overflowPunct/>
        <w:topLinePunct w:val="0"/>
        <w:autoSpaceDE/>
        <w:autoSpaceDN/>
        <w:bidi w:val="0"/>
        <w:adjustRightInd/>
        <w:snapToGrid/>
        <w:spacing w:after="0" w:line="480" w:lineRule="auto"/>
        <w:jc w:val="both"/>
        <w:textAlignment w:val="auto"/>
        <w:outlineLvl w:val="9"/>
        <w:rPr>
          <w:rFonts w:hint="default" w:ascii="Arial" w:hAnsi="Arial" w:cs="Arial"/>
          <w:b w:val="0"/>
          <w:bCs/>
          <w:color w:val="auto"/>
          <w:sz w:val="24"/>
          <w:szCs w:val="24"/>
          <w:lang w:val="en-US"/>
        </w:rPr>
      </w:pPr>
      <w:r>
        <w:rPr>
          <w:rFonts w:hint="default" w:ascii="Arial" w:hAnsi="Arial" w:cs="Arial"/>
          <w:b w:val="0"/>
          <w:bCs/>
          <w:color w:val="auto"/>
          <w:sz w:val="24"/>
          <w:szCs w:val="24"/>
        </w:rPr>
        <w:t>In Europe, with diverse religions such as Catholicism, Protestantism, and Orthodoxy, companies must comply with legal regulations protecting religious beliefs. Consideration of religious differences in product labeling and advertising is common.</w:t>
      </w:r>
      <w:r>
        <w:rPr>
          <w:rFonts w:hint="eastAsia" w:ascii="Arial" w:hAnsi="Arial" w:eastAsia="宋体" w:cs="Arial"/>
          <w:b w:val="0"/>
          <w:bCs/>
          <w:color w:val="auto"/>
          <w:sz w:val="24"/>
          <w:szCs w:val="24"/>
          <w:lang w:val="en-US" w:eastAsia="zh-CN"/>
        </w:rPr>
        <w:t>(</w:t>
      </w:r>
      <w:r>
        <w:rPr>
          <w:rFonts w:ascii="宋体" w:hAnsi="宋体" w:eastAsia="宋体" w:cs="宋体"/>
          <w:kern w:val="0"/>
          <w:sz w:val="24"/>
          <w:szCs w:val="24"/>
          <w:lang w:val="en-US" w:eastAsia="zh-CN" w:bidi="ar"/>
        </w:rPr>
        <w:t>Holt, D. B. (1995)</w:t>
      </w:r>
      <w:r>
        <w:rPr>
          <w:rFonts w:hint="eastAsia" w:ascii="宋体" w:hAnsi="宋体" w:eastAsia="宋体" w:cs="宋体"/>
          <w:kern w:val="0"/>
          <w:sz w:val="24"/>
          <w:szCs w:val="24"/>
          <w:lang w:val="en-US" w:eastAsia="zh-CN" w:bidi="ar"/>
        </w:rPr>
        <w:t>)</w:t>
      </w:r>
    </w:p>
    <w:p>
      <w:pPr>
        <w:pageBreakBefore w:val="0"/>
        <w:widowControl/>
        <w:kinsoku/>
        <w:wordWrap/>
        <w:overflowPunct/>
        <w:topLinePunct w:val="0"/>
        <w:autoSpaceDE/>
        <w:autoSpaceDN/>
        <w:bidi w:val="0"/>
        <w:adjustRightInd/>
        <w:snapToGrid/>
        <w:spacing w:after="0" w:line="480" w:lineRule="auto"/>
        <w:jc w:val="both"/>
        <w:textAlignment w:val="auto"/>
        <w:outlineLvl w:val="9"/>
        <w:rPr>
          <w:rFonts w:hint="default" w:ascii="Arial" w:hAnsi="Arial" w:cs="Arial"/>
          <w:b w:val="0"/>
          <w:bCs/>
          <w:color w:val="auto"/>
          <w:sz w:val="24"/>
          <w:szCs w:val="24"/>
        </w:rPr>
      </w:pPr>
      <w:r>
        <w:rPr>
          <w:rFonts w:hint="default" w:ascii="Arial" w:hAnsi="Arial" w:cs="Arial"/>
          <w:b w:val="0"/>
          <w:bCs/>
          <w:color w:val="auto"/>
          <w:sz w:val="24"/>
          <w:szCs w:val="24"/>
        </w:rPr>
        <w:t>Western companies often prioritize respecting multicultural and religious differences, adopting flexible strategies to avoid offending potential consumers.</w:t>
      </w:r>
    </w:p>
    <w:p>
      <w:pPr>
        <w:pageBreakBefore w:val="0"/>
        <w:widowControl/>
        <w:kinsoku/>
        <w:wordWrap/>
        <w:overflowPunct/>
        <w:topLinePunct w:val="0"/>
        <w:autoSpaceDE/>
        <w:autoSpaceDN/>
        <w:bidi w:val="0"/>
        <w:adjustRightInd/>
        <w:snapToGrid/>
        <w:spacing w:after="0" w:line="480" w:lineRule="auto"/>
        <w:jc w:val="both"/>
        <w:textAlignment w:val="auto"/>
        <w:outlineLvl w:val="9"/>
        <w:rPr>
          <w:rFonts w:hint="default" w:ascii="Arial" w:hAnsi="Arial" w:cs="Arial"/>
          <w:b w:val="0"/>
          <w:bCs/>
          <w:color w:val="auto"/>
          <w:sz w:val="24"/>
          <w:szCs w:val="24"/>
        </w:rPr>
      </w:pPr>
      <w:r>
        <w:rPr>
          <w:rFonts w:hint="default" w:ascii="Arial" w:hAnsi="Arial" w:cs="Arial"/>
          <w:b w:val="0"/>
          <w:bCs/>
          <w:color w:val="auto"/>
          <w:sz w:val="24"/>
          <w:szCs w:val="24"/>
        </w:rPr>
        <w:t>Asian companies, particularly in China and Japan, focus on local religious and cultural impacts on product design and marketing. Conforming to these beliefs and traditions is emphasized to please local consumers.</w:t>
      </w:r>
    </w:p>
    <w:p>
      <w:pPr>
        <w:pageBreakBefore w:val="0"/>
        <w:widowControl/>
        <w:kinsoku/>
        <w:wordWrap/>
        <w:overflowPunct/>
        <w:topLinePunct w:val="0"/>
        <w:autoSpaceDE/>
        <w:autoSpaceDN/>
        <w:bidi w:val="0"/>
        <w:adjustRightInd/>
        <w:snapToGrid/>
        <w:spacing w:after="0" w:line="480" w:lineRule="auto"/>
        <w:jc w:val="both"/>
        <w:textAlignment w:val="auto"/>
        <w:outlineLvl w:val="2"/>
        <w:rPr>
          <w:rFonts w:hint="default" w:ascii="Arial" w:hAnsi="Arial" w:cs="Arial"/>
          <w:b/>
          <w:color w:val="auto"/>
          <w:sz w:val="24"/>
          <w:szCs w:val="24"/>
        </w:rPr>
      </w:pPr>
      <w:bookmarkStart w:id="11" w:name="_Toc27565"/>
      <w:r>
        <w:rPr>
          <w:rFonts w:hint="default" w:ascii="Arial" w:hAnsi="Arial" w:cs="Arial"/>
          <w:b/>
          <w:color w:val="auto"/>
          <w:sz w:val="24"/>
          <w:szCs w:val="24"/>
        </w:rPr>
        <w:t>3.2.</w:t>
      </w:r>
      <w:r>
        <w:rPr>
          <w:rFonts w:hint="default" w:ascii="Arial" w:hAnsi="Arial" w:eastAsia="宋体" w:cs="Arial"/>
          <w:b/>
          <w:color w:val="auto"/>
          <w:sz w:val="24"/>
          <w:szCs w:val="24"/>
          <w:lang w:val="en-US" w:eastAsia="zh-CN"/>
        </w:rPr>
        <w:t xml:space="preserve">2 </w:t>
      </w:r>
      <w:r>
        <w:rPr>
          <w:rFonts w:hint="default" w:ascii="Arial" w:hAnsi="Arial" w:cs="Arial"/>
          <w:b/>
          <w:color w:val="auto"/>
          <w:sz w:val="24"/>
          <w:szCs w:val="24"/>
        </w:rPr>
        <w:t>Politics</w:t>
      </w:r>
      <w:bookmarkEnd w:id="11"/>
    </w:p>
    <w:p>
      <w:pPr>
        <w:pageBreakBefore w:val="0"/>
        <w:widowControl/>
        <w:kinsoku/>
        <w:wordWrap/>
        <w:overflowPunct/>
        <w:topLinePunct w:val="0"/>
        <w:autoSpaceDE/>
        <w:autoSpaceDN/>
        <w:bidi w:val="0"/>
        <w:adjustRightInd/>
        <w:snapToGrid/>
        <w:spacing w:after="0" w:line="480" w:lineRule="auto"/>
        <w:jc w:val="both"/>
        <w:textAlignment w:val="auto"/>
        <w:rPr>
          <w:rFonts w:hint="default" w:ascii="Arial" w:hAnsi="Arial" w:cs="Arial"/>
          <w:b w:val="0"/>
          <w:bCs/>
          <w:color w:val="auto"/>
          <w:sz w:val="24"/>
          <w:szCs w:val="24"/>
          <w:lang w:val="en-US"/>
        </w:rPr>
      </w:pPr>
      <w:r>
        <w:rPr>
          <w:rFonts w:hint="default" w:ascii="Arial" w:hAnsi="Arial" w:cs="Arial"/>
          <w:b w:val="0"/>
          <w:bCs/>
          <w:color w:val="auto"/>
          <w:sz w:val="24"/>
          <w:szCs w:val="24"/>
        </w:rPr>
        <w:t>The political environment affects a company's legal compliance, tax policies and market access. Operating in different political systems may require businesses to comply with local laws while also considering international law and human rights standards. Ignoring political factors can lead to legal disputes, damage to public image, and even political risks.</w:t>
      </w:r>
      <w:r>
        <w:rPr>
          <w:rFonts w:hint="eastAsia" w:ascii="Arial" w:hAnsi="Arial" w:eastAsia="宋体" w:cs="Arial"/>
          <w:b w:val="0"/>
          <w:bCs/>
          <w:color w:val="auto"/>
          <w:sz w:val="24"/>
          <w:szCs w:val="24"/>
          <w:lang w:val="en-US" w:eastAsia="zh-CN"/>
        </w:rPr>
        <w:t>(</w:t>
      </w:r>
      <w:r>
        <w:rPr>
          <w:rFonts w:ascii="宋体" w:hAnsi="宋体" w:eastAsia="宋体" w:cs="宋体"/>
          <w:kern w:val="0"/>
          <w:sz w:val="24"/>
          <w:szCs w:val="24"/>
          <w:lang w:val="en-US" w:eastAsia="zh-CN" w:bidi="ar"/>
        </w:rPr>
        <w:t>Baron, D. P. (2002)</w:t>
      </w:r>
      <w:r>
        <w:rPr>
          <w:rFonts w:hint="eastAsia" w:ascii="宋体" w:hAnsi="宋体" w:eastAsia="宋体" w:cs="宋体"/>
          <w:kern w:val="0"/>
          <w:sz w:val="24"/>
          <w:szCs w:val="24"/>
          <w:lang w:val="en-US" w:eastAsia="zh-CN" w:bidi="ar"/>
        </w:rPr>
        <w:t>)</w:t>
      </w:r>
    </w:p>
    <w:p>
      <w:pPr>
        <w:pageBreakBefore w:val="0"/>
        <w:widowControl/>
        <w:kinsoku/>
        <w:wordWrap/>
        <w:overflowPunct/>
        <w:topLinePunct w:val="0"/>
        <w:autoSpaceDE/>
        <w:autoSpaceDN/>
        <w:bidi w:val="0"/>
        <w:adjustRightInd/>
        <w:snapToGrid/>
        <w:spacing w:after="0" w:line="480" w:lineRule="auto"/>
        <w:jc w:val="both"/>
        <w:textAlignment w:val="auto"/>
        <w:rPr>
          <w:rFonts w:hint="default" w:ascii="Arial" w:hAnsi="Arial" w:cs="Arial"/>
          <w:b w:val="0"/>
          <w:bCs/>
          <w:color w:val="auto"/>
          <w:sz w:val="24"/>
          <w:szCs w:val="24"/>
        </w:rPr>
      </w:pPr>
      <w:r>
        <w:rPr>
          <w:rFonts w:hint="default" w:ascii="Arial" w:hAnsi="Arial" w:cs="Arial"/>
          <w:b w:val="0"/>
          <w:bCs/>
          <w:color w:val="auto"/>
          <w:sz w:val="24"/>
          <w:szCs w:val="24"/>
        </w:rPr>
        <w:t>China's political system is a one-party dictatorship and multi-party cooperation system, and the state has extensive management and supervision of the economy and enterprises. In China, companies usually need to cooperate with the government and follow relevant regulations and policies. Political factors may have a more direct impact in business decisions, while government relations are of higher importance.</w:t>
      </w:r>
    </w:p>
    <w:p>
      <w:pPr>
        <w:pageBreakBefore w:val="0"/>
        <w:widowControl/>
        <w:kinsoku/>
        <w:wordWrap/>
        <w:overflowPunct/>
        <w:topLinePunct w:val="0"/>
        <w:autoSpaceDE/>
        <w:autoSpaceDN/>
        <w:bidi w:val="0"/>
        <w:adjustRightInd/>
        <w:snapToGrid/>
        <w:spacing w:after="0" w:line="480" w:lineRule="auto"/>
        <w:jc w:val="both"/>
        <w:textAlignment w:val="auto"/>
        <w:rPr>
          <w:rFonts w:hint="default" w:ascii="Arial" w:hAnsi="Arial" w:cs="Arial"/>
          <w:b w:val="0"/>
          <w:bCs/>
          <w:color w:val="auto"/>
          <w:sz w:val="24"/>
          <w:szCs w:val="24"/>
        </w:rPr>
      </w:pPr>
      <w:r>
        <w:rPr>
          <w:rFonts w:hint="default" w:ascii="Arial" w:hAnsi="Arial" w:cs="Arial"/>
          <w:b w:val="0"/>
          <w:bCs/>
          <w:color w:val="auto"/>
          <w:sz w:val="24"/>
          <w:szCs w:val="24"/>
        </w:rPr>
        <w:t>Japan is a democratic country with a relatively stable political environment. In business practice, companies often need to comply with regulations, but the direct impact of political factors on business may be relatively small. Enterprises pay more attention to the rule of law, compliance and social responsibility.</w:t>
      </w:r>
    </w:p>
    <w:p>
      <w:pPr>
        <w:pageBreakBefore w:val="0"/>
        <w:widowControl/>
        <w:kinsoku/>
        <w:wordWrap/>
        <w:overflowPunct/>
        <w:topLinePunct w:val="0"/>
        <w:autoSpaceDE/>
        <w:autoSpaceDN/>
        <w:bidi w:val="0"/>
        <w:adjustRightInd/>
        <w:snapToGrid/>
        <w:spacing w:after="0" w:line="480" w:lineRule="auto"/>
        <w:jc w:val="both"/>
        <w:textAlignment w:val="auto"/>
        <w:rPr>
          <w:rFonts w:hint="default" w:ascii="Arial" w:hAnsi="Arial" w:cs="Arial"/>
          <w:b w:val="0"/>
          <w:bCs/>
          <w:color w:val="auto"/>
          <w:sz w:val="24"/>
          <w:szCs w:val="24"/>
          <w:lang w:val="en-US"/>
        </w:rPr>
      </w:pPr>
      <w:r>
        <w:rPr>
          <w:rFonts w:hint="default" w:ascii="Arial" w:hAnsi="Arial" w:cs="Arial"/>
          <w:b w:val="0"/>
          <w:bCs/>
          <w:color w:val="auto"/>
          <w:sz w:val="24"/>
          <w:szCs w:val="24"/>
        </w:rPr>
        <w:t>European countries have different political systems but generally favor democracy and the rule of law. In Europe, businesses need to follow EU regulations as well as each country's domestic laws. Some companies may pay more attention to compliance with environmental regulations and social responsibility to adapt to the European political environment.</w:t>
      </w:r>
      <w:r>
        <w:rPr>
          <w:rFonts w:hint="eastAsia" w:ascii="Arial" w:hAnsi="Arial" w:eastAsia="宋体" w:cs="Arial"/>
          <w:b w:val="0"/>
          <w:bCs/>
          <w:color w:val="auto"/>
          <w:sz w:val="24"/>
          <w:szCs w:val="24"/>
          <w:lang w:val="en-US" w:eastAsia="zh-CN"/>
        </w:rPr>
        <w:t>(</w:t>
      </w:r>
      <w:r>
        <w:rPr>
          <w:rFonts w:ascii="宋体" w:hAnsi="宋体" w:eastAsia="宋体" w:cs="宋体"/>
          <w:kern w:val="0"/>
          <w:sz w:val="24"/>
          <w:szCs w:val="24"/>
          <w:lang w:val="en-US" w:eastAsia="zh-CN" w:bidi="ar"/>
        </w:rPr>
        <w:t>Baron, D. P. (2002)</w:t>
      </w:r>
      <w:r>
        <w:rPr>
          <w:rFonts w:hint="eastAsia" w:ascii="宋体" w:hAnsi="宋体" w:eastAsia="宋体" w:cs="宋体"/>
          <w:kern w:val="0"/>
          <w:sz w:val="24"/>
          <w:szCs w:val="24"/>
          <w:lang w:val="en-US" w:eastAsia="zh-CN" w:bidi="ar"/>
        </w:rPr>
        <w:t>)</w:t>
      </w:r>
    </w:p>
    <w:p>
      <w:pPr>
        <w:pageBreakBefore w:val="0"/>
        <w:widowControl/>
        <w:kinsoku/>
        <w:wordWrap/>
        <w:overflowPunct/>
        <w:topLinePunct w:val="0"/>
        <w:autoSpaceDE/>
        <w:autoSpaceDN/>
        <w:bidi w:val="0"/>
        <w:adjustRightInd/>
        <w:snapToGrid/>
        <w:spacing w:after="0" w:line="480" w:lineRule="auto"/>
        <w:jc w:val="both"/>
        <w:textAlignment w:val="auto"/>
        <w:rPr>
          <w:rFonts w:hint="default" w:ascii="Arial" w:hAnsi="Arial" w:cs="Arial"/>
          <w:b w:val="0"/>
          <w:bCs/>
          <w:color w:val="auto"/>
          <w:sz w:val="24"/>
          <w:szCs w:val="24"/>
        </w:rPr>
      </w:pPr>
    </w:p>
    <w:p>
      <w:pPr>
        <w:pageBreakBefore w:val="0"/>
        <w:widowControl/>
        <w:kinsoku/>
        <w:wordWrap/>
        <w:overflowPunct/>
        <w:topLinePunct w:val="0"/>
        <w:autoSpaceDE/>
        <w:autoSpaceDN/>
        <w:bidi w:val="0"/>
        <w:adjustRightInd/>
        <w:snapToGrid/>
        <w:spacing w:after="0" w:line="480" w:lineRule="auto"/>
        <w:jc w:val="both"/>
        <w:textAlignment w:val="auto"/>
        <w:rPr>
          <w:rFonts w:hint="default" w:ascii="Arial" w:hAnsi="Arial" w:cs="Arial"/>
          <w:b w:val="0"/>
          <w:bCs/>
          <w:color w:val="auto"/>
          <w:sz w:val="24"/>
          <w:szCs w:val="24"/>
        </w:rPr>
      </w:pPr>
      <w:r>
        <w:rPr>
          <w:rFonts w:hint="default" w:ascii="Arial" w:hAnsi="Arial" w:cs="Arial"/>
          <w:b w:val="0"/>
          <w:bCs/>
          <w:color w:val="auto"/>
          <w:sz w:val="24"/>
          <w:szCs w:val="24"/>
        </w:rPr>
        <w:t>Western business practices: Western companies generally place more emphasis on legal concepts and compliance. The political environment is relatively stable, and companies are paying more attention to complying with regulations, maintaining transparency, and emphasizing social responsibility in their business.</w:t>
      </w:r>
    </w:p>
    <w:p>
      <w:pPr>
        <w:pageBreakBefore w:val="0"/>
        <w:widowControl/>
        <w:kinsoku/>
        <w:wordWrap/>
        <w:overflowPunct/>
        <w:topLinePunct w:val="0"/>
        <w:autoSpaceDE/>
        <w:autoSpaceDN/>
        <w:bidi w:val="0"/>
        <w:adjustRightInd/>
        <w:snapToGrid/>
        <w:spacing w:after="0" w:line="480" w:lineRule="auto"/>
        <w:jc w:val="both"/>
        <w:textAlignment w:val="auto"/>
        <w:rPr>
          <w:rFonts w:hint="default" w:ascii="Arial" w:hAnsi="Arial" w:eastAsia="宋体" w:cs="Arial"/>
          <w:b w:val="0"/>
          <w:bCs/>
          <w:color w:val="auto"/>
          <w:sz w:val="24"/>
          <w:szCs w:val="24"/>
          <w:lang w:val="en-US" w:eastAsia="zh-CN"/>
        </w:rPr>
      </w:pPr>
      <w:r>
        <w:rPr>
          <w:rFonts w:hint="default" w:ascii="Arial" w:hAnsi="Arial" w:cs="Arial"/>
          <w:b w:val="0"/>
          <w:bCs/>
          <w:color w:val="auto"/>
          <w:sz w:val="24"/>
          <w:szCs w:val="24"/>
        </w:rPr>
        <w:t>Asian business practices: Asian businesses may be more focused on working closely with governments, and political factors have a greater impact on business decisions. Businesses may need to be more flexible in adapting to changes in government policy.</w:t>
      </w:r>
      <w:r>
        <w:rPr>
          <w:rFonts w:hint="eastAsia" w:ascii="Arial" w:hAnsi="Arial" w:eastAsia="宋体" w:cs="Arial"/>
          <w:b w:val="0"/>
          <w:bCs/>
          <w:color w:val="auto"/>
          <w:sz w:val="24"/>
          <w:szCs w:val="24"/>
          <w:lang w:val="en-US" w:eastAsia="zh-CN"/>
        </w:rPr>
        <w:t>(</w:t>
      </w:r>
      <w:r>
        <w:rPr>
          <w:rFonts w:ascii="宋体" w:hAnsi="宋体" w:eastAsia="宋体" w:cs="宋体"/>
          <w:kern w:val="0"/>
          <w:sz w:val="24"/>
          <w:szCs w:val="24"/>
          <w:lang w:val="en-US" w:eastAsia="zh-CN" w:bidi="ar"/>
        </w:rPr>
        <w:t>Baron, D. P. (2002)</w:t>
      </w:r>
      <w:r>
        <w:rPr>
          <w:rFonts w:hint="eastAsia" w:ascii="宋体" w:hAnsi="宋体" w:eastAsia="宋体" w:cs="宋体"/>
          <w:kern w:val="0"/>
          <w:sz w:val="24"/>
          <w:szCs w:val="24"/>
          <w:lang w:val="en-US" w:eastAsia="zh-CN" w:bidi="ar"/>
        </w:rPr>
        <w:t>)</w:t>
      </w:r>
    </w:p>
    <w:p>
      <w:pPr>
        <w:pageBreakBefore w:val="0"/>
        <w:widowControl/>
        <w:kinsoku/>
        <w:wordWrap/>
        <w:overflowPunct/>
        <w:topLinePunct w:val="0"/>
        <w:autoSpaceDE/>
        <w:autoSpaceDN/>
        <w:bidi w:val="0"/>
        <w:adjustRightInd/>
        <w:snapToGrid/>
        <w:spacing w:after="0" w:line="480" w:lineRule="auto"/>
        <w:jc w:val="both"/>
        <w:textAlignment w:val="auto"/>
        <w:outlineLvl w:val="2"/>
        <w:rPr>
          <w:rFonts w:hint="default" w:ascii="Arial" w:hAnsi="Arial" w:cs="Arial"/>
          <w:b/>
          <w:color w:val="auto"/>
          <w:sz w:val="24"/>
          <w:szCs w:val="24"/>
          <w:lang w:val="en-US" w:eastAsia="en-US"/>
        </w:rPr>
      </w:pPr>
      <w:bookmarkStart w:id="12" w:name="_Toc22620"/>
      <w:r>
        <w:rPr>
          <w:rFonts w:hint="default" w:ascii="Arial" w:hAnsi="Arial" w:cs="Arial"/>
          <w:b/>
          <w:color w:val="auto"/>
          <w:sz w:val="24"/>
          <w:szCs w:val="24"/>
        </w:rPr>
        <w:t xml:space="preserve">3.2.3 </w:t>
      </w:r>
      <w:r>
        <w:rPr>
          <w:rFonts w:hint="default" w:ascii="Arial" w:hAnsi="Arial" w:cs="Arial"/>
          <w:b/>
          <w:color w:val="auto"/>
          <w:sz w:val="24"/>
          <w:szCs w:val="24"/>
          <w:lang w:val="en-US" w:eastAsia="en-US"/>
        </w:rPr>
        <w:t>Culture</w:t>
      </w:r>
      <w:bookmarkEnd w:id="12"/>
    </w:p>
    <w:p>
      <w:pPr>
        <w:pageBreakBefore w:val="0"/>
        <w:widowControl/>
        <w:kinsoku/>
        <w:wordWrap/>
        <w:overflowPunct/>
        <w:topLinePunct w:val="0"/>
        <w:autoSpaceDE/>
        <w:autoSpaceDN/>
        <w:bidi w:val="0"/>
        <w:adjustRightInd/>
        <w:snapToGrid/>
        <w:spacing w:after="0" w:line="480" w:lineRule="auto"/>
        <w:jc w:val="both"/>
        <w:textAlignment w:val="auto"/>
        <w:rPr>
          <w:rFonts w:hint="default" w:ascii="Arial" w:hAnsi="Arial" w:cs="Arial" w:eastAsiaTheme="minorHAnsi"/>
          <w:b w:val="0"/>
          <w:bCs/>
          <w:color w:val="auto"/>
          <w:sz w:val="24"/>
          <w:szCs w:val="24"/>
          <w:lang w:val="en-US" w:eastAsia="en-US" w:bidi="ar-SA"/>
        </w:rPr>
      </w:pPr>
      <w:r>
        <w:rPr>
          <w:rFonts w:hint="default" w:ascii="Arial" w:hAnsi="Arial" w:cs="Arial" w:eastAsiaTheme="minorHAnsi"/>
          <w:b w:val="0"/>
          <w:bCs/>
          <w:color w:val="auto"/>
          <w:sz w:val="24"/>
          <w:szCs w:val="24"/>
          <w:lang w:val="en-US" w:eastAsia="en-US" w:bidi="ar-SA"/>
        </w:rPr>
        <w:t>Cultural differences impact consumer preferences, communication styles, and business etiquette. Ignoring cultural differences can lead to inappropriate marketing communications, incorrect product positioning, or even offend the target market. Adapting and respecting the culture of your target market is key to building trust and loyalty to your brand.</w:t>
      </w:r>
      <w:r>
        <w:rPr>
          <w:rFonts w:hint="eastAsia" w:ascii="Arial" w:hAnsi="Arial" w:eastAsia="宋体" w:cs="Arial"/>
          <w:b w:val="0"/>
          <w:bCs/>
          <w:color w:val="auto"/>
          <w:sz w:val="24"/>
          <w:szCs w:val="24"/>
          <w:lang w:val="en-US" w:eastAsia="zh-CN" w:bidi="ar-SA"/>
        </w:rPr>
        <w:t>(</w:t>
      </w:r>
      <w:r>
        <w:rPr>
          <w:rFonts w:ascii="宋体" w:hAnsi="宋体" w:eastAsia="宋体" w:cs="宋体"/>
          <w:kern w:val="0"/>
          <w:sz w:val="24"/>
          <w:szCs w:val="24"/>
          <w:lang w:val="en-US" w:eastAsia="zh-CN" w:bidi="ar"/>
        </w:rPr>
        <w:t>Hall, E. T. (Edward T. (1989)</w:t>
      </w:r>
      <w:r>
        <w:rPr>
          <w:rFonts w:hint="eastAsia" w:ascii="宋体" w:hAnsi="宋体" w:eastAsia="宋体" w:cs="宋体"/>
          <w:kern w:val="0"/>
          <w:sz w:val="24"/>
          <w:szCs w:val="24"/>
          <w:lang w:val="en-US" w:eastAsia="zh-CN" w:bidi="ar"/>
        </w:rPr>
        <w:t>)</w:t>
      </w:r>
    </w:p>
    <w:p>
      <w:pPr>
        <w:pageBreakBefore w:val="0"/>
        <w:widowControl/>
        <w:kinsoku/>
        <w:wordWrap/>
        <w:overflowPunct/>
        <w:topLinePunct w:val="0"/>
        <w:autoSpaceDE/>
        <w:autoSpaceDN/>
        <w:bidi w:val="0"/>
        <w:adjustRightInd/>
        <w:snapToGrid/>
        <w:spacing w:after="0" w:line="480" w:lineRule="auto"/>
        <w:jc w:val="both"/>
        <w:textAlignment w:val="auto"/>
        <w:rPr>
          <w:rFonts w:hint="default" w:ascii="Arial" w:hAnsi="Arial" w:cs="Arial" w:eastAsiaTheme="minorHAnsi"/>
          <w:b w:val="0"/>
          <w:bCs/>
          <w:color w:val="auto"/>
          <w:sz w:val="24"/>
          <w:szCs w:val="24"/>
          <w:lang w:val="en-US" w:eastAsia="en-US" w:bidi="ar-SA"/>
        </w:rPr>
      </w:pPr>
      <w:r>
        <w:rPr>
          <w:rFonts w:hint="default" w:ascii="Arial" w:hAnsi="Arial" w:cs="Arial" w:eastAsiaTheme="minorHAnsi"/>
          <w:b w:val="0"/>
          <w:bCs/>
          <w:color w:val="auto"/>
          <w:sz w:val="24"/>
          <w:szCs w:val="24"/>
          <w:lang w:val="en-US" w:eastAsia="en-US" w:bidi="ar-SA"/>
        </w:rPr>
        <w:t>China has a long history and unique cultural traditions. In business practices, companies often need to take into account respect for elders, valuing family values, and avoiding specific symbols and colors. Etiquette is very important in business situations and plays a key role in building relationships and trust.</w:t>
      </w:r>
    </w:p>
    <w:p>
      <w:pPr>
        <w:pageBreakBefore w:val="0"/>
        <w:widowControl/>
        <w:kinsoku/>
        <w:wordWrap/>
        <w:overflowPunct/>
        <w:topLinePunct w:val="0"/>
        <w:autoSpaceDE/>
        <w:autoSpaceDN/>
        <w:bidi w:val="0"/>
        <w:adjustRightInd/>
        <w:snapToGrid/>
        <w:spacing w:after="0" w:line="480" w:lineRule="auto"/>
        <w:jc w:val="both"/>
        <w:textAlignment w:val="auto"/>
        <w:rPr>
          <w:rFonts w:hint="default" w:ascii="Arial" w:hAnsi="Arial" w:cs="Arial" w:eastAsiaTheme="minorHAnsi"/>
          <w:b w:val="0"/>
          <w:bCs/>
          <w:color w:val="auto"/>
          <w:sz w:val="24"/>
          <w:szCs w:val="24"/>
          <w:lang w:val="en-US" w:eastAsia="en-US" w:bidi="ar-SA"/>
        </w:rPr>
      </w:pPr>
      <w:r>
        <w:rPr>
          <w:rFonts w:hint="default" w:ascii="Arial" w:hAnsi="Arial" w:cs="Arial" w:eastAsiaTheme="minorHAnsi"/>
          <w:b w:val="0"/>
          <w:bCs/>
          <w:color w:val="auto"/>
          <w:sz w:val="24"/>
          <w:szCs w:val="24"/>
          <w:lang w:val="en-US" w:eastAsia="en-US" w:bidi="ar-SA"/>
        </w:rPr>
        <w:t>Japanese culture emphasizes teamwork, respect and humility. In a business environment, focusing on collective interests, following formal business etiquette, and respecting hierarchical relationships are key. At the same time, product design and marketing may be influenced by traditional aesthetics and culture.</w:t>
      </w:r>
    </w:p>
    <w:p>
      <w:pPr>
        <w:pageBreakBefore w:val="0"/>
        <w:widowControl/>
        <w:kinsoku/>
        <w:wordWrap/>
        <w:overflowPunct/>
        <w:topLinePunct w:val="0"/>
        <w:autoSpaceDE/>
        <w:autoSpaceDN/>
        <w:bidi w:val="0"/>
        <w:adjustRightInd/>
        <w:snapToGrid/>
        <w:spacing w:after="0" w:line="480" w:lineRule="auto"/>
        <w:jc w:val="both"/>
        <w:textAlignment w:val="auto"/>
        <w:rPr>
          <w:rFonts w:hint="default" w:ascii="Arial" w:hAnsi="Arial" w:cs="Arial" w:eastAsiaTheme="minorHAnsi"/>
          <w:b w:val="0"/>
          <w:bCs/>
          <w:color w:val="auto"/>
          <w:sz w:val="24"/>
          <w:szCs w:val="24"/>
          <w:lang w:val="en-US" w:eastAsia="en-US" w:bidi="ar-SA"/>
        </w:rPr>
      </w:pPr>
      <w:r>
        <w:rPr>
          <w:rFonts w:hint="default" w:ascii="Arial" w:hAnsi="Arial" w:cs="Arial" w:eastAsiaTheme="minorHAnsi"/>
          <w:b w:val="0"/>
          <w:bCs/>
          <w:color w:val="auto"/>
          <w:sz w:val="24"/>
          <w:szCs w:val="24"/>
          <w:lang w:val="en-US" w:eastAsia="en-US" w:bidi="ar-SA"/>
        </w:rPr>
        <w:t>Europe is made up of many countries, each with a unique culture. In business practices, companies need to adapt to cultural differences between countries. Some European countries emphasize work-life balance, while in Nordic countries equality and environmental protection may be more important.</w:t>
      </w:r>
    </w:p>
    <w:p>
      <w:pPr>
        <w:pageBreakBefore w:val="0"/>
        <w:widowControl/>
        <w:kinsoku/>
        <w:wordWrap/>
        <w:overflowPunct/>
        <w:topLinePunct w:val="0"/>
        <w:autoSpaceDE/>
        <w:autoSpaceDN/>
        <w:bidi w:val="0"/>
        <w:adjustRightInd/>
        <w:snapToGrid/>
        <w:spacing w:after="0" w:line="480" w:lineRule="auto"/>
        <w:jc w:val="both"/>
        <w:textAlignment w:val="auto"/>
        <w:rPr>
          <w:rFonts w:hint="default" w:ascii="Arial" w:hAnsi="Arial" w:cs="Arial" w:eastAsiaTheme="minorHAnsi"/>
          <w:b w:val="0"/>
          <w:bCs/>
          <w:color w:val="auto"/>
          <w:sz w:val="24"/>
          <w:szCs w:val="24"/>
          <w:lang w:val="en-US" w:eastAsia="en-US" w:bidi="ar-SA"/>
        </w:rPr>
      </w:pPr>
      <w:r>
        <w:rPr>
          <w:rFonts w:hint="default" w:ascii="Arial" w:hAnsi="Arial" w:cs="Arial" w:eastAsiaTheme="minorHAnsi"/>
          <w:b w:val="0"/>
          <w:bCs/>
          <w:color w:val="auto"/>
          <w:sz w:val="24"/>
          <w:szCs w:val="24"/>
          <w:lang w:val="en-US" w:eastAsia="en-US" w:bidi="ar-SA"/>
        </w:rPr>
        <w:t>Western Business Practices: Western businesses generally focus more on individualism, innovation, and direct communication. In a business environment, open discussion, equal dialogue and respect for individual rights are emphasized.</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cs="Arial" w:eastAsiaTheme="minorHAnsi"/>
          <w:b w:val="0"/>
          <w:bCs/>
          <w:color w:val="auto"/>
          <w:sz w:val="24"/>
          <w:szCs w:val="24"/>
          <w:lang w:val="en-US" w:eastAsia="en-US" w:bidi="ar-SA"/>
        </w:rPr>
      </w:pPr>
      <w:r>
        <w:rPr>
          <w:rFonts w:hint="default" w:ascii="Arial" w:hAnsi="Arial" w:cs="Arial" w:eastAsiaTheme="minorHAnsi"/>
          <w:b w:val="0"/>
          <w:bCs/>
          <w:color w:val="auto"/>
          <w:sz w:val="24"/>
          <w:szCs w:val="24"/>
          <w:lang w:val="en-US" w:eastAsia="en-US" w:bidi="ar-SA"/>
        </w:rPr>
        <w:t>Asian Business Practices: Asian businesses may focus more on collectivism, family values, and indirect communication. Business decisions may be more influenced by team consensus and the importance of leadership.</w:t>
      </w:r>
      <w:r>
        <w:rPr>
          <w:rFonts w:hint="eastAsia" w:ascii="Arial" w:hAnsi="Arial" w:eastAsia="宋体" w:cs="Arial"/>
          <w:b w:val="0"/>
          <w:bCs/>
          <w:color w:val="auto"/>
          <w:sz w:val="24"/>
          <w:szCs w:val="24"/>
          <w:lang w:val="en-US" w:eastAsia="zh-CN" w:bidi="ar-SA"/>
        </w:rPr>
        <w:t>(</w:t>
      </w:r>
      <w:r>
        <w:rPr>
          <w:rFonts w:ascii="宋体" w:hAnsi="宋体" w:eastAsia="宋体" w:cs="宋体"/>
          <w:kern w:val="0"/>
          <w:sz w:val="24"/>
          <w:szCs w:val="24"/>
          <w:lang w:val="en-US" w:eastAsia="zh-CN" w:bidi="ar"/>
        </w:rPr>
        <w:t>Gladwin, T. N. (1981)</w:t>
      </w:r>
      <w:r>
        <w:rPr>
          <w:rFonts w:hint="eastAsia" w:ascii="宋体" w:hAnsi="宋体" w:eastAsia="宋体" w:cs="宋体"/>
          <w:kern w:val="0"/>
          <w:sz w:val="24"/>
          <w:szCs w:val="24"/>
          <w:lang w:val="en-US" w:eastAsia="zh-CN" w:bidi="ar"/>
        </w:rPr>
        <w:t>)</w:t>
      </w:r>
    </w:p>
    <w:p>
      <w:pPr>
        <w:pageBreakBefore w:val="0"/>
        <w:widowControl/>
        <w:kinsoku/>
        <w:wordWrap/>
        <w:overflowPunct/>
        <w:topLinePunct w:val="0"/>
        <w:autoSpaceDE/>
        <w:autoSpaceDN/>
        <w:bidi w:val="0"/>
        <w:adjustRightInd/>
        <w:snapToGrid/>
        <w:spacing w:after="0" w:line="480" w:lineRule="auto"/>
        <w:jc w:val="both"/>
        <w:textAlignment w:val="auto"/>
        <w:outlineLvl w:val="1"/>
        <w:rPr>
          <w:rFonts w:hint="default" w:ascii="Arial" w:hAnsi="Arial" w:cs="Arial"/>
          <w:b/>
          <w:sz w:val="24"/>
          <w:szCs w:val="24"/>
        </w:rPr>
      </w:pPr>
      <w:bookmarkStart w:id="13" w:name="_Toc11278"/>
      <w:r>
        <w:rPr>
          <w:rFonts w:hint="default" w:ascii="Arial" w:hAnsi="Arial" w:cs="Arial"/>
          <w:b/>
          <w:sz w:val="24"/>
          <w:szCs w:val="24"/>
        </w:rPr>
        <w:t>3.3 Profit first or multiple considerations?</w:t>
      </w:r>
      <w:bookmarkEnd w:id="13"/>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eastAsia="宋体" w:cs="Arial"/>
          <w:sz w:val="24"/>
          <w:szCs w:val="24"/>
          <w:lang w:val="en-US" w:eastAsia="zh-CN"/>
        </w:rPr>
      </w:pPr>
      <w:r>
        <w:rPr>
          <w:rFonts w:hint="eastAsia" w:ascii="Arial" w:hAnsi="Arial" w:eastAsia="宋体" w:cs="Arial"/>
          <w:sz w:val="24"/>
          <w:szCs w:val="24"/>
          <w:lang w:eastAsia="zh-CN"/>
        </w:rPr>
        <w:t>In a market economy, the profit-seeking behavior of enterprises is the basic driving force for survival and development. However, excessive pursuit of profits may lead to neglect of product and service quality, affecting brand image. Focusing only on profits while neglecting employee welfare and training will lead to a decline in core competitiveness. Short-sighted decisions can ignore environmental and social responsibilities and damage reputations. Enterprises need to establish correct values, balance economic benefits and social responsibilities, pay attention to employee training and welfare, and achieve sustainable development.</w:t>
      </w:r>
      <w:r>
        <w:rPr>
          <w:rFonts w:hint="eastAsia" w:ascii="Arial" w:hAnsi="Arial" w:eastAsia="宋体" w:cs="Arial"/>
          <w:sz w:val="24"/>
          <w:szCs w:val="24"/>
          <w:lang w:val="en-US" w:eastAsia="zh-CN"/>
        </w:rPr>
        <w:t>(</w:t>
      </w:r>
      <w:r>
        <w:rPr>
          <w:rFonts w:ascii="宋体" w:hAnsi="宋体" w:eastAsia="宋体" w:cs="宋体"/>
          <w:kern w:val="0"/>
          <w:sz w:val="24"/>
          <w:szCs w:val="24"/>
          <w:lang w:val="en-US" w:eastAsia="zh-CN" w:bidi="ar"/>
        </w:rPr>
        <w:t>Porter, M. E., &amp; Kramer, M. R. (2011)</w:t>
      </w:r>
      <w:r>
        <w:rPr>
          <w:rFonts w:hint="eastAsia" w:ascii="宋体" w:hAnsi="宋体" w:eastAsia="宋体" w:cs="宋体"/>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2"/>
        <w:rPr>
          <w:rFonts w:hint="default" w:ascii="Arial" w:hAnsi="Arial" w:cs="Arial"/>
          <w:b/>
          <w:bCs w:val="0"/>
          <w:color w:val="auto"/>
          <w:sz w:val="24"/>
          <w:szCs w:val="24"/>
        </w:rPr>
      </w:pPr>
      <w:bookmarkStart w:id="14" w:name="_Toc11494"/>
      <w:r>
        <w:rPr>
          <w:rFonts w:hint="default" w:ascii="Arial" w:hAnsi="Arial" w:cs="Arial"/>
          <w:b/>
          <w:bCs w:val="0"/>
          <w:color w:val="auto"/>
          <w:sz w:val="24"/>
          <w:szCs w:val="24"/>
        </w:rPr>
        <w:t>3.3.1. Corporate Social Responsibility (CSR)</w:t>
      </w:r>
      <w:bookmarkEnd w:id="14"/>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cs="Arial"/>
          <w:b w:val="0"/>
          <w:bCs/>
          <w:color w:val="auto"/>
          <w:sz w:val="24"/>
          <w:szCs w:val="24"/>
          <w:lang w:val="en-US"/>
        </w:rPr>
      </w:pPr>
      <w:r>
        <w:rPr>
          <w:rFonts w:hint="default" w:ascii="Arial" w:hAnsi="Arial" w:cs="Arial"/>
          <w:b w:val="0"/>
          <w:bCs/>
          <w:color w:val="auto"/>
          <w:sz w:val="24"/>
          <w:szCs w:val="24"/>
        </w:rPr>
        <w:t>Responsible companies prioritize sustainable actions in social and environmental areas, not only for ethical reasons but also to build a positive brand image. Consumers increasingly prefer companies actively engaged in social and environmental issues.</w:t>
      </w:r>
      <w:r>
        <w:rPr>
          <w:rFonts w:hint="eastAsia" w:ascii="Arial" w:hAnsi="Arial" w:eastAsia="宋体" w:cs="Arial"/>
          <w:b w:val="0"/>
          <w:bCs/>
          <w:color w:val="auto"/>
          <w:sz w:val="24"/>
          <w:szCs w:val="24"/>
          <w:lang w:val="en-US" w:eastAsia="zh-CN"/>
        </w:rPr>
        <w:t>(</w:t>
      </w:r>
      <w:r>
        <w:rPr>
          <w:rFonts w:ascii="宋体" w:hAnsi="宋体" w:eastAsia="宋体" w:cs="宋体"/>
          <w:kern w:val="0"/>
          <w:sz w:val="24"/>
          <w:szCs w:val="24"/>
          <w:lang w:val="en-US" w:eastAsia="zh-CN" w:bidi="ar"/>
        </w:rPr>
        <w:t>Carroll, A. B., &amp; Shabana, K. M. (2010)</w:t>
      </w:r>
      <w:r>
        <w:rPr>
          <w:rFonts w:hint="eastAsia" w:ascii="宋体" w:hAnsi="宋体" w:eastAsia="宋体" w:cs="宋体"/>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cs="Arial"/>
          <w:b w:val="0"/>
          <w:bCs/>
          <w:color w:val="auto"/>
          <w:sz w:val="24"/>
          <w:szCs w:val="24"/>
          <w:lang w:val="en-US"/>
        </w:rPr>
      </w:pPr>
      <w:r>
        <w:rPr>
          <w:rFonts w:hint="default" w:ascii="Arial" w:hAnsi="Arial" w:cs="Arial"/>
          <w:b w:val="0"/>
          <w:bCs/>
          <w:color w:val="auto"/>
          <w:sz w:val="24"/>
          <w:szCs w:val="24"/>
        </w:rPr>
        <w:t>In China, companies are recognizing the importance of social responsibility and actively participate in public welfare through donations, charity projects, and community activities. Social responsibility is viewed as a means to create a favorable corporate image.</w:t>
      </w:r>
      <w:r>
        <w:rPr>
          <w:rFonts w:hint="eastAsia" w:ascii="Arial" w:hAnsi="Arial" w:eastAsia="宋体" w:cs="Arial"/>
          <w:b w:val="0"/>
          <w:bCs/>
          <w:color w:val="auto"/>
          <w:sz w:val="24"/>
          <w:szCs w:val="24"/>
          <w:lang w:val="en-US" w:eastAsia="zh-CN"/>
        </w:rPr>
        <w:t>(</w:t>
      </w:r>
      <w:r>
        <w:rPr>
          <w:rFonts w:ascii="宋体" w:hAnsi="宋体" w:eastAsia="宋体" w:cs="宋体"/>
          <w:kern w:val="0"/>
          <w:sz w:val="24"/>
          <w:szCs w:val="24"/>
          <w:lang w:val="en-US" w:eastAsia="zh-CN" w:bidi="ar"/>
        </w:rPr>
        <w:t>Tian, G., Liu, J., Gong, Y., Wang, Q., Sun, H., &amp; Chen, H. (2020)</w:t>
      </w:r>
      <w:r>
        <w:rPr>
          <w:rFonts w:hint="eastAsia" w:ascii="宋体" w:hAnsi="宋体" w:eastAsia="宋体" w:cs="宋体"/>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cs="Arial"/>
          <w:b w:val="0"/>
          <w:bCs/>
          <w:color w:val="auto"/>
          <w:sz w:val="24"/>
          <w:szCs w:val="24"/>
        </w:rPr>
      </w:pPr>
      <w:r>
        <w:rPr>
          <w:rFonts w:hint="default" w:ascii="Arial" w:hAnsi="Arial" w:cs="Arial"/>
          <w:b w:val="0"/>
          <w:bCs/>
          <w:color w:val="auto"/>
          <w:sz w:val="24"/>
          <w:szCs w:val="24"/>
        </w:rPr>
        <w:t>Japanese companies emphasize long-term sustainability, practicing social responsibility through eco-friendly products, community support, and employee well-being. They aim to strike a balance between economic, social, and environmental aspects.</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cs="Arial"/>
          <w:b w:val="0"/>
          <w:bCs/>
          <w:color w:val="auto"/>
          <w:sz w:val="24"/>
          <w:szCs w:val="24"/>
        </w:rPr>
      </w:pPr>
      <w:r>
        <w:rPr>
          <w:rFonts w:hint="default" w:ascii="Arial" w:hAnsi="Arial" w:cs="Arial"/>
          <w:b w:val="0"/>
          <w:bCs/>
          <w:color w:val="auto"/>
          <w:sz w:val="24"/>
          <w:szCs w:val="24"/>
        </w:rPr>
        <w:t>Europe leads in corporate social responsibility, with many companies playing vital roles in social and environmental sustainability. Some European companies voluntarily report on their performance to showcase responsible business practices.</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cs="Arial"/>
          <w:b w:val="0"/>
          <w:bCs/>
          <w:color w:val="auto"/>
          <w:sz w:val="24"/>
          <w:szCs w:val="24"/>
        </w:rPr>
      </w:pPr>
      <w:r>
        <w:rPr>
          <w:rFonts w:hint="default" w:ascii="Arial" w:hAnsi="Arial" w:cs="Arial"/>
          <w:b w:val="0"/>
          <w:bCs/>
          <w:color w:val="auto"/>
          <w:sz w:val="24"/>
          <w:szCs w:val="24"/>
        </w:rPr>
        <w:t>Western companies prioritize active involvement in social and environmental issues, emphasizing reporting transparency. Resources are invested in environmental protection, employee rights, and community services.</w:t>
      </w:r>
      <w:r>
        <w:rPr>
          <w:rFonts w:hint="eastAsia" w:ascii="Arial" w:hAnsi="Arial" w:eastAsia="宋体" w:cs="Arial"/>
          <w:b w:val="0"/>
          <w:bCs/>
          <w:color w:val="auto"/>
          <w:sz w:val="24"/>
          <w:szCs w:val="24"/>
          <w:lang w:val="en-US" w:eastAsia="zh-CN"/>
        </w:rPr>
        <w:t>(</w:t>
      </w:r>
      <w:r>
        <w:rPr>
          <w:rFonts w:ascii="宋体" w:hAnsi="宋体" w:eastAsia="宋体" w:cs="宋体"/>
          <w:kern w:val="0"/>
          <w:sz w:val="24"/>
          <w:szCs w:val="24"/>
          <w:lang w:val="en-US" w:eastAsia="zh-CN" w:bidi="ar"/>
        </w:rPr>
        <w:t>Carroll, A. B., &amp; Shabana, K. M. (2010)</w:t>
      </w:r>
      <w:r>
        <w:rPr>
          <w:rFonts w:hint="eastAsia" w:ascii="宋体" w:hAnsi="宋体" w:eastAsia="宋体" w:cs="宋体"/>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9"/>
        <w:rPr>
          <w:rFonts w:hint="default" w:ascii="Arial" w:hAnsi="Arial" w:cs="Arial"/>
          <w:b w:val="0"/>
          <w:bCs/>
          <w:color w:val="auto"/>
          <w:sz w:val="24"/>
          <w:szCs w:val="24"/>
        </w:rPr>
      </w:pPr>
      <w:r>
        <w:rPr>
          <w:rFonts w:hint="default" w:ascii="Arial" w:hAnsi="Arial" w:cs="Arial"/>
          <w:b w:val="0"/>
          <w:bCs/>
          <w:color w:val="auto"/>
          <w:sz w:val="24"/>
          <w:szCs w:val="24"/>
        </w:rPr>
        <w:t>Asian companies, particularly in China, are increasingly focusing on social responsibility through charitable activities, environmental protection, and employee training.</w:t>
      </w:r>
      <w:r>
        <w:rPr>
          <w:rFonts w:hint="eastAsia" w:ascii="Arial" w:hAnsi="Arial" w:eastAsia="宋体" w:cs="Arial"/>
          <w:b w:val="0"/>
          <w:bCs/>
          <w:color w:val="auto"/>
          <w:sz w:val="24"/>
          <w:szCs w:val="24"/>
          <w:lang w:val="en-US" w:eastAsia="zh-CN"/>
        </w:rPr>
        <w:t>(</w:t>
      </w:r>
      <w:r>
        <w:rPr>
          <w:rFonts w:ascii="宋体" w:hAnsi="宋体" w:eastAsia="宋体" w:cs="宋体"/>
          <w:kern w:val="0"/>
          <w:sz w:val="24"/>
          <w:szCs w:val="24"/>
          <w:lang w:val="en-US" w:eastAsia="zh-CN" w:bidi="ar"/>
        </w:rPr>
        <w:t>Tian, G., Liu, J., Gong, Y., Wang, Q., Sun, H., &amp; Chen, H. (2020)</w:t>
      </w:r>
      <w:r>
        <w:rPr>
          <w:rFonts w:hint="eastAsia" w:ascii="宋体" w:hAnsi="宋体" w:eastAsia="宋体" w:cs="宋体"/>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jc w:val="both"/>
        <w:textAlignment w:val="auto"/>
        <w:outlineLvl w:val="2"/>
        <w:rPr>
          <w:rFonts w:hint="default" w:ascii="Arial" w:hAnsi="Arial" w:cs="Arial"/>
          <w:b/>
          <w:color w:val="auto"/>
          <w:sz w:val="24"/>
          <w:szCs w:val="24"/>
        </w:rPr>
      </w:pPr>
      <w:bookmarkStart w:id="15" w:name="_Toc6915"/>
      <w:r>
        <w:rPr>
          <w:rFonts w:hint="default" w:ascii="Arial" w:hAnsi="Arial" w:cs="Arial"/>
          <w:b/>
          <w:color w:val="auto"/>
          <w:sz w:val="24"/>
          <w:szCs w:val="24"/>
        </w:rPr>
        <w:t>3.3.2. Employee satisf</w:t>
      </w:r>
      <w:r>
        <w:rPr>
          <w:rFonts w:hint="default" w:ascii="Arial" w:hAnsi="Arial" w:cs="Arial"/>
          <w:b/>
          <w:bCs w:val="0"/>
          <w:color w:val="auto"/>
          <w:sz w:val="24"/>
          <w:szCs w:val="24"/>
        </w:rPr>
        <w:t>action and we</w:t>
      </w:r>
      <w:r>
        <w:rPr>
          <w:rFonts w:hint="default" w:ascii="Arial" w:hAnsi="Arial" w:cs="Arial"/>
          <w:b/>
          <w:color w:val="auto"/>
          <w:sz w:val="24"/>
          <w:szCs w:val="24"/>
        </w:rPr>
        <w:t>ll-being</w:t>
      </w:r>
      <w:bookmarkEnd w:id="15"/>
    </w:p>
    <w:p>
      <w:pPr>
        <w:pageBreakBefore w:val="0"/>
        <w:widowControl/>
        <w:kinsoku/>
        <w:wordWrap/>
        <w:overflowPunct/>
        <w:topLinePunct w:val="0"/>
        <w:autoSpaceDE/>
        <w:autoSpaceDN/>
        <w:bidi w:val="0"/>
        <w:adjustRightInd/>
        <w:snapToGrid/>
        <w:spacing w:line="480" w:lineRule="auto"/>
        <w:textAlignment w:val="auto"/>
        <w:rPr>
          <w:rFonts w:hint="default" w:ascii="Arial" w:hAnsi="Arial" w:cs="Arial"/>
          <w:b w:val="0"/>
          <w:bCs/>
          <w:color w:val="auto"/>
          <w:sz w:val="24"/>
          <w:szCs w:val="24"/>
          <w:lang w:val="en-US"/>
        </w:rPr>
      </w:pPr>
      <w:r>
        <w:rPr>
          <w:rFonts w:hint="default" w:ascii="Arial" w:hAnsi="Arial" w:cs="Arial"/>
          <w:b w:val="0"/>
          <w:bCs/>
          <w:color w:val="auto"/>
          <w:sz w:val="24"/>
          <w:szCs w:val="24"/>
        </w:rPr>
        <w:t>Employee well-being is recognized as crucial for productivity, retention, and overall organizational stability. Companies globally adopt different approaches to address these concerns.</w:t>
      </w:r>
      <w:r>
        <w:rPr>
          <w:rFonts w:hint="eastAsia" w:ascii="Arial" w:hAnsi="Arial" w:eastAsia="宋体" w:cs="Arial"/>
          <w:b w:val="0"/>
          <w:bCs/>
          <w:color w:val="auto"/>
          <w:sz w:val="24"/>
          <w:szCs w:val="24"/>
          <w:lang w:val="en-US" w:eastAsia="zh-CN"/>
        </w:rPr>
        <w:t>(</w:t>
      </w:r>
      <w:r>
        <w:rPr>
          <w:rFonts w:ascii="宋体" w:hAnsi="宋体" w:eastAsia="宋体" w:cs="宋体"/>
          <w:kern w:val="0"/>
          <w:sz w:val="24"/>
          <w:szCs w:val="24"/>
          <w:lang w:val="en-US" w:eastAsia="zh-CN" w:bidi="ar"/>
        </w:rPr>
        <w:t>Bloom, N., Kretschmer, T., &amp; Van Reenen, J. (2011)</w:t>
      </w:r>
      <w:r>
        <w:rPr>
          <w:rFonts w:hint="eastAsia" w:ascii="宋体" w:hAnsi="宋体" w:eastAsia="宋体" w:cs="宋体"/>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textAlignment w:val="auto"/>
        <w:rPr>
          <w:rFonts w:hint="default" w:ascii="Arial" w:hAnsi="Arial" w:cs="Arial"/>
          <w:b w:val="0"/>
          <w:bCs/>
          <w:color w:val="auto"/>
          <w:sz w:val="24"/>
          <w:szCs w:val="24"/>
          <w:lang w:val="en-US"/>
        </w:rPr>
      </w:pPr>
      <w:r>
        <w:rPr>
          <w:rFonts w:hint="default" w:ascii="Arial" w:hAnsi="Arial" w:cs="Arial"/>
          <w:b w:val="0"/>
          <w:bCs/>
          <w:color w:val="auto"/>
          <w:sz w:val="24"/>
          <w:szCs w:val="24"/>
        </w:rPr>
        <w:t>In China, companies are increasingly prioritizing employee well-being, offering flexible hours, benefits, and training to attract and retain talent. Emphasis is placed on teamwork and employee happiness.</w:t>
      </w:r>
      <w:r>
        <w:rPr>
          <w:rFonts w:hint="eastAsia" w:ascii="Arial" w:hAnsi="Arial" w:eastAsia="宋体" w:cs="Arial"/>
          <w:b w:val="0"/>
          <w:bCs/>
          <w:color w:val="auto"/>
          <w:sz w:val="24"/>
          <w:szCs w:val="24"/>
          <w:lang w:val="en-US" w:eastAsia="zh-CN"/>
        </w:rPr>
        <w:t>(</w:t>
      </w:r>
      <w:r>
        <w:rPr>
          <w:rFonts w:ascii="宋体" w:hAnsi="宋体" w:eastAsia="宋体" w:cs="宋体"/>
          <w:kern w:val="0"/>
          <w:sz w:val="24"/>
          <w:szCs w:val="24"/>
          <w:lang w:val="en-US" w:eastAsia="zh-CN" w:bidi="ar"/>
        </w:rPr>
        <w:t>Chen, Z. X., &amp; Francesco, A. M. (2003)</w:t>
      </w:r>
      <w:r>
        <w:rPr>
          <w:rFonts w:hint="eastAsia" w:ascii="宋体" w:hAnsi="宋体" w:eastAsia="宋体" w:cs="宋体"/>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textAlignment w:val="auto"/>
        <w:rPr>
          <w:rFonts w:hint="default" w:ascii="Arial" w:hAnsi="Arial" w:cs="Arial"/>
          <w:b w:val="0"/>
          <w:bCs/>
          <w:color w:val="auto"/>
          <w:sz w:val="24"/>
          <w:szCs w:val="24"/>
        </w:rPr>
      </w:pPr>
      <w:r>
        <w:rPr>
          <w:rFonts w:hint="default" w:ascii="Arial" w:hAnsi="Arial" w:cs="Arial"/>
          <w:b w:val="0"/>
          <w:bCs/>
          <w:color w:val="auto"/>
          <w:sz w:val="24"/>
          <w:szCs w:val="24"/>
        </w:rPr>
        <w:t>Japanese companies focus on long-term employee development, providing a stable work environment and training opportunities. Loyalty and commitment are emphasized in corporate culture.</w:t>
      </w:r>
    </w:p>
    <w:p>
      <w:pPr>
        <w:pageBreakBefore w:val="0"/>
        <w:widowControl/>
        <w:kinsoku/>
        <w:wordWrap/>
        <w:overflowPunct/>
        <w:topLinePunct w:val="0"/>
        <w:autoSpaceDE/>
        <w:autoSpaceDN/>
        <w:bidi w:val="0"/>
        <w:adjustRightInd/>
        <w:snapToGrid/>
        <w:spacing w:line="480" w:lineRule="auto"/>
        <w:textAlignment w:val="auto"/>
        <w:rPr>
          <w:rFonts w:hint="default" w:ascii="Arial" w:hAnsi="Arial" w:cs="Arial"/>
          <w:b w:val="0"/>
          <w:bCs/>
          <w:color w:val="auto"/>
          <w:sz w:val="24"/>
          <w:szCs w:val="24"/>
          <w:lang w:val="en-US"/>
        </w:rPr>
      </w:pPr>
      <w:r>
        <w:rPr>
          <w:rFonts w:hint="default" w:ascii="Arial" w:hAnsi="Arial" w:cs="Arial"/>
          <w:b w:val="0"/>
          <w:bCs/>
          <w:color w:val="auto"/>
          <w:sz w:val="24"/>
          <w:szCs w:val="24"/>
        </w:rPr>
        <w:t>In Europe, work-life balance is a priority, with a range of employee benefits. Trade unions play a role in protecting employee rights, and companies may encourage employee participation in decision-making and governance.</w:t>
      </w:r>
      <w:r>
        <w:rPr>
          <w:rFonts w:hint="eastAsia" w:ascii="Arial" w:hAnsi="Arial" w:eastAsia="宋体" w:cs="Arial"/>
          <w:b w:val="0"/>
          <w:bCs/>
          <w:color w:val="auto"/>
          <w:sz w:val="24"/>
          <w:szCs w:val="24"/>
          <w:lang w:val="en-US" w:eastAsia="zh-CN"/>
        </w:rPr>
        <w:t>(</w:t>
      </w:r>
      <w:r>
        <w:rPr>
          <w:rFonts w:ascii="宋体" w:hAnsi="宋体" w:eastAsia="宋体" w:cs="宋体"/>
          <w:kern w:val="0"/>
          <w:sz w:val="24"/>
          <w:szCs w:val="24"/>
          <w:lang w:val="en-US" w:eastAsia="zh-CN" w:bidi="ar"/>
        </w:rPr>
        <w:t>Björkman, I., &amp; Xiucheng, F. (2002)</w:t>
      </w:r>
      <w:r>
        <w:rPr>
          <w:rFonts w:hint="eastAsia" w:ascii="宋体" w:hAnsi="宋体" w:eastAsia="宋体" w:cs="宋体"/>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textAlignment w:val="auto"/>
        <w:rPr>
          <w:rFonts w:hint="default" w:ascii="Arial" w:hAnsi="Arial" w:cs="Arial"/>
          <w:b w:val="0"/>
          <w:bCs/>
          <w:color w:val="auto"/>
          <w:sz w:val="24"/>
          <w:szCs w:val="24"/>
          <w:lang w:val="en-US"/>
        </w:rPr>
      </w:pPr>
      <w:r>
        <w:rPr>
          <w:rFonts w:hint="default" w:ascii="Arial" w:hAnsi="Arial" w:cs="Arial"/>
          <w:b w:val="0"/>
          <w:bCs/>
          <w:color w:val="auto"/>
          <w:sz w:val="24"/>
          <w:szCs w:val="24"/>
        </w:rPr>
        <w:t>Western Business Practices (WBP): Western businesses prioritize personal development and work-life balance. Flexible schedules, decision-making involvement, and comprehensive benefits are common.</w:t>
      </w:r>
      <w:r>
        <w:rPr>
          <w:rFonts w:hint="eastAsia" w:ascii="Arial" w:hAnsi="Arial" w:eastAsia="宋体" w:cs="Arial"/>
          <w:b w:val="0"/>
          <w:bCs/>
          <w:color w:val="auto"/>
          <w:sz w:val="24"/>
          <w:szCs w:val="24"/>
          <w:lang w:val="en-US" w:eastAsia="zh-CN"/>
        </w:rPr>
        <w:t>(</w:t>
      </w:r>
      <w:r>
        <w:rPr>
          <w:rFonts w:ascii="宋体" w:hAnsi="宋体" w:eastAsia="宋体" w:cs="宋体"/>
          <w:kern w:val="0"/>
          <w:sz w:val="24"/>
          <w:szCs w:val="24"/>
          <w:lang w:val="en-US" w:eastAsia="zh-CN" w:bidi="ar"/>
        </w:rPr>
        <w:t>Kinni, T. (2000)</w:t>
      </w:r>
      <w:r>
        <w:rPr>
          <w:rFonts w:hint="eastAsia" w:ascii="宋体" w:hAnsi="宋体" w:eastAsia="宋体" w:cs="宋体"/>
          <w:kern w:val="0"/>
          <w:sz w:val="24"/>
          <w:szCs w:val="24"/>
          <w:lang w:val="en-US" w:eastAsia="zh-CN" w:bidi="ar"/>
        </w:rPr>
        <w:t>)</w:t>
      </w:r>
    </w:p>
    <w:p>
      <w:pPr>
        <w:pageBreakBefore w:val="0"/>
        <w:widowControl/>
        <w:kinsoku/>
        <w:wordWrap/>
        <w:overflowPunct/>
        <w:topLinePunct w:val="0"/>
        <w:autoSpaceDE/>
        <w:autoSpaceDN/>
        <w:bidi w:val="0"/>
        <w:adjustRightInd/>
        <w:snapToGrid/>
        <w:spacing w:line="480" w:lineRule="auto"/>
        <w:textAlignment w:val="auto"/>
        <w:rPr>
          <w:rFonts w:hint="default" w:ascii="Arial" w:hAnsi="Arial" w:cs="Arial"/>
          <w:b w:val="0"/>
          <w:bCs/>
          <w:color w:val="auto"/>
          <w:sz w:val="24"/>
          <w:szCs w:val="24"/>
        </w:rPr>
      </w:pPr>
      <w:r>
        <w:rPr>
          <w:rFonts w:hint="default" w:ascii="Arial" w:hAnsi="Arial" w:cs="Arial"/>
          <w:b w:val="0"/>
          <w:bCs/>
          <w:color w:val="auto"/>
          <w:sz w:val="24"/>
          <w:szCs w:val="24"/>
        </w:rPr>
        <w:t>Asian Business Practices (ABP): Asian businesses focus on teamwork and overall happiness, emphasizing loyalty and long-term career development.</w:t>
      </w:r>
    </w:p>
    <w:p>
      <w:pPr>
        <w:pageBreakBefore w:val="0"/>
        <w:widowControl/>
        <w:kinsoku/>
        <w:wordWrap/>
        <w:overflowPunct/>
        <w:topLinePunct w:val="0"/>
        <w:autoSpaceDE/>
        <w:autoSpaceDN/>
        <w:bidi w:val="0"/>
        <w:adjustRightInd/>
        <w:snapToGrid/>
        <w:spacing w:line="480" w:lineRule="auto"/>
        <w:textAlignment w:val="auto"/>
        <w:rPr>
          <w:rFonts w:hint="default" w:ascii="Arial" w:hAnsi="Arial" w:cs="Arial"/>
          <w:b/>
          <w:color w:val="auto"/>
          <w:sz w:val="24"/>
          <w:szCs w:val="24"/>
        </w:rPr>
      </w:pPr>
      <w:r>
        <w:rPr>
          <w:rFonts w:hint="default" w:ascii="Arial" w:hAnsi="Arial" w:cs="Arial"/>
          <w:b/>
          <w:color w:val="auto"/>
          <w:sz w:val="24"/>
          <w:szCs w:val="24"/>
        </w:rPr>
        <w:br w:type="page"/>
      </w:r>
    </w:p>
    <w:p>
      <w:pPr>
        <w:pStyle w:val="2"/>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b/>
          <w:color w:val="auto"/>
          <w:sz w:val="24"/>
          <w:szCs w:val="24"/>
        </w:rPr>
      </w:pPr>
      <w:bookmarkStart w:id="16" w:name="_Toc4463"/>
      <w:r>
        <w:rPr>
          <w:rFonts w:hint="default" w:ascii="Arial" w:hAnsi="Arial" w:cs="Arial"/>
          <w:b/>
          <w:color w:val="auto"/>
          <w:sz w:val="24"/>
          <w:szCs w:val="24"/>
        </w:rPr>
        <w:t>4.0 Conclusion</w:t>
      </w:r>
      <w:bookmarkEnd w:id="16"/>
    </w:p>
    <w:p>
      <w:pPr>
        <w:pageBreakBefore w:val="0"/>
        <w:widowControl/>
        <w:kinsoku/>
        <w:wordWrap/>
        <w:overflowPunct/>
        <w:topLinePunct w:val="0"/>
        <w:autoSpaceDE/>
        <w:autoSpaceDN/>
        <w:bidi w:val="0"/>
        <w:adjustRightInd/>
        <w:snapToGrid/>
        <w:spacing w:before="0" w:line="480" w:lineRule="auto"/>
        <w:jc w:val="both"/>
        <w:textAlignment w:val="auto"/>
        <w:outlineLvl w:val="9"/>
        <w:rPr>
          <w:rFonts w:hint="default" w:ascii="Arial" w:hAnsi="Arial" w:cs="Arial" w:eastAsiaTheme="minorHAnsi"/>
          <w:b w:val="0"/>
          <w:bCs/>
          <w:color w:val="auto"/>
          <w:sz w:val="24"/>
          <w:szCs w:val="24"/>
          <w:lang w:val="en-US" w:eastAsia="en-US" w:bidi="ar-SA"/>
        </w:rPr>
      </w:pPr>
      <w:r>
        <w:rPr>
          <w:rFonts w:hint="default" w:ascii="Arial" w:hAnsi="Arial" w:cs="Arial" w:eastAsiaTheme="minorHAnsi"/>
          <w:b w:val="0"/>
          <w:bCs/>
          <w:color w:val="auto"/>
          <w:sz w:val="24"/>
          <w:szCs w:val="24"/>
          <w:lang w:val="en-US" w:eastAsia="en-US" w:bidi="ar-SA"/>
        </w:rPr>
        <w:t>Ethical global trade involves labor standards, environmental protection, fair trade, cultural conflicts, and political issues. Western business prioritizes employee rights, well-being, environmental protection, fair trade, individualism, and democratic rule of law. Asian business emphasizes efficiency, cost reduction, long-term cooperation, relationships, family influence, and government ties. Despite differences, ethical trade offers win-win opportunities, promoting sustainable development and justice globally through practices like complying with labor standards, environmental protection, fair trade, and respecting cultural and political contexts.</w:t>
      </w:r>
    </w:p>
    <w:p>
      <w:pPr>
        <w:pageBreakBefore w:val="0"/>
        <w:widowControl/>
        <w:kinsoku/>
        <w:wordWrap/>
        <w:overflowPunct/>
        <w:topLinePunct w:val="0"/>
        <w:autoSpaceDE/>
        <w:autoSpaceDN/>
        <w:bidi w:val="0"/>
        <w:adjustRightInd/>
        <w:snapToGrid/>
        <w:spacing w:before="0" w:line="480" w:lineRule="auto"/>
        <w:jc w:val="both"/>
        <w:textAlignment w:val="auto"/>
        <w:outlineLvl w:val="9"/>
        <w:rPr>
          <w:rFonts w:hint="default" w:ascii="Arial" w:hAnsi="Arial" w:cs="Arial" w:eastAsiaTheme="minorHAnsi"/>
          <w:b w:val="0"/>
          <w:bCs/>
          <w:color w:val="auto"/>
          <w:sz w:val="24"/>
          <w:szCs w:val="24"/>
          <w:lang w:val="en-US" w:eastAsia="en-US" w:bidi="ar-SA"/>
        </w:rPr>
      </w:pPr>
      <w:r>
        <w:rPr>
          <w:rFonts w:hint="default" w:ascii="Arial" w:hAnsi="Arial" w:cs="Arial" w:eastAsiaTheme="minorHAnsi"/>
          <w:b w:val="0"/>
          <w:bCs/>
          <w:color w:val="auto"/>
          <w:sz w:val="24"/>
          <w:szCs w:val="24"/>
          <w:lang w:val="en-US" w:eastAsia="en-US" w:bidi="ar-SA"/>
        </w:rPr>
        <w:t>In international business, religious, political, and cultural factors are crucial for long-term success. Religious beliefs impact consumer behavior, especially in Asia. The political environment influences legal compliance, tax policies, and market access. Western companies focus on the rule of law, while Asian companies stress cooperation with the government. Cultural differences affect consumer preferences; for instance, China values family, Japan emphasizes teamwork, and European countries have unique cultures. Adapting to local cultural, religious, and political contexts is vital for a positive brand image and competitive advantage in global markets.</w:t>
      </w:r>
    </w:p>
    <w:p>
      <w:pPr>
        <w:pageBreakBefore w:val="0"/>
        <w:widowControl/>
        <w:kinsoku/>
        <w:wordWrap/>
        <w:overflowPunct/>
        <w:topLinePunct w:val="0"/>
        <w:autoSpaceDE/>
        <w:autoSpaceDN/>
        <w:bidi w:val="0"/>
        <w:adjustRightInd/>
        <w:snapToGrid/>
        <w:spacing w:before="0" w:line="480" w:lineRule="auto"/>
        <w:jc w:val="both"/>
        <w:textAlignment w:val="auto"/>
        <w:outlineLvl w:val="9"/>
        <w:rPr>
          <w:rFonts w:hint="default" w:ascii="Arial" w:hAnsi="Arial" w:cs="Arial"/>
          <w:sz w:val="24"/>
          <w:szCs w:val="24"/>
        </w:rPr>
      </w:pPr>
      <w:r>
        <w:rPr>
          <w:rFonts w:hint="default" w:ascii="Arial" w:hAnsi="Arial" w:cs="Arial" w:eastAsiaTheme="minorHAnsi"/>
          <w:b w:val="0"/>
          <w:bCs/>
          <w:color w:val="auto"/>
          <w:sz w:val="24"/>
          <w:szCs w:val="24"/>
          <w:lang w:val="en-US" w:eastAsia="en-US" w:bidi="ar-SA"/>
        </w:rPr>
        <w:t>Balancing profit pursuit with considerations like corporate social responsibility (CSR) is essential. Chinese companies enhance their image through public welfare and environmental protection. Employee satisfaction is crucial for internal stability; Chinese companies emphasize teamwork and overall happiness. In global business practices, balancing economic benefits, social responsibility, employee satisfaction, and innovation promotes sustainable corporate development.</w:t>
      </w:r>
      <w:r>
        <w:rPr>
          <w:rFonts w:hint="default" w:ascii="Arial" w:hAnsi="Arial" w:cs="Arial"/>
          <w:sz w:val="24"/>
          <w:szCs w:val="24"/>
        </w:rPr>
        <w:br w:type="page"/>
      </w:r>
    </w:p>
    <w:p>
      <w:pPr>
        <w:pStyle w:val="2"/>
        <w:pageBreakBefore w:val="0"/>
        <w:widowControl/>
        <w:kinsoku/>
        <w:wordWrap/>
        <w:overflowPunct/>
        <w:topLinePunct w:val="0"/>
        <w:autoSpaceDE/>
        <w:autoSpaceDN/>
        <w:bidi w:val="0"/>
        <w:adjustRightInd/>
        <w:snapToGrid/>
        <w:spacing w:before="0" w:line="480" w:lineRule="auto"/>
        <w:jc w:val="both"/>
        <w:textAlignment w:val="auto"/>
        <w:rPr>
          <w:rFonts w:hint="default" w:ascii="Arial" w:hAnsi="Arial" w:cs="Arial"/>
          <w:b/>
          <w:color w:val="auto"/>
          <w:sz w:val="24"/>
          <w:szCs w:val="24"/>
        </w:rPr>
      </w:pPr>
      <w:bookmarkStart w:id="17" w:name="_Toc29655"/>
      <w:r>
        <w:rPr>
          <w:rFonts w:hint="default" w:ascii="Arial" w:hAnsi="Arial" w:cs="Arial"/>
          <w:b/>
          <w:color w:val="auto"/>
          <w:sz w:val="24"/>
          <w:szCs w:val="24"/>
        </w:rPr>
        <w:t>5.0 References</w:t>
      </w:r>
      <w:bookmarkEnd w:id="17"/>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Ossoff, J. (2013). </w:t>
      </w:r>
      <w:r>
        <w:rPr>
          <w:rFonts w:ascii="宋体" w:hAnsi="宋体" w:eastAsia="宋体" w:cs="宋体"/>
          <w:i/>
          <w:iCs/>
          <w:kern w:val="0"/>
          <w:sz w:val="24"/>
          <w:szCs w:val="24"/>
          <w:lang w:val="en-US" w:eastAsia="zh-CN" w:bidi="ar"/>
        </w:rPr>
        <w:t>Book review: The great convergence: Asia, the West, and the logic of one world</w:t>
      </w:r>
      <w:r>
        <w:rPr>
          <w:rFonts w:ascii="宋体" w:hAnsi="宋体" w:eastAsia="宋体" w:cs="宋体"/>
          <w:kern w:val="0"/>
          <w:sz w:val="24"/>
          <w:szCs w:val="24"/>
          <w:lang w:val="en-US" w:eastAsia="zh-CN" w:bidi="ar"/>
        </w:rPr>
        <w:t>. Blog post from London School of Economics &amp; Political Science.</w:t>
      </w:r>
    </w:p>
    <w:p>
      <w:pPr>
        <w:keepNext w:val="0"/>
        <w:keepLines w:val="0"/>
        <w:widowControl/>
        <w:numPr>
          <w:ilvl w:val="0"/>
          <w:numId w:val="1"/>
        </w:numPr>
        <w:suppressLineNumbers w:val="0"/>
        <w:ind w:left="425" w:leftChars="0" w:hanging="425" w:firstLineChars="0"/>
        <w:jc w:val="left"/>
      </w:pPr>
      <w:r>
        <w:rPr>
          <w:rFonts w:ascii="宋体" w:hAnsi="宋体" w:eastAsia="宋体" w:cs="宋体"/>
          <w:i/>
          <w:iCs/>
          <w:kern w:val="0"/>
          <w:sz w:val="24"/>
          <w:szCs w:val="24"/>
          <w:lang w:val="en-US" w:eastAsia="zh-CN" w:bidi="ar"/>
        </w:rPr>
        <w:t>Asian journal of business ethics.</w:t>
      </w:r>
      <w:r>
        <w:rPr>
          <w:rFonts w:ascii="宋体" w:hAnsi="宋体" w:eastAsia="宋体" w:cs="宋体"/>
          <w:kern w:val="0"/>
          <w:sz w:val="24"/>
          <w:szCs w:val="24"/>
          <w:lang w:val="en-US" w:eastAsia="zh-CN" w:bidi="ar"/>
        </w:rPr>
        <w:t xml:space="preserve"> (2012). Springer Science &amp; Business Media.</w:t>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HOEHTKER, D. (2022). Historical perspectives on the International Labour Review 1921–2021: A century of research on the world of work. </w:t>
      </w:r>
      <w:r>
        <w:rPr>
          <w:rFonts w:ascii="宋体" w:hAnsi="宋体" w:eastAsia="宋体" w:cs="宋体"/>
          <w:i/>
          <w:iCs/>
          <w:kern w:val="0"/>
          <w:sz w:val="24"/>
          <w:szCs w:val="24"/>
          <w:lang w:val="en-US" w:eastAsia="zh-CN" w:bidi="ar"/>
        </w:rPr>
        <w:t>International Labour Review</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161</w:t>
      </w:r>
      <w:r>
        <w:rPr>
          <w:rFonts w:ascii="宋体" w:hAnsi="宋体" w:eastAsia="宋体" w:cs="宋体"/>
          <w:kern w:val="0"/>
          <w:sz w:val="24"/>
          <w:szCs w:val="24"/>
          <w:lang w:val="en-US" w:eastAsia="zh-CN" w:bidi="ar"/>
        </w:rPr>
        <w:t xml:space="preserve">(4), e12–e48.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"https://doi.org/10.1111/ilr.12358" </w:instrText>
      </w:r>
      <w:r>
        <w:rPr>
          <w:rFonts w:ascii="宋体" w:hAnsi="宋体" w:eastAsia="宋体" w:cs="宋体"/>
          <w:kern w:val="0"/>
          <w:sz w:val="24"/>
          <w:szCs w:val="24"/>
          <w:lang w:val="en-US" w:eastAsia="zh-CN" w:bidi="ar"/>
        </w:rPr>
        <w:fldChar w:fldCharType="separate"/>
      </w:r>
      <w:r>
        <w:rPr>
          <w:rStyle w:val="12"/>
          <w:rFonts w:ascii="宋体" w:hAnsi="宋体" w:eastAsia="宋体" w:cs="宋体"/>
          <w:kern w:val="0"/>
          <w:sz w:val="24"/>
          <w:szCs w:val="24"/>
          <w:lang w:val="en-US" w:eastAsia="zh-CN" w:bidi="ar"/>
        </w:rPr>
        <w:t>https://doi.org/10.1111/ilr.12358</w:t>
      </w:r>
      <w:r>
        <w:rPr>
          <w:rFonts w:ascii="宋体" w:hAnsi="宋体" w:eastAsia="宋体" w:cs="宋体"/>
          <w:kern w:val="0"/>
          <w:sz w:val="24"/>
          <w:szCs w:val="24"/>
          <w:lang w:val="en-US" w:eastAsia="zh-CN" w:bidi="ar"/>
        </w:rPr>
        <w:fldChar w:fldCharType="end"/>
      </w:r>
      <w:r>
        <w:rPr>
          <w:rFonts w:hint="eastAsia" w:ascii="宋体" w:hAnsi="宋体" w:eastAsia="宋体" w:cs="宋体"/>
          <w:kern w:val="0"/>
          <w:sz w:val="24"/>
          <w:szCs w:val="24"/>
          <w:lang w:val="en-US" w:eastAsia="zh-CN" w:bidi="ar"/>
        </w:rPr>
        <w:t xml:space="preserve"> </w:t>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Francis, R. D. (Ronald D., &amp; Murfey, G. (2016). </w:t>
      </w:r>
      <w:r>
        <w:rPr>
          <w:rFonts w:ascii="宋体" w:hAnsi="宋体" w:eastAsia="宋体" w:cs="宋体"/>
          <w:i/>
          <w:iCs/>
          <w:kern w:val="0"/>
          <w:sz w:val="24"/>
          <w:szCs w:val="24"/>
          <w:lang w:val="en-US" w:eastAsia="zh-CN" w:bidi="ar"/>
        </w:rPr>
        <w:t>Global business ethics : responsible decision making in an international context</w:t>
      </w:r>
      <w:r>
        <w:rPr>
          <w:rFonts w:ascii="宋体" w:hAnsi="宋体" w:eastAsia="宋体" w:cs="宋体"/>
          <w:kern w:val="0"/>
          <w:sz w:val="24"/>
          <w:szCs w:val="24"/>
          <w:lang w:val="en-US" w:eastAsia="zh-CN" w:bidi="ar"/>
        </w:rPr>
        <w:t>. KoganPage.</w:t>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Arianna Rossi. (2016). Labor Standards in International Supply Chains: Aligning Rights and Incentives, by DanielBerliner, Anne ReganGreenleaf, MilliLake, MargaretLevi and JenniferNoveck. Edward Elgar, Cheltenham, 2015, 224 pp., ISBN 978 1 78347 035 8, $110.00, hardback: Book Reviews. </w:t>
      </w:r>
      <w:r>
        <w:rPr>
          <w:rFonts w:ascii="宋体" w:hAnsi="宋体" w:eastAsia="宋体" w:cs="宋体"/>
          <w:i/>
          <w:iCs/>
          <w:kern w:val="0"/>
          <w:sz w:val="24"/>
          <w:szCs w:val="24"/>
          <w:lang w:val="en-US" w:eastAsia="zh-CN" w:bidi="ar"/>
        </w:rPr>
        <w:t>British Journal of Industrial Relations</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54</w:t>
      </w:r>
      <w:r>
        <w:rPr>
          <w:rFonts w:ascii="宋体" w:hAnsi="宋体" w:eastAsia="宋体" w:cs="宋体"/>
          <w:kern w:val="0"/>
          <w:sz w:val="24"/>
          <w:szCs w:val="24"/>
          <w:lang w:val="en-US" w:eastAsia="zh-CN" w:bidi="ar"/>
        </w:rPr>
        <w:t xml:space="preserve">, 250–251.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"https://doi.org/10.1111/bjir.12174" </w:instrText>
      </w:r>
      <w:r>
        <w:rPr>
          <w:rFonts w:ascii="宋体" w:hAnsi="宋体" w:eastAsia="宋体" w:cs="宋体"/>
          <w:kern w:val="0"/>
          <w:sz w:val="24"/>
          <w:szCs w:val="24"/>
          <w:lang w:val="en-US" w:eastAsia="zh-CN" w:bidi="ar"/>
        </w:rPr>
        <w:fldChar w:fldCharType="separate"/>
      </w:r>
      <w:r>
        <w:rPr>
          <w:rStyle w:val="12"/>
          <w:rFonts w:ascii="宋体" w:hAnsi="宋体" w:eastAsia="宋体" w:cs="宋体"/>
          <w:kern w:val="0"/>
          <w:sz w:val="24"/>
          <w:szCs w:val="24"/>
          <w:lang w:val="en-US" w:eastAsia="zh-CN" w:bidi="ar"/>
        </w:rPr>
        <w:t>https://doi.org/10.1111/bjir.12174</w:t>
      </w:r>
      <w:r>
        <w:rPr>
          <w:rFonts w:ascii="宋体" w:hAnsi="宋体" w:eastAsia="宋体" w:cs="宋体"/>
          <w:kern w:val="0"/>
          <w:sz w:val="24"/>
          <w:szCs w:val="24"/>
          <w:lang w:val="en-US" w:eastAsia="zh-CN" w:bidi="ar"/>
        </w:rPr>
        <w:fldChar w:fldCharType="end"/>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Crane, A., Matten, D., Glozer, S., &amp; Spence, L. J. (2019). </w:t>
      </w:r>
      <w:r>
        <w:rPr>
          <w:rFonts w:ascii="宋体" w:hAnsi="宋体" w:eastAsia="宋体" w:cs="宋体"/>
          <w:i/>
          <w:iCs/>
          <w:kern w:val="0"/>
          <w:sz w:val="24"/>
          <w:szCs w:val="24"/>
          <w:lang w:val="en-US" w:eastAsia="zh-CN" w:bidi="ar"/>
        </w:rPr>
        <w:t>Business ethics : managing corporate citizenship and sustainability in the age of globalization</w:t>
      </w:r>
      <w:r>
        <w:rPr>
          <w:rFonts w:ascii="宋体" w:hAnsi="宋体" w:eastAsia="宋体" w:cs="宋体"/>
          <w:kern w:val="0"/>
          <w:sz w:val="24"/>
          <w:szCs w:val="24"/>
          <w:lang w:val="en-US" w:eastAsia="zh-CN" w:bidi="ar"/>
        </w:rPr>
        <w:t xml:space="preserve"> (Fifth edition). Oxford University Press.</w:t>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Seidman, G. W. (2012). Regulation at Work: Globalization, Labor Rights, and Development. </w:t>
      </w:r>
      <w:r>
        <w:rPr>
          <w:rFonts w:ascii="宋体" w:hAnsi="宋体" w:eastAsia="宋体" w:cs="宋体"/>
          <w:i/>
          <w:iCs/>
          <w:kern w:val="0"/>
          <w:sz w:val="24"/>
          <w:szCs w:val="24"/>
          <w:lang w:val="en-US" w:eastAsia="zh-CN" w:bidi="ar"/>
        </w:rPr>
        <w:t>Social Research</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79</w:t>
      </w:r>
      <w:r>
        <w:rPr>
          <w:rFonts w:ascii="宋体" w:hAnsi="宋体" w:eastAsia="宋体" w:cs="宋体"/>
          <w:kern w:val="0"/>
          <w:sz w:val="24"/>
          <w:szCs w:val="24"/>
          <w:lang w:val="en-US" w:eastAsia="zh-CN" w:bidi="ar"/>
        </w:rPr>
        <w:t xml:space="preserve">(4), 1023–1044.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"https://doi.org/10.1353/sor.2012.0019" </w:instrText>
      </w:r>
      <w:r>
        <w:rPr>
          <w:rFonts w:ascii="宋体" w:hAnsi="宋体" w:eastAsia="宋体" w:cs="宋体"/>
          <w:kern w:val="0"/>
          <w:sz w:val="24"/>
          <w:szCs w:val="24"/>
          <w:lang w:val="en-US" w:eastAsia="zh-CN" w:bidi="ar"/>
        </w:rPr>
        <w:fldChar w:fldCharType="separate"/>
      </w:r>
      <w:r>
        <w:rPr>
          <w:rStyle w:val="12"/>
          <w:rFonts w:ascii="宋体" w:hAnsi="宋体" w:eastAsia="宋体" w:cs="宋体"/>
          <w:kern w:val="0"/>
          <w:sz w:val="24"/>
          <w:szCs w:val="24"/>
          <w:lang w:val="en-US" w:eastAsia="zh-CN" w:bidi="ar"/>
        </w:rPr>
        <w:t>https://doi.org/10.1353/sor.2012.0019</w:t>
      </w:r>
      <w:r>
        <w:rPr>
          <w:rFonts w:ascii="宋体" w:hAnsi="宋体" w:eastAsia="宋体" w:cs="宋体"/>
          <w:kern w:val="0"/>
          <w:sz w:val="24"/>
          <w:szCs w:val="24"/>
          <w:lang w:val="en-US" w:eastAsia="zh-CN" w:bidi="ar"/>
        </w:rPr>
        <w:fldChar w:fldCharType="end"/>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Chen, R. J. (2011). A Review of “Green to gold: how smart companies use environmental strategy to innovate, create value, and build competitive advantage.” </w:t>
      </w:r>
      <w:r>
        <w:rPr>
          <w:rFonts w:ascii="宋体" w:hAnsi="宋体" w:eastAsia="宋体" w:cs="宋体"/>
          <w:i/>
          <w:iCs/>
          <w:kern w:val="0"/>
          <w:sz w:val="24"/>
          <w:szCs w:val="24"/>
          <w:lang w:val="en-US" w:eastAsia="zh-CN" w:bidi="ar"/>
        </w:rPr>
        <w:t>Journal of Sustainable Tourism</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19</w:t>
      </w:r>
      <w:r>
        <w:rPr>
          <w:rFonts w:ascii="宋体" w:hAnsi="宋体" w:eastAsia="宋体" w:cs="宋体"/>
          <w:kern w:val="0"/>
          <w:sz w:val="24"/>
          <w:szCs w:val="24"/>
          <w:lang w:val="en-US" w:eastAsia="zh-CN" w:bidi="ar"/>
        </w:rPr>
        <w:t>(6), 789–792. https://doi.org/10.1080/09669582.2010.527095</w:t>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He, L., Shen, J., &amp; Zhang, Y. (2018). Ecological vulnerability assessment for ecological conservation and environmental management. </w:t>
      </w:r>
      <w:r>
        <w:rPr>
          <w:rFonts w:ascii="宋体" w:hAnsi="宋体" w:eastAsia="宋体" w:cs="宋体"/>
          <w:i/>
          <w:iCs/>
          <w:kern w:val="0"/>
          <w:sz w:val="24"/>
          <w:szCs w:val="24"/>
          <w:lang w:val="en-US" w:eastAsia="zh-CN" w:bidi="ar"/>
        </w:rPr>
        <w:t>Journal of Environmental Management</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206</w:t>
      </w:r>
      <w:r>
        <w:rPr>
          <w:rFonts w:ascii="宋体" w:hAnsi="宋体" w:eastAsia="宋体" w:cs="宋体"/>
          <w:kern w:val="0"/>
          <w:sz w:val="24"/>
          <w:szCs w:val="24"/>
          <w:lang w:val="en-US" w:eastAsia="zh-CN" w:bidi="ar"/>
        </w:rPr>
        <w:t xml:space="preserve">, 1115–1125.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"https://doi.org/10.1016/j.jenvman.2017.11.059" </w:instrText>
      </w:r>
      <w:r>
        <w:rPr>
          <w:rFonts w:ascii="宋体" w:hAnsi="宋体" w:eastAsia="宋体" w:cs="宋体"/>
          <w:kern w:val="0"/>
          <w:sz w:val="24"/>
          <w:szCs w:val="24"/>
          <w:lang w:val="en-US" w:eastAsia="zh-CN" w:bidi="ar"/>
        </w:rPr>
        <w:fldChar w:fldCharType="separate"/>
      </w:r>
      <w:r>
        <w:rPr>
          <w:rStyle w:val="12"/>
          <w:rFonts w:ascii="宋体" w:hAnsi="宋体" w:eastAsia="宋体" w:cs="宋体"/>
          <w:kern w:val="0"/>
          <w:sz w:val="24"/>
          <w:szCs w:val="24"/>
          <w:lang w:val="en-US" w:eastAsia="zh-CN" w:bidi="ar"/>
        </w:rPr>
        <w:t>https://doi.org/10.1016/j.jenvman.2017.11.059</w:t>
      </w:r>
      <w:r>
        <w:rPr>
          <w:rFonts w:ascii="宋体" w:hAnsi="宋体" w:eastAsia="宋体" w:cs="宋体"/>
          <w:kern w:val="0"/>
          <w:sz w:val="24"/>
          <w:szCs w:val="24"/>
          <w:lang w:val="en-US" w:eastAsia="zh-CN" w:bidi="ar"/>
        </w:rPr>
        <w:fldChar w:fldCharType="end"/>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Adedoyin, F. F., Nwulu, N., &amp; Bekun, F. V. (2021). Environmental degradation, energy consumption and sustainable development: Accounting for the role of economic complexities with evidence from World Bank income clusters. </w:t>
      </w:r>
      <w:r>
        <w:rPr>
          <w:rFonts w:ascii="宋体" w:hAnsi="宋体" w:eastAsia="宋体" w:cs="宋体"/>
          <w:i/>
          <w:iCs/>
          <w:kern w:val="0"/>
          <w:sz w:val="24"/>
          <w:szCs w:val="24"/>
          <w:lang w:val="en-US" w:eastAsia="zh-CN" w:bidi="ar"/>
        </w:rPr>
        <w:t>Business Strategy and the Environment</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30</w:t>
      </w:r>
      <w:r>
        <w:rPr>
          <w:rFonts w:ascii="宋体" w:hAnsi="宋体" w:eastAsia="宋体" w:cs="宋体"/>
          <w:kern w:val="0"/>
          <w:sz w:val="24"/>
          <w:szCs w:val="24"/>
          <w:lang w:val="en-US" w:eastAsia="zh-CN" w:bidi="ar"/>
        </w:rPr>
        <w:t xml:space="preserve">(5), 2727–2740.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"https://doi.org/10.1002/bse.2774" </w:instrText>
      </w:r>
      <w:r>
        <w:rPr>
          <w:rFonts w:ascii="宋体" w:hAnsi="宋体" w:eastAsia="宋体" w:cs="宋体"/>
          <w:kern w:val="0"/>
          <w:sz w:val="24"/>
          <w:szCs w:val="24"/>
          <w:lang w:val="en-US" w:eastAsia="zh-CN" w:bidi="ar"/>
        </w:rPr>
        <w:fldChar w:fldCharType="separate"/>
      </w:r>
      <w:r>
        <w:rPr>
          <w:rStyle w:val="12"/>
          <w:rFonts w:ascii="宋体" w:hAnsi="宋体" w:eastAsia="宋体" w:cs="宋体"/>
          <w:kern w:val="0"/>
          <w:sz w:val="24"/>
          <w:szCs w:val="24"/>
          <w:lang w:val="en-US" w:eastAsia="zh-CN" w:bidi="ar"/>
        </w:rPr>
        <w:t>https://doi.org/10.1002/bse.2774</w:t>
      </w:r>
      <w:r>
        <w:rPr>
          <w:rFonts w:ascii="宋体" w:hAnsi="宋体" w:eastAsia="宋体" w:cs="宋体"/>
          <w:kern w:val="0"/>
          <w:sz w:val="24"/>
          <w:szCs w:val="24"/>
          <w:lang w:val="en-US" w:eastAsia="zh-CN" w:bidi="ar"/>
        </w:rPr>
        <w:fldChar w:fldCharType="end"/>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McManus, P. (1997). Environmental Policy in an International Context -- Perspectives on Environmental Problems [Review of </w:t>
      </w:r>
      <w:r>
        <w:rPr>
          <w:rFonts w:ascii="宋体" w:hAnsi="宋体" w:eastAsia="宋体" w:cs="宋体"/>
          <w:i/>
          <w:iCs/>
          <w:kern w:val="0"/>
          <w:sz w:val="24"/>
          <w:szCs w:val="24"/>
          <w:lang w:val="en-US" w:eastAsia="zh-CN" w:bidi="ar"/>
        </w:rPr>
        <w:t>Environmental Policy in an International Context -- Perspectives on Environmental Problems</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Progress in Human Geography</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21</w:t>
      </w:r>
      <w:r>
        <w:rPr>
          <w:rFonts w:ascii="宋体" w:hAnsi="宋体" w:eastAsia="宋体" w:cs="宋体"/>
          <w:kern w:val="0"/>
          <w:sz w:val="24"/>
          <w:szCs w:val="24"/>
          <w:lang w:val="en-US" w:eastAsia="zh-CN" w:bidi="ar"/>
        </w:rPr>
        <w:t>(1), 125–126.</w:t>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Özkan, Ö. (2015). </w:t>
      </w:r>
      <w:r>
        <w:rPr>
          <w:rFonts w:ascii="宋体" w:hAnsi="宋体" w:eastAsia="宋体" w:cs="宋体"/>
          <w:i/>
          <w:iCs/>
          <w:kern w:val="0"/>
          <w:sz w:val="24"/>
          <w:szCs w:val="24"/>
          <w:lang w:val="en-US" w:eastAsia="zh-CN" w:bidi="ar"/>
        </w:rPr>
        <w:t>Journal of International Trade, Logistics and Law.</w:t>
      </w:r>
      <w:r>
        <w:rPr>
          <w:rFonts w:ascii="宋体" w:hAnsi="宋体" w:eastAsia="宋体" w:cs="宋体"/>
          <w:kern w:val="0"/>
          <w:sz w:val="24"/>
          <w:szCs w:val="24"/>
          <w:lang w:val="en-US" w:eastAsia="zh-CN" w:bidi="ar"/>
        </w:rPr>
        <w:t xml:space="preserve"> Ömer Özkan.</w:t>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Nicholls, Alex., &amp; Opal, Charlotte. (2005). </w:t>
      </w:r>
      <w:r>
        <w:rPr>
          <w:rFonts w:ascii="宋体" w:hAnsi="宋体" w:eastAsia="宋体" w:cs="宋体"/>
          <w:i/>
          <w:iCs/>
          <w:kern w:val="0"/>
          <w:sz w:val="24"/>
          <w:szCs w:val="24"/>
          <w:lang w:val="en-US" w:eastAsia="zh-CN" w:bidi="ar"/>
        </w:rPr>
        <w:t>Fair trade : market-driven ethical consumption</w:t>
      </w:r>
      <w:r>
        <w:rPr>
          <w:rFonts w:ascii="宋体" w:hAnsi="宋体" w:eastAsia="宋体" w:cs="宋体"/>
          <w:kern w:val="0"/>
          <w:sz w:val="24"/>
          <w:szCs w:val="24"/>
          <w:lang w:val="en-US" w:eastAsia="zh-CN" w:bidi="ar"/>
        </w:rPr>
        <w:t>. SAGE.</w:t>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Mantz, F. (2019). Decolonizing the IPE syllabus: Eurocentrism and the coloniality of knowledge in International Political Economy. </w:t>
      </w:r>
      <w:r>
        <w:rPr>
          <w:rFonts w:ascii="宋体" w:hAnsi="宋体" w:eastAsia="宋体" w:cs="宋体"/>
          <w:i/>
          <w:iCs/>
          <w:kern w:val="0"/>
          <w:sz w:val="24"/>
          <w:szCs w:val="24"/>
          <w:lang w:val="en-US" w:eastAsia="zh-CN" w:bidi="ar"/>
        </w:rPr>
        <w:t>Review of International Political Economy : RIPE</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26</w:t>
      </w:r>
      <w:r>
        <w:rPr>
          <w:rFonts w:ascii="宋体" w:hAnsi="宋体" w:eastAsia="宋体" w:cs="宋体"/>
          <w:kern w:val="0"/>
          <w:sz w:val="24"/>
          <w:szCs w:val="24"/>
          <w:lang w:val="en-US" w:eastAsia="zh-CN" w:bidi="ar"/>
        </w:rPr>
        <w:t xml:space="preserve">(6), 1361–1378.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"https://doi.org/10.1080/09692290.2019.1647870" </w:instrText>
      </w:r>
      <w:r>
        <w:rPr>
          <w:rFonts w:ascii="宋体" w:hAnsi="宋体" w:eastAsia="宋体" w:cs="宋体"/>
          <w:kern w:val="0"/>
          <w:sz w:val="24"/>
          <w:szCs w:val="24"/>
          <w:lang w:val="en-US" w:eastAsia="zh-CN" w:bidi="ar"/>
        </w:rPr>
        <w:fldChar w:fldCharType="separate"/>
      </w:r>
      <w:r>
        <w:rPr>
          <w:rStyle w:val="12"/>
          <w:rFonts w:ascii="宋体" w:hAnsi="宋体" w:eastAsia="宋体" w:cs="宋体"/>
          <w:kern w:val="0"/>
          <w:sz w:val="24"/>
          <w:szCs w:val="24"/>
          <w:lang w:val="en-US" w:eastAsia="zh-CN" w:bidi="ar"/>
        </w:rPr>
        <w:t>https://doi.org/10.1080/09692290.2019.1647870</w:t>
      </w:r>
      <w:r>
        <w:rPr>
          <w:rFonts w:ascii="宋体" w:hAnsi="宋体" w:eastAsia="宋体" w:cs="宋体"/>
          <w:kern w:val="0"/>
          <w:sz w:val="24"/>
          <w:szCs w:val="24"/>
          <w:lang w:val="en-US" w:eastAsia="zh-CN" w:bidi="ar"/>
        </w:rPr>
        <w:fldChar w:fldCharType="end"/>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Sylla, N. (2014). </w:t>
      </w:r>
      <w:r>
        <w:rPr>
          <w:rFonts w:ascii="宋体" w:hAnsi="宋体" w:eastAsia="宋体" w:cs="宋体"/>
          <w:i/>
          <w:iCs/>
          <w:kern w:val="0"/>
          <w:sz w:val="24"/>
          <w:szCs w:val="24"/>
          <w:lang w:val="en-US" w:eastAsia="zh-CN" w:bidi="ar"/>
        </w:rPr>
        <w:t>The Fair Trade Scandal: Marketing Poverty to Benefit the Rich</w:t>
      </w:r>
      <w:r>
        <w:rPr>
          <w:rFonts w:ascii="宋体" w:hAnsi="宋体" w:eastAsia="宋体" w:cs="宋体"/>
          <w:kern w:val="0"/>
          <w:sz w:val="24"/>
          <w:szCs w:val="24"/>
          <w:lang w:val="en-US" w:eastAsia="zh-CN" w:bidi="ar"/>
        </w:rPr>
        <w:t xml:space="preserve"> (1st ed.). Pluto Press.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"https://doi.org/10.2307/j.ctt183p3b4" </w:instrText>
      </w:r>
      <w:r>
        <w:rPr>
          <w:rFonts w:ascii="宋体" w:hAnsi="宋体" w:eastAsia="宋体" w:cs="宋体"/>
          <w:kern w:val="0"/>
          <w:sz w:val="24"/>
          <w:szCs w:val="24"/>
          <w:lang w:val="en-US" w:eastAsia="zh-CN" w:bidi="ar"/>
        </w:rPr>
        <w:fldChar w:fldCharType="separate"/>
      </w:r>
      <w:r>
        <w:rPr>
          <w:rStyle w:val="12"/>
          <w:rFonts w:ascii="宋体" w:hAnsi="宋体" w:eastAsia="宋体" w:cs="宋体"/>
          <w:kern w:val="0"/>
          <w:sz w:val="24"/>
          <w:szCs w:val="24"/>
          <w:lang w:val="en-US" w:eastAsia="zh-CN" w:bidi="ar"/>
        </w:rPr>
        <w:t>https://doi.org/10.2307/j.ctt183p3b4</w:t>
      </w:r>
      <w:r>
        <w:rPr>
          <w:rFonts w:ascii="宋体" w:hAnsi="宋体" w:eastAsia="宋体" w:cs="宋体"/>
          <w:kern w:val="0"/>
          <w:sz w:val="24"/>
          <w:szCs w:val="24"/>
          <w:lang w:val="en-US" w:eastAsia="zh-CN" w:bidi="ar"/>
        </w:rPr>
        <w:fldChar w:fldCharType="end"/>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Banchoff, T. F., &amp; Wuthnow, Robert. (2011). </w:t>
      </w:r>
      <w:r>
        <w:rPr>
          <w:rFonts w:ascii="宋体" w:hAnsi="宋体" w:eastAsia="宋体" w:cs="宋体"/>
          <w:i/>
          <w:iCs/>
          <w:kern w:val="0"/>
          <w:sz w:val="24"/>
          <w:szCs w:val="24"/>
          <w:lang w:val="en-US" w:eastAsia="zh-CN" w:bidi="ar"/>
        </w:rPr>
        <w:t>Religion and the global politics of human rights</w:t>
      </w:r>
      <w:r>
        <w:rPr>
          <w:rFonts w:ascii="宋体" w:hAnsi="宋体" w:eastAsia="宋体" w:cs="宋体"/>
          <w:kern w:val="0"/>
          <w:sz w:val="24"/>
          <w:szCs w:val="24"/>
          <w:lang w:val="en-US" w:eastAsia="zh-CN" w:bidi="ar"/>
        </w:rPr>
        <w:t>. Oxford University Press.</w:t>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Holbrook, M. B., &amp; Grayson, M. W. (1986). The Semiology of Cinematic Consumption: Symbolic Consumer Behavior in Out of Africa. </w:t>
      </w:r>
      <w:r>
        <w:rPr>
          <w:rFonts w:ascii="宋体" w:hAnsi="宋体" w:eastAsia="宋体" w:cs="宋体"/>
          <w:i/>
          <w:iCs/>
          <w:kern w:val="0"/>
          <w:sz w:val="24"/>
          <w:szCs w:val="24"/>
          <w:lang w:val="en-US" w:eastAsia="zh-CN" w:bidi="ar"/>
        </w:rPr>
        <w:t>The Journal of Consumer Research</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13</w:t>
      </w:r>
      <w:r>
        <w:rPr>
          <w:rFonts w:ascii="宋体" w:hAnsi="宋体" w:eastAsia="宋体" w:cs="宋体"/>
          <w:kern w:val="0"/>
          <w:sz w:val="24"/>
          <w:szCs w:val="24"/>
          <w:lang w:val="en-US" w:eastAsia="zh-CN" w:bidi="ar"/>
        </w:rPr>
        <w:t xml:space="preserve">(3), 374–381.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"https://doi.org/10.1086/209076" </w:instrText>
      </w:r>
      <w:r>
        <w:rPr>
          <w:rFonts w:ascii="宋体" w:hAnsi="宋体" w:eastAsia="宋体" w:cs="宋体"/>
          <w:kern w:val="0"/>
          <w:sz w:val="24"/>
          <w:szCs w:val="24"/>
          <w:lang w:val="en-US" w:eastAsia="zh-CN" w:bidi="ar"/>
        </w:rPr>
        <w:fldChar w:fldCharType="separate"/>
      </w:r>
      <w:r>
        <w:rPr>
          <w:rStyle w:val="12"/>
          <w:rFonts w:ascii="宋体" w:hAnsi="宋体" w:eastAsia="宋体" w:cs="宋体"/>
          <w:kern w:val="0"/>
          <w:sz w:val="24"/>
          <w:szCs w:val="24"/>
          <w:lang w:val="en-US" w:eastAsia="zh-CN" w:bidi="ar"/>
        </w:rPr>
        <w:t>https://doi.org/10.1086/209076</w:t>
      </w:r>
      <w:r>
        <w:rPr>
          <w:rFonts w:ascii="宋体" w:hAnsi="宋体" w:eastAsia="宋体" w:cs="宋体"/>
          <w:kern w:val="0"/>
          <w:sz w:val="24"/>
          <w:szCs w:val="24"/>
          <w:lang w:val="en-US" w:eastAsia="zh-CN" w:bidi="ar"/>
        </w:rPr>
        <w:fldChar w:fldCharType="end"/>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Hudson, E. (2012). Count on China: in advance of Food Ingredients Asia-China, Ewa Hudson of Euromonitor International discusses the strengths of the Chinese health and wellness market. In </w:t>
      </w:r>
      <w:r>
        <w:rPr>
          <w:rFonts w:ascii="宋体" w:hAnsi="宋体" w:eastAsia="宋体" w:cs="宋体"/>
          <w:i/>
          <w:iCs/>
          <w:kern w:val="0"/>
          <w:sz w:val="24"/>
          <w:szCs w:val="24"/>
          <w:lang w:val="en-US" w:eastAsia="zh-CN" w:bidi="ar"/>
        </w:rPr>
        <w:t>International food ingredients</w:t>
      </w:r>
      <w:r>
        <w:rPr>
          <w:rFonts w:ascii="宋体" w:hAnsi="宋体" w:eastAsia="宋体" w:cs="宋体"/>
          <w:kern w:val="0"/>
          <w:sz w:val="24"/>
          <w:szCs w:val="24"/>
          <w:lang w:val="en-US" w:eastAsia="zh-CN" w:bidi="ar"/>
        </w:rPr>
        <w:t xml:space="preserve"> (Issue 2, pp. 13-). UBM Information Ltd.</w:t>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Gesteland, R. R., &amp; Seyk, G. F. (2002). </w:t>
      </w:r>
      <w:r>
        <w:rPr>
          <w:rFonts w:ascii="宋体" w:hAnsi="宋体" w:eastAsia="宋体" w:cs="宋体"/>
          <w:i/>
          <w:iCs/>
          <w:kern w:val="0"/>
          <w:sz w:val="24"/>
          <w:szCs w:val="24"/>
          <w:lang w:val="en-US" w:eastAsia="zh-CN" w:bidi="ar"/>
        </w:rPr>
        <w:t>Marketing across cultures in Asia</w:t>
      </w:r>
      <w:r>
        <w:rPr>
          <w:rFonts w:ascii="宋体" w:hAnsi="宋体" w:eastAsia="宋体" w:cs="宋体"/>
          <w:kern w:val="0"/>
          <w:sz w:val="24"/>
          <w:szCs w:val="24"/>
          <w:lang w:val="en-US" w:eastAsia="zh-CN" w:bidi="ar"/>
        </w:rPr>
        <w:t>. Copenhagen Business School Press.</w:t>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Holt, D. B. (1995). How consumers consume: a typology of consumption practices. </w:t>
      </w:r>
      <w:r>
        <w:rPr>
          <w:rFonts w:ascii="宋体" w:hAnsi="宋体" w:eastAsia="宋体" w:cs="宋体"/>
          <w:i/>
          <w:iCs/>
          <w:kern w:val="0"/>
          <w:sz w:val="24"/>
          <w:szCs w:val="24"/>
          <w:lang w:val="en-US" w:eastAsia="zh-CN" w:bidi="ar"/>
        </w:rPr>
        <w:t>The Journal of Consumer Research</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22</w:t>
      </w:r>
      <w:r>
        <w:rPr>
          <w:rFonts w:ascii="宋体" w:hAnsi="宋体" w:eastAsia="宋体" w:cs="宋体"/>
          <w:kern w:val="0"/>
          <w:sz w:val="24"/>
          <w:szCs w:val="24"/>
          <w:lang w:val="en-US" w:eastAsia="zh-CN" w:bidi="ar"/>
        </w:rPr>
        <w:t xml:space="preserve">(1), 1–16.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"https://doi.org/10.1086/209431" </w:instrText>
      </w:r>
      <w:r>
        <w:rPr>
          <w:rFonts w:ascii="宋体" w:hAnsi="宋体" w:eastAsia="宋体" w:cs="宋体"/>
          <w:kern w:val="0"/>
          <w:sz w:val="24"/>
          <w:szCs w:val="24"/>
          <w:lang w:val="en-US" w:eastAsia="zh-CN" w:bidi="ar"/>
        </w:rPr>
        <w:fldChar w:fldCharType="separate"/>
      </w:r>
      <w:r>
        <w:rPr>
          <w:rStyle w:val="12"/>
          <w:rFonts w:ascii="宋体" w:hAnsi="宋体" w:eastAsia="宋体" w:cs="宋体"/>
          <w:kern w:val="0"/>
          <w:sz w:val="24"/>
          <w:szCs w:val="24"/>
          <w:lang w:val="en-US" w:eastAsia="zh-CN" w:bidi="ar"/>
        </w:rPr>
        <w:t>https://doi.org/10.1086/209431</w:t>
      </w:r>
      <w:r>
        <w:rPr>
          <w:rFonts w:ascii="宋体" w:hAnsi="宋体" w:eastAsia="宋体" w:cs="宋体"/>
          <w:kern w:val="0"/>
          <w:sz w:val="24"/>
          <w:szCs w:val="24"/>
          <w:lang w:val="en-US" w:eastAsia="zh-CN" w:bidi="ar"/>
        </w:rPr>
        <w:fldChar w:fldCharType="end"/>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Baron, D. P. (2002). </w:t>
      </w:r>
      <w:r>
        <w:rPr>
          <w:rFonts w:ascii="宋体" w:hAnsi="宋体" w:eastAsia="宋体" w:cs="宋体"/>
          <w:i/>
          <w:iCs/>
          <w:kern w:val="0"/>
          <w:sz w:val="24"/>
          <w:szCs w:val="24"/>
          <w:lang w:val="en-US" w:eastAsia="zh-CN" w:bidi="ar"/>
        </w:rPr>
        <w:t>Business and its environment</w:t>
      </w:r>
      <w:r>
        <w:rPr>
          <w:rFonts w:ascii="宋体" w:hAnsi="宋体" w:eastAsia="宋体" w:cs="宋体"/>
          <w:kern w:val="0"/>
          <w:sz w:val="24"/>
          <w:szCs w:val="24"/>
          <w:lang w:val="en-US" w:eastAsia="zh-CN" w:bidi="ar"/>
        </w:rPr>
        <w:t xml:space="preserve"> (4th ed.). Prentice Hall.</w:t>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Hall, E. T. (Edward T. (1989). </w:t>
      </w:r>
      <w:r>
        <w:rPr>
          <w:rFonts w:ascii="宋体" w:hAnsi="宋体" w:eastAsia="宋体" w:cs="宋体"/>
          <w:i/>
          <w:iCs/>
          <w:kern w:val="0"/>
          <w:sz w:val="24"/>
          <w:szCs w:val="24"/>
          <w:lang w:val="en-US" w:eastAsia="zh-CN" w:bidi="ar"/>
        </w:rPr>
        <w:t>Beyond culture</w:t>
      </w:r>
      <w:r>
        <w:rPr>
          <w:rFonts w:ascii="宋体" w:hAnsi="宋体" w:eastAsia="宋体" w:cs="宋体"/>
          <w:kern w:val="0"/>
          <w:sz w:val="24"/>
          <w:szCs w:val="24"/>
          <w:lang w:val="en-US" w:eastAsia="zh-CN" w:bidi="ar"/>
        </w:rPr>
        <w:t>. Anchor Books.</w:t>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Gladwin, T. N. (1981). Culture’s Consequences: International Differences in Work-Related ValuesHofstedeGeert. Culture’s Consequences: International Differences in Work-Related Values. Beverly Hills, Calif.: Sage Publications, 1980, 76 pp., $29.95. </w:t>
      </w:r>
      <w:r>
        <w:rPr>
          <w:rFonts w:ascii="宋体" w:hAnsi="宋体" w:eastAsia="宋体" w:cs="宋体"/>
          <w:i/>
          <w:iCs/>
          <w:kern w:val="0"/>
          <w:sz w:val="24"/>
          <w:szCs w:val="24"/>
          <w:lang w:val="en-US" w:eastAsia="zh-CN" w:bidi="ar"/>
        </w:rPr>
        <w:t>The Academy of Management Review</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6</w:t>
      </w:r>
      <w:r>
        <w:rPr>
          <w:rFonts w:ascii="宋体" w:hAnsi="宋体" w:eastAsia="宋体" w:cs="宋体"/>
          <w:kern w:val="0"/>
          <w:sz w:val="24"/>
          <w:szCs w:val="24"/>
          <w:lang w:val="en-US" w:eastAsia="zh-CN" w:bidi="ar"/>
        </w:rPr>
        <w:t xml:space="preserve">(4), 681–683.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"https://doi.org/10.5465/amr.1981.4285738" </w:instrText>
      </w:r>
      <w:r>
        <w:rPr>
          <w:rFonts w:ascii="宋体" w:hAnsi="宋体" w:eastAsia="宋体" w:cs="宋体"/>
          <w:kern w:val="0"/>
          <w:sz w:val="24"/>
          <w:szCs w:val="24"/>
          <w:lang w:val="en-US" w:eastAsia="zh-CN" w:bidi="ar"/>
        </w:rPr>
        <w:fldChar w:fldCharType="separate"/>
      </w:r>
      <w:r>
        <w:rPr>
          <w:rStyle w:val="12"/>
          <w:rFonts w:ascii="宋体" w:hAnsi="宋体" w:eastAsia="宋体" w:cs="宋体"/>
          <w:kern w:val="0"/>
          <w:sz w:val="24"/>
          <w:szCs w:val="24"/>
          <w:lang w:val="en-US" w:eastAsia="zh-CN" w:bidi="ar"/>
        </w:rPr>
        <w:t>https://doi.org/10.5465/amr.1981.4285738</w:t>
      </w:r>
      <w:r>
        <w:rPr>
          <w:rFonts w:ascii="宋体" w:hAnsi="宋体" w:eastAsia="宋体" w:cs="宋体"/>
          <w:kern w:val="0"/>
          <w:sz w:val="24"/>
          <w:szCs w:val="24"/>
          <w:lang w:val="en-US" w:eastAsia="zh-CN" w:bidi="ar"/>
        </w:rPr>
        <w:fldChar w:fldCharType="end"/>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Porter, M. E., &amp; Kramer, M. R. (2011). Creating shared value (CSV). </w:t>
      </w:r>
      <w:r>
        <w:rPr>
          <w:rFonts w:ascii="宋体" w:hAnsi="宋体" w:eastAsia="宋体" w:cs="宋体"/>
          <w:i/>
          <w:iCs/>
          <w:kern w:val="0"/>
          <w:sz w:val="24"/>
          <w:szCs w:val="24"/>
          <w:lang w:val="en-US" w:eastAsia="zh-CN" w:bidi="ar"/>
        </w:rPr>
        <w:t>Journal of Direct, Data and Digital Marketing Practice</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12</w:t>
      </w:r>
      <w:r>
        <w:rPr>
          <w:rFonts w:ascii="宋体" w:hAnsi="宋体" w:eastAsia="宋体" w:cs="宋体"/>
          <w:kern w:val="0"/>
          <w:sz w:val="24"/>
          <w:szCs w:val="24"/>
          <w:lang w:val="en-US" w:eastAsia="zh-CN" w:bidi="ar"/>
        </w:rPr>
        <w:t>(4), 380-.</w:t>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Carroll, A. B., &amp; Shabana, K. M. (2010). The Business Case for Corporate Social Responsibility: A Review of Concepts, Research and Practice. </w:t>
      </w:r>
      <w:r>
        <w:rPr>
          <w:rFonts w:ascii="宋体" w:hAnsi="宋体" w:eastAsia="宋体" w:cs="宋体"/>
          <w:i/>
          <w:iCs/>
          <w:kern w:val="0"/>
          <w:sz w:val="24"/>
          <w:szCs w:val="24"/>
          <w:lang w:val="en-US" w:eastAsia="zh-CN" w:bidi="ar"/>
        </w:rPr>
        <w:t>International Journal of Management Reviews : IJMR</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12</w:t>
      </w:r>
      <w:r>
        <w:rPr>
          <w:rFonts w:ascii="宋体" w:hAnsi="宋体" w:eastAsia="宋体" w:cs="宋体"/>
          <w:kern w:val="0"/>
          <w:sz w:val="24"/>
          <w:szCs w:val="24"/>
          <w:lang w:val="en-US" w:eastAsia="zh-CN" w:bidi="ar"/>
        </w:rPr>
        <w:t xml:space="preserve">(1), 85–105.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"https://doi.org/10.1111/j.1468-2370.2009.00275.x" </w:instrText>
      </w:r>
      <w:r>
        <w:rPr>
          <w:rFonts w:ascii="宋体" w:hAnsi="宋体" w:eastAsia="宋体" w:cs="宋体"/>
          <w:kern w:val="0"/>
          <w:sz w:val="24"/>
          <w:szCs w:val="24"/>
          <w:lang w:val="en-US" w:eastAsia="zh-CN" w:bidi="ar"/>
        </w:rPr>
        <w:fldChar w:fldCharType="separate"/>
      </w:r>
      <w:r>
        <w:rPr>
          <w:rStyle w:val="12"/>
          <w:rFonts w:ascii="宋体" w:hAnsi="宋体" w:eastAsia="宋体" w:cs="宋体"/>
          <w:kern w:val="0"/>
          <w:sz w:val="24"/>
          <w:szCs w:val="24"/>
          <w:lang w:val="en-US" w:eastAsia="zh-CN" w:bidi="ar"/>
        </w:rPr>
        <w:t>https://doi.org/10.1111/j.1468-2370.2009.00275.x</w:t>
      </w:r>
      <w:r>
        <w:rPr>
          <w:rFonts w:ascii="宋体" w:hAnsi="宋体" w:eastAsia="宋体" w:cs="宋体"/>
          <w:kern w:val="0"/>
          <w:sz w:val="24"/>
          <w:szCs w:val="24"/>
          <w:lang w:val="en-US" w:eastAsia="zh-CN" w:bidi="ar"/>
        </w:rPr>
        <w:fldChar w:fldCharType="end"/>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Tian, G., Liu, J., Gong, Y., Wang, Q., Sun, H., &amp; Chen, H. (2020). Multinational companies’ coordination mechanism for extending corporate social responsibility to Chinese suppliers. </w:t>
      </w:r>
      <w:r>
        <w:rPr>
          <w:rFonts w:ascii="宋体" w:hAnsi="宋体" w:eastAsia="宋体" w:cs="宋体"/>
          <w:i/>
          <w:iCs/>
          <w:kern w:val="0"/>
          <w:sz w:val="24"/>
          <w:szCs w:val="24"/>
          <w:lang w:val="en-US" w:eastAsia="zh-CN" w:bidi="ar"/>
        </w:rPr>
        <w:t>Journal of Cleaner Production</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267</w:t>
      </w:r>
      <w:r>
        <w:rPr>
          <w:rFonts w:ascii="宋体" w:hAnsi="宋体" w:eastAsia="宋体" w:cs="宋体"/>
          <w:kern w:val="0"/>
          <w:sz w:val="24"/>
          <w:szCs w:val="24"/>
          <w:lang w:val="en-US" w:eastAsia="zh-CN" w:bidi="ar"/>
        </w:rPr>
        <w:t xml:space="preserve">, 121896-.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"https://doi.org/10.1016/j.jclepro.2020.121896" </w:instrText>
      </w:r>
      <w:r>
        <w:rPr>
          <w:rFonts w:ascii="宋体" w:hAnsi="宋体" w:eastAsia="宋体" w:cs="宋体"/>
          <w:kern w:val="0"/>
          <w:sz w:val="24"/>
          <w:szCs w:val="24"/>
          <w:lang w:val="en-US" w:eastAsia="zh-CN" w:bidi="ar"/>
        </w:rPr>
        <w:fldChar w:fldCharType="separate"/>
      </w:r>
      <w:r>
        <w:rPr>
          <w:rStyle w:val="12"/>
          <w:rFonts w:ascii="宋体" w:hAnsi="宋体" w:eastAsia="宋体" w:cs="宋体"/>
          <w:kern w:val="0"/>
          <w:sz w:val="24"/>
          <w:szCs w:val="24"/>
          <w:lang w:val="en-US" w:eastAsia="zh-CN" w:bidi="ar"/>
        </w:rPr>
        <w:t>https://doi.org/10.1016/j.jclepro.2020.121896</w:t>
      </w:r>
      <w:r>
        <w:rPr>
          <w:rFonts w:ascii="宋体" w:hAnsi="宋体" w:eastAsia="宋体" w:cs="宋体"/>
          <w:kern w:val="0"/>
          <w:sz w:val="24"/>
          <w:szCs w:val="24"/>
          <w:lang w:val="en-US" w:eastAsia="zh-CN" w:bidi="ar"/>
        </w:rPr>
        <w:fldChar w:fldCharType="end"/>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Bloom, N., Kretschmer, T., &amp; Van Reenen, J. (2011). Are family-friendly workplace practices a valuable firm resource? </w:t>
      </w:r>
      <w:r>
        <w:rPr>
          <w:rFonts w:ascii="宋体" w:hAnsi="宋体" w:eastAsia="宋体" w:cs="宋体"/>
          <w:i/>
          <w:iCs/>
          <w:kern w:val="0"/>
          <w:sz w:val="24"/>
          <w:szCs w:val="24"/>
          <w:lang w:val="en-US" w:eastAsia="zh-CN" w:bidi="ar"/>
        </w:rPr>
        <w:t>Strategic Management Journal</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32</w:t>
      </w:r>
      <w:r>
        <w:rPr>
          <w:rFonts w:ascii="宋体" w:hAnsi="宋体" w:eastAsia="宋体" w:cs="宋体"/>
          <w:kern w:val="0"/>
          <w:sz w:val="24"/>
          <w:szCs w:val="24"/>
          <w:lang w:val="en-US" w:eastAsia="zh-CN" w:bidi="ar"/>
        </w:rPr>
        <w:t xml:space="preserve">(4), 343–367.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"https://doi.org/10.1002/smj.879" </w:instrText>
      </w:r>
      <w:r>
        <w:rPr>
          <w:rFonts w:ascii="宋体" w:hAnsi="宋体" w:eastAsia="宋体" w:cs="宋体"/>
          <w:kern w:val="0"/>
          <w:sz w:val="24"/>
          <w:szCs w:val="24"/>
          <w:lang w:val="en-US" w:eastAsia="zh-CN" w:bidi="ar"/>
        </w:rPr>
        <w:fldChar w:fldCharType="separate"/>
      </w:r>
      <w:r>
        <w:rPr>
          <w:rStyle w:val="12"/>
          <w:rFonts w:ascii="宋体" w:hAnsi="宋体" w:eastAsia="宋体" w:cs="宋体"/>
          <w:kern w:val="0"/>
          <w:sz w:val="24"/>
          <w:szCs w:val="24"/>
          <w:lang w:val="en-US" w:eastAsia="zh-CN" w:bidi="ar"/>
        </w:rPr>
        <w:t>https://doi.org/10.1002/smj.879</w:t>
      </w:r>
      <w:r>
        <w:rPr>
          <w:rFonts w:ascii="宋体" w:hAnsi="宋体" w:eastAsia="宋体" w:cs="宋体"/>
          <w:kern w:val="0"/>
          <w:sz w:val="24"/>
          <w:szCs w:val="24"/>
          <w:lang w:val="en-US" w:eastAsia="zh-CN" w:bidi="ar"/>
        </w:rPr>
        <w:fldChar w:fldCharType="end"/>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Chen, Z. X., &amp; Francesco, A. M. (2003). The relationship between the three components of commitment and employee performance in China. </w:t>
      </w:r>
      <w:r>
        <w:rPr>
          <w:rFonts w:ascii="宋体" w:hAnsi="宋体" w:eastAsia="宋体" w:cs="宋体"/>
          <w:i/>
          <w:iCs/>
          <w:kern w:val="0"/>
          <w:sz w:val="24"/>
          <w:szCs w:val="24"/>
          <w:lang w:val="en-US" w:eastAsia="zh-CN" w:bidi="ar"/>
        </w:rPr>
        <w:t>Journal of Vocational Behavior</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62</w:t>
      </w:r>
      <w:r>
        <w:rPr>
          <w:rFonts w:ascii="宋体" w:hAnsi="宋体" w:eastAsia="宋体" w:cs="宋体"/>
          <w:kern w:val="0"/>
          <w:sz w:val="24"/>
          <w:szCs w:val="24"/>
          <w:lang w:val="en-US" w:eastAsia="zh-CN" w:bidi="ar"/>
        </w:rPr>
        <w:t xml:space="preserve">(3), 490–510.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"https://doi.org/10.1016/S0001-8791(02)00064-7" </w:instrText>
      </w:r>
      <w:r>
        <w:rPr>
          <w:rFonts w:ascii="宋体" w:hAnsi="宋体" w:eastAsia="宋体" w:cs="宋体"/>
          <w:kern w:val="0"/>
          <w:sz w:val="24"/>
          <w:szCs w:val="24"/>
          <w:lang w:val="en-US" w:eastAsia="zh-CN" w:bidi="ar"/>
        </w:rPr>
        <w:fldChar w:fldCharType="separate"/>
      </w:r>
      <w:r>
        <w:rPr>
          <w:rStyle w:val="12"/>
          <w:rFonts w:ascii="宋体" w:hAnsi="宋体" w:eastAsia="宋体" w:cs="宋体"/>
          <w:kern w:val="0"/>
          <w:sz w:val="24"/>
          <w:szCs w:val="24"/>
          <w:lang w:val="en-US" w:eastAsia="zh-CN" w:bidi="ar"/>
        </w:rPr>
        <w:t>https://doi.org/10.1016/S0001-8791(02)00064-7</w:t>
      </w:r>
      <w:r>
        <w:rPr>
          <w:rFonts w:ascii="宋体" w:hAnsi="宋体" w:eastAsia="宋体" w:cs="宋体"/>
          <w:kern w:val="0"/>
          <w:sz w:val="24"/>
          <w:szCs w:val="24"/>
          <w:lang w:val="en-US" w:eastAsia="zh-CN" w:bidi="ar"/>
        </w:rPr>
        <w:fldChar w:fldCharType="end"/>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Björkman, I., &amp; Xiucheng, F. (2002). Human resource management and the performance of Western firms in China. </w:t>
      </w:r>
      <w:r>
        <w:rPr>
          <w:rFonts w:ascii="宋体" w:hAnsi="宋体" w:eastAsia="宋体" w:cs="宋体"/>
          <w:i/>
          <w:iCs/>
          <w:kern w:val="0"/>
          <w:sz w:val="24"/>
          <w:szCs w:val="24"/>
          <w:lang w:val="en-US" w:eastAsia="zh-CN" w:bidi="ar"/>
        </w:rPr>
        <w:t>International Journal of Human Resource Management</w:t>
      </w:r>
      <w:r>
        <w:rPr>
          <w:rFonts w:ascii="宋体" w:hAnsi="宋体" w:eastAsia="宋体" w:cs="宋体"/>
          <w:kern w:val="0"/>
          <w:sz w:val="24"/>
          <w:szCs w:val="24"/>
          <w:lang w:val="en-US" w:eastAsia="zh-CN" w:bidi="ar"/>
        </w:rPr>
        <w:t xml:space="preserve">, </w:t>
      </w:r>
      <w:r>
        <w:rPr>
          <w:rFonts w:ascii="宋体" w:hAnsi="宋体" w:eastAsia="宋体" w:cs="宋体"/>
          <w:i/>
          <w:iCs/>
          <w:kern w:val="0"/>
          <w:sz w:val="24"/>
          <w:szCs w:val="24"/>
          <w:lang w:val="en-US" w:eastAsia="zh-CN" w:bidi="ar"/>
        </w:rPr>
        <w:t>13</w:t>
      </w:r>
      <w:r>
        <w:rPr>
          <w:rFonts w:ascii="宋体" w:hAnsi="宋体" w:eastAsia="宋体" w:cs="宋体"/>
          <w:kern w:val="0"/>
          <w:sz w:val="24"/>
          <w:szCs w:val="24"/>
          <w:lang w:val="en-US" w:eastAsia="zh-CN" w:bidi="ar"/>
        </w:rPr>
        <w:t xml:space="preserve">(6), 853–864. </w:t>
      </w: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"https://doi.org/10.1080/09585190210134246" </w:instrText>
      </w:r>
      <w:r>
        <w:rPr>
          <w:rFonts w:ascii="宋体" w:hAnsi="宋体" w:eastAsia="宋体" w:cs="宋体"/>
          <w:kern w:val="0"/>
          <w:sz w:val="24"/>
          <w:szCs w:val="24"/>
          <w:lang w:val="en-US" w:eastAsia="zh-CN" w:bidi="ar"/>
        </w:rPr>
        <w:fldChar w:fldCharType="separate"/>
      </w:r>
      <w:r>
        <w:rPr>
          <w:rStyle w:val="12"/>
          <w:rFonts w:ascii="宋体" w:hAnsi="宋体" w:eastAsia="宋体" w:cs="宋体"/>
          <w:kern w:val="0"/>
          <w:sz w:val="24"/>
          <w:szCs w:val="24"/>
          <w:lang w:val="en-US" w:eastAsia="zh-CN" w:bidi="ar"/>
        </w:rPr>
        <w:t>https://doi.org/10.1080/09585190210134246</w:t>
      </w:r>
      <w:r>
        <w:rPr>
          <w:rFonts w:ascii="宋体" w:hAnsi="宋体" w:eastAsia="宋体" w:cs="宋体"/>
          <w:kern w:val="0"/>
          <w:sz w:val="24"/>
          <w:szCs w:val="24"/>
          <w:lang w:val="en-US" w:eastAsia="zh-CN" w:bidi="ar"/>
        </w:rPr>
        <w:fldChar w:fldCharType="end"/>
      </w:r>
    </w:p>
    <w:p>
      <w:pPr>
        <w:keepNext w:val="0"/>
        <w:keepLines w:val="0"/>
        <w:widowControl/>
        <w:numPr>
          <w:ilvl w:val="0"/>
          <w:numId w:val="1"/>
        </w:numPr>
        <w:suppressLineNumbers w:val="0"/>
        <w:ind w:left="425" w:leftChars="0" w:hanging="425" w:firstLineChars="0"/>
        <w:jc w:val="left"/>
      </w:pPr>
      <w:r>
        <w:rPr>
          <w:rFonts w:ascii="宋体" w:hAnsi="宋体" w:eastAsia="宋体" w:cs="宋体"/>
          <w:kern w:val="0"/>
          <w:sz w:val="24"/>
          <w:szCs w:val="24"/>
          <w:lang w:val="en-US" w:eastAsia="zh-CN" w:bidi="ar"/>
        </w:rPr>
        <w:t xml:space="preserve">Kinni, T. (2000). Hidden Value: How Great Companies Achieve Extraordinary Results With Ordinary People. In </w:t>
      </w:r>
      <w:r>
        <w:rPr>
          <w:rFonts w:ascii="宋体" w:hAnsi="宋体" w:eastAsia="宋体" w:cs="宋体"/>
          <w:i/>
          <w:iCs/>
          <w:kern w:val="0"/>
          <w:sz w:val="24"/>
          <w:szCs w:val="24"/>
          <w:lang w:val="en-US" w:eastAsia="zh-CN" w:bidi="ar"/>
        </w:rPr>
        <w:t>Training (New York, N.Y.)</w:t>
      </w:r>
      <w:r>
        <w:rPr>
          <w:rFonts w:ascii="宋体" w:hAnsi="宋体" w:eastAsia="宋体" w:cs="宋体"/>
          <w:kern w:val="0"/>
          <w:sz w:val="24"/>
          <w:szCs w:val="24"/>
          <w:lang w:val="en-US" w:eastAsia="zh-CN" w:bidi="ar"/>
        </w:rPr>
        <w:t xml:space="preserve"> (Vol. 37, Issue 12, pp. 92-). Lakewood Media.</w:t>
      </w:r>
    </w:p>
    <w:p>
      <w:pPr>
        <w:keepNext w:val="0"/>
        <w:keepLines w:val="0"/>
        <w:widowControl/>
        <w:numPr>
          <w:ilvl w:val="0"/>
          <w:numId w:val="0"/>
        </w:numPr>
        <w:suppressLineNumbers w:val="0"/>
        <w:spacing w:after="160" w:line="259" w:lineRule="auto"/>
        <w:jc w:val="left"/>
        <w:rPr>
          <w:rFonts w:hint="default" w:ascii="Arial" w:hAnsi="Arial" w:eastAsia="宋体" w:cs="Arial"/>
          <w:sz w:val="24"/>
          <w:szCs w:val="24"/>
          <w:lang w:val="en-US" w:eastAsia="zh-CN"/>
        </w:rPr>
      </w:pPr>
    </w:p>
    <w:sectPr>
      <w:headerReference r:id="rId5" w:type="default"/>
      <w:pgSz w:w="12240" w:h="15840"/>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汉仪雅酷黑 75W">
    <w:altName w:val="黑体"/>
    <w:panose1 w:val="020B0804020202020204"/>
    <w:charset w:val="86"/>
    <w:family w:val="auto"/>
    <w:pitch w:val="default"/>
    <w:sig w:usb0="00000000" w:usb1="00000000" w:usb2="00000016" w:usb3="00000000" w:csb0="2004000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85181073"/>
      <w:docPartObj>
        <w:docPartGallery w:val="autotext"/>
      </w:docPartObj>
    </w:sdtPr>
    <w:sdtEndPr>
      <w:rPr>
        <w:rFonts w:ascii="Arial" w:hAnsi="Arial" w:cs="Arial"/>
        <w:sz w:val="24"/>
        <w:szCs w:val="24"/>
      </w:rPr>
    </w:sdtEndPr>
    <w:sdtContent>
      <w:p>
        <w:pPr>
          <w:pStyle w:val="6"/>
          <w:jc w:val="right"/>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PAGE   \* MERGEFORMAT </w:instrText>
        </w:r>
        <w:r>
          <w:rPr>
            <w:rFonts w:ascii="Arial" w:hAnsi="Arial" w:cs="Arial"/>
            <w:sz w:val="24"/>
            <w:szCs w:val="24"/>
          </w:rPr>
          <w:fldChar w:fldCharType="separate"/>
        </w:r>
        <w:r>
          <w:rPr>
            <w:rFonts w:ascii="Arial" w:hAnsi="Arial" w:cs="Arial"/>
            <w:sz w:val="24"/>
            <w:szCs w:val="24"/>
          </w:rPr>
          <w:t>16</w:t>
        </w:r>
        <w:r>
          <w:rPr>
            <w:rFonts w:ascii="Arial" w:hAnsi="Arial" w:cs="Arial"/>
            <w:sz w:val="24"/>
            <w:szCs w:val="24"/>
          </w:rPr>
          <w:fldChar w:fldCharType="end"/>
        </w:r>
      </w:p>
    </w:sdtContent>
  </w:sdt>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C5441F1"/>
    <w:multiLevelType w:val="singleLevel"/>
    <w:tmpl w:val="9C5441F1"/>
    <w:lvl w:ilvl="0" w:tentative="0">
      <w:start w:val="1"/>
      <w:numFmt w:val="decimal"/>
      <w:lvlText w:val="%1."/>
      <w:lvlJc w:val="left"/>
      <w:pPr>
        <w:ind w:left="425" w:hanging="425"/>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2JjNTE2ZmE2NWNhMGFiNzE1Y2VkNjM3MGFkYzJlMTYifQ=="/>
  </w:docVars>
  <w:rsids>
    <w:rsidRoot w:val="0A2352B7"/>
    <w:rsid w:val="039B50E0"/>
    <w:rsid w:val="0A2352B7"/>
    <w:rsid w:val="3E2D5CF3"/>
    <w:rsid w:val="3F4A1C1A"/>
    <w:rsid w:val="5449735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iPriority="9"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qFormat="1" w:uiPriority="39"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iPriority="99"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iPriority="99"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next w:val="1"/>
    <w:qFormat/>
    <w:uiPriority w:val="9"/>
    <w:pPr>
      <w:keepNext/>
      <w:keepLines/>
      <w:spacing w:before="240" w:after="0"/>
      <w:outlineLvl w:val="0"/>
    </w:pPr>
    <w:rPr>
      <w:rFonts w:asciiTheme="majorHAnsi" w:hAnsiTheme="majorHAnsi" w:eastAsiaTheme="majorEastAsia" w:cstheme="majorBidi"/>
      <w:color w:val="2E54A1" w:themeColor="accent1" w:themeShade="BF"/>
      <w:sz w:val="32"/>
      <w:szCs w:val="32"/>
    </w:rPr>
  </w:style>
  <w:style w:type="paragraph" w:styleId="3">
    <w:name w:val="heading 2"/>
    <w:basedOn w:val="1"/>
    <w:qFormat/>
    <w:uiPriority w:val="9"/>
    <w:pPr>
      <w:spacing w:before="100" w:beforeAutospacing="1" w:after="100" w:afterAutospacing="1" w:line="240" w:lineRule="auto"/>
      <w:outlineLvl w:val="1"/>
    </w:pPr>
    <w:rPr>
      <w:rFonts w:ascii="Times New Roman" w:hAnsi="Times New Roman" w:eastAsia="Times New Roman" w:cs="Times New Roman"/>
      <w:b/>
      <w:bCs/>
      <w:sz w:val="36"/>
      <w:szCs w:val="36"/>
    </w:rPr>
  </w:style>
  <w:style w:type="paragraph" w:styleId="4">
    <w:name w:val="heading 3"/>
    <w:basedOn w:val="1"/>
    <w:next w:val="1"/>
    <w:unhideWhenUsed/>
    <w:qFormat/>
    <w:uiPriority w:val="9"/>
    <w:pPr>
      <w:keepNext/>
      <w:keepLines/>
      <w:spacing w:before="40" w:after="0"/>
      <w:outlineLvl w:val="2"/>
    </w:pPr>
    <w:rPr>
      <w:rFonts w:asciiTheme="majorHAnsi" w:hAnsiTheme="majorHAnsi" w:eastAsiaTheme="majorEastAsia" w:cstheme="majorBidi"/>
      <w:color w:val="1E386B" w:themeColor="accent1" w:themeShade="80"/>
      <w:sz w:val="24"/>
      <w:szCs w:val="24"/>
    </w:rPr>
  </w:style>
  <w:style w:type="character" w:default="1" w:styleId="11">
    <w:name w:val="Default Paragraph Font"/>
    <w:semiHidden/>
    <w:uiPriority w:val="0"/>
  </w:style>
  <w:style w:type="table" w:default="1" w:styleId="10">
    <w:name w:val="Normal Table"/>
    <w:semiHidden/>
    <w:uiPriority w:val="0"/>
    <w:tblPr>
      <w:tblCellMar>
        <w:top w:w="0" w:type="dxa"/>
        <w:left w:w="108" w:type="dxa"/>
        <w:bottom w:w="0" w:type="dxa"/>
        <w:right w:w="108" w:type="dxa"/>
      </w:tblCellMar>
    </w:tblPr>
  </w:style>
  <w:style w:type="paragraph" w:styleId="5">
    <w:name w:val="toc 3"/>
    <w:basedOn w:val="1"/>
    <w:next w:val="1"/>
    <w:unhideWhenUsed/>
    <w:qFormat/>
    <w:uiPriority w:val="39"/>
    <w:pPr>
      <w:spacing w:after="100"/>
      <w:ind w:left="440"/>
    </w:pPr>
  </w:style>
  <w:style w:type="paragraph" w:styleId="6">
    <w:name w:val="header"/>
    <w:basedOn w:val="1"/>
    <w:unhideWhenUsed/>
    <w:uiPriority w:val="99"/>
    <w:pPr>
      <w:tabs>
        <w:tab w:val="center" w:pos="4680"/>
        <w:tab w:val="right" w:pos="9360"/>
      </w:tabs>
      <w:spacing w:after="0" w:line="240" w:lineRule="auto"/>
    </w:pPr>
  </w:style>
  <w:style w:type="paragraph" w:styleId="7">
    <w:name w:val="toc 1"/>
    <w:basedOn w:val="1"/>
    <w:next w:val="1"/>
    <w:unhideWhenUsed/>
    <w:qFormat/>
    <w:uiPriority w:val="39"/>
    <w:pPr>
      <w:spacing w:after="100"/>
    </w:pPr>
  </w:style>
  <w:style w:type="paragraph" w:styleId="8">
    <w:name w:val="toc 2"/>
    <w:basedOn w:val="1"/>
    <w:next w:val="1"/>
    <w:unhideWhenUsed/>
    <w:qFormat/>
    <w:uiPriority w:val="39"/>
    <w:pPr>
      <w:spacing w:after="100"/>
      <w:ind w:left="220"/>
    </w:pPr>
  </w:style>
  <w:style w:type="paragraph" w:styleId="9">
    <w:name w:val="Normal (Web)"/>
    <w:basedOn w:val="1"/>
    <w:semiHidden/>
    <w:unhideWhenUsed/>
    <w:uiPriority w:val="99"/>
    <w:pPr>
      <w:spacing w:before="100" w:beforeAutospacing="1" w:after="100" w:afterAutospacing="1" w:line="240" w:lineRule="auto"/>
    </w:pPr>
    <w:rPr>
      <w:rFonts w:ascii="Times New Roman" w:hAnsi="Times New Roman" w:eastAsia="Times New Roman" w:cs="Times New Roman"/>
      <w:sz w:val="24"/>
      <w:szCs w:val="24"/>
    </w:rPr>
  </w:style>
  <w:style w:type="character" w:styleId="12">
    <w:name w:val="Hyperlink"/>
    <w:basedOn w:val="11"/>
    <w:unhideWhenUsed/>
    <w:qFormat/>
    <w:uiPriority w:val="99"/>
    <w:rPr>
      <w:color w:val="0026E5" w:themeColor="hyperlink"/>
      <w:u w:val="single"/>
      <w14:textFill>
        <w14:solidFill>
          <w14:schemeClr w14:val="hlink"/>
        </w14:solidFill>
      </w14:textFill>
    </w:rPr>
  </w:style>
  <w:style w:type="paragraph" w:customStyle="1" w:styleId="13">
    <w:name w:val="TOC Heading"/>
    <w:basedOn w:val="2"/>
    <w:next w:val="1"/>
    <w:autoRedefine/>
    <w:unhideWhenUsed/>
    <w:qFormat/>
    <w:uiPriority w:val="39"/>
    <w:pPr>
      <w:outlineLvl w:val="9"/>
    </w:pPr>
  </w:style>
  <w:style w:type="paragraph" w:customStyle="1" w:styleId="14">
    <w:name w:val="WPSOffice手动目录 1"/>
    <w:uiPriority w:val="0"/>
    <w:pPr>
      <w:ind w:leftChars="0"/>
    </w:pPr>
    <w:rPr>
      <w:rFonts w:ascii="Times New Roman" w:hAnsi="Times New Roman" w:eastAsia="宋体" w:cs="Times New Roman"/>
      <w:sz w:val="20"/>
      <w:szCs w:val="20"/>
    </w:rPr>
  </w:style>
  <w:style w:type="paragraph" w:customStyle="1" w:styleId="15">
    <w:name w:val="WPSOffice手动目录 2"/>
    <w:uiPriority w:val="0"/>
    <w:pPr>
      <w:ind w:leftChars="200"/>
    </w:pPr>
    <w:rPr>
      <w:rFonts w:ascii="Times New Roman" w:hAnsi="Times New Roman" w:eastAsia="宋体" w:cs="Times New Roman"/>
      <w:sz w:val="20"/>
      <w:szCs w:val="20"/>
    </w:rPr>
  </w:style>
  <w:style w:type="paragraph" w:customStyle="1" w:styleId="16">
    <w:name w:val="WPSOffice手动目录 3"/>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Office_12.1.0.16120_F1E327BC-269C-435d-A152-05C5408002CA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2024-01-11T22:33:00Z</dcterms:created>
  <dc:creator>Jeremy harwood</dc:creator>
  <cp:lastModifiedBy>Jeremy harwood</cp:lastModifiedBy>
  <dcterms:modified xsi:type="dcterms:W3CDTF">2024-01-12T19:50:35Z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2052-12.1.0.16120</vt:lpwstr>
  </property>
  <property fmtid="{D5CDD505-2E9C-101B-9397-08002B2CF9AE}" pid="3" name="ICV">
    <vt:lpwstr>F0CDC202457A470CB5DB406DD5AE4148_13</vt:lpwstr>
  </property>
</Properties>
</file>