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0BB9CF" w14:textId="15F9659E" w:rsidR="0085292E" w:rsidRDefault="0085292E" w:rsidP="006E218C">
      <w:pPr>
        <w:jc w:val="center"/>
        <w:rPr>
          <w:b/>
          <w:bCs/>
          <w:sz w:val="32"/>
          <w:szCs w:val="32"/>
          <w:u w:val="single"/>
        </w:rPr>
      </w:pPr>
      <w:r w:rsidRPr="006E218C">
        <w:rPr>
          <w:b/>
          <w:bCs/>
          <w:noProof/>
          <w:sz w:val="32"/>
          <w:szCs w:val="32"/>
        </w:rPr>
        <w:drawing>
          <wp:inline distT="0" distB="0" distL="0" distR="0" wp14:anchorId="1BBC2E0D" wp14:editId="1D3F766D">
            <wp:extent cx="3769655" cy="1322261"/>
            <wp:effectExtent l="0" t="0" r="0" b="0"/>
            <wp:docPr id="1036" name="Picture 1035">
              <a:extLst xmlns:a="http://schemas.openxmlformats.org/drawingml/2006/main">
                <a:ext uri="{FF2B5EF4-FFF2-40B4-BE49-F238E27FC236}">
                  <a16:creationId xmlns:a16="http://schemas.microsoft.com/office/drawing/2014/main" id="{E8DC185F-6BB2-046E-7496-8E1BC093A3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035">
                      <a:extLst>
                        <a:ext uri="{FF2B5EF4-FFF2-40B4-BE49-F238E27FC236}">
                          <a16:creationId xmlns:a16="http://schemas.microsoft.com/office/drawing/2014/main" id="{E8DC185F-6BB2-046E-7496-8E1BC093A34D}"/>
                        </a:ext>
                      </a:extLst>
                    </pic:cNvPr>
                    <pic:cNvPicPr>
                      <a:picLocks noChangeAspect="1"/>
                    </pic:cNvPicPr>
                  </pic:nvPicPr>
                  <pic:blipFill>
                    <a:blip r:embed="rId8">
                      <a:alphaModFix/>
                      <a:extLst>
                        <a:ext uri="{28A0092B-C50C-407E-A947-70E740481C1C}">
                          <a14:useLocalDpi xmlns:a14="http://schemas.microsoft.com/office/drawing/2010/main" val="0"/>
                        </a:ext>
                      </a:extLst>
                    </a:blip>
                    <a:srcRect l="10010" t="15523" r="9266" b="16713"/>
                    <a:stretch>
                      <a:fillRect/>
                    </a:stretch>
                  </pic:blipFill>
                  <pic:spPr>
                    <a:xfrm>
                      <a:off x="0" y="0"/>
                      <a:ext cx="3789409" cy="1329190"/>
                    </a:xfrm>
                    <a:prstGeom prst="rect">
                      <a:avLst/>
                    </a:prstGeom>
                  </pic:spPr>
                </pic:pic>
              </a:graphicData>
            </a:graphic>
          </wp:inline>
        </w:drawing>
      </w:r>
    </w:p>
    <w:p w14:paraId="530CDEE0" w14:textId="68F8AF94" w:rsidR="0085292E" w:rsidRDefault="0085292E" w:rsidP="006E218C">
      <w:pPr>
        <w:jc w:val="center"/>
        <w:rPr>
          <w:b/>
          <w:bCs/>
          <w:sz w:val="32"/>
          <w:szCs w:val="32"/>
          <w:u w:val="single"/>
        </w:rPr>
      </w:pPr>
    </w:p>
    <w:p w14:paraId="705BF7F0" w14:textId="20F75DA7" w:rsidR="0085292E" w:rsidRPr="0085292E" w:rsidRDefault="0085292E" w:rsidP="00B85098">
      <w:pPr>
        <w:spacing w:before="0" w:line="360" w:lineRule="auto"/>
        <w:jc w:val="center"/>
        <w:rPr>
          <w:sz w:val="32"/>
          <w:szCs w:val="32"/>
        </w:rPr>
      </w:pPr>
      <w:r w:rsidRPr="0085292E">
        <w:rPr>
          <w:b/>
          <w:bCs/>
          <w:sz w:val="32"/>
          <w:szCs w:val="32"/>
        </w:rPr>
        <w:t xml:space="preserve">Module Title: </w:t>
      </w:r>
      <w:r w:rsidRPr="0085292E">
        <w:rPr>
          <w:sz w:val="32"/>
          <w:szCs w:val="32"/>
        </w:rPr>
        <w:t>Introduction to Health and Social Care</w:t>
      </w:r>
    </w:p>
    <w:p w14:paraId="1343AA87" w14:textId="0997EFA7" w:rsidR="0085292E" w:rsidRDefault="0085292E" w:rsidP="00B85098">
      <w:pPr>
        <w:spacing w:before="0" w:line="360" w:lineRule="auto"/>
        <w:jc w:val="center"/>
        <w:rPr>
          <w:sz w:val="32"/>
          <w:szCs w:val="32"/>
        </w:rPr>
      </w:pPr>
      <w:r w:rsidRPr="0085292E">
        <w:rPr>
          <w:b/>
          <w:bCs/>
          <w:sz w:val="32"/>
          <w:szCs w:val="32"/>
        </w:rPr>
        <w:t>Module Code:</w:t>
      </w:r>
      <w:r>
        <w:rPr>
          <w:b/>
          <w:bCs/>
          <w:sz w:val="32"/>
          <w:szCs w:val="32"/>
        </w:rPr>
        <w:t xml:space="preserve"> </w:t>
      </w:r>
      <w:r w:rsidRPr="0085292E">
        <w:rPr>
          <w:sz w:val="32"/>
          <w:szCs w:val="32"/>
        </w:rPr>
        <w:t>LCHS4003</w:t>
      </w:r>
    </w:p>
    <w:p w14:paraId="31937D83" w14:textId="449F436F" w:rsidR="00CF487C" w:rsidRPr="00CF487C" w:rsidRDefault="00CF487C" w:rsidP="00B85098">
      <w:pPr>
        <w:spacing w:before="0" w:line="360" w:lineRule="auto"/>
        <w:jc w:val="center"/>
        <w:rPr>
          <w:sz w:val="32"/>
          <w:szCs w:val="32"/>
        </w:rPr>
      </w:pPr>
      <w:r w:rsidRPr="00CF487C">
        <w:rPr>
          <w:b/>
          <w:bCs/>
          <w:sz w:val="32"/>
          <w:szCs w:val="32"/>
        </w:rPr>
        <w:t>Assignment Title:</w:t>
      </w:r>
      <w:r>
        <w:rPr>
          <w:b/>
          <w:bCs/>
          <w:sz w:val="32"/>
          <w:szCs w:val="32"/>
        </w:rPr>
        <w:t xml:space="preserve"> </w:t>
      </w:r>
      <w:r w:rsidRPr="00CF487C">
        <w:rPr>
          <w:sz w:val="32"/>
          <w:szCs w:val="32"/>
        </w:rPr>
        <w:t xml:space="preserve">Assessment 1 </w:t>
      </w:r>
      <w:r>
        <w:rPr>
          <w:sz w:val="32"/>
          <w:szCs w:val="32"/>
        </w:rPr>
        <w:t>-</w:t>
      </w:r>
      <w:r w:rsidRPr="00CF487C">
        <w:rPr>
          <w:sz w:val="32"/>
          <w:szCs w:val="32"/>
        </w:rPr>
        <w:t xml:space="preserve"> Poster and Essay</w:t>
      </w:r>
    </w:p>
    <w:p w14:paraId="0242E52F" w14:textId="147638CE" w:rsidR="00CF487C" w:rsidRPr="00CF487C" w:rsidRDefault="00CF487C" w:rsidP="00B85098">
      <w:pPr>
        <w:spacing w:before="0" w:line="360" w:lineRule="auto"/>
        <w:jc w:val="center"/>
        <w:rPr>
          <w:sz w:val="32"/>
          <w:szCs w:val="32"/>
        </w:rPr>
      </w:pPr>
      <w:r w:rsidRPr="00CF487C">
        <w:rPr>
          <w:b/>
          <w:bCs/>
          <w:sz w:val="32"/>
          <w:szCs w:val="32"/>
        </w:rPr>
        <w:t>Poster Topic:</w:t>
      </w:r>
      <w:r>
        <w:rPr>
          <w:b/>
          <w:bCs/>
          <w:sz w:val="32"/>
          <w:szCs w:val="32"/>
        </w:rPr>
        <w:t xml:space="preserve"> </w:t>
      </w:r>
      <w:r w:rsidRPr="00CF487C">
        <w:rPr>
          <w:sz w:val="32"/>
          <w:szCs w:val="32"/>
        </w:rPr>
        <w:t>Community Mental Health Services</w:t>
      </w:r>
      <w:r w:rsidR="002A6D64">
        <w:rPr>
          <w:sz w:val="32"/>
          <w:szCs w:val="32"/>
        </w:rPr>
        <w:t xml:space="preserve"> (CMHS)</w:t>
      </w:r>
    </w:p>
    <w:p w14:paraId="5B5EE057" w14:textId="4BB94E10" w:rsidR="00CF487C" w:rsidRDefault="00CF487C" w:rsidP="00B85098">
      <w:pPr>
        <w:spacing w:before="0" w:line="360" w:lineRule="auto"/>
        <w:jc w:val="center"/>
        <w:rPr>
          <w:sz w:val="32"/>
          <w:szCs w:val="32"/>
        </w:rPr>
      </w:pPr>
      <w:r w:rsidRPr="00CF487C">
        <w:rPr>
          <w:b/>
          <w:bCs/>
          <w:sz w:val="32"/>
          <w:szCs w:val="32"/>
        </w:rPr>
        <w:t>Essay Title:</w:t>
      </w:r>
      <w:r>
        <w:rPr>
          <w:b/>
          <w:bCs/>
          <w:sz w:val="32"/>
          <w:szCs w:val="32"/>
        </w:rPr>
        <w:t xml:space="preserve"> </w:t>
      </w:r>
      <w:r w:rsidRPr="00CF487C">
        <w:rPr>
          <w:sz w:val="32"/>
          <w:szCs w:val="32"/>
        </w:rPr>
        <w:t xml:space="preserve">Community Antenatal Midwifery Services: Development, </w:t>
      </w:r>
      <w:r w:rsidR="00CD3929" w:rsidRPr="00CF487C">
        <w:rPr>
          <w:sz w:val="32"/>
          <w:szCs w:val="32"/>
        </w:rPr>
        <w:t>Practice,</w:t>
      </w:r>
      <w:r w:rsidRPr="00CF487C">
        <w:rPr>
          <w:sz w:val="32"/>
          <w:szCs w:val="32"/>
        </w:rPr>
        <w:t xml:space="preserve"> and Impact on Maternal Health Outcomes</w:t>
      </w:r>
    </w:p>
    <w:p w14:paraId="6FBF1123" w14:textId="77777777" w:rsidR="0061354B" w:rsidRDefault="0061354B" w:rsidP="00B85098">
      <w:pPr>
        <w:spacing w:before="0" w:line="360" w:lineRule="auto"/>
        <w:jc w:val="center"/>
        <w:rPr>
          <w:sz w:val="32"/>
          <w:szCs w:val="32"/>
        </w:rPr>
      </w:pPr>
    </w:p>
    <w:p w14:paraId="1E03D13F" w14:textId="77777777" w:rsidR="0061354B" w:rsidRDefault="0061354B" w:rsidP="00B85098">
      <w:pPr>
        <w:spacing w:before="0" w:line="360" w:lineRule="auto"/>
        <w:jc w:val="center"/>
        <w:rPr>
          <w:sz w:val="32"/>
          <w:szCs w:val="32"/>
        </w:rPr>
      </w:pPr>
    </w:p>
    <w:p w14:paraId="76219F3D" w14:textId="3555F0FE" w:rsidR="0061354B" w:rsidRPr="0061354B" w:rsidRDefault="0061354B" w:rsidP="0061354B">
      <w:pPr>
        <w:spacing w:before="0" w:line="360" w:lineRule="auto"/>
        <w:jc w:val="center"/>
        <w:rPr>
          <w:sz w:val="32"/>
          <w:szCs w:val="32"/>
        </w:rPr>
      </w:pPr>
      <w:r w:rsidRPr="0061354B">
        <w:rPr>
          <w:b/>
          <w:bCs/>
          <w:sz w:val="32"/>
          <w:szCs w:val="32"/>
        </w:rPr>
        <w:t>Student Name:</w:t>
      </w:r>
      <w:r>
        <w:rPr>
          <w:b/>
          <w:bCs/>
          <w:sz w:val="32"/>
          <w:szCs w:val="32"/>
        </w:rPr>
        <w:t xml:space="preserve"> </w:t>
      </w:r>
      <w:r w:rsidR="00AE249C" w:rsidRPr="00AE249C">
        <w:rPr>
          <w:sz w:val="32"/>
          <w:szCs w:val="32"/>
        </w:rPr>
        <w:t>Imrich Makula</w:t>
      </w:r>
    </w:p>
    <w:p w14:paraId="02E6E964" w14:textId="4089651B" w:rsidR="0061354B" w:rsidRPr="0061354B" w:rsidRDefault="0061354B" w:rsidP="0061354B">
      <w:pPr>
        <w:spacing w:before="0" w:line="360" w:lineRule="auto"/>
        <w:jc w:val="center"/>
        <w:rPr>
          <w:sz w:val="32"/>
          <w:szCs w:val="32"/>
        </w:rPr>
      </w:pPr>
      <w:r w:rsidRPr="0061354B">
        <w:rPr>
          <w:b/>
          <w:bCs/>
          <w:sz w:val="32"/>
          <w:szCs w:val="32"/>
        </w:rPr>
        <w:t>Student ID</w:t>
      </w:r>
      <w:r w:rsidR="00AE249C">
        <w:rPr>
          <w:b/>
          <w:bCs/>
          <w:sz w:val="32"/>
          <w:szCs w:val="32"/>
        </w:rPr>
        <w:t xml:space="preserve">: </w:t>
      </w:r>
      <w:r w:rsidR="00AE249C" w:rsidRPr="00AE249C">
        <w:rPr>
          <w:sz w:val="32"/>
          <w:szCs w:val="32"/>
        </w:rPr>
        <w:t>2516455</w:t>
      </w:r>
    </w:p>
    <w:p w14:paraId="0EAFB89B" w14:textId="6300340C" w:rsidR="00CD3929" w:rsidRDefault="0061354B" w:rsidP="00AE249C">
      <w:pPr>
        <w:spacing w:before="0" w:after="160" w:line="259" w:lineRule="auto"/>
        <w:jc w:val="center"/>
        <w:rPr>
          <w:sz w:val="32"/>
          <w:szCs w:val="32"/>
        </w:rPr>
      </w:pPr>
      <w:r w:rsidRPr="0061354B">
        <w:rPr>
          <w:b/>
          <w:bCs/>
          <w:sz w:val="32"/>
          <w:szCs w:val="32"/>
        </w:rPr>
        <w:t>Tutor / Module Leader:</w:t>
      </w:r>
      <w:r>
        <w:rPr>
          <w:b/>
          <w:bCs/>
          <w:sz w:val="32"/>
          <w:szCs w:val="32"/>
        </w:rPr>
        <w:t xml:space="preserve"> </w:t>
      </w:r>
      <w:r w:rsidR="00AE249C" w:rsidRPr="00AE249C">
        <w:rPr>
          <w:sz w:val="32"/>
          <w:szCs w:val="32"/>
        </w:rPr>
        <w:t>Oluwadamilola Tayo</w:t>
      </w:r>
    </w:p>
    <w:p w14:paraId="623E4C43" w14:textId="77777777" w:rsidR="00AE249C" w:rsidRDefault="00AE249C" w:rsidP="005924BF">
      <w:pPr>
        <w:pStyle w:val="TOCHeading"/>
        <w:spacing w:before="0" w:line="360" w:lineRule="auto"/>
        <w:rPr>
          <w:rFonts w:ascii="Times New Roman" w:eastAsiaTheme="minorHAnsi" w:hAnsi="Times New Roman" w:cs="Times New Roman"/>
          <w:color w:val="000000"/>
          <w:sz w:val="24"/>
          <w:szCs w:val="24"/>
          <w:lang w:eastAsia="en-US"/>
        </w:rPr>
      </w:pPr>
    </w:p>
    <w:p w14:paraId="2F479F1B" w14:textId="77777777" w:rsidR="00AE249C" w:rsidRDefault="00AE249C" w:rsidP="005924BF">
      <w:pPr>
        <w:pStyle w:val="TOCHeading"/>
        <w:spacing w:before="0" w:line="360" w:lineRule="auto"/>
        <w:rPr>
          <w:rFonts w:ascii="Times New Roman" w:eastAsiaTheme="minorHAnsi" w:hAnsi="Times New Roman" w:cs="Times New Roman"/>
          <w:color w:val="000000"/>
          <w:sz w:val="24"/>
          <w:szCs w:val="24"/>
          <w:lang w:eastAsia="en-US"/>
        </w:rPr>
      </w:pPr>
    </w:p>
    <w:p w14:paraId="10E61100" w14:textId="77777777" w:rsidR="00AE249C" w:rsidRDefault="00AE249C" w:rsidP="005924BF">
      <w:pPr>
        <w:pStyle w:val="TOCHeading"/>
        <w:spacing w:before="0" w:line="360" w:lineRule="auto"/>
        <w:rPr>
          <w:rFonts w:ascii="Times New Roman" w:eastAsiaTheme="minorHAnsi" w:hAnsi="Times New Roman" w:cs="Times New Roman"/>
          <w:color w:val="000000"/>
          <w:sz w:val="24"/>
          <w:szCs w:val="24"/>
          <w:lang w:eastAsia="en-US"/>
        </w:rPr>
      </w:pPr>
    </w:p>
    <w:p w14:paraId="201F72C1" w14:textId="77777777" w:rsidR="00AE249C" w:rsidRDefault="00AE249C" w:rsidP="005924BF">
      <w:pPr>
        <w:pStyle w:val="TOCHeading"/>
        <w:spacing w:before="0" w:line="360" w:lineRule="auto"/>
        <w:rPr>
          <w:rFonts w:ascii="Times New Roman" w:eastAsiaTheme="minorHAnsi" w:hAnsi="Times New Roman" w:cs="Times New Roman"/>
          <w:color w:val="000000"/>
          <w:sz w:val="24"/>
          <w:szCs w:val="24"/>
          <w:lang w:eastAsia="en-US"/>
        </w:rPr>
      </w:pPr>
    </w:p>
    <w:p w14:paraId="187B84C3" w14:textId="55A0F37F" w:rsidR="00AE249C" w:rsidRDefault="00AE249C" w:rsidP="005924BF">
      <w:pPr>
        <w:pStyle w:val="TOCHeading"/>
        <w:spacing w:before="0" w:line="360" w:lineRule="auto"/>
        <w:rPr>
          <w:rFonts w:ascii="Times New Roman" w:eastAsiaTheme="minorHAnsi" w:hAnsi="Times New Roman" w:cs="Times New Roman"/>
          <w:color w:val="000000"/>
          <w:sz w:val="24"/>
          <w:szCs w:val="24"/>
          <w:lang w:eastAsia="en-US"/>
        </w:rPr>
      </w:pPr>
      <w:r>
        <w:rPr>
          <w:rFonts w:ascii="Times New Roman" w:eastAsiaTheme="minorHAnsi" w:hAnsi="Times New Roman" w:cs="Times New Roman"/>
          <w:color w:val="000000"/>
          <w:sz w:val="24"/>
          <w:szCs w:val="24"/>
          <w:lang w:eastAsia="en-US"/>
        </w:rPr>
        <w:t>\</w:t>
      </w:r>
    </w:p>
    <w:sdt>
      <w:sdtPr>
        <w:rPr>
          <w:rFonts w:ascii="Times New Roman" w:eastAsiaTheme="minorHAnsi" w:hAnsi="Times New Roman" w:cs="Times New Roman"/>
          <w:color w:val="000000"/>
          <w:sz w:val="24"/>
          <w:szCs w:val="24"/>
          <w:lang w:eastAsia="en-US"/>
        </w:rPr>
        <w:id w:val="960608126"/>
        <w:docPartObj>
          <w:docPartGallery w:val="Table of Contents"/>
          <w:docPartUnique/>
        </w:docPartObj>
      </w:sdtPr>
      <w:sdtContent>
        <w:p w14:paraId="245BD398" w14:textId="7DA405B2" w:rsidR="00CD3929" w:rsidRPr="005924BF" w:rsidRDefault="00CD3929" w:rsidP="005924BF">
          <w:pPr>
            <w:pStyle w:val="TOCHeading"/>
            <w:spacing w:before="0" w:line="360" w:lineRule="auto"/>
            <w:rPr>
              <w:rFonts w:ascii="Times New Roman" w:hAnsi="Times New Roman" w:cs="Times New Roman"/>
              <w:b/>
              <w:bCs/>
            </w:rPr>
          </w:pPr>
          <w:r w:rsidRPr="005924BF">
            <w:rPr>
              <w:rFonts w:ascii="Times New Roman" w:hAnsi="Times New Roman" w:cs="Times New Roman"/>
              <w:b/>
              <w:bCs/>
            </w:rPr>
            <w:t>Table of Contents</w:t>
          </w:r>
        </w:p>
        <w:p w14:paraId="0BFA1AFA" w14:textId="0CF5455C" w:rsidR="005924BF" w:rsidRPr="005924BF" w:rsidRDefault="00CD3929" w:rsidP="005924BF">
          <w:pPr>
            <w:pStyle w:val="TOC1"/>
            <w:tabs>
              <w:tab w:val="right" w:leader="dot" w:pos="9016"/>
            </w:tabs>
            <w:spacing w:line="360" w:lineRule="auto"/>
            <w:jc w:val="both"/>
            <w:rPr>
              <w:rFonts w:eastAsiaTheme="minorEastAsia" w:cs="Times New Roman"/>
              <w:b w:val="0"/>
              <w:noProof/>
              <w:color w:val="auto"/>
              <w:szCs w:val="24"/>
              <w:lang w:val="en-GB" w:eastAsia="en-GB"/>
            </w:rPr>
          </w:pPr>
          <w:r w:rsidRPr="005924BF">
            <w:rPr>
              <w:rFonts w:cs="Times New Roman"/>
              <w:b w:val="0"/>
              <w:szCs w:val="24"/>
            </w:rPr>
            <w:fldChar w:fldCharType="begin"/>
          </w:r>
          <w:r w:rsidRPr="005924BF">
            <w:rPr>
              <w:rFonts w:cs="Times New Roman"/>
              <w:b w:val="0"/>
              <w:szCs w:val="24"/>
            </w:rPr>
            <w:instrText xml:space="preserve"> TOC \o "1-3" \h \z \u </w:instrText>
          </w:r>
          <w:r w:rsidRPr="005924BF">
            <w:rPr>
              <w:rFonts w:cs="Times New Roman"/>
              <w:b w:val="0"/>
              <w:szCs w:val="24"/>
            </w:rPr>
            <w:fldChar w:fldCharType="separate"/>
          </w:r>
          <w:hyperlink w:anchor="_Toc223903507" w:history="1">
            <w:r w:rsidR="005924BF" w:rsidRPr="005924BF">
              <w:rPr>
                <w:rStyle w:val="Hyperlink"/>
                <w:rFonts w:cs="Times New Roman"/>
                <w:b w:val="0"/>
                <w:noProof/>
                <w:szCs w:val="24"/>
              </w:rPr>
              <w:t>Task 1: 900-Words Poster</w:t>
            </w:r>
            <w:r w:rsidR="005924BF" w:rsidRPr="005924BF">
              <w:rPr>
                <w:rFonts w:cs="Times New Roman"/>
                <w:b w:val="0"/>
                <w:noProof/>
                <w:webHidden/>
                <w:szCs w:val="24"/>
              </w:rPr>
              <w:tab/>
            </w:r>
            <w:r w:rsidR="005924BF" w:rsidRPr="005924BF">
              <w:rPr>
                <w:rFonts w:cs="Times New Roman"/>
                <w:b w:val="0"/>
                <w:noProof/>
                <w:webHidden/>
                <w:szCs w:val="24"/>
              </w:rPr>
              <w:fldChar w:fldCharType="begin"/>
            </w:r>
            <w:r w:rsidR="005924BF" w:rsidRPr="005924BF">
              <w:rPr>
                <w:rFonts w:cs="Times New Roman"/>
                <w:b w:val="0"/>
                <w:noProof/>
                <w:webHidden/>
                <w:szCs w:val="24"/>
              </w:rPr>
              <w:instrText xml:space="preserve"> PAGEREF _Toc223903507 \h </w:instrText>
            </w:r>
            <w:r w:rsidR="005924BF" w:rsidRPr="005924BF">
              <w:rPr>
                <w:rFonts w:cs="Times New Roman"/>
                <w:b w:val="0"/>
                <w:noProof/>
                <w:webHidden/>
                <w:szCs w:val="24"/>
              </w:rPr>
            </w:r>
            <w:r w:rsidR="005924BF" w:rsidRPr="005924BF">
              <w:rPr>
                <w:rFonts w:cs="Times New Roman"/>
                <w:b w:val="0"/>
                <w:noProof/>
                <w:webHidden/>
                <w:szCs w:val="24"/>
              </w:rPr>
              <w:fldChar w:fldCharType="separate"/>
            </w:r>
            <w:r w:rsidR="005924BF" w:rsidRPr="005924BF">
              <w:rPr>
                <w:rFonts w:cs="Times New Roman"/>
                <w:b w:val="0"/>
                <w:noProof/>
                <w:webHidden/>
                <w:szCs w:val="24"/>
              </w:rPr>
              <w:t>3</w:t>
            </w:r>
            <w:r w:rsidR="005924BF" w:rsidRPr="005924BF">
              <w:rPr>
                <w:rFonts w:cs="Times New Roman"/>
                <w:b w:val="0"/>
                <w:noProof/>
                <w:webHidden/>
                <w:szCs w:val="24"/>
              </w:rPr>
              <w:fldChar w:fldCharType="end"/>
            </w:r>
          </w:hyperlink>
        </w:p>
        <w:p w14:paraId="14E9A97D" w14:textId="1E9AB824" w:rsidR="005924BF" w:rsidRPr="005924BF" w:rsidRDefault="005924BF" w:rsidP="005924BF">
          <w:pPr>
            <w:pStyle w:val="TOC1"/>
            <w:tabs>
              <w:tab w:val="right" w:leader="dot" w:pos="9016"/>
            </w:tabs>
            <w:spacing w:line="360" w:lineRule="auto"/>
            <w:jc w:val="both"/>
            <w:rPr>
              <w:rFonts w:eastAsiaTheme="minorEastAsia" w:cs="Times New Roman"/>
              <w:b w:val="0"/>
              <w:noProof/>
              <w:color w:val="auto"/>
              <w:szCs w:val="24"/>
              <w:lang w:val="en-GB" w:eastAsia="en-GB"/>
            </w:rPr>
          </w:pPr>
          <w:hyperlink w:anchor="_Toc223903508" w:history="1">
            <w:r w:rsidRPr="005924BF">
              <w:rPr>
                <w:rStyle w:val="Hyperlink"/>
                <w:rFonts w:cs="Times New Roman"/>
                <w:b w:val="0"/>
                <w:noProof/>
                <w:szCs w:val="24"/>
              </w:rPr>
              <w:t>Task 2: 600 Words Essay</w:t>
            </w:r>
            <w:r w:rsidRPr="005924BF">
              <w:rPr>
                <w:rFonts w:cs="Times New Roman"/>
                <w:b w:val="0"/>
                <w:noProof/>
                <w:webHidden/>
                <w:szCs w:val="24"/>
              </w:rPr>
              <w:tab/>
            </w:r>
            <w:r w:rsidRPr="005924BF">
              <w:rPr>
                <w:rFonts w:cs="Times New Roman"/>
                <w:b w:val="0"/>
                <w:noProof/>
                <w:webHidden/>
                <w:szCs w:val="24"/>
              </w:rPr>
              <w:fldChar w:fldCharType="begin"/>
            </w:r>
            <w:r w:rsidRPr="005924BF">
              <w:rPr>
                <w:rFonts w:cs="Times New Roman"/>
                <w:b w:val="0"/>
                <w:noProof/>
                <w:webHidden/>
                <w:szCs w:val="24"/>
              </w:rPr>
              <w:instrText xml:space="preserve"> PAGEREF _Toc223903508 \h </w:instrText>
            </w:r>
            <w:r w:rsidRPr="005924BF">
              <w:rPr>
                <w:rFonts w:cs="Times New Roman"/>
                <w:b w:val="0"/>
                <w:noProof/>
                <w:webHidden/>
                <w:szCs w:val="24"/>
              </w:rPr>
            </w:r>
            <w:r w:rsidRPr="005924BF">
              <w:rPr>
                <w:rFonts w:cs="Times New Roman"/>
                <w:b w:val="0"/>
                <w:noProof/>
                <w:webHidden/>
                <w:szCs w:val="24"/>
              </w:rPr>
              <w:fldChar w:fldCharType="separate"/>
            </w:r>
            <w:r w:rsidRPr="005924BF">
              <w:rPr>
                <w:rFonts w:cs="Times New Roman"/>
                <w:b w:val="0"/>
                <w:noProof/>
                <w:webHidden/>
                <w:szCs w:val="24"/>
              </w:rPr>
              <w:t>4</w:t>
            </w:r>
            <w:r w:rsidRPr="005924BF">
              <w:rPr>
                <w:rFonts w:cs="Times New Roman"/>
                <w:b w:val="0"/>
                <w:noProof/>
                <w:webHidden/>
                <w:szCs w:val="24"/>
              </w:rPr>
              <w:fldChar w:fldCharType="end"/>
            </w:r>
          </w:hyperlink>
        </w:p>
        <w:p w14:paraId="6317CA85" w14:textId="2D1820E9" w:rsidR="005924BF" w:rsidRPr="005924BF" w:rsidRDefault="005924BF" w:rsidP="005924BF">
          <w:pPr>
            <w:pStyle w:val="TOC2"/>
            <w:tabs>
              <w:tab w:val="right" w:leader="dot" w:pos="9016"/>
            </w:tabs>
            <w:spacing w:before="0" w:after="0" w:line="360" w:lineRule="auto"/>
            <w:jc w:val="both"/>
            <w:rPr>
              <w:rFonts w:eastAsiaTheme="minorEastAsia"/>
              <w:noProof/>
              <w:color w:val="auto"/>
              <w:kern w:val="2"/>
              <w:sz w:val="24"/>
              <w:szCs w:val="24"/>
              <w:lang w:eastAsia="en-GB"/>
              <w14:ligatures w14:val="standardContextual"/>
            </w:rPr>
          </w:pPr>
          <w:hyperlink w:anchor="_Toc223903509" w:history="1">
            <w:r w:rsidRPr="005924BF">
              <w:rPr>
                <w:rStyle w:val="Hyperlink"/>
                <w:noProof/>
                <w:sz w:val="24"/>
                <w:szCs w:val="24"/>
              </w:rPr>
              <w:t>1. Introduction</w:t>
            </w:r>
            <w:r w:rsidRPr="005924BF">
              <w:rPr>
                <w:noProof/>
                <w:webHidden/>
                <w:sz w:val="24"/>
                <w:szCs w:val="24"/>
              </w:rPr>
              <w:tab/>
            </w:r>
            <w:r w:rsidRPr="005924BF">
              <w:rPr>
                <w:noProof/>
                <w:webHidden/>
                <w:sz w:val="24"/>
                <w:szCs w:val="24"/>
              </w:rPr>
              <w:fldChar w:fldCharType="begin"/>
            </w:r>
            <w:r w:rsidRPr="005924BF">
              <w:rPr>
                <w:noProof/>
                <w:webHidden/>
                <w:sz w:val="24"/>
                <w:szCs w:val="24"/>
              </w:rPr>
              <w:instrText xml:space="preserve"> PAGEREF _Toc223903509 \h </w:instrText>
            </w:r>
            <w:r w:rsidRPr="005924BF">
              <w:rPr>
                <w:noProof/>
                <w:webHidden/>
                <w:sz w:val="24"/>
                <w:szCs w:val="24"/>
              </w:rPr>
            </w:r>
            <w:r w:rsidRPr="005924BF">
              <w:rPr>
                <w:noProof/>
                <w:webHidden/>
                <w:sz w:val="24"/>
                <w:szCs w:val="24"/>
              </w:rPr>
              <w:fldChar w:fldCharType="separate"/>
            </w:r>
            <w:r w:rsidRPr="005924BF">
              <w:rPr>
                <w:noProof/>
                <w:webHidden/>
                <w:sz w:val="24"/>
                <w:szCs w:val="24"/>
              </w:rPr>
              <w:t>4</w:t>
            </w:r>
            <w:r w:rsidRPr="005924BF">
              <w:rPr>
                <w:noProof/>
                <w:webHidden/>
                <w:sz w:val="24"/>
                <w:szCs w:val="24"/>
              </w:rPr>
              <w:fldChar w:fldCharType="end"/>
            </w:r>
          </w:hyperlink>
        </w:p>
        <w:p w14:paraId="22C12D4E" w14:textId="271A9DA3" w:rsidR="005924BF" w:rsidRPr="005924BF" w:rsidRDefault="005924BF" w:rsidP="005924BF">
          <w:pPr>
            <w:pStyle w:val="TOC2"/>
            <w:tabs>
              <w:tab w:val="right" w:leader="dot" w:pos="9016"/>
            </w:tabs>
            <w:spacing w:before="0" w:after="0" w:line="360" w:lineRule="auto"/>
            <w:jc w:val="both"/>
            <w:rPr>
              <w:rFonts w:eastAsiaTheme="minorEastAsia"/>
              <w:noProof/>
              <w:color w:val="auto"/>
              <w:kern w:val="2"/>
              <w:sz w:val="24"/>
              <w:szCs w:val="24"/>
              <w:lang w:eastAsia="en-GB"/>
              <w14:ligatures w14:val="standardContextual"/>
            </w:rPr>
          </w:pPr>
          <w:hyperlink w:anchor="_Toc223903510" w:history="1">
            <w:r w:rsidRPr="005924BF">
              <w:rPr>
                <w:rStyle w:val="Hyperlink"/>
                <w:noProof/>
                <w:sz w:val="24"/>
                <w:szCs w:val="24"/>
              </w:rPr>
              <w:t>2. Development and Organisation of Community Antenatal Midwifery Services</w:t>
            </w:r>
            <w:r w:rsidRPr="005924BF">
              <w:rPr>
                <w:noProof/>
                <w:webHidden/>
                <w:sz w:val="24"/>
                <w:szCs w:val="24"/>
              </w:rPr>
              <w:tab/>
            </w:r>
            <w:r w:rsidRPr="005924BF">
              <w:rPr>
                <w:noProof/>
                <w:webHidden/>
                <w:sz w:val="24"/>
                <w:szCs w:val="24"/>
              </w:rPr>
              <w:fldChar w:fldCharType="begin"/>
            </w:r>
            <w:r w:rsidRPr="005924BF">
              <w:rPr>
                <w:noProof/>
                <w:webHidden/>
                <w:sz w:val="24"/>
                <w:szCs w:val="24"/>
              </w:rPr>
              <w:instrText xml:space="preserve"> PAGEREF _Toc223903510 \h </w:instrText>
            </w:r>
            <w:r w:rsidRPr="005924BF">
              <w:rPr>
                <w:noProof/>
                <w:webHidden/>
                <w:sz w:val="24"/>
                <w:szCs w:val="24"/>
              </w:rPr>
            </w:r>
            <w:r w:rsidRPr="005924BF">
              <w:rPr>
                <w:noProof/>
                <w:webHidden/>
                <w:sz w:val="24"/>
                <w:szCs w:val="24"/>
              </w:rPr>
              <w:fldChar w:fldCharType="separate"/>
            </w:r>
            <w:r w:rsidRPr="005924BF">
              <w:rPr>
                <w:noProof/>
                <w:webHidden/>
                <w:sz w:val="24"/>
                <w:szCs w:val="24"/>
              </w:rPr>
              <w:t>4</w:t>
            </w:r>
            <w:r w:rsidRPr="005924BF">
              <w:rPr>
                <w:noProof/>
                <w:webHidden/>
                <w:sz w:val="24"/>
                <w:szCs w:val="24"/>
              </w:rPr>
              <w:fldChar w:fldCharType="end"/>
            </w:r>
          </w:hyperlink>
        </w:p>
        <w:p w14:paraId="67F3CCC5" w14:textId="7CE67B46" w:rsidR="005924BF" w:rsidRPr="005924BF" w:rsidRDefault="005924BF" w:rsidP="005924BF">
          <w:pPr>
            <w:pStyle w:val="TOC2"/>
            <w:tabs>
              <w:tab w:val="right" w:leader="dot" w:pos="9016"/>
            </w:tabs>
            <w:spacing w:before="0" w:after="0" w:line="360" w:lineRule="auto"/>
            <w:jc w:val="both"/>
            <w:rPr>
              <w:rFonts w:eastAsiaTheme="minorEastAsia"/>
              <w:noProof/>
              <w:color w:val="auto"/>
              <w:kern w:val="2"/>
              <w:sz w:val="24"/>
              <w:szCs w:val="24"/>
              <w:lang w:eastAsia="en-GB"/>
              <w14:ligatures w14:val="standardContextual"/>
            </w:rPr>
          </w:pPr>
          <w:hyperlink w:anchor="_Toc223903511" w:history="1">
            <w:r w:rsidRPr="005924BF">
              <w:rPr>
                <w:rStyle w:val="Hyperlink"/>
                <w:noProof/>
                <w:sz w:val="24"/>
                <w:szCs w:val="24"/>
              </w:rPr>
              <w:t>3. Impact of Community Antenatal Midwifery Services on Maternal and Infant Health</w:t>
            </w:r>
            <w:r w:rsidRPr="005924BF">
              <w:rPr>
                <w:noProof/>
                <w:webHidden/>
                <w:sz w:val="24"/>
                <w:szCs w:val="24"/>
              </w:rPr>
              <w:tab/>
            </w:r>
            <w:r w:rsidRPr="005924BF">
              <w:rPr>
                <w:noProof/>
                <w:webHidden/>
                <w:sz w:val="24"/>
                <w:szCs w:val="24"/>
              </w:rPr>
              <w:fldChar w:fldCharType="begin"/>
            </w:r>
            <w:r w:rsidRPr="005924BF">
              <w:rPr>
                <w:noProof/>
                <w:webHidden/>
                <w:sz w:val="24"/>
                <w:szCs w:val="24"/>
              </w:rPr>
              <w:instrText xml:space="preserve"> PAGEREF _Toc223903511 \h </w:instrText>
            </w:r>
            <w:r w:rsidRPr="005924BF">
              <w:rPr>
                <w:noProof/>
                <w:webHidden/>
                <w:sz w:val="24"/>
                <w:szCs w:val="24"/>
              </w:rPr>
            </w:r>
            <w:r w:rsidRPr="005924BF">
              <w:rPr>
                <w:noProof/>
                <w:webHidden/>
                <w:sz w:val="24"/>
                <w:szCs w:val="24"/>
              </w:rPr>
              <w:fldChar w:fldCharType="separate"/>
            </w:r>
            <w:r w:rsidRPr="005924BF">
              <w:rPr>
                <w:noProof/>
                <w:webHidden/>
                <w:sz w:val="24"/>
                <w:szCs w:val="24"/>
              </w:rPr>
              <w:t>5</w:t>
            </w:r>
            <w:r w:rsidRPr="005924BF">
              <w:rPr>
                <w:noProof/>
                <w:webHidden/>
                <w:sz w:val="24"/>
                <w:szCs w:val="24"/>
              </w:rPr>
              <w:fldChar w:fldCharType="end"/>
            </w:r>
          </w:hyperlink>
        </w:p>
        <w:p w14:paraId="0F038DB1" w14:textId="6AA87B23" w:rsidR="005924BF" w:rsidRPr="005924BF" w:rsidRDefault="005924BF" w:rsidP="005924BF">
          <w:pPr>
            <w:pStyle w:val="TOC2"/>
            <w:tabs>
              <w:tab w:val="right" w:leader="dot" w:pos="9016"/>
            </w:tabs>
            <w:spacing w:before="0" w:after="0" w:line="360" w:lineRule="auto"/>
            <w:jc w:val="both"/>
            <w:rPr>
              <w:rFonts w:eastAsiaTheme="minorEastAsia"/>
              <w:noProof/>
              <w:color w:val="auto"/>
              <w:kern w:val="2"/>
              <w:sz w:val="24"/>
              <w:szCs w:val="24"/>
              <w:lang w:eastAsia="en-GB"/>
              <w14:ligatures w14:val="standardContextual"/>
            </w:rPr>
          </w:pPr>
          <w:hyperlink w:anchor="_Toc223903512" w:history="1">
            <w:r w:rsidRPr="005924BF">
              <w:rPr>
                <w:rStyle w:val="Hyperlink"/>
                <w:noProof/>
                <w:sz w:val="24"/>
                <w:szCs w:val="24"/>
              </w:rPr>
              <w:t>4. Challenges and Future Implications</w:t>
            </w:r>
            <w:r w:rsidRPr="005924BF">
              <w:rPr>
                <w:noProof/>
                <w:webHidden/>
                <w:sz w:val="24"/>
                <w:szCs w:val="24"/>
              </w:rPr>
              <w:tab/>
            </w:r>
            <w:r w:rsidRPr="005924BF">
              <w:rPr>
                <w:noProof/>
                <w:webHidden/>
                <w:sz w:val="24"/>
                <w:szCs w:val="24"/>
              </w:rPr>
              <w:fldChar w:fldCharType="begin"/>
            </w:r>
            <w:r w:rsidRPr="005924BF">
              <w:rPr>
                <w:noProof/>
                <w:webHidden/>
                <w:sz w:val="24"/>
                <w:szCs w:val="24"/>
              </w:rPr>
              <w:instrText xml:space="preserve"> PAGEREF _Toc223903512 \h </w:instrText>
            </w:r>
            <w:r w:rsidRPr="005924BF">
              <w:rPr>
                <w:noProof/>
                <w:webHidden/>
                <w:sz w:val="24"/>
                <w:szCs w:val="24"/>
              </w:rPr>
            </w:r>
            <w:r w:rsidRPr="005924BF">
              <w:rPr>
                <w:noProof/>
                <w:webHidden/>
                <w:sz w:val="24"/>
                <w:szCs w:val="24"/>
              </w:rPr>
              <w:fldChar w:fldCharType="separate"/>
            </w:r>
            <w:r w:rsidRPr="005924BF">
              <w:rPr>
                <w:noProof/>
                <w:webHidden/>
                <w:sz w:val="24"/>
                <w:szCs w:val="24"/>
              </w:rPr>
              <w:t>5</w:t>
            </w:r>
            <w:r w:rsidRPr="005924BF">
              <w:rPr>
                <w:noProof/>
                <w:webHidden/>
                <w:sz w:val="24"/>
                <w:szCs w:val="24"/>
              </w:rPr>
              <w:fldChar w:fldCharType="end"/>
            </w:r>
          </w:hyperlink>
        </w:p>
        <w:p w14:paraId="165F76E7" w14:textId="0767B83C" w:rsidR="005924BF" w:rsidRPr="005924BF" w:rsidRDefault="005924BF" w:rsidP="005924BF">
          <w:pPr>
            <w:pStyle w:val="TOC2"/>
            <w:tabs>
              <w:tab w:val="right" w:leader="dot" w:pos="9016"/>
            </w:tabs>
            <w:spacing w:before="0" w:after="0" w:line="360" w:lineRule="auto"/>
            <w:jc w:val="both"/>
            <w:rPr>
              <w:rFonts w:eastAsiaTheme="minorEastAsia"/>
              <w:noProof/>
              <w:color w:val="auto"/>
              <w:kern w:val="2"/>
              <w:sz w:val="24"/>
              <w:szCs w:val="24"/>
              <w:lang w:eastAsia="en-GB"/>
              <w14:ligatures w14:val="standardContextual"/>
            </w:rPr>
          </w:pPr>
          <w:hyperlink w:anchor="_Toc223903513" w:history="1">
            <w:r w:rsidRPr="005924BF">
              <w:rPr>
                <w:rStyle w:val="Hyperlink"/>
                <w:noProof/>
                <w:sz w:val="24"/>
                <w:szCs w:val="24"/>
              </w:rPr>
              <w:t>5. Conclusion</w:t>
            </w:r>
            <w:r w:rsidRPr="005924BF">
              <w:rPr>
                <w:noProof/>
                <w:webHidden/>
                <w:sz w:val="24"/>
                <w:szCs w:val="24"/>
              </w:rPr>
              <w:tab/>
            </w:r>
            <w:r w:rsidRPr="005924BF">
              <w:rPr>
                <w:noProof/>
                <w:webHidden/>
                <w:sz w:val="24"/>
                <w:szCs w:val="24"/>
              </w:rPr>
              <w:fldChar w:fldCharType="begin"/>
            </w:r>
            <w:r w:rsidRPr="005924BF">
              <w:rPr>
                <w:noProof/>
                <w:webHidden/>
                <w:sz w:val="24"/>
                <w:szCs w:val="24"/>
              </w:rPr>
              <w:instrText xml:space="preserve"> PAGEREF _Toc223903513 \h </w:instrText>
            </w:r>
            <w:r w:rsidRPr="005924BF">
              <w:rPr>
                <w:noProof/>
                <w:webHidden/>
                <w:sz w:val="24"/>
                <w:szCs w:val="24"/>
              </w:rPr>
            </w:r>
            <w:r w:rsidRPr="005924BF">
              <w:rPr>
                <w:noProof/>
                <w:webHidden/>
                <w:sz w:val="24"/>
                <w:szCs w:val="24"/>
              </w:rPr>
              <w:fldChar w:fldCharType="separate"/>
            </w:r>
            <w:r w:rsidRPr="005924BF">
              <w:rPr>
                <w:noProof/>
                <w:webHidden/>
                <w:sz w:val="24"/>
                <w:szCs w:val="24"/>
              </w:rPr>
              <w:t>5</w:t>
            </w:r>
            <w:r w:rsidRPr="005924BF">
              <w:rPr>
                <w:noProof/>
                <w:webHidden/>
                <w:sz w:val="24"/>
                <w:szCs w:val="24"/>
              </w:rPr>
              <w:fldChar w:fldCharType="end"/>
            </w:r>
          </w:hyperlink>
        </w:p>
        <w:p w14:paraId="676126DA" w14:textId="5583343B" w:rsidR="005924BF" w:rsidRPr="005924BF" w:rsidRDefault="005924BF" w:rsidP="005924BF">
          <w:pPr>
            <w:pStyle w:val="TOC2"/>
            <w:tabs>
              <w:tab w:val="right" w:leader="dot" w:pos="9016"/>
            </w:tabs>
            <w:spacing w:before="0" w:after="0" w:line="360" w:lineRule="auto"/>
            <w:jc w:val="both"/>
            <w:rPr>
              <w:rFonts w:eastAsiaTheme="minorEastAsia"/>
              <w:noProof/>
              <w:color w:val="auto"/>
              <w:kern w:val="2"/>
              <w:sz w:val="24"/>
              <w:szCs w:val="24"/>
              <w:lang w:eastAsia="en-GB"/>
              <w14:ligatures w14:val="standardContextual"/>
            </w:rPr>
          </w:pPr>
          <w:hyperlink w:anchor="_Toc223903514" w:history="1">
            <w:r w:rsidRPr="005924BF">
              <w:rPr>
                <w:rStyle w:val="Hyperlink"/>
                <w:noProof/>
                <w:sz w:val="24"/>
                <w:szCs w:val="24"/>
              </w:rPr>
              <w:t>References (Poster &amp; Essay)</w:t>
            </w:r>
            <w:r w:rsidRPr="005924BF">
              <w:rPr>
                <w:noProof/>
                <w:webHidden/>
                <w:sz w:val="24"/>
                <w:szCs w:val="24"/>
              </w:rPr>
              <w:tab/>
            </w:r>
            <w:r w:rsidRPr="005924BF">
              <w:rPr>
                <w:noProof/>
                <w:webHidden/>
                <w:sz w:val="24"/>
                <w:szCs w:val="24"/>
              </w:rPr>
              <w:fldChar w:fldCharType="begin"/>
            </w:r>
            <w:r w:rsidRPr="005924BF">
              <w:rPr>
                <w:noProof/>
                <w:webHidden/>
                <w:sz w:val="24"/>
                <w:szCs w:val="24"/>
              </w:rPr>
              <w:instrText xml:space="preserve"> PAGEREF _Toc223903514 \h </w:instrText>
            </w:r>
            <w:r w:rsidRPr="005924BF">
              <w:rPr>
                <w:noProof/>
                <w:webHidden/>
                <w:sz w:val="24"/>
                <w:szCs w:val="24"/>
              </w:rPr>
            </w:r>
            <w:r w:rsidRPr="005924BF">
              <w:rPr>
                <w:noProof/>
                <w:webHidden/>
                <w:sz w:val="24"/>
                <w:szCs w:val="24"/>
              </w:rPr>
              <w:fldChar w:fldCharType="separate"/>
            </w:r>
            <w:r w:rsidRPr="005924BF">
              <w:rPr>
                <w:noProof/>
                <w:webHidden/>
                <w:sz w:val="24"/>
                <w:szCs w:val="24"/>
              </w:rPr>
              <w:t>6</w:t>
            </w:r>
            <w:r w:rsidRPr="005924BF">
              <w:rPr>
                <w:noProof/>
                <w:webHidden/>
                <w:sz w:val="24"/>
                <w:szCs w:val="24"/>
              </w:rPr>
              <w:fldChar w:fldCharType="end"/>
            </w:r>
          </w:hyperlink>
        </w:p>
        <w:p w14:paraId="71D12E5B" w14:textId="151C561C" w:rsidR="00CD3929" w:rsidRDefault="00CD3929" w:rsidP="005924BF">
          <w:pPr>
            <w:spacing w:before="0" w:after="0" w:line="360" w:lineRule="auto"/>
            <w:jc w:val="both"/>
          </w:pPr>
          <w:r w:rsidRPr="005924BF">
            <w:rPr>
              <w:sz w:val="24"/>
              <w:szCs w:val="24"/>
            </w:rPr>
            <w:fldChar w:fldCharType="end"/>
          </w:r>
        </w:p>
      </w:sdtContent>
    </w:sdt>
    <w:p w14:paraId="48304AC7" w14:textId="77777777" w:rsidR="0061354B" w:rsidRPr="00CF487C" w:rsidRDefault="0061354B" w:rsidP="00CD3929">
      <w:pPr>
        <w:spacing w:before="0" w:line="360" w:lineRule="auto"/>
        <w:rPr>
          <w:sz w:val="32"/>
          <w:szCs w:val="32"/>
        </w:rPr>
      </w:pPr>
    </w:p>
    <w:p w14:paraId="12FC1A7A" w14:textId="77777777" w:rsidR="00CF487C" w:rsidRPr="0085292E" w:rsidRDefault="00CF487C" w:rsidP="0085292E">
      <w:pPr>
        <w:jc w:val="center"/>
        <w:rPr>
          <w:sz w:val="32"/>
          <w:szCs w:val="32"/>
        </w:rPr>
      </w:pPr>
    </w:p>
    <w:p w14:paraId="357840CB" w14:textId="77777777" w:rsidR="0085292E" w:rsidRDefault="0085292E" w:rsidP="006E218C">
      <w:pPr>
        <w:jc w:val="center"/>
        <w:rPr>
          <w:b/>
          <w:bCs/>
          <w:sz w:val="32"/>
          <w:szCs w:val="32"/>
          <w:u w:val="single"/>
        </w:rPr>
      </w:pPr>
    </w:p>
    <w:p w14:paraId="4E5D55ED" w14:textId="29C88779" w:rsidR="00E71553" w:rsidRPr="00CB0D4C" w:rsidRDefault="00E71553" w:rsidP="006E218C">
      <w:pPr>
        <w:jc w:val="center"/>
        <w:sectPr w:rsidR="00E71553" w:rsidRPr="00CB0D4C" w:rsidSect="00FD618A">
          <w:headerReference w:type="default" r:id="rId9"/>
          <w:footerReference w:type="default" r:id="rId10"/>
          <w:pgSz w:w="11906" w:h="16838" w:code="9"/>
          <w:pgMar w:top="1440" w:right="1440" w:bottom="1440" w:left="1440" w:header="720" w:footer="720" w:gutter="0"/>
          <w:pgBorders w:offsetFrom="page">
            <w:top w:val="thickThinSmallGap" w:sz="24" w:space="24" w:color="auto"/>
            <w:left w:val="thickThinSmallGap" w:sz="24" w:space="24" w:color="auto"/>
            <w:bottom w:val="thickThinSmallGap" w:sz="24" w:space="24" w:color="auto"/>
            <w:right w:val="thickThinSmallGap" w:sz="24" w:space="24" w:color="auto"/>
          </w:pgBorders>
          <w:cols w:space="720"/>
          <w:docGrid w:linePitch="360"/>
        </w:sectPr>
      </w:pPr>
      <w:r>
        <w:rPr>
          <w:b/>
          <w:bCs/>
          <w:sz w:val="32"/>
          <w:szCs w:val="32"/>
          <w:u w:val="single"/>
        </w:rPr>
        <w:br w:type="page"/>
      </w:r>
    </w:p>
    <w:p w14:paraId="0DACD4B7" w14:textId="18676B1F" w:rsidR="00E71553" w:rsidRDefault="00FD618A" w:rsidP="00CD3929">
      <w:pPr>
        <w:pStyle w:val="Heading1"/>
      </w:pPr>
      <w:bookmarkStart w:id="0" w:name="_Toc223903507"/>
      <w:r>
        <w:rPr>
          <w:noProof/>
        </w:rPr>
        <w:lastRenderedPageBreak/>
        <w:drawing>
          <wp:anchor distT="0" distB="0" distL="114300" distR="114300" simplePos="0" relativeHeight="251659264" behindDoc="0" locked="0" layoutInCell="1" allowOverlap="1" wp14:anchorId="6E19D297" wp14:editId="210D6BD8">
            <wp:simplePos x="0" y="0"/>
            <wp:positionH relativeFrom="margin">
              <wp:posOffset>-342078</wp:posOffset>
            </wp:positionH>
            <wp:positionV relativeFrom="margin">
              <wp:posOffset>329437</wp:posOffset>
            </wp:positionV>
            <wp:extent cx="9538335" cy="6170555"/>
            <wp:effectExtent l="0" t="0" r="5715" b="1905"/>
            <wp:wrapNone/>
            <wp:docPr id="11081379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13797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9538335" cy="6170555"/>
                    </a:xfrm>
                    <a:prstGeom prst="rect">
                      <a:avLst/>
                    </a:prstGeom>
                  </pic:spPr>
                </pic:pic>
              </a:graphicData>
            </a:graphic>
            <wp14:sizeRelH relativeFrom="margin">
              <wp14:pctWidth>0</wp14:pctWidth>
            </wp14:sizeRelH>
            <wp14:sizeRelV relativeFrom="margin">
              <wp14:pctHeight>0</wp14:pctHeight>
            </wp14:sizeRelV>
          </wp:anchor>
        </w:drawing>
      </w:r>
      <w:r w:rsidR="002B1708" w:rsidRPr="00800243">
        <w:t>Task 1: 900-Words Poster</w:t>
      </w:r>
      <w:bookmarkEnd w:id="0"/>
    </w:p>
    <w:p w14:paraId="6E5042C7" w14:textId="56C9D7C4" w:rsidR="00E71553" w:rsidRDefault="00E71553" w:rsidP="00800243">
      <w:pPr>
        <w:spacing w:before="0" w:after="0" w:line="360" w:lineRule="auto"/>
        <w:jc w:val="center"/>
        <w:rPr>
          <w:b/>
          <w:bCs/>
          <w:sz w:val="32"/>
          <w:szCs w:val="32"/>
          <w:u w:val="single"/>
        </w:rPr>
      </w:pPr>
    </w:p>
    <w:p w14:paraId="4A25761A" w14:textId="458255B4" w:rsidR="00E71553" w:rsidRDefault="00E71553" w:rsidP="00E71553">
      <w:pPr>
        <w:spacing w:before="0" w:after="0" w:line="360" w:lineRule="auto"/>
        <w:rPr>
          <w:b/>
          <w:bCs/>
          <w:sz w:val="32"/>
          <w:szCs w:val="32"/>
          <w:u w:val="single"/>
        </w:rPr>
        <w:sectPr w:rsidR="00E71553" w:rsidSect="00FD618A">
          <w:pgSz w:w="16838" w:h="11906" w:orient="landscape" w:code="9"/>
          <w:pgMar w:top="270" w:right="1440" w:bottom="270" w:left="1440" w:header="720" w:footer="720" w:gutter="0"/>
          <w:pgBorders w:offsetFrom="page">
            <w:top w:val="thickThinSmallGap" w:sz="24" w:space="24" w:color="auto"/>
            <w:left w:val="thickThinSmallGap" w:sz="24" w:space="24" w:color="auto"/>
            <w:bottom w:val="thickThinSmallGap" w:sz="24" w:space="24" w:color="auto"/>
            <w:right w:val="thickThinSmallGap" w:sz="24" w:space="24" w:color="auto"/>
          </w:pgBorders>
          <w:cols w:space="720"/>
          <w:docGrid w:linePitch="360"/>
        </w:sectPr>
      </w:pPr>
    </w:p>
    <w:p w14:paraId="01292369" w14:textId="0D201BB3" w:rsidR="005B7798" w:rsidRPr="005924BF" w:rsidRDefault="005B7798" w:rsidP="00CD3929">
      <w:pPr>
        <w:pStyle w:val="Heading1"/>
      </w:pPr>
      <w:bookmarkStart w:id="1" w:name="_Toc223903508"/>
      <w:r w:rsidRPr="005924BF">
        <w:lastRenderedPageBreak/>
        <w:t>Task 2: 600 Words Essay</w:t>
      </w:r>
      <w:bookmarkEnd w:id="1"/>
    </w:p>
    <w:p w14:paraId="40EB74B7" w14:textId="73B7697B" w:rsidR="00602650" w:rsidRPr="005924BF" w:rsidRDefault="00602650" w:rsidP="00CD3929">
      <w:pPr>
        <w:pStyle w:val="Heading2"/>
      </w:pPr>
      <w:bookmarkStart w:id="2" w:name="_Toc223903509"/>
      <w:r w:rsidRPr="005924BF">
        <w:t>1. Introduction</w:t>
      </w:r>
      <w:bookmarkEnd w:id="2"/>
    </w:p>
    <w:p w14:paraId="23E95F62" w14:textId="5A6A56E1" w:rsidR="00602650" w:rsidRPr="00602650" w:rsidRDefault="00335CA9" w:rsidP="00602650">
      <w:pPr>
        <w:spacing w:before="0" w:line="360" w:lineRule="auto"/>
        <w:jc w:val="both"/>
      </w:pPr>
      <w:r w:rsidRPr="005924BF">
        <w:t xml:space="preserve">Modern maternity care is dependent upon community prenatal midwifery. To ensure mother and child safety, antenatal care involves clinical monitoring, </w:t>
      </w:r>
      <w:r w:rsidR="00CD3929" w:rsidRPr="005924BF">
        <w:t>screening,</w:t>
      </w:r>
      <w:r w:rsidRPr="005924BF">
        <w:t xml:space="preserve"> and health education. Community midwives deliver routine antenatal care in the UK in community clinics, general practises, and people's homes and ensure that early evaluation and continuity of care is provided (NICE guideline, 2021). Early identification and preventative help of issues as a part of antenatal care minimise maternal and newborn morbidity (World Health Organization, 2022). This study focuses on community prenatal midwifery services, impact on the health of mothers and babies, and the structural problems facing the sustainability of midwifery services.</w:t>
      </w:r>
    </w:p>
    <w:p w14:paraId="4AFCF058" w14:textId="690A7D40" w:rsidR="00602650" w:rsidRPr="005924BF" w:rsidRDefault="00602650" w:rsidP="00CD3929">
      <w:pPr>
        <w:pStyle w:val="Heading2"/>
      </w:pPr>
      <w:bookmarkStart w:id="3" w:name="_Toc223903510"/>
      <w:r w:rsidRPr="005924BF">
        <w:t>2. Development and Organisation of Community Antenatal Midwifery Services</w:t>
      </w:r>
      <w:bookmarkEnd w:id="3"/>
    </w:p>
    <w:p w14:paraId="5D9ECC8C" w14:textId="77777777" w:rsidR="00337024" w:rsidRPr="005924BF" w:rsidRDefault="00337024" w:rsidP="00337024">
      <w:pPr>
        <w:spacing w:before="0" w:line="360" w:lineRule="auto"/>
        <w:jc w:val="both"/>
      </w:pPr>
      <w:r w:rsidRPr="005924BF">
        <w:t>Community based prenatal midwifery services reflect the shift from hospital-based to preventative maternity care. Obstetricians dominated hospital maternity care, but study showed that midwife-led care models provide safe and effective prenatal care without unnecessary medical interventions. Therefore, many health systems considered midwives to be extremely important providers of prenatal care.</w:t>
      </w:r>
    </w:p>
    <w:p w14:paraId="268A49DA" w14:textId="32616650" w:rsidR="00337024" w:rsidRPr="005924BF" w:rsidRDefault="00337024" w:rsidP="00337024">
      <w:pPr>
        <w:spacing w:before="0" w:line="360" w:lineRule="auto"/>
        <w:jc w:val="both"/>
      </w:pPr>
      <w:r w:rsidRPr="005924BF">
        <w:t>UK contributions to maternity policy reforms to promote community based and individualised care The Better Births maternity review called for women to have a midwife or a small team with them in their pregnancies and births - for continuity (NHS England, 2016). Better community prenatal midwifery in integrated maternity care.</w:t>
      </w:r>
    </w:p>
    <w:p w14:paraId="223FF295" w14:textId="3DE7397B" w:rsidR="00337024" w:rsidRPr="005924BF" w:rsidRDefault="00337024" w:rsidP="00337024">
      <w:pPr>
        <w:spacing w:before="0" w:line="360" w:lineRule="auto"/>
        <w:jc w:val="both"/>
      </w:pPr>
      <w:r w:rsidRPr="005924BF">
        <w:t xml:space="preserve">A visit about getting pregnant early to begin community prenatal care. </w:t>
      </w:r>
      <w:r w:rsidR="00CD3929" w:rsidRPr="005924BF">
        <w:t>To</w:t>
      </w:r>
      <w:r w:rsidRPr="005924BF">
        <w:t xml:space="preserve"> risk assessment and early intervention, the first prenatal appointment is recommended by 10 weeks (prenatal care NICE guideline, 2021). In this session, midwives check medical history, screen patients, order medical tests, and advice patients on nutrition, smoking cessation, and mental health. Following prenatal sessions, foetal development, maternal blood </w:t>
      </w:r>
      <w:r w:rsidR="00CD3929" w:rsidRPr="005924BF">
        <w:t>pressure,</w:t>
      </w:r>
      <w:r w:rsidRPr="005924BF">
        <w:t xml:space="preserve"> and progress of pregnancy are examined. Maternity care is multidisciplinary because community midwives make referrals to obstetricians and expert teams for patients with gestational diabetes or pre-eclampsia (Toijonen et al., 2022).</w:t>
      </w:r>
    </w:p>
    <w:p w14:paraId="51F172A7" w14:textId="0A4A156D" w:rsidR="00602650" w:rsidRPr="00602650" w:rsidRDefault="00337024" w:rsidP="00337024">
      <w:pPr>
        <w:spacing w:before="0" w:line="360" w:lineRule="auto"/>
        <w:jc w:val="both"/>
      </w:pPr>
      <w:r w:rsidRPr="005924BF">
        <w:t>Early prenatal care is critical but information indicates access to it is unequal. Only 58% of pregnant women in England visit by 10 weeks and 8% visit by 20 weeks, which means early risk-detection is limited (NHS Digital, 2023)</w:t>
      </w:r>
      <w:r w:rsidR="00602650" w:rsidRPr="00602650">
        <w:t>.</w:t>
      </w:r>
    </w:p>
    <w:p w14:paraId="36C85393" w14:textId="5CA66CA7" w:rsidR="00602650" w:rsidRPr="005924BF" w:rsidRDefault="00602650" w:rsidP="00CD3929">
      <w:pPr>
        <w:pStyle w:val="Heading2"/>
      </w:pPr>
      <w:bookmarkStart w:id="4" w:name="_Toc223903511"/>
      <w:r w:rsidRPr="005924BF">
        <w:lastRenderedPageBreak/>
        <w:t>3. Impact of Community Antenatal Midwifery Services on Maternal and Infant Health</w:t>
      </w:r>
      <w:bookmarkEnd w:id="4"/>
    </w:p>
    <w:p w14:paraId="29734707" w14:textId="56E15711" w:rsidR="00297AF4" w:rsidRPr="005924BF" w:rsidRDefault="00297AF4" w:rsidP="00297AF4">
      <w:pPr>
        <w:spacing w:before="0" w:line="360" w:lineRule="auto"/>
        <w:jc w:val="both"/>
      </w:pPr>
      <w:r w:rsidRPr="005924BF">
        <w:t xml:space="preserve">The research showed that healthcare services from community prenatal midwifery improve the health of the mother and infant. Early prenatal examination may reveal hypertension, gestational </w:t>
      </w:r>
      <w:r w:rsidR="00CD3929" w:rsidRPr="005924BF">
        <w:t>diabetes,</w:t>
      </w:r>
      <w:r w:rsidRPr="005924BF">
        <w:t xml:space="preserve"> and problems with foetal development. Early detection brings medical care and helps to reduce maternal mortality (MBRRACE-UK, 2023).</w:t>
      </w:r>
    </w:p>
    <w:p w14:paraId="4678A7F1" w14:textId="77777777" w:rsidR="00297AF4" w:rsidRPr="005924BF" w:rsidRDefault="00297AF4" w:rsidP="00297AF4">
      <w:pPr>
        <w:spacing w:before="0" w:line="360" w:lineRule="auto"/>
        <w:jc w:val="both"/>
      </w:pPr>
      <w:r w:rsidRPr="005924BF">
        <w:t>Results improve with midwifery continuity. Based on over 17,000 women from many clinical studies, midwife-led continuity of care led to a reduced preterm birth (RR 0.76) and foetal loss compared to normal maternity care. Continuity models also improve the chance that women would labour with a midwife they know, which increases the trust and the maternity care (Sandall et al. 2024).</w:t>
      </w:r>
    </w:p>
    <w:p w14:paraId="728428AC" w14:textId="2563FDE4" w:rsidR="00602650" w:rsidRPr="00602650" w:rsidRDefault="00297AF4" w:rsidP="00297AF4">
      <w:pPr>
        <w:spacing w:before="0" w:line="360" w:lineRule="auto"/>
        <w:jc w:val="both"/>
      </w:pPr>
      <w:r w:rsidRPr="005924BF">
        <w:t xml:space="preserve">Regular foetal monitoring and health education improve the health of community prenatal care infants. Midwives provide advice on food, smoking cessation, </w:t>
      </w:r>
      <w:r w:rsidR="00CD3929" w:rsidRPr="005924BF">
        <w:t>breastfeeding,</w:t>
      </w:r>
      <w:r w:rsidRPr="005924BF">
        <w:t xml:space="preserve"> and mental health which will affect development of infants and young children (World Health Organisation, 2022). Therefore, prenatal midwifery enhances the quality of life of mothers and babies.</w:t>
      </w:r>
    </w:p>
    <w:p w14:paraId="53193C8E" w14:textId="1F86AB97" w:rsidR="00602650" w:rsidRPr="005924BF" w:rsidRDefault="00602650" w:rsidP="00CD3929">
      <w:pPr>
        <w:pStyle w:val="Heading2"/>
      </w:pPr>
      <w:bookmarkStart w:id="5" w:name="_Toc223903512"/>
      <w:r w:rsidRPr="005924BF">
        <w:t>4. Challenges and Future Implications</w:t>
      </w:r>
      <w:bookmarkEnd w:id="5"/>
    </w:p>
    <w:p w14:paraId="0A34E6FC" w14:textId="3FB69EAF" w:rsidR="00602650" w:rsidRPr="00602650" w:rsidRDefault="00297AF4" w:rsidP="00602650">
      <w:pPr>
        <w:spacing w:before="0" w:line="360" w:lineRule="auto"/>
        <w:jc w:val="both"/>
      </w:pPr>
      <w:r w:rsidRPr="005924BF">
        <w:t>Community prenatal midwifery services have structural problems even with their advantages. Maternity service workforce shortages that limit the use of continuity of care models and increase midwife workloads. Still, maternal health disparities is a problem. UK surveillance statistics show there are 11.7 maternal deaths per 100,000 births, highlighting the importance of safe and effective maternity care. Maternal outcomes differ between socioeconomic and ethnic groups which demonstrates inequitable access to prenatal care (MBRRACE-UK, 2023). Increasing staff capacity and prenatal care equity is important to improving maternity care systems.</w:t>
      </w:r>
    </w:p>
    <w:p w14:paraId="2A8E0B65" w14:textId="7848081D" w:rsidR="00602650" w:rsidRPr="005924BF" w:rsidRDefault="00602650" w:rsidP="00CD3929">
      <w:pPr>
        <w:pStyle w:val="Heading2"/>
      </w:pPr>
      <w:bookmarkStart w:id="6" w:name="_Toc223903513"/>
      <w:r w:rsidRPr="005924BF">
        <w:t>5. Conclusion</w:t>
      </w:r>
      <w:bookmarkEnd w:id="6"/>
    </w:p>
    <w:p w14:paraId="2657DDDC" w14:textId="16BFBE76" w:rsidR="00602650" w:rsidRPr="005924BF" w:rsidRDefault="00297AF4" w:rsidP="00602650">
      <w:pPr>
        <w:spacing w:before="0" w:line="360" w:lineRule="auto"/>
        <w:jc w:val="both"/>
      </w:pPr>
      <w:r w:rsidRPr="005924BF">
        <w:t xml:space="preserve">Community prenatal midwifery is one of the keys to modern maternity care. Midwives support the health of both mother and baby through early prenatal assessment, preventative </w:t>
      </w:r>
      <w:r w:rsidR="00CD3929" w:rsidRPr="005924BF">
        <w:t>treatment,</w:t>
      </w:r>
      <w:r w:rsidRPr="005924BF">
        <w:t xml:space="preserve"> and support. Workforce shortages and inequities accordingly continue to harm service delivery and therefore demand a constant investment and equitable prenatal care.</w:t>
      </w:r>
    </w:p>
    <w:p w14:paraId="37B7BD02" w14:textId="77777777" w:rsidR="00602650" w:rsidRPr="005924BF" w:rsidRDefault="00602650">
      <w:pPr>
        <w:spacing w:before="0" w:after="160" w:line="259" w:lineRule="auto"/>
      </w:pPr>
      <w:r w:rsidRPr="005924BF">
        <w:br w:type="page"/>
      </w:r>
    </w:p>
    <w:p w14:paraId="761F7B63" w14:textId="15FD9B1D" w:rsidR="00602650" w:rsidRPr="005924BF" w:rsidRDefault="00602650" w:rsidP="00CD3929">
      <w:pPr>
        <w:pStyle w:val="Heading2"/>
        <w:rPr>
          <w:sz w:val="32"/>
          <w:szCs w:val="40"/>
        </w:rPr>
      </w:pPr>
      <w:bookmarkStart w:id="7" w:name="_Toc223903514"/>
      <w:r w:rsidRPr="005924BF">
        <w:lastRenderedPageBreak/>
        <w:t>References</w:t>
      </w:r>
      <w:r w:rsidR="001B723F" w:rsidRPr="005924BF">
        <w:t xml:space="preserve"> </w:t>
      </w:r>
      <w:r w:rsidR="005B7798" w:rsidRPr="005924BF">
        <w:t>(Poster &amp; Essay)</w:t>
      </w:r>
      <w:bookmarkEnd w:id="7"/>
    </w:p>
    <w:p w14:paraId="5551395B" w14:textId="77777777" w:rsidR="003C7B7A" w:rsidRPr="004765AB" w:rsidRDefault="003C7B7A" w:rsidP="004765AB">
      <w:pPr>
        <w:spacing w:before="0" w:line="360" w:lineRule="auto"/>
        <w:jc w:val="both"/>
      </w:pPr>
      <w:r w:rsidRPr="004765AB">
        <w:t xml:space="preserve">Antenatal care NICE guideline. (2021). Available at: </w:t>
      </w:r>
      <w:hyperlink r:id="rId13" w:history="1">
        <w:r w:rsidRPr="004765AB">
          <w:rPr>
            <w:rStyle w:val="Hyperlink"/>
          </w:rPr>
          <w:t>https://www.nice.org.uk/guidance/ng201/resources/antenatal-care-pdf-66143709695941</w:t>
        </w:r>
      </w:hyperlink>
      <w:r w:rsidRPr="004765AB">
        <w:t>?</w:t>
      </w:r>
    </w:p>
    <w:p w14:paraId="281235A5" w14:textId="77777777" w:rsidR="003C7B7A" w:rsidRPr="0061395B" w:rsidRDefault="003C7B7A" w:rsidP="005B7798">
      <w:pPr>
        <w:spacing w:before="0" w:line="360" w:lineRule="auto"/>
        <w:jc w:val="both"/>
        <w:rPr>
          <w:sz w:val="24"/>
          <w:szCs w:val="24"/>
        </w:rPr>
      </w:pPr>
      <w:r w:rsidRPr="0061395B">
        <w:rPr>
          <w:sz w:val="24"/>
          <w:szCs w:val="24"/>
        </w:rPr>
        <w:t>Burns, T. (2020). Community-Based Mental Health Care in Britain. </w:t>
      </w:r>
      <w:r w:rsidRPr="0061395B">
        <w:rPr>
          <w:i/>
          <w:iCs/>
          <w:sz w:val="24"/>
          <w:szCs w:val="24"/>
        </w:rPr>
        <w:t>Consortium Psychiatricum</w:t>
      </w:r>
      <w:r w:rsidRPr="0061395B">
        <w:rPr>
          <w:sz w:val="24"/>
          <w:szCs w:val="24"/>
        </w:rPr>
        <w:t>, 1(2), pp.14–20. doi:</w:t>
      </w:r>
      <w:hyperlink r:id="rId14" w:history="1">
        <w:r w:rsidRPr="0061395B">
          <w:rPr>
            <w:rStyle w:val="Hyperlink"/>
            <w:sz w:val="24"/>
            <w:szCs w:val="24"/>
          </w:rPr>
          <w:t>https://doi.org/10.17650/2712-7672-2020-1-2-14-20</w:t>
        </w:r>
      </w:hyperlink>
      <w:r w:rsidRPr="0061395B">
        <w:rPr>
          <w:sz w:val="24"/>
          <w:szCs w:val="24"/>
        </w:rPr>
        <w:t>.</w:t>
      </w:r>
      <w:r w:rsidRPr="005924BF">
        <w:rPr>
          <w:sz w:val="24"/>
          <w:szCs w:val="24"/>
        </w:rPr>
        <w:t xml:space="preserve"> </w:t>
      </w:r>
    </w:p>
    <w:p w14:paraId="5DA0CFC2" w14:textId="77777777" w:rsidR="003C7B7A" w:rsidRPr="005924BF" w:rsidRDefault="003C7B7A" w:rsidP="005B7798">
      <w:pPr>
        <w:spacing w:before="0" w:line="360" w:lineRule="auto"/>
        <w:jc w:val="both"/>
        <w:rPr>
          <w:sz w:val="24"/>
          <w:szCs w:val="24"/>
        </w:rPr>
      </w:pPr>
      <w:r w:rsidRPr="005924BF">
        <w:rPr>
          <w:sz w:val="24"/>
          <w:szCs w:val="24"/>
        </w:rPr>
        <w:t>Care Quality Commission Survey Data</w:t>
      </w:r>
      <w:r w:rsidRPr="000B75E6">
        <w:rPr>
          <w:sz w:val="24"/>
          <w:szCs w:val="24"/>
        </w:rPr>
        <w:t xml:space="preserve"> (</w:t>
      </w:r>
      <w:r w:rsidRPr="005924BF">
        <w:rPr>
          <w:sz w:val="24"/>
          <w:szCs w:val="24"/>
        </w:rPr>
        <w:t>2022</w:t>
      </w:r>
      <w:r w:rsidRPr="000B75E6">
        <w:rPr>
          <w:sz w:val="24"/>
          <w:szCs w:val="24"/>
        </w:rPr>
        <w:t xml:space="preserve">). Available at: </w:t>
      </w:r>
      <w:hyperlink r:id="rId15" w:history="1">
        <w:r w:rsidRPr="000B75E6">
          <w:rPr>
            <w:rStyle w:val="Hyperlink"/>
            <w:sz w:val="24"/>
            <w:szCs w:val="24"/>
          </w:rPr>
          <w:t>https://doc.ukdataservice.ac.uk/doc/9046/mrdoc/pdf/9046_20221019_cmh22_statistical_release_final.pdf</w:t>
        </w:r>
      </w:hyperlink>
      <w:r w:rsidRPr="000B75E6">
        <w:rPr>
          <w:sz w:val="24"/>
          <w:szCs w:val="24"/>
        </w:rPr>
        <w:t>.</w:t>
      </w:r>
    </w:p>
    <w:p w14:paraId="7D4F36FD" w14:textId="77777777" w:rsidR="003C7B7A" w:rsidRPr="0061395B" w:rsidRDefault="003C7B7A" w:rsidP="005B7798">
      <w:pPr>
        <w:spacing w:before="0" w:line="360" w:lineRule="auto"/>
        <w:jc w:val="both"/>
        <w:rPr>
          <w:sz w:val="24"/>
          <w:szCs w:val="24"/>
        </w:rPr>
      </w:pPr>
      <w:r w:rsidRPr="0061395B">
        <w:rPr>
          <w:sz w:val="24"/>
          <w:szCs w:val="24"/>
        </w:rPr>
        <w:t>Chutiyami, M., Cutler, N., Sangon, S., Thaweekoon, T., Nintachan, P., Napa, W., Kraithaworn, P. and River, J. (2025). Community-Engaged Mental Health and Wellbeing Initiatives in Under-Resourced Settings: A Scoping Review of Primary Studies. </w:t>
      </w:r>
      <w:r w:rsidRPr="0061395B">
        <w:rPr>
          <w:i/>
          <w:iCs/>
          <w:sz w:val="24"/>
          <w:szCs w:val="24"/>
        </w:rPr>
        <w:t>Journal of Primary Care &amp; Community Health</w:t>
      </w:r>
      <w:r w:rsidRPr="0061395B">
        <w:rPr>
          <w:sz w:val="24"/>
          <w:szCs w:val="24"/>
        </w:rPr>
        <w:t>, 16. doi:</w:t>
      </w:r>
      <w:hyperlink r:id="rId16" w:history="1">
        <w:r w:rsidRPr="0061395B">
          <w:rPr>
            <w:rStyle w:val="Hyperlink"/>
            <w:sz w:val="24"/>
            <w:szCs w:val="24"/>
          </w:rPr>
          <w:t>https://doi.org/10.1177/21501319251332723</w:t>
        </w:r>
      </w:hyperlink>
      <w:r w:rsidRPr="0061395B">
        <w:rPr>
          <w:sz w:val="24"/>
          <w:szCs w:val="24"/>
        </w:rPr>
        <w:t>.</w:t>
      </w:r>
      <w:r w:rsidRPr="005924BF">
        <w:rPr>
          <w:sz w:val="24"/>
          <w:szCs w:val="24"/>
        </w:rPr>
        <w:t xml:space="preserve"> </w:t>
      </w:r>
    </w:p>
    <w:p w14:paraId="62FD8F3B" w14:textId="55F9998E" w:rsidR="003C7B7A" w:rsidRPr="0061395B" w:rsidRDefault="003C7B7A" w:rsidP="005B7798">
      <w:pPr>
        <w:spacing w:before="0" w:line="360" w:lineRule="auto"/>
        <w:jc w:val="both"/>
        <w:rPr>
          <w:sz w:val="24"/>
          <w:szCs w:val="24"/>
        </w:rPr>
      </w:pPr>
      <w:r w:rsidRPr="0061395B">
        <w:rPr>
          <w:sz w:val="24"/>
          <w:szCs w:val="24"/>
        </w:rPr>
        <w:t xml:space="preserve">Howie, C., Shannon, C., Mccartan, C., Mulholland, </w:t>
      </w:r>
      <w:r w:rsidR="00CD3929" w:rsidRPr="005924BF">
        <w:rPr>
          <w:sz w:val="24"/>
          <w:szCs w:val="24"/>
        </w:rPr>
        <w:t>C.,</w:t>
      </w:r>
      <w:r w:rsidRPr="0061395B">
        <w:rPr>
          <w:sz w:val="24"/>
          <w:szCs w:val="24"/>
        </w:rPr>
        <w:t xml:space="preserve"> and Davidson, G. (</w:t>
      </w:r>
      <w:r w:rsidRPr="00A55DCB">
        <w:rPr>
          <w:sz w:val="24"/>
          <w:szCs w:val="24"/>
        </w:rPr>
        <w:t>2025</w:t>
      </w:r>
      <w:r w:rsidRPr="0061395B">
        <w:rPr>
          <w:sz w:val="24"/>
          <w:szCs w:val="24"/>
        </w:rPr>
        <w:t>). </w:t>
      </w:r>
      <w:r w:rsidRPr="0061395B">
        <w:rPr>
          <w:i/>
          <w:iCs/>
          <w:sz w:val="24"/>
          <w:szCs w:val="24"/>
        </w:rPr>
        <w:t>Community Mental Health Teams: A Rapid Review of Service Models</w:t>
      </w:r>
      <w:r w:rsidRPr="0061395B">
        <w:rPr>
          <w:sz w:val="24"/>
          <w:szCs w:val="24"/>
        </w:rPr>
        <w:t xml:space="preserve">. [online] Available at: </w:t>
      </w:r>
      <w:hyperlink r:id="rId17" w:history="1">
        <w:r w:rsidRPr="0061395B">
          <w:rPr>
            <w:rStyle w:val="Hyperlink"/>
            <w:sz w:val="24"/>
            <w:szCs w:val="24"/>
          </w:rPr>
          <w:t>https://www.impactresearchcentre.co.uk/site/wp-content/uploads/2025/09/CMHT-Rapid-Review-v9.7.25.pdf</w:t>
        </w:r>
      </w:hyperlink>
      <w:r w:rsidRPr="0061395B">
        <w:rPr>
          <w:sz w:val="24"/>
          <w:szCs w:val="24"/>
        </w:rPr>
        <w:t>?</w:t>
      </w:r>
      <w:r w:rsidRPr="005924BF">
        <w:rPr>
          <w:sz w:val="24"/>
          <w:szCs w:val="24"/>
        </w:rPr>
        <w:t xml:space="preserve"> </w:t>
      </w:r>
    </w:p>
    <w:p w14:paraId="346CA612" w14:textId="77777777" w:rsidR="003C7B7A" w:rsidRPr="0061395B" w:rsidRDefault="003C7B7A" w:rsidP="005B7798">
      <w:pPr>
        <w:spacing w:before="0" w:line="360" w:lineRule="auto"/>
        <w:jc w:val="both"/>
        <w:rPr>
          <w:sz w:val="24"/>
          <w:szCs w:val="24"/>
        </w:rPr>
      </w:pPr>
      <w:r w:rsidRPr="0061395B">
        <w:rPr>
          <w:sz w:val="24"/>
          <w:szCs w:val="24"/>
        </w:rPr>
        <w:t>Liana, L. and Windarwati, H.D. (2021). The effectivity role of community mental health worker for rehabilitation of mental health illness: A systematic review. </w:t>
      </w:r>
      <w:r w:rsidRPr="0061395B">
        <w:rPr>
          <w:i/>
          <w:iCs/>
          <w:sz w:val="24"/>
          <w:szCs w:val="24"/>
        </w:rPr>
        <w:t>Clinical Epidemiology and Global Health</w:t>
      </w:r>
      <w:r w:rsidRPr="0061395B">
        <w:rPr>
          <w:sz w:val="24"/>
          <w:szCs w:val="24"/>
        </w:rPr>
        <w:t>, 11, p.100709. doi:</w:t>
      </w:r>
      <w:hyperlink r:id="rId18" w:history="1">
        <w:r w:rsidRPr="0061395B">
          <w:rPr>
            <w:rStyle w:val="Hyperlink"/>
            <w:sz w:val="24"/>
            <w:szCs w:val="24"/>
          </w:rPr>
          <w:t>https://doi.org/10.1016/j.cegh.2021.100709</w:t>
        </w:r>
      </w:hyperlink>
      <w:r w:rsidRPr="0061395B">
        <w:rPr>
          <w:sz w:val="24"/>
          <w:szCs w:val="24"/>
        </w:rPr>
        <w:t>.</w:t>
      </w:r>
      <w:r w:rsidRPr="005924BF">
        <w:rPr>
          <w:sz w:val="24"/>
          <w:szCs w:val="24"/>
        </w:rPr>
        <w:t xml:space="preserve"> </w:t>
      </w:r>
    </w:p>
    <w:p w14:paraId="472BDFFF" w14:textId="77777777" w:rsidR="003C7B7A" w:rsidRPr="00971C37" w:rsidRDefault="003C7B7A" w:rsidP="00971C37">
      <w:pPr>
        <w:spacing w:before="0" w:line="360" w:lineRule="auto"/>
        <w:jc w:val="both"/>
      </w:pPr>
      <w:r w:rsidRPr="00971C37">
        <w:t>MBRRACE-UK (2023). </w:t>
      </w:r>
      <w:r w:rsidRPr="00971C37">
        <w:rPr>
          <w:i/>
          <w:iCs/>
        </w:rPr>
        <w:t>Maternal, Newborn and Infant Clinical Outcome Review Programme Saving Lives, Improving Mothers’ Care State of the Nation Surveillance Report Maternal, Newborn and Infant Clinical Outcome Review Programme Saving Lives, Improving Mothers’ Care</w:t>
      </w:r>
      <w:r w:rsidRPr="00971C37">
        <w:t xml:space="preserve">. [online] Available at: </w:t>
      </w:r>
      <w:hyperlink r:id="rId19" w:history="1">
        <w:r w:rsidRPr="00971C37">
          <w:rPr>
            <w:rStyle w:val="Hyperlink"/>
          </w:rPr>
          <w:t>https://www.npeu.ox.ac.uk/assets/downloads/mbrrace-uk/reports/maternal-report-2023/MBRRACE-UK_Maternal_Compiled_Report_2023.pdf</w:t>
        </w:r>
      </w:hyperlink>
      <w:r w:rsidRPr="00971C37">
        <w:t>.</w:t>
      </w:r>
      <w:r w:rsidRPr="005924BF">
        <w:t xml:space="preserve"> </w:t>
      </w:r>
    </w:p>
    <w:p w14:paraId="793D2335" w14:textId="77777777" w:rsidR="003C7B7A" w:rsidRPr="007857F1" w:rsidRDefault="003C7B7A" w:rsidP="005B7798">
      <w:pPr>
        <w:spacing w:before="0" w:line="360" w:lineRule="auto"/>
        <w:jc w:val="both"/>
        <w:rPr>
          <w:sz w:val="24"/>
          <w:szCs w:val="24"/>
        </w:rPr>
      </w:pPr>
      <w:r w:rsidRPr="007857F1">
        <w:rPr>
          <w:sz w:val="24"/>
          <w:szCs w:val="24"/>
        </w:rPr>
        <w:t>McGrath, M., Duncan, F., Dotsikas, K., Baskin, C., Crosby, L., Gnani, S., Hunter, R.M., Kaner, E., Kirkbride, J.B., Lafortune, L., Lee, C., Oliver, E., Osborn, D.P., Walters, K.R. and Dykxhoorn, J. (2021). Effectiveness of community interventions for protecting and promoting the mental health of working-age adults experiencing financial uncertainty: a systematic review. </w:t>
      </w:r>
      <w:r w:rsidRPr="007857F1">
        <w:rPr>
          <w:i/>
          <w:iCs/>
          <w:sz w:val="24"/>
          <w:szCs w:val="24"/>
        </w:rPr>
        <w:t>Journal of Epidemiology and Community Health</w:t>
      </w:r>
      <w:r w:rsidRPr="007857F1">
        <w:rPr>
          <w:sz w:val="24"/>
          <w:szCs w:val="24"/>
        </w:rPr>
        <w:t>, 75(7), pp.665–673. doi:</w:t>
      </w:r>
      <w:hyperlink r:id="rId20" w:history="1">
        <w:r w:rsidRPr="007857F1">
          <w:rPr>
            <w:rStyle w:val="Hyperlink"/>
            <w:sz w:val="24"/>
            <w:szCs w:val="24"/>
          </w:rPr>
          <w:t>https://doi.org/10.1136/jech-2020-215574</w:t>
        </w:r>
      </w:hyperlink>
      <w:r w:rsidRPr="007857F1">
        <w:rPr>
          <w:sz w:val="24"/>
          <w:szCs w:val="24"/>
        </w:rPr>
        <w:t>.</w:t>
      </w:r>
      <w:r w:rsidRPr="005924BF">
        <w:rPr>
          <w:sz w:val="24"/>
          <w:szCs w:val="24"/>
        </w:rPr>
        <w:t xml:space="preserve"> </w:t>
      </w:r>
    </w:p>
    <w:p w14:paraId="397CA5D6" w14:textId="77777777" w:rsidR="003C7B7A" w:rsidRPr="00602650" w:rsidRDefault="003C7B7A" w:rsidP="00602650">
      <w:pPr>
        <w:spacing w:before="0" w:line="360" w:lineRule="auto"/>
        <w:jc w:val="both"/>
      </w:pPr>
      <w:r w:rsidRPr="00602650">
        <w:lastRenderedPageBreak/>
        <w:t xml:space="preserve">NHS Digital (2023) </w:t>
      </w:r>
      <w:r w:rsidRPr="00602650">
        <w:rPr>
          <w:i/>
          <w:iCs/>
        </w:rPr>
        <w:t>Maternity Services Monthly Statistics</w:t>
      </w:r>
      <w:r w:rsidRPr="00602650">
        <w:t>.</w:t>
      </w:r>
      <w:r w:rsidRPr="00602650">
        <w:br/>
      </w:r>
      <w:hyperlink r:id="rId21" w:history="1">
        <w:r w:rsidRPr="005924BF">
          <w:rPr>
            <w:rStyle w:val="Hyperlink"/>
          </w:rPr>
          <w:t>Antenatal booking appointments - NHS England Digital</w:t>
        </w:r>
      </w:hyperlink>
    </w:p>
    <w:p w14:paraId="7DF2C6B3" w14:textId="77777777" w:rsidR="003C7B7A" w:rsidRPr="005924BF" w:rsidRDefault="003C7B7A" w:rsidP="00602650">
      <w:pPr>
        <w:spacing w:before="0" w:line="360" w:lineRule="auto"/>
        <w:jc w:val="both"/>
      </w:pPr>
      <w:r w:rsidRPr="00602650">
        <w:t xml:space="preserve">NHS England (2016) </w:t>
      </w:r>
      <w:r w:rsidRPr="00602650">
        <w:rPr>
          <w:i/>
          <w:iCs/>
        </w:rPr>
        <w:t>Better Births: Improving Outcomes of Maternity Services in England</w:t>
      </w:r>
      <w:r w:rsidRPr="00602650">
        <w:t>.</w:t>
      </w:r>
      <w:r w:rsidRPr="005924BF">
        <w:t xml:space="preserve"> </w:t>
      </w:r>
      <w:hyperlink r:id="rId22" w:history="1">
        <w:r w:rsidRPr="005924BF">
          <w:rPr>
            <w:rStyle w:val="Hyperlink"/>
          </w:rPr>
          <w:t>https://www.england.nhs.uk/wp-content/uploads/2016/02/national-maternity-review-report.pdf</w:t>
        </w:r>
      </w:hyperlink>
      <w:r w:rsidRPr="005924BF">
        <w:t>?</w:t>
      </w:r>
    </w:p>
    <w:p w14:paraId="65BDB790" w14:textId="77777777" w:rsidR="003C7B7A" w:rsidRPr="00737737" w:rsidRDefault="003C7B7A" w:rsidP="005B7798">
      <w:pPr>
        <w:spacing w:before="0" w:line="360" w:lineRule="auto"/>
        <w:jc w:val="both"/>
        <w:rPr>
          <w:sz w:val="24"/>
          <w:szCs w:val="24"/>
        </w:rPr>
      </w:pPr>
      <w:r w:rsidRPr="00737737">
        <w:rPr>
          <w:sz w:val="24"/>
          <w:szCs w:val="24"/>
        </w:rPr>
        <w:t>Roth, C., Wensing, M., Kuzman, M.R., Bjedov, S., Medved, S., Istvanovic, A., Grbic, D.S., Simetin, I.P., Tomcuk, A., Dedovic, J., Djurisic, T., Nica, R.I., Rotaru, T., Novotni, A., Bajraktarov, S., Milutinovic, M., Nakov, V., Zarkov, Z., Dinolova, R. and Walters, B.H. (2021). Experiences of healthcare staff providing community-based mental healthcare as a multidisciplinary community mental health team in Central and Eastern Europe findings from the RECOVER-E project: an observational intervention study. </w:t>
      </w:r>
      <w:r w:rsidRPr="00737737">
        <w:rPr>
          <w:i/>
          <w:iCs/>
          <w:sz w:val="24"/>
          <w:szCs w:val="24"/>
        </w:rPr>
        <w:t>BMC Psychiatry</w:t>
      </w:r>
      <w:r w:rsidRPr="00737737">
        <w:rPr>
          <w:sz w:val="24"/>
          <w:szCs w:val="24"/>
        </w:rPr>
        <w:t>, [online] 21(525). doi:</w:t>
      </w:r>
      <w:hyperlink r:id="rId23" w:history="1">
        <w:r w:rsidRPr="00737737">
          <w:rPr>
            <w:rStyle w:val="Hyperlink"/>
            <w:sz w:val="24"/>
            <w:szCs w:val="24"/>
          </w:rPr>
          <w:t>https://doi.org/10.1186/s12888-021-03542-2</w:t>
        </w:r>
      </w:hyperlink>
      <w:r w:rsidRPr="00737737">
        <w:rPr>
          <w:sz w:val="24"/>
          <w:szCs w:val="24"/>
        </w:rPr>
        <w:t>.</w:t>
      </w:r>
      <w:r w:rsidRPr="005924BF">
        <w:rPr>
          <w:sz w:val="24"/>
          <w:szCs w:val="24"/>
        </w:rPr>
        <w:t xml:space="preserve"> </w:t>
      </w:r>
    </w:p>
    <w:p w14:paraId="3A37F6F0" w14:textId="37477A64" w:rsidR="003C7B7A" w:rsidRPr="005924BF" w:rsidRDefault="003C7B7A" w:rsidP="00A55DCB">
      <w:pPr>
        <w:spacing w:before="0" w:line="360" w:lineRule="auto"/>
        <w:jc w:val="both"/>
      </w:pPr>
      <w:r w:rsidRPr="004765AB">
        <w:t xml:space="preserve">Sandall, J., Fernandez Turienzo, C., Devane, D., Soltani, H., Gillespie, P., Gates, S., Jones, L.V., Shennan, </w:t>
      </w:r>
      <w:r w:rsidR="00CD3929" w:rsidRPr="005924BF">
        <w:t>A.H.,</w:t>
      </w:r>
      <w:r w:rsidRPr="004765AB">
        <w:t xml:space="preserve"> and Rayment-Jones, H. (2024). Midwife continuity of care models versus other models of care for childbearing women. </w:t>
      </w:r>
      <w:r w:rsidRPr="004765AB">
        <w:rPr>
          <w:i/>
          <w:iCs/>
        </w:rPr>
        <w:t>Cochrane Library</w:t>
      </w:r>
      <w:r w:rsidRPr="004765AB">
        <w:t>, [online] 2024(4). doi:</w:t>
      </w:r>
      <w:hyperlink r:id="rId24" w:history="1">
        <w:r w:rsidRPr="004765AB">
          <w:rPr>
            <w:rStyle w:val="Hyperlink"/>
          </w:rPr>
          <w:t>https://doi.org/10.1002/14651858.cd004667.pub6</w:t>
        </w:r>
      </w:hyperlink>
      <w:r w:rsidRPr="004765AB">
        <w:t>.</w:t>
      </w:r>
    </w:p>
    <w:p w14:paraId="1009370C" w14:textId="77777777" w:rsidR="003C7B7A" w:rsidRPr="005924BF" w:rsidRDefault="003C7B7A" w:rsidP="005B7798">
      <w:pPr>
        <w:spacing w:before="0" w:line="360" w:lineRule="auto"/>
        <w:jc w:val="both"/>
      </w:pPr>
      <w:r w:rsidRPr="00A55DCB">
        <w:rPr>
          <w:sz w:val="24"/>
          <w:szCs w:val="24"/>
        </w:rPr>
        <w:t xml:space="preserve">Singh, S. (2000) ‘Running an effective community mental health team’, </w:t>
      </w:r>
      <w:r w:rsidRPr="00A55DCB">
        <w:rPr>
          <w:i/>
          <w:iCs/>
          <w:sz w:val="24"/>
          <w:szCs w:val="24"/>
        </w:rPr>
        <w:t>Advances in Psychiatric Treatment</w:t>
      </w:r>
      <w:r w:rsidRPr="00A55DCB">
        <w:rPr>
          <w:sz w:val="24"/>
          <w:szCs w:val="24"/>
        </w:rPr>
        <w:t>.</w:t>
      </w:r>
      <w:r w:rsidRPr="005924BF">
        <w:rPr>
          <w:sz w:val="24"/>
          <w:szCs w:val="24"/>
        </w:rPr>
        <w:t xml:space="preserve"> </w:t>
      </w:r>
      <w:hyperlink r:id="rId25" w:history="1">
        <w:r w:rsidRPr="005924BF">
          <w:rPr>
            <w:rStyle w:val="Hyperlink"/>
          </w:rPr>
          <w:t>https://www.cambridge.org/core/services/aop-cambridge-core/content/view/02EC9E5976021F987922079B75BD611D</w:t>
        </w:r>
      </w:hyperlink>
      <w:r w:rsidRPr="005924BF">
        <w:t xml:space="preserve"> </w:t>
      </w:r>
    </w:p>
    <w:p w14:paraId="4C918360" w14:textId="77777777" w:rsidR="003C7B7A" w:rsidRPr="00971C37" w:rsidRDefault="003C7B7A" w:rsidP="00971C37">
      <w:pPr>
        <w:spacing w:before="0" w:line="360" w:lineRule="auto"/>
        <w:jc w:val="both"/>
      </w:pPr>
      <w:r w:rsidRPr="00971C37">
        <w:t>Toijonen, A., Heinonen, S., Gissler, M. and Macharey, G. (2022). Neonatal outcome in vaginal breech labor at 32 + 0—36 + 0 weeks of gestation: a nationwide, population-based record linkage study. </w:t>
      </w:r>
      <w:r w:rsidRPr="00971C37">
        <w:rPr>
          <w:i/>
          <w:iCs/>
        </w:rPr>
        <w:t>BMC Pregnancy and Childbirth</w:t>
      </w:r>
      <w:r w:rsidRPr="00971C37">
        <w:t>, 22(1). doi:</w:t>
      </w:r>
      <w:hyperlink r:id="rId26" w:history="1">
        <w:r w:rsidRPr="00971C37">
          <w:rPr>
            <w:rStyle w:val="Hyperlink"/>
          </w:rPr>
          <w:t>https://doi.org/10.1186/s12884-022-04547-9</w:t>
        </w:r>
      </w:hyperlink>
      <w:r w:rsidRPr="00971C37">
        <w:t>.</w:t>
      </w:r>
      <w:r w:rsidRPr="005924BF">
        <w:t xml:space="preserve"> </w:t>
      </w:r>
    </w:p>
    <w:p w14:paraId="0569E6AD" w14:textId="77777777" w:rsidR="003C7B7A" w:rsidRDefault="003C7B7A" w:rsidP="00A55DCB">
      <w:pPr>
        <w:spacing w:before="0" w:line="360" w:lineRule="auto"/>
        <w:jc w:val="both"/>
      </w:pPr>
      <w:r w:rsidRPr="004765AB">
        <w:t>World Health Organization (2022). </w:t>
      </w:r>
      <w:r w:rsidRPr="004765AB">
        <w:rPr>
          <w:i/>
          <w:iCs/>
        </w:rPr>
        <w:t>WHO recommendations on maternal and newborn care for a positive postnatal experience</w:t>
      </w:r>
      <w:r w:rsidRPr="004765AB">
        <w:t xml:space="preserve">. [online] Geneva: World Health Organization. Available at: </w:t>
      </w:r>
      <w:hyperlink r:id="rId27" w:history="1">
        <w:r w:rsidRPr="004765AB">
          <w:rPr>
            <w:rStyle w:val="Hyperlink"/>
          </w:rPr>
          <w:t>https://www.who.int/publications/i/item/9789240045989</w:t>
        </w:r>
      </w:hyperlink>
      <w:r w:rsidRPr="004765AB">
        <w:t>.</w:t>
      </w:r>
    </w:p>
    <w:p w14:paraId="3ED14D03" w14:textId="77777777" w:rsidR="005B7798" w:rsidRPr="00A55DCB" w:rsidRDefault="005B7798" w:rsidP="00A55DCB">
      <w:pPr>
        <w:spacing w:before="0" w:line="360" w:lineRule="auto"/>
        <w:jc w:val="both"/>
      </w:pPr>
    </w:p>
    <w:sectPr w:rsidR="005B7798" w:rsidRPr="00A55DCB" w:rsidSect="00FD618A">
      <w:pgSz w:w="11906" w:h="16838" w:code="9"/>
      <w:pgMar w:top="1440" w:right="1440" w:bottom="1440" w:left="1440" w:header="720" w:footer="720" w:gutter="0"/>
      <w:pgBorders w:offsetFrom="page">
        <w:top w:val="thickThinSmallGap" w:sz="24" w:space="24" w:color="auto"/>
        <w:left w:val="thickThin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02E789" w14:textId="77777777" w:rsidR="00462427" w:rsidRDefault="00462427" w:rsidP="000B75E6">
      <w:pPr>
        <w:spacing w:before="0" w:after="0"/>
      </w:pPr>
      <w:r>
        <w:separator/>
      </w:r>
    </w:p>
  </w:endnote>
  <w:endnote w:type="continuationSeparator" w:id="0">
    <w:p w14:paraId="14B2BE00" w14:textId="77777777" w:rsidR="00462427" w:rsidRDefault="00462427" w:rsidP="000B75E6">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altName w:val="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1279060747"/>
      <w:docPartObj>
        <w:docPartGallery w:val="Page Numbers (Bottom of Page)"/>
        <w:docPartUnique/>
      </w:docPartObj>
    </w:sdtPr>
    <w:sdtEndPr>
      <w:rPr>
        <w:color w:val="7F7F7F" w:themeColor="background1" w:themeShade="7F"/>
        <w:spacing w:val="60"/>
      </w:rPr>
    </w:sdtEndPr>
    <w:sdtContent>
      <w:p w14:paraId="5E0B4029" w14:textId="57F326A5" w:rsidR="005552B2" w:rsidRPr="005552B2" w:rsidRDefault="005552B2">
        <w:pPr>
          <w:pStyle w:val="Footer"/>
          <w:pBdr>
            <w:top w:val="single" w:sz="4" w:space="1" w:color="D9D9D9" w:themeColor="background1" w:themeShade="D9"/>
          </w:pBdr>
          <w:jc w:val="right"/>
          <w:rPr>
            <w:sz w:val="24"/>
            <w:szCs w:val="24"/>
          </w:rPr>
        </w:pPr>
        <w:r w:rsidRPr="005552B2">
          <w:rPr>
            <w:sz w:val="24"/>
            <w:szCs w:val="24"/>
          </w:rPr>
          <w:fldChar w:fldCharType="begin"/>
        </w:r>
        <w:r w:rsidRPr="005552B2">
          <w:rPr>
            <w:sz w:val="24"/>
            <w:szCs w:val="24"/>
          </w:rPr>
          <w:instrText>PAGE   \* MERGEFORMAT</w:instrText>
        </w:r>
        <w:r w:rsidRPr="005552B2">
          <w:rPr>
            <w:sz w:val="24"/>
            <w:szCs w:val="24"/>
          </w:rPr>
          <w:fldChar w:fldCharType="separate"/>
        </w:r>
        <w:r w:rsidRPr="005552B2">
          <w:rPr>
            <w:sz w:val="24"/>
            <w:szCs w:val="24"/>
          </w:rPr>
          <w:t>2</w:t>
        </w:r>
        <w:r w:rsidRPr="005552B2">
          <w:rPr>
            <w:sz w:val="24"/>
            <w:szCs w:val="24"/>
          </w:rPr>
          <w:fldChar w:fldCharType="end"/>
        </w:r>
        <w:r w:rsidRPr="005552B2">
          <w:rPr>
            <w:sz w:val="24"/>
            <w:szCs w:val="24"/>
          </w:rPr>
          <w:t xml:space="preserve"> | </w:t>
        </w:r>
        <w:r w:rsidRPr="005552B2">
          <w:rPr>
            <w:color w:val="7F7F7F" w:themeColor="background1" w:themeShade="7F"/>
            <w:spacing w:val="60"/>
            <w:sz w:val="24"/>
            <w:szCs w:val="24"/>
          </w:rPr>
          <w:t>Page</w:t>
        </w:r>
      </w:p>
    </w:sdtContent>
  </w:sdt>
  <w:p w14:paraId="64223EBD" w14:textId="77777777" w:rsidR="005552B2" w:rsidRPr="005552B2" w:rsidRDefault="005552B2">
    <w:pPr>
      <w:pStyle w:val="Footer"/>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497C4" w14:textId="77777777" w:rsidR="00462427" w:rsidRDefault="00462427" w:rsidP="000B75E6">
      <w:pPr>
        <w:spacing w:before="0" w:after="0"/>
      </w:pPr>
      <w:r>
        <w:separator/>
      </w:r>
    </w:p>
  </w:footnote>
  <w:footnote w:type="continuationSeparator" w:id="0">
    <w:p w14:paraId="03C184AB" w14:textId="77777777" w:rsidR="00462427" w:rsidRDefault="00462427" w:rsidP="000B75E6">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23A331" w14:textId="6D2018BC" w:rsidR="006E218C" w:rsidRPr="006E218C" w:rsidRDefault="006E218C" w:rsidP="006E218C">
    <w:pPr>
      <w:pStyle w:val="Header"/>
    </w:pPr>
    <w:r w:rsidRPr="006E218C">
      <w:rPr>
        <w:b/>
        <w:bCs/>
        <w:noProof/>
        <w:sz w:val="32"/>
        <w:szCs w:val="32"/>
      </w:rPr>
      <w:drawing>
        <wp:anchor distT="0" distB="0" distL="114300" distR="114300" simplePos="0" relativeHeight="251658240" behindDoc="0" locked="0" layoutInCell="1" allowOverlap="1" wp14:anchorId="0361D9A3" wp14:editId="1F432E09">
          <wp:simplePos x="0" y="0"/>
          <wp:positionH relativeFrom="margin">
            <wp:align>left</wp:align>
          </wp:positionH>
          <wp:positionV relativeFrom="paragraph">
            <wp:posOffset>-62495</wp:posOffset>
          </wp:positionV>
          <wp:extent cx="937594" cy="328674"/>
          <wp:effectExtent l="0" t="0" r="0" b="0"/>
          <wp:wrapNone/>
          <wp:docPr id="611061147" name="Picture 1035">
            <a:extLst xmlns:a="http://schemas.openxmlformats.org/drawingml/2006/main">
              <a:ext uri="{FF2B5EF4-FFF2-40B4-BE49-F238E27FC236}">
                <a16:creationId xmlns:a16="http://schemas.microsoft.com/office/drawing/2014/main" id="{E8DC185F-6BB2-046E-7496-8E1BC093A3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 name="Picture 1035">
                    <a:extLst>
                      <a:ext uri="{FF2B5EF4-FFF2-40B4-BE49-F238E27FC236}">
                        <a16:creationId xmlns:a16="http://schemas.microsoft.com/office/drawing/2014/main" id="{E8DC185F-6BB2-046E-7496-8E1BC093A34D}"/>
                      </a:ext>
                    </a:extLst>
                  </pic:cNvPr>
                  <pic:cNvPicPr>
                    <a:picLocks noChangeAspect="1"/>
                  </pic:cNvPicPr>
                </pic:nvPicPr>
                <pic:blipFill>
                  <a:blip r:embed="rId1">
                    <a:alphaModFix/>
                    <a:extLst>
                      <a:ext uri="{28A0092B-C50C-407E-A947-70E740481C1C}">
                        <a14:useLocalDpi xmlns:a14="http://schemas.microsoft.com/office/drawing/2010/main" val="0"/>
                      </a:ext>
                    </a:extLst>
                  </a:blip>
                  <a:srcRect l="10010" t="15523" r="9266" b="16713"/>
                  <a:stretch>
                    <a:fillRect/>
                  </a:stretch>
                </pic:blipFill>
                <pic:spPr>
                  <a:xfrm>
                    <a:off x="0" y="0"/>
                    <a:ext cx="937594" cy="328674"/>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833C3"/>
    <w:multiLevelType w:val="hybridMultilevel"/>
    <w:tmpl w:val="E89A22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376784"/>
    <w:multiLevelType w:val="multilevel"/>
    <w:tmpl w:val="BE3E07AA"/>
    <w:lvl w:ilvl="0">
      <w:start w:val="3"/>
      <w:numFmt w:val="upperLetter"/>
      <w:lvlText w:val="%1."/>
      <w:lvlJc w:val="left"/>
      <w:pPr>
        <w:ind w:left="697" w:hanging="250"/>
      </w:pPr>
      <w:rPr>
        <w:rFonts w:ascii="Trebuchet MS" w:eastAsia="Trebuchet MS" w:hAnsi="Trebuchet MS" w:cs="Trebuchet MS" w:hint="default"/>
        <w:b/>
        <w:bCs/>
        <w:i/>
        <w:iCs/>
        <w:spacing w:val="0"/>
        <w:w w:val="81"/>
        <w:sz w:val="24"/>
        <w:szCs w:val="24"/>
        <w:lang w:val="en-US" w:eastAsia="en-US" w:bidi="ar-SA"/>
      </w:rPr>
    </w:lvl>
    <w:lvl w:ilvl="1">
      <w:start w:val="1"/>
      <w:numFmt w:val="decimal"/>
      <w:lvlText w:val="%2."/>
      <w:lvlJc w:val="left"/>
      <w:pPr>
        <w:ind w:left="766" w:hanging="319"/>
      </w:pPr>
      <w:rPr>
        <w:rFonts w:ascii="Times New Roman" w:eastAsia="Trebuchet MS" w:hAnsi="Times New Roman" w:cs="Times New Roman" w:hint="default"/>
        <w:b/>
        <w:bCs/>
        <w:i w:val="0"/>
        <w:iCs w:val="0"/>
        <w:color w:val="0F4761"/>
        <w:spacing w:val="-1"/>
        <w:w w:val="84"/>
        <w:sz w:val="32"/>
        <w:szCs w:val="32"/>
        <w:lang w:val="en-US" w:eastAsia="en-US" w:bidi="ar-SA"/>
      </w:rPr>
    </w:lvl>
    <w:lvl w:ilvl="2">
      <w:start w:val="1"/>
      <w:numFmt w:val="decimal"/>
      <w:lvlText w:val="%2.%3"/>
      <w:lvlJc w:val="left"/>
      <w:pPr>
        <w:ind w:left="877" w:hanging="430"/>
      </w:pPr>
      <w:rPr>
        <w:rFonts w:ascii="Times New Roman" w:eastAsia="Trebuchet MS" w:hAnsi="Times New Roman" w:cs="Times New Roman" w:hint="default"/>
        <w:b/>
        <w:bCs/>
        <w:i w:val="0"/>
        <w:iCs w:val="0"/>
        <w:color w:val="0F4761"/>
        <w:spacing w:val="0"/>
        <w:w w:val="83"/>
        <w:sz w:val="28"/>
        <w:szCs w:val="28"/>
        <w:lang w:val="en-US" w:eastAsia="en-US" w:bidi="ar-SA"/>
      </w:rPr>
    </w:lvl>
    <w:lvl w:ilvl="3">
      <w:start w:val="1"/>
      <w:numFmt w:val="decimal"/>
      <w:lvlText w:val="%2.%3.%4"/>
      <w:lvlJc w:val="left"/>
      <w:pPr>
        <w:ind w:left="1121" w:hanging="674"/>
      </w:pPr>
      <w:rPr>
        <w:rFonts w:ascii="Trebuchet MS" w:eastAsia="Trebuchet MS" w:hAnsi="Trebuchet MS" w:cs="Trebuchet MS" w:hint="default"/>
        <w:b/>
        <w:bCs/>
        <w:i w:val="0"/>
        <w:iCs w:val="0"/>
        <w:color w:val="0F4761"/>
        <w:spacing w:val="0"/>
        <w:w w:val="87"/>
        <w:sz w:val="28"/>
        <w:szCs w:val="28"/>
        <w:lang w:val="en-US" w:eastAsia="en-US" w:bidi="ar-SA"/>
      </w:rPr>
    </w:lvl>
    <w:lvl w:ilvl="4">
      <w:numFmt w:val="bullet"/>
      <w:lvlText w:val="•"/>
      <w:lvlJc w:val="left"/>
      <w:pPr>
        <w:ind w:left="2397" w:hanging="674"/>
      </w:pPr>
      <w:rPr>
        <w:rFonts w:hint="default"/>
        <w:lang w:val="en-US" w:eastAsia="en-US" w:bidi="ar-SA"/>
      </w:rPr>
    </w:lvl>
    <w:lvl w:ilvl="5">
      <w:numFmt w:val="bullet"/>
      <w:lvlText w:val="•"/>
      <w:lvlJc w:val="left"/>
      <w:pPr>
        <w:ind w:left="3674" w:hanging="674"/>
      </w:pPr>
      <w:rPr>
        <w:rFonts w:hint="default"/>
        <w:lang w:val="en-US" w:eastAsia="en-US" w:bidi="ar-SA"/>
      </w:rPr>
    </w:lvl>
    <w:lvl w:ilvl="6">
      <w:numFmt w:val="bullet"/>
      <w:lvlText w:val="•"/>
      <w:lvlJc w:val="left"/>
      <w:pPr>
        <w:ind w:left="4952" w:hanging="674"/>
      </w:pPr>
      <w:rPr>
        <w:rFonts w:hint="default"/>
        <w:lang w:val="en-US" w:eastAsia="en-US" w:bidi="ar-SA"/>
      </w:rPr>
    </w:lvl>
    <w:lvl w:ilvl="7">
      <w:numFmt w:val="bullet"/>
      <w:lvlText w:val="•"/>
      <w:lvlJc w:val="left"/>
      <w:pPr>
        <w:ind w:left="6229" w:hanging="674"/>
      </w:pPr>
      <w:rPr>
        <w:rFonts w:hint="default"/>
        <w:lang w:val="en-US" w:eastAsia="en-US" w:bidi="ar-SA"/>
      </w:rPr>
    </w:lvl>
    <w:lvl w:ilvl="8">
      <w:numFmt w:val="bullet"/>
      <w:lvlText w:val="•"/>
      <w:lvlJc w:val="left"/>
      <w:pPr>
        <w:ind w:left="7507" w:hanging="674"/>
      </w:pPr>
      <w:rPr>
        <w:rFonts w:hint="default"/>
        <w:lang w:val="en-US" w:eastAsia="en-US" w:bidi="ar-SA"/>
      </w:rPr>
    </w:lvl>
  </w:abstractNum>
  <w:abstractNum w:abstractNumId="2" w15:restartNumberingAfterBreak="0">
    <w:nsid w:val="1C406E9F"/>
    <w:multiLevelType w:val="hybridMultilevel"/>
    <w:tmpl w:val="54D047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0D50E84"/>
    <w:multiLevelType w:val="multilevel"/>
    <w:tmpl w:val="0220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7E7C74"/>
    <w:multiLevelType w:val="hybridMultilevel"/>
    <w:tmpl w:val="75944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DE95ED1"/>
    <w:multiLevelType w:val="hybridMultilevel"/>
    <w:tmpl w:val="9D262B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1B751F7"/>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4936EF6"/>
    <w:multiLevelType w:val="multilevel"/>
    <w:tmpl w:val="3ACAE2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5B86A78"/>
    <w:multiLevelType w:val="multilevel"/>
    <w:tmpl w:val="8C18E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4D4240"/>
    <w:multiLevelType w:val="multilevel"/>
    <w:tmpl w:val="AFE8E51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4FEF3C5E"/>
    <w:multiLevelType w:val="multilevel"/>
    <w:tmpl w:val="6B38A46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558105F2"/>
    <w:multiLevelType w:val="multilevel"/>
    <w:tmpl w:val="9B26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87216A"/>
    <w:multiLevelType w:val="multilevel"/>
    <w:tmpl w:val="50CE669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720"/>
        </w:tabs>
        <w:ind w:left="72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5E0827A8"/>
    <w:multiLevelType w:val="multilevel"/>
    <w:tmpl w:val="10968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C319E3"/>
    <w:multiLevelType w:val="multilevel"/>
    <w:tmpl w:val="B3CAC0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8C7568"/>
    <w:multiLevelType w:val="multilevel"/>
    <w:tmpl w:val="D7CAF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060A9E"/>
    <w:multiLevelType w:val="multilevel"/>
    <w:tmpl w:val="1DFC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801178"/>
    <w:multiLevelType w:val="multilevel"/>
    <w:tmpl w:val="CEB6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901B93"/>
    <w:multiLevelType w:val="multilevel"/>
    <w:tmpl w:val="378A3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8474276">
    <w:abstractNumId w:val="1"/>
  </w:num>
  <w:num w:numId="2" w16cid:durableId="1341354303">
    <w:abstractNumId w:val="6"/>
  </w:num>
  <w:num w:numId="3" w16cid:durableId="1556158212">
    <w:abstractNumId w:val="6"/>
  </w:num>
  <w:num w:numId="4" w16cid:durableId="537860599">
    <w:abstractNumId w:val="10"/>
  </w:num>
  <w:num w:numId="5" w16cid:durableId="548613311">
    <w:abstractNumId w:val="3"/>
  </w:num>
  <w:num w:numId="6" w16cid:durableId="1617326413">
    <w:abstractNumId w:val="8"/>
  </w:num>
  <w:num w:numId="7" w16cid:durableId="1819417594">
    <w:abstractNumId w:val="14"/>
  </w:num>
  <w:num w:numId="8" w16cid:durableId="121578297">
    <w:abstractNumId w:val="18"/>
  </w:num>
  <w:num w:numId="9" w16cid:durableId="882987369">
    <w:abstractNumId w:val="16"/>
  </w:num>
  <w:num w:numId="10" w16cid:durableId="1715619111">
    <w:abstractNumId w:val="15"/>
  </w:num>
  <w:num w:numId="11" w16cid:durableId="186261200">
    <w:abstractNumId w:val="11"/>
  </w:num>
  <w:num w:numId="12" w16cid:durableId="1022895124">
    <w:abstractNumId w:val="12"/>
  </w:num>
  <w:num w:numId="13" w16cid:durableId="89936379">
    <w:abstractNumId w:val="9"/>
  </w:num>
  <w:num w:numId="14" w16cid:durableId="661353745">
    <w:abstractNumId w:val="7"/>
  </w:num>
  <w:num w:numId="15" w16cid:durableId="2030982145">
    <w:abstractNumId w:val="13"/>
  </w:num>
  <w:num w:numId="16" w16cid:durableId="1526211138">
    <w:abstractNumId w:val="17"/>
  </w:num>
  <w:num w:numId="17" w16cid:durableId="665011314">
    <w:abstractNumId w:val="2"/>
  </w:num>
  <w:num w:numId="18" w16cid:durableId="251746710">
    <w:abstractNumId w:val="0"/>
  </w:num>
  <w:num w:numId="19" w16cid:durableId="913124959">
    <w:abstractNumId w:val="5"/>
  </w:num>
  <w:num w:numId="20" w16cid:durableId="16603865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F0B"/>
    <w:rsid w:val="00007AFD"/>
    <w:rsid w:val="000315A5"/>
    <w:rsid w:val="000450CB"/>
    <w:rsid w:val="00055BBF"/>
    <w:rsid w:val="0006125B"/>
    <w:rsid w:val="00062E2B"/>
    <w:rsid w:val="00082B15"/>
    <w:rsid w:val="00090336"/>
    <w:rsid w:val="000964F1"/>
    <w:rsid w:val="000B75E6"/>
    <w:rsid w:val="000D2819"/>
    <w:rsid w:val="000D2C41"/>
    <w:rsid w:val="000E0962"/>
    <w:rsid w:val="000E4AF9"/>
    <w:rsid w:val="000E7D10"/>
    <w:rsid w:val="000F265B"/>
    <w:rsid w:val="000F5253"/>
    <w:rsid w:val="00101E85"/>
    <w:rsid w:val="00115061"/>
    <w:rsid w:val="001201CC"/>
    <w:rsid w:val="001224DC"/>
    <w:rsid w:val="00127EB7"/>
    <w:rsid w:val="00130F16"/>
    <w:rsid w:val="00137B91"/>
    <w:rsid w:val="00175160"/>
    <w:rsid w:val="001B2CA6"/>
    <w:rsid w:val="001B723F"/>
    <w:rsid w:val="001C4911"/>
    <w:rsid w:val="001E2979"/>
    <w:rsid w:val="001F2E60"/>
    <w:rsid w:val="001F4B67"/>
    <w:rsid w:val="00226FD3"/>
    <w:rsid w:val="002336DA"/>
    <w:rsid w:val="00234498"/>
    <w:rsid w:val="0023543E"/>
    <w:rsid w:val="00244469"/>
    <w:rsid w:val="002805F7"/>
    <w:rsid w:val="00282079"/>
    <w:rsid w:val="0028550E"/>
    <w:rsid w:val="00297AF4"/>
    <w:rsid w:val="002A4847"/>
    <w:rsid w:val="002A6D64"/>
    <w:rsid w:val="002B1708"/>
    <w:rsid w:val="002B545B"/>
    <w:rsid w:val="002B60B0"/>
    <w:rsid w:val="002C4B4A"/>
    <w:rsid w:val="002C77C2"/>
    <w:rsid w:val="002D4053"/>
    <w:rsid w:val="002D6313"/>
    <w:rsid w:val="002E2775"/>
    <w:rsid w:val="002E36CB"/>
    <w:rsid w:val="002F6AC1"/>
    <w:rsid w:val="003042E8"/>
    <w:rsid w:val="00332EE9"/>
    <w:rsid w:val="00335CA9"/>
    <w:rsid w:val="00337024"/>
    <w:rsid w:val="00360B1B"/>
    <w:rsid w:val="003742A5"/>
    <w:rsid w:val="00396775"/>
    <w:rsid w:val="003A3B8C"/>
    <w:rsid w:val="003A7643"/>
    <w:rsid w:val="003B1095"/>
    <w:rsid w:val="003C24C5"/>
    <w:rsid w:val="003C7B7A"/>
    <w:rsid w:val="003D6DDF"/>
    <w:rsid w:val="003E7C64"/>
    <w:rsid w:val="0040143E"/>
    <w:rsid w:val="00410B7F"/>
    <w:rsid w:val="0042223B"/>
    <w:rsid w:val="0044574F"/>
    <w:rsid w:val="00455EE9"/>
    <w:rsid w:val="00460582"/>
    <w:rsid w:val="00462427"/>
    <w:rsid w:val="004765AB"/>
    <w:rsid w:val="00495BCC"/>
    <w:rsid w:val="004A2E88"/>
    <w:rsid w:val="004B298C"/>
    <w:rsid w:val="004C2A31"/>
    <w:rsid w:val="004D0849"/>
    <w:rsid w:val="004E51EA"/>
    <w:rsid w:val="00536142"/>
    <w:rsid w:val="005552B2"/>
    <w:rsid w:val="00562CD5"/>
    <w:rsid w:val="00573B23"/>
    <w:rsid w:val="005846AF"/>
    <w:rsid w:val="0059027B"/>
    <w:rsid w:val="005924BF"/>
    <w:rsid w:val="005A0833"/>
    <w:rsid w:val="005A2340"/>
    <w:rsid w:val="005B7798"/>
    <w:rsid w:val="005C12BF"/>
    <w:rsid w:val="006016C0"/>
    <w:rsid w:val="00602650"/>
    <w:rsid w:val="00603E39"/>
    <w:rsid w:val="0061354B"/>
    <w:rsid w:val="0061395B"/>
    <w:rsid w:val="006231CD"/>
    <w:rsid w:val="00634054"/>
    <w:rsid w:val="00635F1F"/>
    <w:rsid w:val="0064079F"/>
    <w:rsid w:val="00641772"/>
    <w:rsid w:val="006650B9"/>
    <w:rsid w:val="0068294A"/>
    <w:rsid w:val="006C2121"/>
    <w:rsid w:val="006C57CC"/>
    <w:rsid w:val="006D013C"/>
    <w:rsid w:val="006D06FC"/>
    <w:rsid w:val="006E218C"/>
    <w:rsid w:val="006F1582"/>
    <w:rsid w:val="0070286C"/>
    <w:rsid w:val="007039EF"/>
    <w:rsid w:val="007064B8"/>
    <w:rsid w:val="0070675F"/>
    <w:rsid w:val="00713B02"/>
    <w:rsid w:val="007322B2"/>
    <w:rsid w:val="00734C4D"/>
    <w:rsid w:val="00737737"/>
    <w:rsid w:val="00742A84"/>
    <w:rsid w:val="00746953"/>
    <w:rsid w:val="007519CE"/>
    <w:rsid w:val="00756B48"/>
    <w:rsid w:val="00767BBC"/>
    <w:rsid w:val="007848AF"/>
    <w:rsid w:val="007857F1"/>
    <w:rsid w:val="007B0077"/>
    <w:rsid w:val="007F24BE"/>
    <w:rsid w:val="00800243"/>
    <w:rsid w:val="00810CD4"/>
    <w:rsid w:val="0083419E"/>
    <w:rsid w:val="00837F0B"/>
    <w:rsid w:val="0084056D"/>
    <w:rsid w:val="0085292E"/>
    <w:rsid w:val="00864A57"/>
    <w:rsid w:val="0087034F"/>
    <w:rsid w:val="008E54DF"/>
    <w:rsid w:val="0091233F"/>
    <w:rsid w:val="0091360D"/>
    <w:rsid w:val="009205A1"/>
    <w:rsid w:val="009219D4"/>
    <w:rsid w:val="00941F5B"/>
    <w:rsid w:val="00964335"/>
    <w:rsid w:val="00971C37"/>
    <w:rsid w:val="00990AE2"/>
    <w:rsid w:val="00A006B2"/>
    <w:rsid w:val="00A074D4"/>
    <w:rsid w:val="00A3711D"/>
    <w:rsid w:val="00A40C42"/>
    <w:rsid w:val="00A55DCB"/>
    <w:rsid w:val="00A66909"/>
    <w:rsid w:val="00A72C58"/>
    <w:rsid w:val="00A80240"/>
    <w:rsid w:val="00A80982"/>
    <w:rsid w:val="00A84D12"/>
    <w:rsid w:val="00A91FF0"/>
    <w:rsid w:val="00AE249C"/>
    <w:rsid w:val="00B14DB5"/>
    <w:rsid w:val="00B6352A"/>
    <w:rsid w:val="00B65080"/>
    <w:rsid w:val="00B76175"/>
    <w:rsid w:val="00B85098"/>
    <w:rsid w:val="00B86DC0"/>
    <w:rsid w:val="00BC421D"/>
    <w:rsid w:val="00C02D64"/>
    <w:rsid w:val="00C120AB"/>
    <w:rsid w:val="00C446DD"/>
    <w:rsid w:val="00C62308"/>
    <w:rsid w:val="00C628F0"/>
    <w:rsid w:val="00C62DDE"/>
    <w:rsid w:val="00C91217"/>
    <w:rsid w:val="00C96697"/>
    <w:rsid w:val="00CA34C2"/>
    <w:rsid w:val="00CB0D4C"/>
    <w:rsid w:val="00CB68F0"/>
    <w:rsid w:val="00CC4E95"/>
    <w:rsid w:val="00CC6236"/>
    <w:rsid w:val="00CD3929"/>
    <w:rsid w:val="00CE4247"/>
    <w:rsid w:val="00CF1ECB"/>
    <w:rsid w:val="00CF487C"/>
    <w:rsid w:val="00D16421"/>
    <w:rsid w:val="00D521DA"/>
    <w:rsid w:val="00D57B88"/>
    <w:rsid w:val="00D77A9C"/>
    <w:rsid w:val="00D85517"/>
    <w:rsid w:val="00D87791"/>
    <w:rsid w:val="00D93A14"/>
    <w:rsid w:val="00D975CC"/>
    <w:rsid w:val="00DA0B58"/>
    <w:rsid w:val="00DA6EF5"/>
    <w:rsid w:val="00DC58E3"/>
    <w:rsid w:val="00DE6E02"/>
    <w:rsid w:val="00DF16A9"/>
    <w:rsid w:val="00DF5D80"/>
    <w:rsid w:val="00E06B5A"/>
    <w:rsid w:val="00E11D23"/>
    <w:rsid w:val="00E46A4D"/>
    <w:rsid w:val="00E5226A"/>
    <w:rsid w:val="00E62AC2"/>
    <w:rsid w:val="00E67B1A"/>
    <w:rsid w:val="00E704A4"/>
    <w:rsid w:val="00E71553"/>
    <w:rsid w:val="00E72EC4"/>
    <w:rsid w:val="00E76706"/>
    <w:rsid w:val="00E928CD"/>
    <w:rsid w:val="00EA0C52"/>
    <w:rsid w:val="00EB563A"/>
    <w:rsid w:val="00ED4E97"/>
    <w:rsid w:val="00EF3965"/>
    <w:rsid w:val="00EF4A36"/>
    <w:rsid w:val="00F11541"/>
    <w:rsid w:val="00F25462"/>
    <w:rsid w:val="00F321C1"/>
    <w:rsid w:val="00F4057C"/>
    <w:rsid w:val="00F44C51"/>
    <w:rsid w:val="00F706A5"/>
    <w:rsid w:val="00F92C1F"/>
    <w:rsid w:val="00FA66A9"/>
    <w:rsid w:val="00FD1E8C"/>
    <w:rsid w:val="00FD61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33E289"/>
  <w15:chartTrackingRefBased/>
  <w15:docId w15:val="{4D161AB2-19AC-4AB1-A200-5527532EC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15061"/>
    <w:pPr>
      <w:spacing w:before="240" w:after="240" w:line="240" w:lineRule="auto"/>
    </w:pPr>
    <w:rPr>
      <w:rFonts w:ascii="Times New Roman" w:hAnsi="Times New Roman" w:cs="Times New Roman"/>
      <w:color w:val="000000"/>
      <w14:ligatures w14:val="none"/>
    </w:rPr>
  </w:style>
  <w:style w:type="paragraph" w:styleId="Heading1">
    <w:name w:val="heading 1"/>
    <w:basedOn w:val="Normal"/>
    <w:next w:val="Normal"/>
    <w:link w:val="Heading1Char"/>
    <w:autoRedefine/>
    <w:uiPriority w:val="9"/>
    <w:qFormat/>
    <w:rsid w:val="00CD3929"/>
    <w:pPr>
      <w:keepNext/>
      <w:keepLines/>
      <w:jc w:val="center"/>
      <w:outlineLvl w:val="0"/>
    </w:pPr>
    <w:rPr>
      <w:rFonts w:eastAsia="SimSun" w:cs="Calibri"/>
      <w:b/>
      <w:color w:val="000000" w:themeColor="text1"/>
      <w:kern w:val="2"/>
      <w:sz w:val="32"/>
      <w:szCs w:val="40"/>
      <w14:ligatures w14:val="standardContextual"/>
    </w:rPr>
  </w:style>
  <w:style w:type="paragraph" w:styleId="Heading2">
    <w:name w:val="heading 2"/>
    <w:basedOn w:val="Normal"/>
    <w:next w:val="Normal"/>
    <w:link w:val="Heading2Char"/>
    <w:autoRedefine/>
    <w:uiPriority w:val="9"/>
    <w:unhideWhenUsed/>
    <w:qFormat/>
    <w:rsid w:val="001224DC"/>
    <w:pPr>
      <w:keepNext/>
      <w:keepLines/>
      <w:outlineLvl w:val="1"/>
    </w:pPr>
    <w:rPr>
      <w:rFonts w:eastAsia="SimSun" w:cstheme="minorBidi"/>
      <w:b/>
      <w:color w:val="000000" w:themeColor="text1"/>
      <w:kern w:val="2"/>
      <w:sz w:val="28"/>
      <w:szCs w:val="24"/>
      <w:lang w:val="en-US"/>
      <w14:ligatures w14:val="standardContextual"/>
    </w:rPr>
  </w:style>
  <w:style w:type="paragraph" w:styleId="Heading3">
    <w:name w:val="heading 3"/>
    <w:basedOn w:val="Normal"/>
    <w:next w:val="Normal"/>
    <w:link w:val="Heading3Char"/>
    <w:autoRedefine/>
    <w:uiPriority w:val="9"/>
    <w:unhideWhenUsed/>
    <w:qFormat/>
    <w:rsid w:val="00DC58E3"/>
    <w:pPr>
      <w:keepNext/>
      <w:keepLines/>
      <w:outlineLvl w:val="2"/>
    </w:pPr>
    <w:rPr>
      <w:rFonts w:eastAsiaTheme="majorEastAsia" w:cstheme="majorBidi"/>
      <w:b/>
      <w:color w:val="000000" w:themeColor="text1"/>
      <w:sz w:val="24"/>
      <w:szCs w:val="28"/>
      <w14:ligatures w14:val="standardContextual"/>
    </w:rPr>
  </w:style>
  <w:style w:type="paragraph" w:styleId="Heading4">
    <w:name w:val="heading 4"/>
    <w:basedOn w:val="Normal"/>
    <w:next w:val="Normal"/>
    <w:link w:val="Heading4Char"/>
    <w:uiPriority w:val="9"/>
    <w:semiHidden/>
    <w:unhideWhenUsed/>
    <w:qFormat/>
    <w:rsid w:val="00837F0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7F0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7F0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7F0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7F0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7F0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929"/>
    <w:rPr>
      <w:rFonts w:ascii="Times New Roman" w:eastAsia="SimSun" w:hAnsi="Times New Roman" w:cs="Calibri"/>
      <w:b/>
      <w:color w:val="000000" w:themeColor="text1"/>
      <w:kern w:val="2"/>
      <w:sz w:val="32"/>
      <w:szCs w:val="40"/>
    </w:rPr>
  </w:style>
  <w:style w:type="character" w:customStyle="1" w:styleId="Heading2Char">
    <w:name w:val="Heading 2 Char"/>
    <w:basedOn w:val="DefaultParagraphFont"/>
    <w:link w:val="Heading2"/>
    <w:uiPriority w:val="9"/>
    <w:rsid w:val="001224DC"/>
    <w:rPr>
      <w:rFonts w:ascii="Times New Roman" w:eastAsia="SimSun" w:hAnsi="Times New Roman"/>
      <w:b/>
      <w:color w:val="000000" w:themeColor="text1"/>
      <w:kern w:val="2"/>
      <w:sz w:val="28"/>
      <w:szCs w:val="24"/>
      <w:lang w:val="en-US"/>
    </w:rPr>
  </w:style>
  <w:style w:type="character" w:customStyle="1" w:styleId="Heading3Char">
    <w:name w:val="Heading 3 Char"/>
    <w:basedOn w:val="DefaultParagraphFont"/>
    <w:link w:val="Heading3"/>
    <w:uiPriority w:val="9"/>
    <w:rsid w:val="00DC58E3"/>
    <w:rPr>
      <w:rFonts w:ascii="Times New Roman" w:eastAsiaTheme="majorEastAsia" w:hAnsi="Times New Roman" w:cstheme="majorBidi"/>
      <w:b/>
      <w:color w:val="000000" w:themeColor="text1"/>
      <w:sz w:val="24"/>
      <w:szCs w:val="28"/>
    </w:rPr>
  </w:style>
  <w:style w:type="paragraph" w:customStyle="1" w:styleId="ForText">
    <w:name w:val="For Text"/>
    <w:basedOn w:val="Normal"/>
    <w:link w:val="ForTextChar"/>
    <w:autoRedefine/>
    <w:rsid w:val="001F4B67"/>
    <w:pPr>
      <w:spacing w:after="0" w:line="480" w:lineRule="auto"/>
      <w:ind w:firstLine="720"/>
      <w:jc w:val="both"/>
    </w:pPr>
    <w:rPr>
      <w:rFonts w:asciiTheme="majorBidi" w:hAnsiTheme="majorBidi" w:cstheme="majorBidi"/>
      <w:color w:val="000000" w:themeColor="text1"/>
    </w:rPr>
  </w:style>
  <w:style w:type="character" w:customStyle="1" w:styleId="ForTextChar">
    <w:name w:val="For Text Char"/>
    <w:basedOn w:val="DefaultParagraphFont"/>
    <w:link w:val="ForText"/>
    <w:rsid w:val="001F4B67"/>
    <w:rPr>
      <w:rFonts w:asciiTheme="majorBidi" w:hAnsiTheme="majorBidi" w:cstheme="majorBidi"/>
      <w:color w:val="000000" w:themeColor="text1"/>
    </w:rPr>
  </w:style>
  <w:style w:type="paragraph" w:styleId="TOC1">
    <w:name w:val="toc 1"/>
    <w:basedOn w:val="Normal"/>
    <w:next w:val="Normal"/>
    <w:autoRedefine/>
    <w:uiPriority w:val="39"/>
    <w:unhideWhenUsed/>
    <w:rsid w:val="00DC58E3"/>
    <w:pPr>
      <w:spacing w:before="0" w:after="0"/>
    </w:pPr>
    <w:rPr>
      <w:rFonts w:cstheme="minorBidi"/>
      <w:b/>
      <w:color w:val="000000" w:themeColor="text1"/>
      <w:kern w:val="2"/>
      <w:sz w:val="24"/>
      <w:lang w:val="en-US"/>
      <w14:ligatures w14:val="standardContextual"/>
    </w:rPr>
  </w:style>
  <w:style w:type="paragraph" w:styleId="BodyText">
    <w:name w:val="Body Text"/>
    <w:basedOn w:val="Normal"/>
    <w:link w:val="BodyTextChar"/>
    <w:uiPriority w:val="99"/>
    <w:semiHidden/>
    <w:unhideWhenUsed/>
    <w:rsid w:val="002D6313"/>
    <w:pPr>
      <w:spacing w:after="120"/>
    </w:pPr>
  </w:style>
  <w:style w:type="character" w:customStyle="1" w:styleId="BodyTextChar">
    <w:name w:val="Body Text Char"/>
    <w:basedOn w:val="DefaultParagraphFont"/>
    <w:link w:val="BodyText"/>
    <w:uiPriority w:val="99"/>
    <w:semiHidden/>
    <w:rsid w:val="002D6313"/>
  </w:style>
  <w:style w:type="character" w:customStyle="1" w:styleId="Heading4Char">
    <w:name w:val="Heading 4 Char"/>
    <w:basedOn w:val="DefaultParagraphFont"/>
    <w:link w:val="Heading4"/>
    <w:uiPriority w:val="9"/>
    <w:semiHidden/>
    <w:rsid w:val="00837F0B"/>
    <w:rPr>
      <w:rFonts w:eastAsiaTheme="majorEastAsia" w:cstheme="majorBidi"/>
      <w:i/>
      <w:iCs/>
      <w:color w:val="0F4761" w:themeColor="accent1" w:themeShade="BF"/>
      <w14:ligatures w14:val="none"/>
    </w:rPr>
  </w:style>
  <w:style w:type="character" w:customStyle="1" w:styleId="Heading5Char">
    <w:name w:val="Heading 5 Char"/>
    <w:basedOn w:val="DefaultParagraphFont"/>
    <w:link w:val="Heading5"/>
    <w:uiPriority w:val="9"/>
    <w:semiHidden/>
    <w:rsid w:val="00837F0B"/>
    <w:rPr>
      <w:rFonts w:eastAsiaTheme="majorEastAsia" w:cstheme="majorBidi"/>
      <w:color w:val="0F4761" w:themeColor="accent1" w:themeShade="BF"/>
      <w14:ligatures w14:val="none"/>
    </w:rPr>
  </w:style>
  <w:style w:type="character" w:customStyle="1" w:styleId="Heading6Char">
    <w:name w:val="Heading 6 Char"/>
    <w:basedOn w:val="DefaultParagraphFont"/>
    <w:link w:val="Heading6"/>
    <w:uiPriority w:val="9"/>
    <w:semiHidden/>
    <w:rsid w:val="00837F0B"/>
    <w:rPr>
      <w:rFonts w:eastAsiaTheme="majorEastAsia" w:cstheme="majorBidi"/>
      <w:i/>
      <w:iCs/>
      <w:color w:val="595959" w:themeColor="text1" w:themeTint="A6"/>
      <w14:ligatures w14:val="none"/>
    </w:rPr>
  </w:style>
  <w:style w:type="character" w:customStyle="1" w:styleId="Heading7Char">
    <w:name w:val="Heading 7 Char"/>
    <w:basedOn w:val="DefaultParagraphFont"/>
    <w:link w:val="Heading7"/>
    <w:uiPriority w:val="9"/>
    <w:semiHidden/>
    <w:rsid w:val="00837F0B"/>
    <w:rPr>
      <w:rFonts w:eastAsiaTheme="majorEastAsia" w:cstheme="majorBidi"/>
      <w:color w:val="595959" w:themeColor="text1" w:themeTint="A6"/>
      <w14:ligatures w14:val="none"/>
    </w:rPr>
  </w:style>
  <w:style w:type="character" w:customStyle="1" w:styleId="Heading8Char">
    <w:name w:val="Heading 8 Char"/>
    <w:basedOn w:val="DefaultParagraphFont"/>
    <w:link w:val="Heading8"/>
    <w:uiPriority w:val="9"/>
    <w:semiHidden/>
    <w:rsid w:val="00837F0B"/>
    <w:rPr>
      <w:rFonts w:eastAsiaTheme="majorEastAsia" w:cstheme="majorBidi"/>
      <w:i/>
      <w:iCs/>
      <w:color w:val="272727" w:themeColor="text1" w:themeTint="D8"/>
      <w14:ligatures w14:val="none"/>
    </w:rPr>
  </w:style>
  <w:style w:type="character" w:customStyle="1" w:styleId="Heading9Char">
    <w:name w:val="Heading 9 Char"/>
    <w:basedOn w:val="DefaultParagraphFont"/>
    <w:link w:val="Heading9"/>
    <w:uiPriority w:val="9"/>
    <w:semiHidden/>
    <w:rsid w:val="00837F0B"/>
    <w:rPr>
      <w:rFonts w:eastAsiaTheme="majorEastAsia" w:cstheme="majorBidi"/>
      <w:color w:val="272727" w:themeColor="text1" w:themeTint="D8"/>
      <w14:ligatures w14:val="none"/>
    </w:rPr>
  </w:style>
  <w:style w:type="paragraph" w:styleId="Title">
    <w:name w:val="Title"/>
    <w:basedOn w:val="Normal"/>
    <w:next w:val="Normal"/>
    <w:link w:val="TitleChar"/>
    <w:uiPriority w:val="10"/>
    <w:qFormat/>
    <w:rsid w:val="00837F0B"/>
    <w:pPr>
      <w:spacing w:before="0"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37F0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837F0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F0B"/>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837F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7F0B"/>
    <w:rPr>
      <w:rFonts w:ascii="Times New Roman" w:hAnsi="Times New Roman" w:cs="Times New Roman"/>
      <w:i/>
      <w:iCs/>
      <w:color w:val="404040" w:themeColor="text1" w:themeTint="BF"/>
      <w14:ligatures w14:val="none"/>
    </w:rPr>
  </w:style>
  <w:style w:type="paragraph" w:styleId="ListParagraph">
    <w:name w:val="List Paragraph"/>
    <w:basedOn w:val="Normal"/>
    <w:uiPriority w:val="34"/>
    <w:qFormat/>
    <w:rsid w:val="00837F0B"/>
    <w:pPr>
      <w:ind w:left="720"/>
      <w:contextualSpacing/>
    </w:pPr>
  </w:style>
  <w:style w:type="character" w:styleId="IntenseEmphasis">
    <w:name w:val="Intense Emphasis"/>
    <w:basedOn w:val="DefaultParagraphFont"/>
    <w:uiPriority w:val="21"/>
    <w:qFormat/>
    <w:rsid w:val="00837F0B"/>
    <w:rPr>
      <w:i/>
      <w:iCs/>
      <w:color w:val="0F4761" w:themeColor="accent1" w:themeShade="BF"/>
    </w:rPr>
  </w:style>
  <w:style w:type="paragraph" w:styleId="IntenseQuote">
    <w:name w:val="Intense Quote"/>
    <w:basedOn w:val="Normal"/>
    <w:next w:val="Normal"/>
    <w:link w:val="IntenseQuoteChar"/>
    <w:uiPriority w:val="30"/>
    <w:qFormat/>
    <w:rsid w:val="00837F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F0B"/>
    <w:rPr>
      <w:rFonts w:ascii="Times New Roman" w:hAnsi="Times New Roman" w:cs="Times New Roman"/>
      <w:i/>
      <w:iCs/>
      <w:color w:val="0F4761" w:themeColor="accent1" w:themeShade="BF"/>
      <w14:ligatures w14:val="none"/>
    </w:rPr>
  </w:style>
  <w:style w:type="character" w:styleId="IntenseReference">
    <w:name w:val="Intense Reference"/>
    <w:basedOn w:val="DefaultParagraphFont"/>
    <w:uiPriority w:val="32"/>
    <w:qFormat/>
    <w:rsid w:val="00837F0B"/>
    <w:rPr>
      <w:b/>
      <w:bCs/>
      <w:smallCaps/>
      <w:color w:val="0F4761" w:themeColor="accent1" w:themeShade="BF"/>
      <w:spacing w:val="5"/>
    </w:rPr>
  </w:style>
  <w:style w:type="character" w:styleId="Hyperlink">
    <w:name w:val="Hyperlink"/>
    <w:basedOn w:val="DefaultParagraphFont"/>
    <w:uiPriority w:val="99"/>
    <w:unhideWhenUsed/>
    <w:rsid w:val="00837F0B"/>
    <w:rPr>
      <w:color w:val="467886" w:themeColor="hyperlink"/>
      <w:u w:val="single"/>
    </w:rPr>
  </w:style>
  <w:style w:type="character" w:styleId="UnresolvedMention">
    <w:name w:val="Unresolved Mention"/>
    <w:basedOn w:val="DefaultParagraphFont"/>
    <w:uiPriority w:val="99"/>
    <w:semiHidden/>
    <w:unhideWhenUsed/>
    <w:rsid w:val="00837F0B"/>
    <w:rPr>
      <w:color w:val="605E5C"/>
      <w:shd w:val="clear" w:color="auto" w:fill="E1DFDD"/>
    </w:rPr>
  </w:style>
  <w:style w:type="character" w:styleId="FollowedHyperlink">
    <w:name w:val="FollowedHyperlink"/>
    <w:basedOn w:val="DefaultParagraphFont"/>
    <w:uiPriority w:val="99"/>
    <w:semiHidden/>
    <w:unhideWhenUsed/>
    <w:rsid w:val="0061395B"/>
    <w:rPr>
      <w:color w:val="96607D" w:themeColor="followedHyperlink"/>
      <w:u w:val="single"/>
    </w:rPr>
  </w:style>
  <w:style w:type="paragraph" w:styleId="Header">
    <w:name w:val="header"/>
    <w:basedOn w:val="Normal"/>
    <w:link w:val="HeaderChar"/>
    <w:uiPriority w:val="99"/>
    <w:unhideWhenUsed/>
    <w:rsid w:val="000B75E6"/>
    <w:pPr>
      <w:tabs>
        <w:tab w:val="center" w:pos="4513"/>
        <w:tab w:val="right" w:pos="9026"/>
      </w:tabs>
      <w:spacing w:before="0" w:after="0"/>
    </w:pPr>
  </w:style>
  <w:style w:type="character" w:customStyle="1" w:styleId="HeaderChar">
    <w:name w:val="Header Char"/>
    <w:basedOn w:val="DefaultParagraphFont"/>
    <w:link w:val="Header"/>
    <w:uiPriority w:val="99"/>
    <w:rsid w:val="000B75E6"/>
    <w:rPr>
      <w:rFonts w:ascii="Times New Roman" w:hAnsi="Times New Roman" w:cs="Times New Roman"/>
      <w:color w:val="000000"/>
      <w14:ligatures w14:val="none"/>
    </w:rPr>
  </w:style>
  <w:style w:type="paragraph" w:styleId="Footer">
    <w:name w:val="footer"/>
    <w:basedOn w:val="Normal"/>
    <w:link w:val="FooterChar"/>
    <w:uiPriority w:val="99"/>
    <w:unhideWhenUsed/>
    <w:rsid w:val="000B75E6"/>
    <w:pPr>
      <w:tabs>
        <w:tab w:val="center" w:pos="4513"/>
        <w:tab w:val="right" w:pos="9026"/>
      </w:tabs>
      <w:spacing w:before="0" w:after="0"/>
    </w:pPr>
  </w:style>
  <w:style w:type="character" w:customStyle="1" w:styleId="FooterChar">
    <w:name w:val="Footer Char"/>
    <w:basedOn w:val="DefaultParagraphFont"/>
    <w:link w:val="Footer"/>
    <w:uiPriority w:val="99"/>
    <w:rsid w:val="000B75E6"/>
    <w:rPr>
      <w:rFonts w:ascii="Times New Roman" w:hAnsi="Times New Roman" w:cs="Times New Roman"/>
      <w:color w:val="000000"/>
      <w14:ligatures w14:val="none"/>
    </w:rPr>
  </w:style>
  <w:style w:type="paragraph" w:styleId="NormalWeb">
    <w:name w:val="Normal (Web)"/>
    <w:basedOn w:val="Normal"/>
    <w:uiPriority w:val="99"/>
    <w:semiHidden/>
    <w:unhideWhenUsed/>
    <w:rsid w:val="000B75E6"/>
    <w:rPr>
      <w:sz w:val="24"/>
      <w:szCs w:val="24"/>
    </w:rPr>
  </w:style>
  <w:style w:type="paragraph" w:styleId="TOCHeading">
    <w:name w:val="TOC Heading"/>
    <w:basedOn w:val="Heading1"/>
    <w:next w:val="Normal"/>
    <w:uiPriority w:val="39"/>
    <w:unhideWhenUsed/>
    <w:qFormat/>
    <w:rsid w:val="00CD3929"/>
    <w:pPr>
      <w:spacing w:after="0" w:line="259" w:lineRule="auto"/>
      <w:outlineLvl w:val="9"/>
    </w:pPr>
    <w:rPr>
      <w:rFonts w:asciiTheme="majorHAnsi" w:eastAsiaTheme="majorEastAsia" w:hAnsiTheme="majorHAnsi" w:cstheme="majorBidi"/>
      <w:b w:val="0"/>
      <w:color w:val="0F4761" w:themeColor="accent1" w:themeShade="BF"/>
      <w:kern w:val="0"/>
      <w:szCs w:val="32"/>
      <w:lang w:eastAsia="en-GB"/>
      <w14:ligatures w14:val="none"/>
    </w:rPr>
  </w:style>
  <w:style w:type="paragraph" w:styleId="TOC2">
    <w:name w:val="toc 2"/>
    <w:basedOn w:val="Normal"/>
    <w:next w:val="Normal"/>
    <w:autoRedefine/>
    <w:uiPriority w:val="39"/>
    <w:unhideWhenUsed/>
    <w:rsid w:val="005924B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e.org.uk/guidance/ng201/resources/antenatal-care-pdf-66143709695941" TargetMode="External"/><Relationship Id="rId18" Type="http://schemas.openxmlformats.org/officeDocument/2006/relationships/hyperlink" Target="https://doi.org/10.1016/j.cegh.2021.100709" TargetMode="External"/><Relationship Id="rId26" Type="http://schemas.openxmlformats.org/officeDocument/2006/relationships/hyperlink" Target="https://doi.org/10.1186/s12884-022-04547-9" TargetMode="External"/><Relationship Id="rId3" Type="http://schemas.openxmlformats.org/officeDocument/2006/relationships/styles" Target="styles.xml"/><Relationship Id="rId21" Type="http://schemas.openxmlformats.org/officeDocument/2006/relationships/hyperlink" Target="https://digital.nhs.uk/data-and-information/publications/statistical/maternity-services-monthly-statistics/september-2023-experimental-statistics/analysis" TargetMode="External"/><Relationship Id="rId7" Type="http://schemas.openxmlformats.org/officeDocument/2006/relationships/endnotes" Target="endnotes.xml"/><Relationship Id="rId12" Type="http://schemas.openxmlformats.org/officeDocument/2006/relationships/image" Target="media/image3.svg"/><Relationship Id="rId17" Type="http://schemas.openxmlformats.org/officeDocument/2006/relationships/hyperlink" Target="https://www.impactresearchcentre.co.uk/site/wp-content/uploads/2025/09/CMHT-Rapid-Review-v9.7.25.pdf" TargetMode="External"/><Relationship Id="rId25" Type="http://schemas.openxmlformats.org/officeDocument/2006/relationships/hyperlink" Target="https://www.cambridge.org/core/services/aop-cambridge-core/content/view/02EC9E5976021F987922079B75BD611D" TargetMode="External"/><Relationship Id="rId2" Type="http://schemas.openxmlformats.org/officeDocument/2006/relationships/numbering" Target="numbering.xml"/><Relationship Id="rId16" Type="http://schemas.openxmlformats.org/officeDocument/2006/relationships/hyperlink" Target="https://doi.org/10.1177/21501319251332723" TargetMode="External"/><Relationship Id="rId20" Type="http://schemas.openxmlformats.org/officeDocument/2006/relationships/hyperlink" Target="https://doi.org/10.1136/jech-2020-21557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1002/14651858.cd004667.pub6" TargetMode="External"/><Relationship Id="rId5" Type="http://schemas.openxmlformats.org/officeDocument/2006/relationships/webSettings" Target="webSettings.xml"/><Relationship Id="rId15" Type="http://schemas.openxmlformats.org/officeDocument/2006/relationships/hyperlink" Target="https://doc.ukdataservice.ac.uk/doc/9046/mrdoc/pdf/9046_20221019_cmh22_statistical_release_final.pdf" TargetMode="External"/><Relationship Id="rId23" Type="http://schemas.openxmlformats.org/officeDocument/2006/relationships/hyperlink" Target="https://doi.org/10.1186/s12888-021-03542-2"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npeu.ox.ac.uk/assets/downloads/mbrrace-uk/reports/maternal-report-2023/MBRRACE-UK_Maternal_Compiled_Report_2023.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doi.org/10.17650/2712-7672-2020-1-2-14-20" TargetMode="External"/><Relationship Id="rId22" Type="http://schemas.openxmlformats.org/officeDocument/2006/relationships/hyperlink" Target="https://www.england.nhs.uk/wp-content/uploads/2016/02/national-maternity-review-report.pdf" TargetMode="External"/><Relationship Id="rId27" Type="http://schemas.openxmlformats.org/officeDocument/2006/relationships/hyperlink" Target="https://www.who.int/publications/i/item/9789240045989"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575776C-E416-4F48-922B-F00F69CC45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7</Pages>
  <Words>1719</Words>
  <Characters>9804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22-NTU-CS-1205</dc:creator>
  <cp:keywords/>
  <dc:description/>
  <cp:lastModifiedBy>5560</cp:lastModifiedBy>
  <cp:revision>22</cp:revision>
  <dcterms:created xsi:type="dcterms:W3CDTF">2026-03-08T15:55:00Z</dcterms:created>
  <dcterms:modified xsi:type="dcterms:W3CDTF">2026-03-16T10:25:00Z</dcterms:modified>
</cp:coreProperties>
</file>