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534" w:rsidRDefault="009D1534" w:rsidP="009D1534">
      <w:pPr>
        <w:rPr>
          <w:i/>
        </w:rPr>
      </w:pPr>
      <w:r w:rsidRPr="00402338">
        <w:rPr>
          <w:i/>
        </w:rPr>
        <w:t>With the exception of Athena/Minerva and Artemis/Diana, due to their atypical rol</w:t>
      </w:r>
      <w:bookmarkStart w:id="0" w:name="_GoBack"/>
      <w:bookmarkEnd w:id="0"/>
      <w:r w:rsidRPr="00402338">
        <w:rPr>
          <w:i/>
        </w:rPr>
        <w:t>es as virgin warriors, the divine manifestation of women as represented in plastic art can be argued to be greatly homogeneous in both Greek and Roman societies which therefore sets a standard of physical beauty for ordinary women in antiquity.</w:t>
      </w:r>
    </w:p>
    <w:p w:rsidR="009D1534" w:rsidRDefault="00593EA9">
      <w:r>
        <w:t xml:space="preserve">Across the general field of statue art, there is a high level of similarity of facial features and dress style, usually with high exposure of areas considered immodest by contemporary standards of today’s society. This is indicative of a standardised beauty standard aimed at the female population in antiquity, but also that the representation of the divine is greatly homogenous in both Greek and Roman plastic art which has also been greatly sexualised. Despite the fact that the manifestation of the divine into physical forms of art is typically to demonstrate the respect for these deities, </w:t>
      </w:r>
      <w:r w:rsidR="000D73FA">
        <w:t xml:space="preserve">the fact that these female figures are fairly similar in appearance and </w:t>
      </w:r>
      <w:r w:rsidR="005C1A9B">
        <w:t>are a</w:t>
      </w:r>
      <w:r w:rsidR="00FA2259">
        <w:t xml:space="preserve">lso generally represented to be objectified. This being the case, </w:t>
      </w:r>
      <w:r w:rsidR="005847B8">
        <w:t xml:space="preserve">there is the exception </w:t>
      </w:r>
      <w:r w:rsidR="008F262D">
        <w:t>with the goddesses Artemis/Diana and Athena/Minerva, this being due to their roles as virgin warriors which falls outsid</w:t>
      </w:r>
      <w:r w:rsidR="003F50FC">
        <w:t>e the social norms of antiquity, which may contribute to the reason why they are portrayed differently to other goddesses</w:t>
      </w:r>
      <w:r w:rsidR="008B4C09">
        <w:t xml:space="preserve"> as they are represented to be virgins, and also warriors</w:t>
      </w:r>
      <w:r w:rsidR="003F50FC">
        <w:t>.</w:t>
      </w:r>
      <w:r w:rsidR="00650FCD">
        <w:t xml:space="preserve"> The exception to this statement of</w:t>
      </w:r>
      <w:r w:rsidR="007A1A5E">
        <w:t xml:space="preserve"> virgin goddesses is Hestia, who is also p</w:t>
      </w:r>
      <w:r w:rsidR="00407DD9">
        <w:t>ortrayed to be a virgin goddess but is also depicted in a sexual manner with a standard of beauty seen throughout all female deities.</w:t>
      </w:r>
      <w:r w:rsidR="00020354">
        <w:t xml:space="preserve"> In this paper, the main focus will be on the standard </w:t>
      </w:r>
      <w:r w:rsidR="009033DB">
        <w:t>of beauty for women in antiquity</w:t>
      </w:r>
      <w:r w:rsidR="00203D3D">
        <w:t xml:space="preserve"> concerning clothing, hair and makeup, wh</w:t>
      </w:r>
      <w:r w:rsidR="00F12FE8">
        <w:t>ilst also analysing the link between statues of goddesses</w:t>
      </w:r>
      <w:r w:rsidR="007F1D83">
        <w:t xml:space="preserve"> and the movement of beauty standards in antiquity.</w:t>
      </w:r>
    </w:p>
    <w:p w:rsidR="00C8003C" w:rsidRDefault="001A2D88" w:rsidP="00904780">
      <w:r>
        <w:t xml:space="preserve">First and foremost, however, </w:t>
      </w:r>
      <w:r w:rsidR="00445933">
        <w:t>it is important to identify the main standards of beauty</w:t>
      </w:r>
      <w:r w:rsidR="00914897">
        <w:t xml:space="preserve"> and body care</w:t>
      </w:r>
      <w:r w:rsidR="00445933">
        <w:t xml:space="preserve"> for women in the ancient world</w:t>
      </w:r>
      <w:r w:rsidR="00D060EC">
        <w:t xml:space="preserve"> and how that standard was achieved</w:t>
      </w:r>
      <w:r w:rsidR="00445933">
        <w:t xml:space="preserve">. </w:t>
      </w:r>
      <w:r w:rsidR="00167B47">
        <w:t xml:space="preserve">As identified by </w:t>
      </w:r>
      <w:proofErr w:type="spellStart"/>
      <w:r w:rsidR="00167B47" w:rsidRPr="00167B47">
        <w:t>Ambrosio</w:t>
      </w:r>
      <w:proofErr w:type="spellEnd"/>
      <w:r w:rsidR="006C73B7">
        <w:t>, a</w:t>
      </w:r>
      <w:r w:rsidR="00167B47">
        <w:t xml:space="preserve"> pri</w:t>
      </w:r>
      <w:r w:rsidR="00904780">
        <w:t xml:space="preserve">mary aspect of body care is </w:t>
      </w:r>
      <w:r w:rsidR="00167B47">
        <w:t>the business of keeping and avoiding body odour</w:t>
      </w:r>
      <w:r w:rsidR="006C73B7">
        <w:rPr>
          <w:rStyle w:val="FootnoteReference"/>
        </w:rPr>
        <w:footnoteReference w:id="1"/>
      </w:r>
      <w:r w:rsidR="00167B47">
        <w:t xml:space="preserve">. In fact, one of the first recommendations the poet Ovid makes to women in his </w:t>
      </w:r>
      <w:r w:rsidR="00167B47">
        <w:rPr>
          <w:i/>
        </w:rPr>
        <w:t xml:space="preserve">Art of Love </w:t>
      </w:r>
      <w:r w:rsidR="00167B47">
        <w:t>is ‘do not let your armpits reek like a goat…do not let your teeth turn black through laziness…but wash out your mouth every morning</w:t>
      </w:r>
      <w:r w:rsidR="00304F85">
        <w:t>’</w:t>
      </w:r>
      <w:r w:rsidR="00D04BB1">
        <w:rPr>
          <w:rStyle w:val="FootnoteReference"/>
        </w:rPr>
        <w:footnoteReference w:id="2"/>
      </w:r>
      <w:r w:rsidR="00904780">
        <w:t>. Body care was of high importance to those in antiqu</w:t>
      </w:r>
      <w:r w:rsidR="00F46950">
        <w:t xml:space="preserve">ity, however at Rome, </w:t>
      </w:r>
      <w:r w:rsidR="00904780">
        <w:t>only the houses of the richest residents were equipped with rooms for baths and a complete wash</w:t>
      </w:r>
      <w:r w:rsidR="00F46950">
        <w:rPr>
          <w:rStyle w:val="FootnoteReference"/>
        </w:rPr>
        <w:footnoteReference w:id="3"/>
      </w:r>
      <w:r w:rsidR="00CF2E76">
        <w:t xml:space="preserve"> whereas for the ordinary public, bath houses were used for their purposes</w:t>
      </w:r>
      <w:r w:rsidR="00CF2E76">
        <w:rPr>
          <w:rStyle w:val="FootnoteReference"/>
        </w:rPr>
        <w:footnoteReference w:id="4"/>
      </w:r>
      <w:r w:rsidR="00CF2E76">
        <w:t xml:space="preserve">. </w:t>
      </w:r>
      <w:r w:rsidR="00161C77">
        <w:t>For this standard of cleanliness, there seemed to be a lot involved including a</w:t>
      </w:r>
      <w:r w:rsidR="00904780">
        <w:t>brasive products combining powders and creams</w:t>
      </w:r>
      <w:r w:rsidR="00161C77">
        <w:t xml:space="preserve"> in order to wash</w:t>
      </w:r>
      <w:r w:rsidR="00161C77">
        <w:rPr>
          <w:rStyle w:val="FootnoteReference"/>
        </w:rPr>
        <w:footnoteReference w:id="5"/>
      </w:r>
      <w:r w:rsidR="00904780">
        <w:t xml:space="preserve">. Obtained mostly from mineral and vegetable substances, the various products include such items as </w:t>
      </w:r>
      <w:proofErr w:type="spellStart"/>
      <w:r w:rsidR="00904780">
        <w:rPr>
          <w:i/>
        </w:rPr>
        <w:t>creta</w:t>
      </w:r>
      <w:proofErr w:type="spellEnd"/>
      <w:r w:rsidR="00904780">
        <w:rPr>
          <w:i/>
        </w:rPr>
        <w:t xml:space="preserve"> </w:t>
      </w:r>
      <w:proofErr w:type="spellStart"/>
      <w:r w:rsidR="00904780">
        <w:rPr>
          <w:i/>
        </w:rPr>
        <w:t>fullonica</w:t>
      </w:r>
      <w:proofErr w:type="spellEnd"/>
      <w:r w:rsidR="00904780">
        <w:t xml:space="preserve">, a clay product; </w:t>
      </w:r>
      <w:proofErr w:type="spellStart"/>
      <w:r w:rsidR="00904780">
        <w:rPr>
          <w:i/>
        </w:rPr>
        <w:t>lomentum</w:t>
      </w:r>
      <w:proofErr w:type="spellEnd"/>
      <w:r w:rsidR="00904780">
        <w:t xml:space="preserve">, a preparation based on a flour made with broad beans and fried, crushed snail’s shells; </w:t>
      </w:r>
      <w:proofErr w:type="spellStart"/>
      <w:r w:rsidR="00904780">
        <w:rPr>
          <w:i/>
        </w:rPr>
        <w:t>struthium</w:t>
      </w:r>
      <w:proofErr w:type="spellEnd"/>
      <w:r w:rsidR="00904780">
        <w:t xml:space="preserve">, or soapwort root; and </w:t>
      </w:r>
      <w:proofErr w:type="spellStart"/>
      <w:r w:rsidR="00904780">
        <w:rPr>
          <w:i/>
        </w:rPr>
        <w:t>nitrum</w:t>
      </w:r>
      <w:proofErr w:type="spellEnd"/>
      <w:r w:rsidR="00153856">
        <w:t>, an ash lye</w:t>
      </w:r>
      <w:r w:rsidR="00153856">
        <w:rPr>
          <w:rStyle w:val="FootnoteReference"/>
        </w:rPr>
        <w:footnoteReference w:id="6"/>
      </w:r>
      <w:r w:rsidR="00153856">
        <w:t>. All of this combined may appear</w:t>
      </w:r>
      <w:r w:rsidR="005A3E1A">
        <w:t xml:space="preserve"> to be rather intensive just to wash the body, however it demonstrates the level of which women, and men, were willing to go in order to achieve the proper standard of bodily maintenance. Including the body, other aspects of the physical form were attended to with great detail such as teeth, which w</w:t>
      </w:r>
      <w:r w:rsidR="00904780">
        <w:t>ere normally cleaned with soda and bicarbonate, or with pumice-stone powder</w:t>
      </w:r>
      <w:r w:rsidR="005A3E1A">
        <w:rPr>
          <w:rStyle w:val="FootnoteReference"/>
        </w:rPr>
        <w:footnoteReference w:id="7"/>
      </w:r>
      <w:r w:rsidR="00904780">
        <w:t xml:space="preserve">. </w:t>
      </w:r>
      <w:r w:rsidR="008849CC">
        <w:t xml:space="preserve">In addition, </w:t>
      </w:r>
      <w:r w:rsidR="00904780">
        <w:t>they were also cleaned with urine, according to the accounts of a number of authors, including Pliny the Elder (</w:t>
      </w:r>
      <w:r w:rsidR="00904780">
        <w:rPr>
          <w:i/>
        </w:rPr>
        <w:t>Natural History XXVIII</w:t>
      </w:r>
      <w:r w:rsidR="00904780">
        <w:t>), Cato (</w:t>
      </w:r>
      <w:r w:rsidR="00904780">
        <w:rPr>
          <w:i/>
        </w:rPr>
        <w:t>On Agriculture XXXIX</w:t>
      </w:r>
      <w:r w:rsidR="00904780">
        <w:t>), and Catullus (</w:t>
      </w:r>
      <w:r w:rsidR="00904780">
        <w:rPr>
          <w:i/>
        </w:rPr>
        <w:t>Poems 39.23 – 25</w:t>
      </w:r>
      <w:r w:rsidR="00904780">
        <w:t>)</w:t>
      </w:r>
      <w:r w:rsidR="008849CC">
        <w:rPr>
          <w:rStyle w:val="FootnoteReference"/>
        </w:rPr>
        <w:footnoteReference w:id="8"/>
      </w:r>
      <w:r w:rsidR="008567B2">
        <w:t xml:space="preserve"> which although would sound extreme to </w:t>
      </w:r>
      <w:r w:rsidR="00301E27">
        <w:lastRenderedPageBreak/>
        <w:t>modern society, was a common practice i</w:t>
      </w:r>
      <w:r w:rsidR="00F02152">
        <w:t xml:space="preserve">n antiquity in order to reach this impressed level of beauty. Another way of </w:t>
      </w:r>
      <w:r w:rsidR="00C60737">
        <w:t xml:space="preserve">improving </w:t>
      </w:r>
      <w:r w:rsidR="00904780">
        <w:t xml:space="preserve">improve the body’s appearance </w:t>
      </w:r>
      <w:r w:rsidR="00F22C70">
        <w:t>was</w:t>
      </w:r>
      <w:r w:rsidR="00BE7E40">
        <w:t xml:space="preserve"> hair removal, which was another large </w:t>
      </w:r>
      <w:r w:rsidR="004E58FB">
        <w:t>standard of beauty, particularly for women. Once more it is Ovid that rights,</w:t>
      </w:r>
      <w:r w:rsidR="00904780">
        <w:t xml:space="preserve"> ‘</w:t>
      </w:r>
      <w:r w:rsidR="004E58FB">
        <w:t>d</w:t>
      </w:r>
      <w:r w:rsidR="00904780">
        <w:t>o not let bris</w:t>
      </w:r>
      <w:r w:rsidR="004E58FB">
        <w:t>tly hair make your legs rough!’</w:t>
      </w:r>
      <w:r w:rsidR="00EC1171">
        <w:t xml:space="preserve"> and t</w:t>
      </w:r>
      <w:r w:rsidR="00904780">
        <w:t xml:space="preserve">o this end, Roman women used depilatory creams (generally called </w:t>
      </w:r>
      <w:proofErr w:type="spellStart"/>
      <w:r w:rsidR="00904780">
        <w:rPr>
          <w:i/>
        </w:rPr>
        <w:t>psilothrum</w:t>
      </w:r>
      <w:proofErr w:type="spellEnd"/>
      <w:r w:rsidR="00904780">
        <w:t>) based on a solution of pitch in oil mixed with resin and wax, to which certain caustic substances were added, not unlike the su</w:t>
      </w:r>
      <w:r w:rsidR="00EC1171">
        <w:t>bstances used in modern waxing</w:t>
      </w:r>
      <w:r w:rsidR="00EC1171">
        <w:rPr>
          <w:rStyle w:val="FootnoteReference"/>
        </w:rPr>
        <w:footnoteReference w:id="9"/>
      </w:r>
      <w:r w:rsidR="00EC1171">
        <w:t>.</w:t>
      </w:r>
      <w:r w:rsidR="00513DC0">
        <w:t xml:space="preserve"> On </w:t>
      </w:r>
      <w:r w:rsidR="00685243">
        <w:t>the subject of hair, another step in upholding a woman’s outward appeal in both Greek and Roman society was to ensure proper maintenance of facial hair by use of tweezers which are similar to those used today</w:t>
      </w:r>
      <w:r w:rsidR="00685243">
        <w:rPr>
          <w:rStyle w:val="FootnoteReference"/>
        </w:rPr>
        <w:footnoteReference w:id="10"/>
      </w:r>
      <w:r w:rsidR="00C57EC0">
        <w:t xml:space="preserve">. With all these beauty rituals and expectations written in literary sources giving evidence of such a high calibre of physical beauty, </w:t>
      </w:r>
      <w:r w:rsidR="001950E3">
        <w:t>it is understandable that both the Greeks and the Romans placed a large portion of a person’s appeal on their outward appearance, which is a similar viewpoint held even in contemporary opinion.</w:t>
      </w:r>
      <w:r w:rsidR="006E01E0">
        <w:t xml:space="preserve"> In continuation, more methods to maintain a high level of beauty in the ancient Greek and Roman opinion</w:t>
      </w:r>
      <w:r w:rsidR="0047017A">
        <w:t xml:space="preserve"> were the art of skincare, makeup and hairstyles.</w:t>
      </w:r>
      <w:r w:rsidR="00866231">
        <w:t xml:space="preserve"> The skin was </w:t>
      </w:r>
      <w:r w:rsidR="005D721C">
        <w:t>preferably kept pale and clear,</w:t>
      </w:r>
      <w:r w:rsidR="00904780">
        <w:t xml:space="preserve"> us</w:t>
      </w:r>
      <w:r w:rsidR="00677130">
        <w:t>ing a series of masks which was</w:t>
      </w:r>
      <w:r w:rsidR="00904780">
        <w:t xml:space="preserve"> referred to by various authors, often disapprovingly</w:t>
      </w:r>
      <w:r w:rsidR="00677130">
        <w:rPr>
          <w:rStyle w:val="FootnoteReference"/>
        </w:rPr>
        <w:footnoteReference w:id="11"/>
      </w:r>
      <w:r w:rsidR="00861A27">
        <w:t xml:space="preserve"> however </w:t>
      </w:r>
      <w:r w:rsidR="00904780">
        <w:t xml:space="preserve">Ovid offers very different tone and intentions in his </w:t>
      </w:r>
      <w:proofErr w:type="spellStart"/>
      <w:r w:rsidR="00904780">
        <w:rPr>
          <w:i/>
        </w:rPr>
        <w:t>Medicamina</w:t>
      </w:r>
      <w:proofErr w:type="spellEnd"/>
      <w:r w:rsidR="00904780">
        <w:rPr>
          <w:i/>
        </w:rPr>
        <w:t xml:space="preserve"> </w:t>
      </w:r>
      <w:proofErr w:type="spellStart"/>
      <w:r w:rsidR="00904780">
        <w:rPr>
          <w:i/>
        </w:rPr>
        <w:t>faciei</w:t>
      </w:r>
      <w:proofErr w:type="spellEnd"/>
      <w:r w:rsidR="00904780">
        <w:rPr>
          <w:i/>
        </w:rPr>
        <w:t xml:space="preserve"> </w:t>
      </w:r>
      <w:proofErr w:type="spellStart"/>
      <w:r w:rsidR="00904780">
        <w:rPr>
          <w:i/>
        </w:rPr>
        <w:t>feminae</w:t>
      </w:r>
      <w:proofErr w:type="spellEnd"/>
      <w:r w:rsidR="00904780">
        <w:rPr>
          <w:i/>
        </w:rPr>
        <w:t xml:space="preserve"> </w:t>
      </w:r>
      <w:r w:rsidR="00904780">
        <w:t>(</w:t>
      </w:r>
      <w:r w:rsidR="00904780">
        <w:rPr>
          <w:i/>
        </w:rPr>
        <w:t>Cosmetics for Women</w:t>
      </w:r>
      <w:r w:rsidR="00904780">
        <w:t>)</w:t>
      </w:r>
      <w:r w:rsidR="00861A27">
        <w:rPr>
          <w:rStyle w:val="FootnoteReference"/>
        </w:rPr>
        <w:footnoteReference w:id="12"/>
      </w:r>
      <w:r w:rsidR="00904780">
        <w:t>. He recommends a great many beauty masks, general of plant origin, (barley, honey, broad beans), made fragrant wit</w:t>
      </w:r>
      <w:r w:rsidR="00DE2D28">
        <w:t>h the essence of roses or myrrh</w:t>
      </w:r>
      <w:r w:rsidR="00DE2D28">
        <w:rPr>
          <w:rStyle w:val="FootnoteReference"/>
        </w:rPr>
        <w:footnoteReference w:id="13"/>
      </w:r>
      <w:r w:rsidR="00FC736A">
        <w:t xml:space="preserve">. </w:t>
      </w:r>
      <w:r w:rsidR="00B737CC">
        <w:t xml:space="preserve">Next to consider is the makeup worn by women in antiquity. </w:t>
      </w:r>
      <w:r w:rsidR="00904780">
        <w:t xml:space="preserve">Again </w:t>
      </w:r>
      <w:r w:rsidR="00450880">
        <w:t xml:space="preserve">it is prudent </w:t>
      </w:r>
      <w:r w:rsidR="00904780">
        <w:t xml:space="preserve">to </w:t>
      </w:r>
      <w:r w:rsidR="00450880">
        <w:t xml:space="preserve">turn to </w:t>
      </w:r>
      <w:r w:rsidR="00904780">
        <w:t>Ovid – ‘and if the face lacks the natural rosy hue that comes from the blood, there are arts to achieve it. Apply your art to reinforce the thin rim of the eyebrows and let a small mole adorn the milky-white cheeks. Nor is there any shame in shading the eyes with fine charcoal or with crocus’</w:t>
      </w:r>
      <w:r w:rsidR="00694BAA">
        <w:rPr>
          <w:rStyle w:val="FootnoteReference"/>
        </w:rPr>
        <w:footnoteReference w:id="14"/>
      </w:r>
      <w:r w:rsidR="00513303">
        <w:t>.</w:t>
      </w:r>
      <w:r w:rsidR="00500C40">
        <w:t xml:space="preserve"> Ovid also has numerous opinions </w:t>
      </w:r>
      <w:r w:rsidR="00D6104B">
        <w:t>upon the proper styles of hair to be worn by women in antiquity, saying ‘let not your hair be untidy’</w:t>
      </w:r>
      <w:r w:rsidR="00D6104B">
        <w:rPr>
          <w:rStyle w:val="FootnoteReference"/>
        </w:rPr>
        <w:footnoteReference w:id="15"/>
      </w:r>
      <w:r w:rsidR="002D35F9">
        <w:t xml:space="preserve"> which is a very basic </w:t>
      </w:r>
      <w:r w:rsidR="00D92D75">
        <w:t xml:space="preserve">standard of beauty, but considered very </w:t>
      </w:r>
      <w:r w:rsidR="00A63C1A">
        <w:t xml:space="preserve">important as it is also represented again and again in </w:t>
      </w:r>
      <w:r w:rsidR="00CF1035">
        <w:t>visual art</w:t>
      </w:r>
      <w:r w:rsidR="00F21E73">
        <w:t>, especially with female divines as they always have aesthetically perfect hairstyles</w:t>
      </w:r>
      <w:r w:rsidR="00904780">
        <w:t xml:space="preserve">. </w:t>
      </w:r>
      <w:r w:rsidR="0026388D">
        <w:t xml:space="preserve">Ovid continues on to describe a </w:t>
      </w:r>
      <w:r w:rsidR="00904780">
        <w:t>great variety of hairstyles worn in the Augustan era (27 B.C.-A.D. 14)</w:t>
      </w:r>
      <w:r w:rsidR="0026388D">
        <w:t>, however</w:t>
      </w:r>
      <w:r w:rsidR="00904780">
        <w:t xml:space="preserve"> he seems to cov</w:t>
      </w:r>
      <w:r w:rsidR="0026388D">
        <w:t>er only simple everyday styles</w:t>
      </w:r>
      <w:r w:rsidR="0026388D">
        <w:rPr>
          <w:rStyle w:val="FootnoteReference"/>
        </w:rPr>
        <w:footnoteReference w:id="16"/>
      </w:r>
      <w:r w:rsidR="00B6377A">
        <w:t xml:space="preserve">. On the subject of sculptures, </w:t>
      </w:r>
      <w:r w:rsidR="00904780">
        <w:t>portraits of Octavia and Livia, respectively th</w:t>
      </w:r>
      <w:r w:rsidR="00685243">
        <w:t>e</w:t>
      </w:r>
      <w:r w:rsidR="00904780">
        <w:t xml:space="preserve"> younger sister and second wife of the emperor Augustus, show each women wearing an elaborate hairstyle in which a large lock folds over the brow in a sort of pad, forming a plait that meets</w:t>
      </w:r>
      <w:r w:rsidR="00B6377A">
        <w:t xml:space="preserve"> a bun at the back of the neck</w:t>
      </w:r>
      <w:r w:rsidR="00B6377A">
        <w:rPr>
          <w:rStyle w:val="FootnoteReference"/>
        </w:rPr>
        <w:footnoteReference w:id="17"/>
      </w:r>
      <w:r w:rsidR="00C8003C">
        <w:t xml:space="preserve"> which is another example of how women are depicted to be physically appealing, or at least it is implied that this is how they are meant to appear.</w:t>
      </w:r>
    </w:p>
    <w:p w:rsidR="00832520" w:rsidRDefault="00FD3286" w:rsidP="00904780">
      <w:r>
        <w:t xml:space="preserve">Now that the subject of how physical beauty </w:t>
      </w:r>
      <w:r w:rsidR="007A31EA">
        <w:t xml:space="preserve">was achieved, it is practical to now address the sculptures themselves and their appearances, in particular identifying those representing divine goddesses of both Greek and Roman origin, with the emphasis focusing on the differences between the visual representation </w:t>
      </w:r>
      <w:r w:rsidR="00EC086B">
        <w:t xml:space="preserve">of </w:t>
      </w:r>
      <w:r w:rsidR="007A31EA">
        <w:t xml:space="preserve">virgin warrior goddesses and </w:t>
      </w:r>
      <w:r w:rsidR="00EC086B">
        <w:t>those that are not.</w:t>
      </w:r>
      <w:r w:rsidR="00D729FD">
        <w:t xml:space="preserve"> To begin with, the first set of sculptures </w:t>
      </w:r>
      <w:r w:rsidR="00AD7627">
        <w:t>that will be analysed</w:t>
      </w:r>
      <w:r w:rsidR="00D729FD">
        <w:t xml:space="preserve"> are the </w:t>
      </w:r>
      <w:r w:rsidR="009F2559">
        <w:t>‘Athena Hope-Farnese’</w:t>
      </w:r>
      <w:r w:rsidR="00616480">
        <w:rPr>
          <w:rStyle w:val="FootnoteReference"/>
        </w:rPr>
        <w:footnoteReference w:id="18"/>
      </w:r>
      <w:r w:rsidR="009F2559">
        <w:t xml:space="preserve">, the </w:t>
      </w:r>
      <w:r w:rsidR="000A0CE5">
        <w:t>‘Peaceable Athena’</w:t>
      </w:r>
      <w:r w:rsidR="000A0CE5">
        <w:rPr>
          <w:rStyle w:val="FootnoteReference"/>
        </w:rPr>
        <w:footnoteReference w:id="19"/>
      </w:r>
      <w:r w:rsidR="000A0CE5">
        <w:t xml:space="preserve"> and </w:t>
      </w:r>
      <w:r w:rsidR="009F2559">
        <w:lastRenderedPageBreak/>
        <w:t>‘</w:t>
      </w:r>
      <w:proofErr w:type="spellStart"/>
      <w:r w:rsidR="009F2559">
        <w:t>Varvakeion</w:t>
      </w:r>
      <w:proofErr w:type="spellEnd"/>
      <w:r w:rsidR="009F2559">
        <w:t xml:space="preserve"> Athena</w:t>
      </w:r>
      <w:r w:rsidR="004224DE">
        <w:t xml:space="preserve"> </w:t>
      </w:r>
      <w:proofErr w:type="spellStart"/>
      <w:r w:rsidR="004224DE">
        <w:t>Parthenos</w:t>
      </w:r>
      <w:proofErr w:type="spellEnd"/>
      <w:r w:rsidR="009F2559">
        <w:t>’</w:t>
      </w:r>
      <w:r w:rsidR="004224DE">
        <w:rPr>
          <w:rStyle w:val="FootnoteReference"/>
        </w:rPr>
        <w:footnoteReference w:id="20"/>
      </w:r>
      <w:r w:rsidR="009F2559">
        <w:t>, a statue on display in Athens.</w:t>
      </w:r>
      <w:r w:rsidR="00AD7627">
        <w:t xml:space="preserve"> All these statues share similar or identical traits, beginning with the style of clothing that they wear</w:t>
      </w:r>
      <w:r w:rsidR="0000425F">
        <w:t xml:space="preserve">. The garb that covers the goddess Athena is constantly modest, revealing very little skin and it is usual for her to be depicted with a helm, shield and spear. </w:t>
      </w:r>
      <w:r w:rsidR="004030CA">
        <w:t>In myth Athena is represented to be a masculine woman and some might label her androgynous due to these unusual characteristics of a woman in antiquity</w:t>
      </w:r>
      <w:r w:rsidR="004030CA">
        <w:rPr>
          <w:rStyle w:val="FootnoteReference"/>
        </w:rPr>
        <w:footnoteReference w:id="21"/>
      </w:r>
      <w:r w:rsidR="004030CA">
        <w:t>. She is female in appearance and is associated with the handicrafts of women and the fertility of the olive, but many of her attributes are those traditionally associated with males</w:t>
      </w:r>
      <w:r w:rsidR="004030CA">
        <w:rPr>
          <w:rStyle w:val="FootnoteReference"/>
        </w:rPr>
        <w:footnoteReference w:id="22"/>
      </w:r>
      <w:r w:rsidR="004030CA">
        <w:t>. She is a patroness of wisdom, another trait which is considered masculine by the ancient Greeks and she is also a warrior goddess, protector of the citadel, traditionally armed with shield, spear and helmet</w:t>
      </w:r>
      <w:r w:rsidR="004030CA">
        <w:rPr>
          <w:rStyle w:val="FootnoteReference"/>
        </w:rPr>
        <w:footnoteReference w:id="23"/>
      </w:r>
      <w:r w:rsidR="00175BF5">
        <w:t>. With all of these facts combined, it is reasonable to assume that Greco-Roman statues of Athena are made to be accurate representations of the goddess they are meant to be portraying, as a point of respect and honour for her status and power but in addition, the standard of beauty inflicted upon the women of the time was not conveyed upon Athena due to her numerous masculine qualities</w:t>
      </w:r>
      <w:r w:rsidR="004030CA">
        <w:t>.</w:t>
      </w:r>
      <w:r w:rsidR="00175BF5">
        <w:t xml:space="preserve"> </w:t>
      </w:r>
      <w:r w:rsidR="0000425F">
        <w:t xml:space="preserve">All of these statues are Roman copies of Greek originals, </w:t>
      </w:r>
      <w:r w:rsidR="0074149D">
        <w:t xml:space="preserve">which indicates that the influence of the Greek style was accepted by the Romans, who also chose to represent their divine goddess Diana in an identical way to the Greek originals, signifying a similar attitude towards the representation of divine in reference to the respectable goddesses. When it comes to Artemis, </w:t>
      </w:r>
      <w:r w:rsidR="0093723E">
        <w:t>we can identify the same type of representation in her own statues, such as the ‘Diana of Versailles’</w:t>
      </w:r>
      <w:r w:rsidR="0093723E">
        <w:rPr>
          <w:rStyle w:val="FootnoteReference"/>
        </w:rPr>
        <w:footnoteReference w:id="24"/>
      </w:r>
      <w:r w:rsidR="0093723E">
        <w:t xml:space="preserve">, </w:t>
      </w:r>
      <w:r w:rsidR="00F4749B">
        <w:t>the ‘Ephesian Artemis’</w:t>
      </w:r>
      <w:r w:rsidR="00F4749B">
        <w:rPr>
          <w:rStyle w:val="FootnoteReference"/>
        </w:rPr>
        <w:footnoteReference w:id="25"/>
      </w:r>
      <w:r w:rsidR="00985E63">
        <w:t xml:space="preserve"> and also ‘Diana de </w:t>
      </w:r>
      <w:proofErr w:type="spellStart"/>
      <w:r w:rsidR="00985E63">
        <w:t>Gabies</w:t>
      </w:r>
      <w:proofErr w:type="spellEnd"/>
      <w:r w:rsidR="00985E63">
        <w:t>’</w:t>
      </w:r>
      <w:r w:rsidR="00985E63">
        <w:rPr>
          <w:rStyle w:val="FootnoteReference"/>
        </w:rPr>
        <w:footnoteReference w:id="26"/>
      </w:r>
      <w:r w:rsidR="00985E63">
        <w:t xml:space="preserve">. Once more it can be seen </w:t>
      </w:r>
      <w:r w:rsidR="00A05EDE">
        <w:t>with the</w:t>
      </w:r>
      <w:r w:rsidR="00985E63">
        <w:t xml:space="preserve"> statues</w:t>
      </w:r>
      <w:r w:rsidR="00A05EDE">
        <w:t xml:space="preserve"> of ‘Diana de </w:t>
      </w:r>
      <w:proofErr w:type="spellStart"/>
      <w:r w:rsidR="00A05EDE">
        <w:t>Gabies</w:t>
      </w:r>
      <w:proofErr w:type="spellEnd"/>
      <w:r w:rsidR="00A05EDE">
        <w:t>’ and ‘Diana of Versailles’, they both have one thing in common;</w:t>
      </w:r>
      <w:r w:rsidR="00985E63">
        <w:t xml:space="preserve"> the modesty of their dress wear and how it is not showing any immodest body parts or too much skin. With Artemis being known as a hunter, it is therefore natural that she would be shown to be in the middle of a hunt with her bow and arrows, such as with the statue ‘Diana of Versailles’</w:t>
      </w:r>
      <w:r w:rsidR="00985E63">
        <w:rPr>
          <w:rStyle w:val="FootnoteReference"/>
        </w:rPr>
        <w:footnoteReference w:id="27"/>
      </w:r>
      <w:r w:rsidR="00985E63">
        <w:t xml:space="preserve"> and ‘Diana de </w:t>
      </w:r>
      <w:proofErr w:type="spellStart"/>
      <w:r w:rsidR="00985E63">
        <w:t>Gabies</w:t>
      </w:r>
      <w:proofErr w:type="spellEnd"/>
      <w:r w:rsidR="00985E63">
        <w:t>’</w:t>
      </w:r>
      <w:r w:rsidR="00985E63">
        <w:rPr>
          <w:rStyle w:val="FootnoteReference"/>
        </w:rPr>
        <w:footnoteReference w:id="28"/>
      </w:r>
      <w:r w:rsidR="00143B8F">
        <w:t xml:space="preserve">, this trait is shared between Artemis and Athena, based on their roles as warriors in Greek myth and religion. </w:t>
      </w:r>
      <w:r w:rsidR="00A05EDE">
        <w:t xml:space="preserve">The only exception with Artemis’s representation of modesty is with the ‘Ephesian Artemis’, which depicts numerous breasts however this can be argued to be a symbol of Artemis’s role as a guardian of fertility and childbirth. Since </w:t>
      </w:r>
      <w:r w:rsidR="000909FD">
        <w:t>this image of Artemis is not overtly sexual, it can be argued that its purpose was to portray the goddess in a more literal sense of her role within ancient Greco-Roman society.</w:t>
      </w:r>
      <w:r w:rsidR="00A05EDE">
        <w:t xml:space="preserve"> </w:t>
      </w:r>
      <w:r w:rsidR="00143B8F">
        <w:t>Another point that can be argued is that, due to the fact that they are also known to be eternal virgins, the reason they are manifested in art so modestly is to reduce sexual attraction to them from men to maintain their standard of being pure.</w:t>
      </w:r>
      <w:r w:rsidR="00E47849">
        <w:t xml:space="preserve"> However, this argument can be </w:t>
      </w:r>
      <w:r w:rsidR="004D7827">
        <w:t>supported through the representation of Hestia, another goddess known to be an eternal virgin, however was not a warrior in any sense of the word. A statue of Hestia located today in the State Hermitage Museum in St Petersburg</w:t>
      </w:r>
      <w:r w:rsidR="004D7827">
        <w:rPr>
          <w:rStyle w:val="FootnoteReference"/>
        </w:rPr>
        <w:footnoteReference w:id="29"/>
      </w:r>
      <w:r w:rsidR="004D7827">
        <w:t xml:space="preserve"> depicts a female figure believed to be Hestia in a floor length mantle with her head modestly covered in a veil.</w:t>
      </w:r>
      <w:r w:rsidR="00F44FC0">
        <w:t xml:space="preserve"> Another example is the ‘Hestia </w:t>
      </w:r>
      <w:proofErr w:type="spellStart"/>
      <w:r w:rsidR="00F44FC0">
        <w:t>Giustiniani</w:t>
      </w:r>
      <w:proofErr w:type="spellEnd"/>
      <w:r w:rsidR="00F44FC0">
        <w:t>’</w:t>
      </w:r>
      <w:r w:rsidR="00F44FC0">
        <w:rPr>
          <w:rStyle w:val="FootnoteReference"/>
        </w:rPr>
        <w:footnoteReference w:id="30"/>
      </w:r>
      <w:r w:rsidR="00F44FC0">
        <w:t xml:space="preserve"> where again Hestia is shown with a heavy floor length robe and veil to cover her hair.</w:t>
      </w:r>
      <w:r w:rsidR="00832520">
        <w:t xml:space="preserve"> As the third virginal Olympian goddess, Hestia (Roman </w:t>
      </w:r>
      <w:proofErr w:type="spellStart"/>
      <w:r w:rsidR="00832520">
        <w:t>Vesta</w:t>
      </w:r>
      <w:proofErr w:type="spellEnd"/>
      <w:r w:rsidR="00832520">
        <w:t xml:space="preserve">), is often depicted as the archetypal old maid, preferring the quiet of the hearth to the boisterous </w:t>
      </w:r>
      <w:r w:rsidR="00832520">
        <w:lastRenderedPageBreak/>
        <w:t>banquets and emotional entanglements of the other Olympians</w:t>
      </w:r>
      <w:r w:rsidR="00832520">
        <w:rPr>
          <w:rStyle w:val="FootnoteReference"/>
        </w:rPr>
        <w:footnoteReference w:id="31"/>
      </w:r>
      <w:r w:rsidR="00832520">
        <w:t>. Moreover, she is seldom depicted in the visual arts, for instead of having an anthropomorphic conception, Hestia is commonly envisioned as the living flame</w:t>
      </w:r>
      <w:r w:rsidR="00522050">
        <w:rPr>
          <w:rStyle w:val="FootnoteReference"/>
        </w:rPr>
        <w:footnoteReference w:id="32"/>
      </w:r>
      <w:r w:rsidR="00522050">
        <w:t xml:space="preserve"> which she presides over. Considering the dress styles of the virgin deities, t</w:t>
      </w:r>
      <w:r w:rsidR="006D76EA">
        <w:t>he purpose of this style is arguably to limit the sexual appeal of these three goddesses, who at the beginning of the ‘</w:t>
      </w:r>
      <w:r w:rsidR="006D76EA">
        <w:rPr>
          <w:i/>
        </w:rPr>
        <w:t xml:space="preserve">Hymn </w:t>
      </w:r>
      <w:r w:rsidR="006D76EA" w:rsidRPr="006D76EA">
        <w:rPr>
          <w:i/>
        </w:rPr>
        <w:t>to Aphrodite</w:t>
      </w:r>
      <w:r w:rsidR="006D76EA">
        <w:rPr>
          <w:i/>
        </w:rPr>
        <w:t>’</w:t>
      </w:r>
      <w:r w:rsidR="006D76EA">
        <w:t xml:space="preserve"> are listed to be the three deities who are able to resist the influence of Aphrodite, which therefore makes them virgin goddesses</w:t>
      </w:r>
      <w:r w:rsidR="006D76EA">
        <w:rPr>
          <w:rStyle w:val="FootnoteReference"/>
        </w:rPr>
        <w:footnoteReference w:id="33"/>
      </w:r>
      <w:r w:rsidR="00F814ED">
        <w:t xml:space="preserve"> as it is also a choice that they made themselves to avoid marriage</w:t>
      </w:r>
      <w:r w:rsidR="00D61439">
        <w:t>.</w:t>
      </w:r>
    </w:p>
    <w:p w:rsidR="0092092D" w:rsidRDefault="00017B70" w:rsidP="00904780">
      <w:r>
        <w:t>To compare different portrayals of goddesses in visual art, the most obvious choice to demonstrate the broad difference in styles is Aphrodite, who was the goddess of beauty, love and procreation</w:t>
      </w:r>
      <w:r>
        <w:rPr>
          <w:rStyle w:val="FootnoteReference"/>
        </w:rPr>
        <w:footnoteReference w:id="34"/>
      </w:r>
      <w:r w:rsidR="006673D3">
        <w:t>, a direct opposite to the deities depicted as eternal virgins.</w:t>
      </w:r>
      <w:r w:rsidR="00EB6642">
        <w:t xml:space="preserve"> The statues that will be analysed concerning the goddess Aphrodite are the Hellenistic statue ‘Aphrodite of Rhodes’</w:t>
      </w:r>
      <w:r w:rsidR="00EB6642">
        <w:rPr>
          <w:rStyle w:val="FootnoteReference"/>
        </w:rPr>
        <w:footnoteReference w:id="35"/>
      </w:r>
      <w:r w:rsidR="00EB6642">
        <w:t>, the ‘Callipygian Venus’</w:t>
      </w:r>
      <w:r w:rsidR="00EB6642">
        <w:rPr>
          <w:rStyle w:val="FootnoteReference"/>
        </w:rPr>
        <w:footnoteReference w:id="36"/>
      </w:r>
      <w:r w:rsidR="00EB6642">
        <w:t xml:space="preserve"> and also the ‘Venus </w:t>
      </w:r>
      <w:proofErr w:type="spellStart"/>
      <w:r w:rsidR="00EB6642">
        <w:t>d’Arles</w:t>
      </w:r>
      <w:proofErr w:type="spellEnd"/>
      <w:r w:rsidR="00EB6642">
        <w:t>’</w:t>
      </w:r>
      <w:r w:rsidR="00EB6642">
        <w:rPr>
          <w:rStyle w:val="FootnoteReference"/>
        </w:rPr>
        <w:footnoteReference w:id="37"/>
      </w:r>
      <w:r w:rsidR="00EB6642">
        <w:t>.</w:t>
      </w:r>
      <w:r w:rsidR="003D13A7">
        <w:t xml:space="preserve"> </w:t>
      </w:r>
      <w:r w:rsidR="003E4A2E">
        <w:t xml:space="preserve">All of these statues show Aphrodite/Venus to be partially or fully naked, suggesting an erotic theme. </w:t>
      </w:r>
      <w:r w:rsidR="003D13A7">
        <w:t>In classical sculpture it was common, if not expected, for Aphrodite to be depicted as a physically beautiful woman who is partially naked or in the process of disrobing</w:t>
      </w:r>
      <w:r w:rsidR="00A05EDE">
        <w:t>, often in a gesture of a futile attempt to cover her modesty</w:t>
      </w:r>
      <w:r w:rsidR="003D13A7">
        <w:rPr>
          <w:rStyle w:val="FootnoteReference"/>
        </w:rPr>
        <w:footnoteReference w:id="38"/>
      </w:r>
      <w:r w:rsidR="003D13A7">
        <w:t>.</w:t>
      </w:r>
      <w:r w:rsidR="00A05EDE">
        <w:t xml:space="preserve"> This style of representation of Aphrodite was first introduced by the artist and sculptor Praxiteles in the fifth century B.C as a cult idol for the city-state of Cnidus</w:t>
      </w:r>
      <w:r w:rsidR="00A05EDE">
        <w:rPr>
          <w:rStyle w:val="FootnoteReference"/>
        </w:rPr>
        <w:footnoteReference w:id="39"/>
      </w:r>
      <w:r w:rsidR="00A05EDE">
        <w:t xml:space="preserve">. Contrasting heavily with Hestia, Artemis and Athena, it is evident that because of Aphrodite’s role </w:t>
      </w:r>
      <w:r w:rsidR="0089256A">
        <w:t xml:space="preserve">is sexually based, she is always sculpted to be beautiful, revealing and </w:t>
      </w:r>
      <w:r w:rsidR="009F7A97">
        <w:t>sensual to look upon. Therefore, it can be surmised that because her appearance is more appealing to the male population in comparison to Athena, Artemis and even Hestia, Aphrodite was the standard of beauty that women aimed to achieve in order to fit into the social norms of the ancient world.</w:t>
      </w:r>
      <w:r w:rsidR="00370898">
        <w:t xml:space="preserve"> </w:t>
      </w:r>
      <w:r w:rsidR="00397A85">
        <w:t xml:space="preserve">Although Aphrodite in visual art is openly sexualised, this theme does not apply to all goddesses, however their appearance does suggest the idea that beauty was largely a shared aspect of divinity. For example, the statue ‘Juno-Hera </w:t>
      </w:r>
      <w:proofErr w:type="spellStart"/>
      <w:r w:rsidR="00397A85">
        <w:t>Campana</w:t>
      </w:r>
      <w:proofErr w:type="spellEnd"/>
      <w:r w:rsidR="00397A85">
        <w:t>’</w:t>
      </w:r>
      <w:r w:rsidR="00397A85">
        <w:rPr>
          <w:rStyle w:val="FootnoteReference"/>
        </w:rPr>
        <w:footnoteReference w:id="40"/>
      </w:r>
      <w:r w:rsidR="00397A85">
        <w:t xml:space="preserve"> portrays her as a regal figure with similar features to most other statues of goddesses, and in addition her robes are shaping her body rather unrealistically to add to the appeal of her representation.</w:t>
      </w:r>
      <w:r w:rsidR="00540DCF">
        <w:t xml:space="preserve"> Furthermore, the same can be said for the statue of Demeter, ‘Ceres-</w:t>
      </w:r>
      <w:proofErr w:type="spellStart"/>
      <w:r w:rsidR="00540DCF">
        <w:t>Demter</w:t>
      </w:r>
      <w:proofErr w:type="spellEnd"/>
      <w:r w:rsidR="00540DCF">
        <w:t>’ where she is holding a sheaf of wheat in one hand and a cornucopia in the other. Physically, there is very little variation between herself and Hera, and even with the other goddesses previously identified. All are thin lipped, beautiful to observe and in addition, Demeter also wears robes which shape her body to emphasise her shape, especially the breast area. Overall thi</w:t>
      </w:r>
      <w:r w:rsidR="00B07AB5">
        <w:t>s suggests that beauty was a hugely desirable aspect of Greco-Roman life</w:t>
      </w:r>
      <w:r w:rsidR="00540DCF">
        <w:t xml:space="preserve">. </w:t>
      </w:r>
      <w:r w:rsidR="00370898">
        <w:t xml:space="preserve">To support the idea that beauty played a large role in the lives of those in </w:t>
      </w:r>
      <w:r w:rsidR="00540DCF">
        <w:t>Greco-Roman culture</w:t>
      </w:r>
      <w:r w:rsidR="00370898">
        <w:t>, it is said that the Greeks believed women to be incapable of not exercising their sexual charms and because of this, the results were catastrophic, irrespective of whether or not women set out to cause trouble deliberately or acted in a blissful ignorance of what they were doing</w:t>
      </w:r>
      <w:r w:rsidR="00370898">
        <w:rPr>
          <w:rStyle w:val="FootnoteReference"/>
        </w:rPr>
        <w:footnoteReference w:id="41"/>
      </w:r>
      <w:r w:rsidR="00370898">
        <w:t xml:space="preserve">. </w:t>
      </w:r>
      <w:r w:rsidR="003B38D3">
        <w:t xml:space="preserve">In support of the supposed correlation between beauty and danger concerning women, Euripides in the </w:t>
      </w:r>
      <w:r w:rsidR="003B38D3">
        <w:rPr>
          <w:i/>
        </w:rPr>
        <w:t xml:space="preserve">Hippolytus </w:t>
      </w:r>
      <w:r w:rsidR="003B38D3">
        <w:t xml:space="preserve">show women’s openness to passion endangering the men of her house…the whole play </w:t>
      </w:r>
      <w:r w:rsidR="003B38D3">
        <w:lastRenderedPageBreak/>
        <w:t>endorses the idea that women destroy men by their openness to Aphrodite, i.e. their sexuality</w:t>
      </w:r>
      <w:r w:rsidR="003B38D3">
        <w:rPr>
          <w:rStyle w:val="FootnoteReference"/>
        </w:rPr>
        <w:footnoteReference w:id="42"/>
      </w:r>
      <w:r w:rsidR="003B38D3">
        <w:t>.</w:t>
      </w:r>
      <w:r w:rsidR="00694592">
        <w:t xml:space="preserve"> This type of accusation that women are dangerous because of their beauty is not known to be applied to Athena and Artemis, or even Hestia directly. Because of their male traits, they are considered to be safer than ordinary women, who because of Aphrodite’s influence, are meant to be the downfall of men because of the temptation of their beauty.</w:t>
      </w:r>
      <w:r w:rsidR="002D47D3">
        <w:t xml:space="preserve"> To clarify, Hesiod describes Pandora to be a beautiful evil</w:t>
      </w:r>
      <w:r w:rsidR="002D47D3">
        <w:rPr>
          <w:rStyle w:val="FootnoteReference"/>
        </w:rPr>
        <w:footnoteReference w:id="43"/>
      </w:r>
      <w:r w:rsidR="00051101">
        <w:t>, again addressing the theme of beauty being a large aspect of Greco-Roman life and also supports the stereotypical archetype of a female figure in antiquity, whether divine or mortal with the exception of the three virgin goddesses, Athena, Artemis and Hestia, due to them either being characteristically male or simply choosing a life of modesty and purity, as in Hestia’s case.</w:t>
      </w:r>
    </w:p>
    <w:p w:rsidR="003050DE" w:rsidRDefault="004F5107" w:rsidP="003266C6">
      <w:r>
        <w:t>Thus to summarise, the standardised roles of women in antiquity suggest that to be beautiful was to be evil, as insinuated by Hesiod</w:t>
      </w:r>
      <w:r>
        <w:rPr>
          <w:rStyle w:val="FootnoteReference"/>
        </w:rPr>
        <w:footnoteReference w:id="44"/>
      </w:r>
      <w:r>
        <w:t xml:space="preserve">, but it was also to be expected nonetheless. With evidence of such drastic measures that were undertaken by women in Greco-Roman culture in order to attain a certain standard of beauty that was deemed acceptable by society, it is indicative that beauty </w:t>
      </w:r>
      <w:r w:rsidRPr="003050DE">
        <w:t>remained a desirable trait despite its connotations of catastrophic consequences.</w:t>
      </w:r>
      <w:r w:rsidR="003050DE">
        <w:t xml:space="preserve"> The divine manifestation within plastic art, especially in reference to Aphrodite, is largely homogeneous but not overtly sexualised, this singular trait being reserved for Aphrodite alone due to her divine role as the goddess of beauty, love and procreation</w:t>
      </w:r>
      <w:r w:rsidR="003050DE">
        <w:rPr>
          <w:rStyle w:val="FootnoteReference"/>
        </w:rPr>
        <w:footnoteReference w:id="45"/>
      </w:r>
      <w:r w:rsidR="00C90112">
        <w:t>. The exceptions to the standardised representation of female divinity are Artemis/Diana and Athena/Minerva due to their strong male characteristics, which detracts from the usual expectation of women in both mythical and realistic society, meaning that their representation must be accurate to their nature in order to properly respect their roles.</w:t>
      </w:r>
      <w:r w:rsidR="003266C6">
        <w:t xml:space="preserve"> With this in mind, it can therefore be said that through plastic art, the manifestation of divine women in Greco-Roman statues were designed to represent the ideal physical standard of beauty, as their features are typically similar, yet the standardisation of female divines does not apply to Artemis/Diana and Athena/Minerva because their roles does not correlate with the expectation of the male population in Greco-Roman society.</w:t>
      </w:r>
    </w:p>
    <w:p w:rsidR="003050DE" w:rsidRDefault="003050DE" w:rsidP="00904780"/>
    <w:p w:rsidR="005D59A4" w:rsidRDefault="005D59A4" w:rsidP="00904780"/>
    <w:p w:rsidR="005D59A4" w:rsidRDefault="005D59A4" w:rsidP="00904780"/>
    <w:p w:rsidR="005D59A4" w:rsidRDefault="005D59A4" w:rsidP="00904780"/>
    <w:p w:rsidR="005D59A4" w:rsidRDefault="005D59A4" w:rsidP="00904780"/>
    <w:p w:rsidR="005D59A4" w:rsidRDefault="005D59A4" w:rsidP="00904780"/>
    <w:p w:rsidR="005D59A4" w:rsidRDefault="005D59A4" w:rsidP="00904780"/>
    <w:p w:rsidR="001B7E61" w:rsidRDefault="001B7E61" w:rsidP="00904780"/>
    <w:p w:rsidR="005D59A4" w:rsidRDefault="005D59A4" w:rsidP="00904780"/>
    <w:p w:rsidR="005D59A4" w:rsidRDefault="005D59A4" w:rsidP="00904780"/>
    <w:p w:rsidR="005D59A4" w:rsidRDefault="005D59A4" w:rsidP="00904780">
      <w:r>
        <w:lastRenderedPageBreak/>
        <w:t>Bibliography:</w:t>
      </w:r>
    </w:p>
    <w:p w:rsidR="005D59A4" w:rsidRDefault="00F73B99" w:rsidP="00904780">
      <w:r>
        <w:t>Modern Scholarship –</w:t>
      </w:r>
    </w:p>
    <w:p w:rsidR="00F73B99" w:rsidRPr="000E49F8" w:rsidRDefault="000E49F8" w:rsidP="00F73B99">
      <w:proofErr w:type="spellStart"/>
      <w:r w:rsidRPr="000E49F8">
        <w:t>Ambrosio</w:t>
      </w:r>
      <w:proofErr w:type="spellEnd"/>
      <w:r w:rsidRPr="000E49F8">
        <w:t>, A.</w:t>
      </w:r>
      <w:r>
        <w:t xml:space="preserve"> 2001.</w:t>
      </w:r>
      <w:r w:rsidRPr="000E49F8">
        <w:t xml:space="preserve"> </w:t>
      </w:r>
      <w:r w:rsidR="00F73B99" w:rsidRPr="000E49F8">
        <w:rPr>
          <w:i/>
        </w:rPr>
        <w:t>Women and Beauty in Pompeii</w:t>
      </w:r>
      <w:r>
        <w:t>. (</w:t>
      </w:r>
      <w:proofErr w:type="gramStart"/>
      <w:r>
        <w:t>trans</w:t>
      </w:r>
      <w:proofErr w:type="gramEnd"/>
      <w:r>
        <w:t xml:space="preserve"> </w:t>
      </w:r>
      <w:r w:rsidR="00F73B99" w:rsidRPr="000E49F8">
        <w:t>Sells</w:t>
      </w:r>
      <w:r>
        <w:t>. G). California: J. Paul Getty Museum.</w:t>
      </w:r>
    </w:p>
    <w:p w:rsidR="00F73B99" w:rsidRPr="000E49F8" w:rsidRDefault="000E49F8" w:rsidP="00F73B99">
      <w:r>
        <w:t xml:space="preserve">Cameron, A. and </w:t>
      </w:r>
      <w:proofErr w:type="spellStart"/>
      <w:r>
        <w:t>Kuhrt</w:t>
      </w:r>
      <w:proofErr w:type="spellEnd"/>
      <w:r>
        <w:t xml:space="preserve"> A. 1993. </w:t>
      </w:r>
      <w:r w:rsidR="00F73B99" w:rsidRPr="000E49F8">
        <w:rPr>
          <w:i/>
        </w:rPr>
        <w:t>Images of Women in Antiquity</w:t>
      </w:r>
      <w:r>
        <w:t>. London: Routledge.</w:t>
      </w:r>
    </w:p>
    <w:p w:rsidR="00CC0A89" w:rsidRPr="000E49F8" w:rsidRDefault="000E49F8" w:rsidP="00CC0A89">
      <w:r>
        <w:t xml:space="preserve">Pomeroy, S. B. 1976. </w:t>
      </w:r>
      <w:r w:rsidR="00CC0A89" w:rsidRPr="000E49F8">
        <w:rPr>
          <w:i/>
        </w:rPr>
        <w:t>Goddesses, Whores, Wives and Slaves – Women in Classical Antiquity</w:t>
      </w:r>
      <w:r>
        <w:t>. London:</w:t>
      </w:r>
      <w:r w:rsidR="00CC0A89" w:rsidRPr="000E49F8">
        <w:t xml:space="preserve"> Robert Hale and </w:t>
      </w:r>
      <w:r>
        <w:t>Company.</w:t>
      </w:r>
    </w:p>
    <w:p w:rsidR="00441C70" w:rsidRPr="000E49F8" w:rsidRDefault="000E49F8" w:rsidP="00441C70">
      <w:proofErr w:type="spellStart"/>
      <w:r w:rsidRPr="000E49F8">
        <w:t>Cantarella</w:t>
      </w:r>
      <w:proofErr w:type="spellEnd"/>
      <w:r>
        <w:t>,</w:t>
      </w:r>
      <w:r w:rsidRPr="000E49F8">
        <w:rPr>
          <w:i/>
        </w:rPr>
        <w:t xml:space="preserve"> </w:t>
      </w:r>
      <w:r w:rsidRPr="000E49F8">
        <w:t>E.</w:t>
      </w:r>
      <w:r>
        <w:t xml:space="preserve"> 1989.</w:t>
      </w:r>
      <w:r w:rsidRPr="000E49F8">
        <w:t xml:space="preserve"> </w:t>
      </w:r>
      <w:r w:rsidR="00441C70" w:rsidRPr="000E49F8">
        <w:rPr>
          <w:i/>
        </w:rPr>
        <w:t>Pandora’s Daughters – The Role and Status of Women in Greek and Roman Antiquity</w:t>
      </w:r>
      <w:r w:rsidR="00441C70" w:rsidRPr="000E49F8">
        <w:t xml:space="preserve">, </w:t>
      </w:r>
      <w:r>
        <w:t>(</w:t>
      </w:r>
      <w:r w:rsidR="00441C70" w:rsidRPr="000E49F8">
        <w:t xml:space="preserve">trans. </w:t>
      </w:r>
      <w:proofErr w:type="spellStart"/>
      <w:r w:rsidRPr="000E49F8">
        <w:t>Fant</w:t>
      </w:r>
      <w:proofErr w:type="spellEnd"/>
      <w:r>
        <w:t>,</w:t>
      </w:r>
      <w:r w:rsidRPr="000E49F8">
        <w:t xml:space="preserve"> </w:t>
      </w:r>
      <w:r w:rsidR="00441C70" w:rsidRPr="000E49F8">
        <w:t>M. B.</w:t>
      </w:r>
      <w:r>
        <w:t>). London: John Hopkins University Press.</w:t>
      </w:r>
    </w:p>
    <w:p w:rsidR="00441C70" w:rsidRPr="000E49F8" w:rsidRDefault="000E49F8" w:rsidP="00441C70">
      <w:proofErr w:type="spellStart"/>
      <w:r w:rsidRPr="000E49F8">
        <w:t>Arjava</w:t>
      </w:r>
      <w:proofErr w:type="spellEnd"/>
      <w:r>
        <w:t>,</w:t>
      </w:r>
      <w:r w:rsidRPr="000E49F8">
        <w:rPr>
          <w:i/>
        </w:rPr>
        <w:t xml:space="preserve"> </w:t>
      </w:r>
      <w:r w:rsidRPr="000E49F8">
        <w:t xml:space="preserve">A. </w:t>
      </w:r>
      <w:r>
        <w:t xml:space="preserve">1996. </w:t>
      </w:r>
      <w:r w:rsidR="00441C70" w:rsidRPr="000E49F8">
        <w:rPr>
          <w:i/>
        </w:rPr>
        <w:t>Women in Law and Late Antiquity</w:t>
      </w:r>
      <w:r>
        <w:t>. Oxford: Clarendon Press.</w:t>
      </w:r>
    </w:p>
    <w:p w:rsidR="00441C70" w:rsidRDefault="000E49F8" w:rsidP="00441C70">
      <w:proofErr w:type="spellStart"/>
      <w:r w:rsidRPr="000E49F8">
        <w:t>Lefkowitz</w:t>
      </w:r>
      <w:proofErr w:type="spellEnd"/>
      <w:r w:rsidRPr="000E49F8">
        <w:t xml:space="preserve"> </w:t>
      </w:r>
      <w:r w:rsidRPr="000E49F8">
        <w:t xml:space="preserve">M. R., </w:t>
      </w:r>
      <w:proofErr w:type="spellStart"/>
      <w:r w:rsidRPr="000E49F8">
        <w:t>Fant</w:t>
      </w:r>
      <w:proofErr w:type="spellEnd"/>
      <w:r w:rsidRPr="000E49F8">
        <w:rPr>
          <w:i/>
        </w:rPr>
        <w:t xml:space="preserve"> </w:t>
      </w:r>
      <w:r w:rsidRPr="000E49F8">
        <w:t xml:space="preserve">M. B. </w:t>
      </w:r>
      <w:r>
        <w:t xml:space="preserve">1992. </w:t>
      </w:r>
      <w:r w:rsidR="00441C70" w:rsidRPr="000E49F8">
        <w:rPr>
          <w:i/>
        </w:rPr>
        <w:t>Women’s Life in Greece and Rome – A Sourcebook in Translation</w:t>
      </w:r>
      <w:r>
        <w:t xml:space="preserve">. </w:t>
      </w:r>
      <w:proofErr w:type="spellStart"/>
      <w:r>
        <w:t>Melksham</w:t>
      </w:r>
      <w:proofErr w:type="spellEnd"/>
      <w:r>
        <w:t>: Redwood Press Ltd.</w:t>
      </w:r>
    </w:p>
    <w:p w:rsidR="002D1A7C" w:rsidRDefault="002D1A7C" w:rsidP="00441C70"/>
    <w:p w:rsidR="002D1A7C" w:rsidRDefault="002D1A7C" w:rsidP="00441C70">
      <w:r>
        <w:t>Websites –</w:t>
      </w:r>
    </w:p>
    <w:p w:rsidR="00441C70" w:rsidRDefault="002D1A7C" w:rsidP="00441C70">
      <w:r>
        <w:t xml:space="preserve">Hughes, B. ‘Would You be Beautiful in the Ancient World?’ 2015. BBC.co.uk. </w:t>
      </w:r>
      <w:hyperlink r:id="rId6" w:history="1">
        <w:r w:rsidR="00441C70" w:rsidRPr="00EF5262">
          <w:rPr>
            <w:rStyle w:val="Hyperlink"/>
          </w:rPr>
          <w:t>http://www.bbc.co.uk/news/magazine-30746985</w:t>
        </w:r>
      </w:hyperlink>
      <w:r>
        <w:t>.</w:t>
      </w:r>
      <w:r w:rsidR="00441C70">
        <w:t xml:space="preserve"> </w:t>
      </w:r>
      <w:r>
        <w:t xml:space="preserve">[Accessed: </w:t>
      </w:r>
      <w:r w:rsidR="00441C70">
        <w:t>02/12/2017</w:t>
      </w:r>
      <w:r>
        <w:t>]</w:t>
      </w:r>
    </w:p>
    <w:p w:rsidR="00441C70" w:rsidRDefault="0027076A" w:rsidP="00441C70">
      <w:r>
        <w:t xml:space="preserve">Nichols, K. ‘How Classical Sculpture Helped to set Impossible Standards of Beauty’ 2015. Cam.ac.uk. </w:t>
      </w:r>
      <w:hyperlink r:id="rId7" w:history="1">
        <w:r w:rsidR="00441C70" w:rsidRPr="00EF5262">
          <w:rPr>
            <w:rStyle w:val="Hyperlink"/>
          </w:rPr>
          <w:t>http://www.cam.ac.uk/research/features/how-classical-sculpture-helped-to-set-impossible-standards-of-beauty</w:t>
        </w:r>
      </w:hyperlink>
      <w:r w:rsidR="00441C70">
        <w:t xml:space="preserve">. </w:t>
      </w:r>
      <w:r>
        <w:t xml:space="preserve">[Accessed: </w:t>
      </w:r>
      <w:r w:rsidR="00441C70">
        <w:t>02/12/2017</w:t>
      </w:r>
      <w:r>
        <w:t>]</w:t>
      </w:r>
    </w:p>
    <w:p w:rsidR="00441C70" w:rsidRDefault="00CE3F65" w:rsidP="00441C70">
      <w:proofErr w:type="spellStart"/>
      <w:r>
        <w:t>Atsma</w:t>
      </w:r>
      <w:proofErr w:type="spellEnd"/>
      <w:r>
        <w:t>, A. J. ‘Athena Hope-Farnese’ 2017. Theoi.com</w:t>
      </w:r>
      <w:r>
        <w:br/>
      </w:r>
      <w:r w:rsidR="00441C70" w:rsidRPr="0000425F">
        <w:t xml:space="preserve">http://www.theoi.com/Gallery/S8.4.html </w:t>
      </w:r>
      <w:r w:rsidR="00441C70">
        <w:t>- 06/12/2017</w:t>
      </w:r>
      <w:r>
        <w:t>. [Accessed: 06/12/2017]</w:t>
      </w:r>
    </w:p>
    <w:p w:rsidR="00441C70" w:rsidRDefault="00CE3F65" w:rsidP="00441C70">
      <w:proofErr w:type="spellStart"/>
      <w:r>
        <w:t>Atsma</w:t>
      </w:r>
      <w:proofErr w:type="spellEnd"/>
      <w:r>
        <w:t xml:space="preserve">, A. J. ‘Athena </w:t>
      </w:r>
      <w:proofErr w:type="spellStart"/>
      <w:r>
        <w:t>Parthenos</w:t>
      </w:r>
      <w:proofErr w:type="spellEnd"/>
      <w:r>
        <w:t>’</w:t>
      </w:r>
      <w:r w:rsidR="00561243">
        <w:t xml:space="preserve"> 2017.</w:t>
      </w:r>
      <w:r w:rsidR="00561243">
        <w:br/>
      </w:r>
      <w:hyperlink r:id="rId8" w:history="1">
        <w:r w:rsidR="00441C70" w:rsidRPr="008D5F18">
          <w:rPr>
            <w:rStyle w:val="Hyperlink"/>
          </w:rPr>
          <w:t>http://www.theoi.com/Gallery/S8.6.html - 06/12/2017</w:t>
        </w:r>
      </w:hyperlink>
      <w:r>
        <w:t xml:space="preserve">. </w:t>
      </w:r>
      <w:r w:rsidR="00561243">
        <w:t>[Accessed: 06/12/2017]</w:t>
      </w:r>
    </w:p>
    <w:p w:rsidR="00441C70" w:rsidRDefault="00561243" w:rsidP="00441C70">
      <w:proofErr w:type="spellStart"/>
      <w:r>
        <w:t>Atsma</w:t>
      </w:r>
      <w:proofErr w:type="spellEnd"/>
      <w:r>
        <w:t>, A. J. ‘Peaceable Athena’ 2017.</w:t>
      </w:r>
      <w:r>
        <w:br/>
      </w:r>
      <w:hyperlink r:id="rId9" w:history="1">
        <w:r w:rsidR="00441C70" w:rsidRPr="008D5F18">
          <w:rPr>
            <w:rStyle w:val="Hyperlink"/>
          </w:rPr>
          <w:t>http://www.theoi.com/Gallery/S8.1.html</w:t>
        </w:r>
      </w:hyperlink>
      <w:r>
        <w:t>. {Accessed: 06/12/217]</w:t>
      </w:r>
    </w:p>
    <w:p w:rsidR="00441C70" w:rsidRDefault="00561243" w:rsidP="00441C70">
      <w:proofErr w:type="spellStart"/>
      <w:r>
        <w:t>Atsma</w:t>
      </w:r>
      <w:proofErr w:type="spellEnd"/>
      <w:r>
        <w:t>, A. J. ‘Diana of Versailles’ 2017.</w:t>
      </w:r>
      <w:r>
        <w:br/>
      </w:r>
      <w:hyperlink r:id="rId10" w:history="1">
        <w:r w:rsidR="00441C70" w:rsidRPr="008D5F18">
          <w:rPr>
            <w:rStyle w:val="Hyperlink"/>
          </w:rPr>
          <w:t>http://www.theoi.com/Gallery/S6.1.html - 06/12/2017</w:t>
        </w:r>
      </w:hyperlink>
      <w:r>
        <w:t>. [Accessed: 06/12/2017]</w:t>
      </w:r>
    </w:p>
    <w:p w:rsidR="00441C70" w:rsidRDefault="00561243" w:rsidP="00441C70">
      <w:proofErr w:type="spellStart"/>
      <w:r>
        <w:t>Atsma</w:t>
      </w:r>
      <w:proofErr w:type="spellEnd"/>
      <w:r>
        <w:t>, A. J. ‘Ephesian Artemis’ 2017.</w:t>
      </w:r>
      <w:r>
        <w:br/>
      </w:r>
      <w:hyperlink r:id="rId11" w:history="1">
        <w:r w:rsidR="00441C70" w:rsidRPr="008D5F18">
          <w:rPr>
            <w:rStyle w:val="Hyperlink"/>
          </w:rPr>
          <w:t>http://www.theoi.com/Gallery/S6.11.html - 06/12/2017</w:t>
        </w:r>
      </w:hyperlink>
      <w:r>
        <w:t>. [Accessed: 06/12/2017]</w:t>
      </w:r>
    </w:p>
    <w:p w:rsidR="00441C70" w:rsidRDefault="00561243" w:rsidP="00441C70">
      <w:proofErr w:type="spellStart"/>
      <w:r>
        <w:t>Atsma</w:t>
      </w:r>
      <w:proofErr w:type="spellEnd"/>
      <w:r>
        <w:t xml:space="preserve">, A. J. ‘Diana de </w:t>
      </w:r>
      <w:proofErr w:type="spellStart"/>
      <w:r>
        <w:t>Gabies</w:t>
      </w:r>
      <w:proofErr w:type="spellEnd"/>
      <w:r>
        <w:t>’ 2017.</w:t>
      </w:r>
      <w:r>
        <w:br/>
      </w:r>
      <w:hyperlink r:id="rId12" w:history="1">
        <w:r w:rsidR="00441C70" w:rsidRPr="008D5F18">
          <w:rPr>
            <w:rStyle w:val="Hyperlink"/>
          </w:rPr>
          <w:t>http://www.theoi.com/Gallery/S6.5.html - 06/12/2017</w:t>
        </w:r>
      </w:hyperlink>
      <w:r>
        <w:t>. [Accessed: 06/12/2017]</w:t>
      </w:r>
    </w:p>
    <w:p w:rsidR="00441C70" w:rsidRDefault="00561243" w:rsidP="00441C70">
      <w:proofErr w:type="spellStart"/>
      <w:r>
        <w:t>Atsma</w:t>
      </w:r>
      <w:proofErr w:type="spellEnd"/>
      <w:r>
        <w:t>, A. J. ‘Hestia’ 2017.</w:t>
      </w:r>
      <w:r>
        <w:br/>
      </w:r>
      <w:hyperlink r:id="rId13" w:history="1">
        <w:r w:rsidR="00441C70" w:rsidRPr="008D5F18">
          <w:rPr>
            <w:rStyle w:val="Hyperlink"/>
          </w:rPr>
          <w:t>http://www.theoi.com/Gallery/S13.2.html</w:t>
        </w:r>
      </w:hyperlink>
      <w:r>
        <w:t>. [Accessed: 06/12/2017]</w:t>
      </w:r>
    </w:p>
    <w:p w:rsidR="00441C70" w:rsidRDefault="00561243" w:rsidP="00441C70">
      <w:proofErr w:type="spellStart"/>
      <w:r>
        <w:t>Atsma</w:t>
      </w:r>
      <w:proofErr w:type="spellEnd"/>
      <w:r>
        <w:t>, A. J. ‘</w:t>
      </w:r>
      <w:r>
        <w:t xml:space="preserve">Hestia </w:t>
      </w:r>
      <w:proofErr w:type="spellStart"/>
      <w:r>
        <w:t>Giustiniani</w:t>
      </w:r>
      <w:proofErr w:type="spellEnd"/>
      <w:r>
        <w:t>’ 2017.</w:t>
      </w:r>
      <w:r>
        <w:br/>
      </w:r>
      <w:hyperlink r:id="rId14" w:history="1">
        <w:r w:rsidR="00441C70" w:rsidRPr="008D5F18">
          <w:rPr>
            <w:rStyle w:val="Hyperlink"/>
          </w:rPr>
          <w:t>http://www.theoi.com/Gallery/S13.1.html</w:t>
        </w:r>
      </w:hyperlink>
      <w:r>
        <w:t>. [Accessed: 06/</w:t>
      </w:r>
      <w:r w:rsidR="009266B6">
        <w:t>12/2017]</w:t>
      </w:r>
    </w:p>
    <w:p w:rsidR="00441C70" w:rsidRDefault="009266B6" w:rsidP="00441C70">
      <w:proofErr w:type="spellStart"/>
      <w:r>
        <w:t>Atsma</w:t>
      </w:r>
      <w:proofErr w:type="spellEnd"/>
      <w:r>
        <w:t xml:space="preserve">, </w:t>
      </w:r>
      <w:r>
        <w:t>A. J.</w:t>
      </w:r>
      <w:r>
        <w:t xml:space="preserve"> ‘</w:t>
      </w:r>
      <w:r>
        <w:t>Aphrodite</w:t>
      </w:r>
      <w:r>
        <w:t>’ 2017.</w:t>
      </w:r>
      <w:r>
        <w:br/>
      </w:r>
      <w:hyperlink r:id="rId15" w:history="1">
        <w:r w:rsidR="00441C70" w:rsidRPr="008D5F18">
          <w:rPr>
            <w:rStyle w:val="Hyperlink"/>
          </w:rPr>
          <w:t>http://www.theoi.com/Cult/AphroditeCult.html</w:t>
        </w:r>
      </w:hyperlink>
      <w:r>
        <w:t>. [Accessed: 06/12/2017]</w:t>
      </w:r>
    </w:p>
    <w:p w:rsidR="00441C70" w:rsidRDefault="009266B6" w:rsidP="00441C70">
      <w:proofErr w:type="spellStart"/>
      <w:r>
        <w:lastRenderedPageBreak/>
        <w:t>Atsma</w:t>
      </w:r>
      <w:proofErr w:type="spellEnd"/>
      <w:r>
        <w:t>, A. J. ‘</w:t>
      </w:r>
      <w:r>
        <w:t>Aphrodite of Rhodes</w:t>
      </w:r>
      <w:r>
        <w:t>’ 2017.</w:t>
      </w:r>
      <w:r>
        <w:br/>
      </w:r>
      <w:hyperlink r:id="rId16" w:history="1">
        <w:r w:rsidR="00441C70" w:rsidRPr="008D5F18">
          <w:rPr>
            <w:rStyle w:val="Hyperlink"/>
          </w:rPr>
          <w:t>http://www.theoi.com/Gallery/S10.16.html</w:t>
        </w:r>
      </w:hyperlink>
      <w:r>
        <w:t>. [Accessed: 06/12/2017]</w:t>
      </w:r>
    </w:p>
    <w:p w:rsidR="00441C70" w:rsidRDefault="009266B6" w:rsidP="00441C70">
      <w:proofErr w:type="spellStart"/>
      <w:r>
        <w:t>Atsma</w:t>
      </w:r>
      <w:proofErr w:type="spellEnd"/>
      <w:r>
        <w:t>, A. J. ‘</w:t>
      </w:r>
      <w:r>
        <w:t xml:space="preserve">Venus </w:t>
      </w:r>
      <w:proofErr w:type="spellStart"/>
      <w:r>
        <w:t>d’Arles</w:t>
      </w:r>
      <w:proofErr w:type="spellEnd"/>
      <w:r>
        <w:t>’ 2017.</w:t>
      </w:r>
      <w:r>
        <w:br/>
      </w:r>
      <w:hyperlink r:id="rId17" w:history="1">
        <w:r w:rsidR="00441C70" w:rsidRPr="008D5F18">
          <w:rPr>
            <w:rStyle w:val="Hyperlink"/>
          </w:rPr>
          <w:t>http://www.theoi.com/Gallery/S10.5.html</w:t>
        </w:r>
      </w:hyperlink>
      <w:r>
        <w:t xml:space="preserve">. </w:t>
      </w:r>
      <w:r>
        <w:t>[Accessed: 06/12/2017]</w:t>
      </w:r>
    </w:p>
    <w:p w:rsidR="00441C70" w:rsidRDefault="009266B6" w:rsidP="00441C70">
      <w:proofErr w:type="spellStart"/>
      <w:r>
        <w:t>Atsma</w:t>
      </w:r>
      <w:proofErr w:type="spellEnd"/>
      <w:r>
        <w:t>, A. J. ‘</w:t>
      </w:r>
      <w:r>
        <w:t>Callipygian Venus</w:t>
      </w:r>
      <w:r>
        <w:t>’ 2017.</w:t>
      </w:r>
      <w:r>
        <w:br/>
      </w:r>
      <w:hyperlink r:id="rId18" w:history="1">
        <w:r w:rsidR="00441C70" w:rsidRPr="008D5F18">
          <w:rPr>
            <w:rStyle w:val="Hyperlink"/>
          </w:rPr>
          <w:t>http://www.theoi.com/Gallery/S10.15.html</w:t>
        </w:r>
      </w:hyperlink>
      <w:r>
        <w:t xml:space="preserve">. </w:t>
      </w:r>
      <w:r>
        <w:t>[Accessed: 06/12/2017]</w:t>
      </w:r>
    </w:p>
    <w:p w:rsidR="00060B67" w:rsidRDefault="009266B6" w:rsidP="009266B6">
      <w:proofErr w:type="spellStart"/>
      <w:r>
        <w:t>Atsma</w:t>
      </w:r>
      <w:proofErr w:type="spellEnd"/>
      <w:r>
        <w:t>, A. J. ‘</w:t>
      </w:r>
      <w:r>
        <w:t xml:space="preserve">Juno Hera </w:t>
      </w:r>
      <w:proofErr w:type="spellStart"/>
      <w:r>
        <w:t>Campana</w:t>
      </w:r>
      <w:proofErr w:type="spellEnd"/>
      <w:r>
        <w:t>’ 2017.</w:t>
      </w:r>
      <w:r>
        <w:br/>
      </w:r>
      <w:hyperlink r:id="rId19" w:history="1">
        <w:r w:rsidR="00441C70" w:rsidRPr="008D5F18">
          <w:rPr>
            <w:rStyle w:val="Hyperlink"/>
          </w:rPr>
          <w:t>http://www.theoi.com/Gallery/S4.2.html</w:t>
        </w:r>
      </w:hyperlink>
      <w:r>
        <w:t xml:space="preserve">. </w:t>
      </w:r>
      <w:r>
        <w:t>[Accessed: 06/12/2017]</w:t>
      </w:r>
    </w:p>
    <w:p w:rsidR="009266B6" w:rsidRDefault="00BA7DFE" w:rsidP="009266B6">
      <w:r>
        <w:t xml:space="preserve">Perseus. ‘Hesiod, </w:t>
      </w:r>
      <w:proofErr w:type="spellStart"/>
      <w:r>
        <w:t>Theogony</w:t>
      </w:r>
      <w:proofErr w:type="spellEnd"/>
      <w:r>
        <w:t xml:space="preserve">’ 2017. </w:t>
      </w:r>
      <w:hyperlink r:id="rId20" w:history="1">
        <w:r w:rsidR="009266B6" w:rsidRPr="008D5F18">
          <w:rPr>
            <w:rStyle w:val="Hyperlink"/>
          </w:rPr>
          <w:t>http://www.perseus.tufts.edu/hopper/text?doc=Perseus%3Atext%3A1999.01.0130%3Acard%3D585</w:t>
        </w:r>
      </w:hyperlink>
      <w:r>
        <w:t xml:space="preserve">. </w:t>
      </w:r>
      <w:r>
        <w:t>[Accessed: 06/12/2017]</w:t>
      </w:r>
    </w:p>
    <w:p w:rsidR="003C26ED" w:rsidRPr="00D678A8" w:rsidRDefault="00BA7DFE" w:rsidP="00904780">
      <w:r w:rsidRPr="00BA7DFE">
        <w:t xml:space="preserve">Perseus. ‘P. </w:t>
      </w:r>
      <w:proofErr w:type="spellStart"/>
      <w:r w:rsidRPr="00BA7DFE">
        <w:t>Ovidius</w:t>
      </w:r>
      <w:proofErr w:type="spellEnd"/>
      <w:r w:rsidRPr="00BA7DFE">
        <w:t xml:space="preserve"> </w:t>
      </w:r>
      <w:proofErr w:type="spellStart"/>
      <w:r w:rsidRPr="00BA7DFE">
        <w:t>Naso</w:t>
      </w:r>
      <w:proofErr w:type="spellEnd"/>
      <w:r w:rsidRPr="00BA7DFE">
        <w:t xml:space="preserve">, </w:t>
      </w:r>
      <w:proofErr w:type="spellStart"/>
      <w:r w:rsidRPr="00BA7DFE">
        <w:t>Ars</w:t>
      </w:r>
      <w:proofErr w:type="spellEnd"/>
      <w:r w:rsidRPr="00BA7DFE">
        <w:t xml:space="preserve"> </w:t>
      </w:r>
      <w:proofErr w:type="spellStart"/>
      <w:r w:rsidRPr="00BA7DFE">
        <w:t>Amatoria</w:t>
      </w:r>
      <w:proofErr w:type="spellEnd"/>
      <w:r w:rsidRPr="00BA7DFE">
        <w:t xml:space="preserve"> various, Ed’ 2017.</w:t>
      </w:r>
      <w:r w:rsidR="00E0155D">
        <w:br/>
      </w:r>
      <w:hyperlink r:id="rId21" w:history="1">
        <w:r w:rsidR="00E0155D" w:rsidRPr="00C43166">
          <w:rPr>
            <w:rStyle w:val="Hyperlink"/>
          </w:rPr>
          <w:t>http://www.perseus.tufts.edu/hopper/text?doc=Perseus%3Atext%3A1999.02.0069%3Atext%3DArs%3Abook%3D3</w:t>
        </w:r>
      </w:hyperlink>
      <w:r>
        <w:t xml:space="preserve">. </w:t>
      </w:r>
      <w:r>
        <w:t>[Accessed: 06/12/2017]</w:t>
      </w:r>
    </w:p>
    <w:sectPr w:rsidR="003C26ED" w:rsidRPr="00D678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2E4" w:rsidRDefault="00C922E4" w:rsidP="006C73B7">
      <w:pPr>
        <w:spacing w:after="0" w:line="240" w:lineRule="auto"/>
      </w:pPr>
      <w:r>
        <w:separator/>
      </w:r>
    </w:p>
  </w:endnote>
  <w:endnote w:type="continuationSeparator" w:id="0">
    <w:p w:rsidR="00C922E4" w:rsidRDefault="00C922E4" w:rsidP="006C7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2E4" w:rsidRDefault="00C922E4" w:rsidP="006C73B7">
      <w:pPr>
        <w:spacing w:after="0" w:line="240" w:lineRule="auto"/>
      </w:pPr>
      <w:r>
        <w:separator/>
      </w:r>
    </w:p>
  </w:footnote>
  <w:footnote w:type="continuationSeparator" w:id="0">
    <w:p w:rsidR="00C922E4" w:rsidRDefault="00C922E4" w:rsidP="006C73B7">
      <w:pPr>
        <w:spacing w:after="0" w:line="240" w:lineRule="auto"/>
      </w:pPr>
      <w:r>
        <w:continuationSeparator/>
      </w:r>
    </w:p>
  </w:footnote>
  <w:footnote w:id="1">
    <w:p w:rsidR="006C73B7" w:rsidRDefault="006C73B7">
      <w:pPr>
        <w:pStyle w:val="FootnoteText"/>
      </w:pPr>
      <w:r>
        <w:rPr>
          <w:rStyle w:val="FootnoteReference"/>
        </w:rPr>
        <w:footnoteRef/>
      </w:r>
      <w:r w:rsidR="001B7E61">
        <w:t xml:space="preserve"> </w:t>
      </w:r>
      <w:proofErr w:type="spellStart"/>
      <w:r w:rsidR="001B7E61">
        <w:t>Ambrosio</w:t>
      </w:r>
      <w:proofErr w:type="spellEnd"/>
      <w:r w:rsidR="001B7E61">
        <w:t xml:space="preserve"> 2001:</w:t>
      </w:r>
      <w:r>
        <w:t xml:space="preserve"> 6-7</w:t>
      </w:r>
    </w:p>
  </w:footnote>
  <w:footnote w:id="2">
    <w:p w:rsidR="00D04BB1" w:rsidRPr="00D04BB1" w:rsidRDefault="00D04BB1">
      <w:pPr>
        <w:pStyle w:val="FootnoteText"/>
      </w:pPr>
      <w:r>
        <w:rPr>
          <w:rStyle w:val="FootnoteReference"/>
        </w:rPr>
        <w:footnoteRef/>
      </w:r>
      <w:r>
        <w:t xml:space="preserve"> </w:t>
      </w:r>
      <w:proofErr w:type="spellStart"/>
      <w:r>
        <w:t>Ov</w:t>
      </w:r>
      <w:proofErr w:type="spellEnd"/>
      <w:r w:rsidR="00C063CC">
        <w:t xml:space="preserve">. </w:t>
      </w:r>
      <w:proofErr w:type="spellStart"/>
      <w:r w:rsidR="00C063CC">
        <w:rPr>
          <w:i/>
        </w:rPr>
        <w:t>Ars</w:t>
      </w:r>
      <w:proofErr w:type="spellEnd"/>
      <w:r w:rsidR="00C063CC">
        <w:t>:</w:t>
      </w:r>
      <w:r>
        <w:t xml:space="preserve"> III. 193-199</w:t>
      </w:r>
    </w:p>
  </w:footnote>
  <w:footnote w:id="3">
    <w:p w:rsidR="00F46950" w:rsidRDefault="00F46950">
      <w:pPr>
        <w:pStyle w:val="FootnoteText"/>
      </w:pPr>
      <w:r>
        <w:rPr>
          <w:rStyle w:val="FootnoteReference"/>
        </w:rPr>
        <w:footnoteRef/>
      </w:r>
      <w:r w:rsidR="001B7E61">
        <w:t xml:space="preserve"> </w:t>
      </w:r>
      <w:proofErr w:type="spellStart"/>
      <w:r w:rsidR="001B7E61">
        <w:t>Ambrosio</w:t>
      </w:r>
      <w:proofErr w:type="spellEnd"/>
      <w:r w:rsidR="001B7E61">
        <w:t xml:space="preserve"> 2001:</w:t>
      </w:r>
      <w:r>
        <w:t xml:space="preserve"> 6-7</w:t>
      </w:r>
    </w:p>
  </w:footnote>
  <w:footnote w:id="4">
    <w:p w:rsidR="00CF2E76" w:rsidRDefault="00CF2E76">
      <w:pPr>
        <w:pStyle w:val="FootnoteText"/>
      </w:pPr>
      <w:r>
        <w:rPr>
          <w:rStyle w:val="FootnoteReference"/>
        </w:rPr>
        <w:footnoteRef/>
      </w:r>
      <w:r w:rsidR="001B7E61">
        <w:t xml:space="preserve"> </w:t>
      </w:r>
      <w:proofErr w:type="spellStart"/>
      <w:r w:rsidR="001B7E61">
        <w:t>Ambrosio</w:t>
      </w:r>
      <w:proofErr w:type="spellEnd"/>
      <w:r w:rsidR="001B7E61">
        <w:t xml:space="preserve"> 2001: </w:t>
      </w:r>
      <w:r>
        <w:t>6-7</w:t>
      </w:r>
    </w:p>
  </w:footnote>
  <w:footnote w:id="5">
    <w:p w:rsidR="00161C77" w:rsidRDefault="00161C77">
      <w:pPr>
        <w:pStyle w:val="FootnoteText"/>
      </w:pPr>
      <w:r>
        <w:rPr>
          <w:rStyle w:val="FootnoteReference"/>
        </w:rPr>
        <w:footnoteRef/>
      </w:r>
      <w:r w:rsidR="001B7E61">
        <w:t xml:space="preserve"> </w:t>
      </w:r>
      <w:proofErr w:type="spellStart"/>
      <w:r w:rsidR="001B7E61">
        <w:t>Ambrosio</w:t>
      </w:r>
      <w:proofErr w:type="spellEnd"/>
      <w:r w:rsidR="001B7E61">
        <w:t xml:space="preserve"> 2001:</w:t>
      </w:r>
      <w:r>
        <w:t xml:space="preserve"> 7</w:t>
      </w:r>
    </w:p>
  </w:footnote>
  <w:footnote w:id="6">
    <w:p w:rsidR="00153856" w:rsidRDefault="00153856">
      <w:pPr>
        <w:pStyle w:val="FootnoteText"/>
      </w:pPr>
      <w:r>
        <w:rPr>
          <w:rStyle w:val="FootnoteReference"/>
        </w:rPr>
        <w:footnoteRef/>
      </w:r>
      <w:r w:rsidR="001B7E61">
        <w:t xml:space="preserve"> </w:t>
      </w:r>
      <w:proofErr w:type="spellStart"/>
      <w:r w:rsidR="001B7E61">
        <w:t>Ambrosio</w:t>
      </w:r>
      <w:proofErr w:type="spellEnd"/>
      <w:r w:rsidR="001B7E61">
        <w:t xml:space="preserve"> 2001: </w:t>
      </w:r>
      <w:r>
        <w:t>7</w:t>
      </w:r>
    </w:p>
  </w:footnote>
  <w:footnote w:id="7">
    <w:p w:rsidR="005A3E1A" w:rsidRDefault="005A3E1A">
      <w:pPr>
        <w:pStyle w:val="FootnoteText"/>
      </w:pPr>
      <w:r>
        <w:rPr>
          <w:rStyle w:val="FootnoteReference"/>
        </w:rPr>
        <w:footnoteRef/>
      </w:r>
      <w:r w:rsidR="001B7E61">
        <w:t xml:space="preserve"> </w:t>
      </w:r>
      <w:proofErr w:type="spellStart"/>
      <w:r w:rsidR="001B7E61">
        <w:t>Ambrosio</w:t>
      </w:r>
      <w:proofErr w:type="spellEnd"/>
      <w:r w:rsidR="001B7E61">
        <w:t xml:space="preserve"> 2001:</w:t>
      </w:r>
      <w:r>
        <w:t xml:space="preserve"> 7</w:t>
      </w:r>
    </w:p>
  </w:footnote>
  <w:footnote w:id="8">
    <w:p w:rsidR="008849CC" w:rsidRDefault="008849CC">
      <w:pPr>
        <w:pStyle w:val="FootnoteText"/>
      </w:pPr>
      <w:r>
        <w:rPr>
          <w:rStyle w:val="FootnoteReference"/>
        </w:rPr>
        <w:footnoteRef/>
      </w:r>
      <w:r w:rsidR="001B7E61">
        <w:t xml:space="preserve"> </w:t>
      </w:r>
      <w:proofErr w:type="spellStart"/>
      <w:r w:rsidR="001B7E61">
        <w:t>Ambrosio</w:t>
      </w:r>
      <w:proofErr w:type="spellEnd"/>
      <w:r w:rsidR="001B7E61">
        <w:t xml:space="preserve"> 2001:</w:t>
      </w:r>
      <w:r>
        <w:t xml:space="preserve"> 7</w:t>
      </w:r>
    </w:p>
  </w:footnote>
  <w:footnote w:id="9">
    <w:p w:rsidR="00EC1171" w:rsidRDefault="00EC1171">
      <w:pPr>
        <w:pStyle w:val="FootnoteText"/>
      </w:pPr>
      <w:r>
        <w:rPr>
          <w:rStyle w:val="FootnoteReference"/>
        </w:rPr>
        <w:footnoteRef/>
      </w:r>
      <w:r w:rsidR="001B7E61">
        <w:t xml:space="preserve"> </w:t>
      </w:r>
      <w:proofErr w:type="spellStart"/>
      <w:r w:rsidR="001B7E61">
        <w:t>Ambrosio</w:t>
      </w:r>
      <w:proofErr w:type="spellEnd"/>
      <w:r w:rsidR="001B7E61">
        <w:t xml:space="preserve"> 2001:</w:t>
      </w:r>
      <w:r>
        <w:t xml:space="preserve"> 8-9</w:t>
      </w:r>
    </w:p>
  </w:footnote>
  <w:footnote w:id="10">
    <w:p w:rsidR="00685243" w:rsidRDefault="00685243">
      <w:pPr>
        <w:pStyle w:val="FootnoteText"/>
      </w:pPr>
      <w:r>
        <w:rPr>
          <w:rStyle w:val="FootnoteReference"/>
        </w:rPr>
        <w:footnoteRef/>
      </w:r>
      <w:r>
        <w:t xml:space="preserve"> </w:t>
      </w:r>
      <w:proofErr w:type="spellStart"/>
      <w:r>
        <w:t>Ambrosio</w:t>
      </w:r>
      <w:proofErr w:type="spellEnd"/>
      <w:r>
        <w:t xml:space="preserve"> 2001</w:t>
      </w:r>
      <w:r w:rsidR="001B7E61">
        <w:t>:</w:t>
      </w:r>
      <w:r>
        <w:t xml:space="preserve"> 8-9</w:t>
      </w:r>
    </w:p>
  </w:footnote>
  <w:footnote w:id="11">
    <w:p w:rsidR="00677130" w:rsidRDefault="00677130">
      <w:pPr>
        <w:pStyle w:val="FootnoteText"/>
      </w:pPr>
      <w:r>
        <w:rPr>
          <w:rStyle w:val="FootnoteReference"/>
        </w:rPr>
        <w:footnoteRef/>
      </w:r>
      <w:r w:rsidR="00544562">
        <w:t xml:space="preserve"> </w:t>
      </w:r>
      <w:proofErr w:type="spellStart"/>
      <w:r w:rsidR="00544562">
        <w:t>Ambrosio</w:t>
      </w:r>
      <w:proofErr w:type="spellEnd"/>
      <w:r w:rsidR="00544562">
        <w:t xml:space="preserve"> 2001</w:t>
      </w:r>
      <w:r w:rsidR="001B7E61">
        <w:t>:</w:t>
      </w:r>
      <w:r w:rsidR="00544562">
        <w:t xml:space="preserve"> 10-11</w:t>
      </w:r>
    </w:p>
  </w:footnote>
  <w:footnote w:id="12">
    <w:p w:rsidR="00861A27" w:rsidRDefault="00861A27">
      <w:pPr>
        <w:pStyle w:val="FootnoteText"/>
      </w:pPr>
      <w:r>
        <w:rPr>
          <w:rStyle w:val="FootnoteReference"/>
        </w:rPr>
        <w:footnoteRef/>
      </w:r>
      <w:r w:rsidR="001B7E61">
        <w:t xml:space="preserve"> </w:t>
      </w:r>
      <w:proofErr w:type="spellStart"/>
      <w:r w:rsidR="001B7E61">
        <w:t>Ambrosio</w:t>
      </w:r>
      <w:proofErr w:type="spellEnd"/>
      <w:r w:rsidR="001B7E61">
        <w:t xml:space="preserve"> 2001:</w:t>
      </w:r>
      <w:r>
        <w:t xml:space="preserve"> 10-11</w:t>
      </w:r>
    </w:p>
  </w:footnote>
  <w:footnote w:id="13">
    <w:p w:rsidR="00DE2D28" w:rsidRDefault="00DE2D28">
      <w:pPr>
        <w:pStyle w:val="FootnoteText"/>
      </w:pPr>
      <w:r>
        <w:rPr>
          <w:rStyle w:val="FootnoteReference"/>
        </w:rPr>
        <w:footnoteRef/>
      </w:r>
      <w:r>
        <w:t xml:space="preserve"> </w:t>
      </w:r>
      <w:proofErr w:type="spellStart"/>
      <w:r>
        <w:t>Ambrosio</w:t>
      </w:r>
      <w:proofErr w:type="spellEnd"/>
      <w:r>
        <w:t xml:space="preserve"> 2001</w:t>
      </w:r>
      <w:r w:rsidR="001B7E61">
        <w:t>:</w:t>
      </w:r>
      <w:r>
        <w:t xml:space="preserve"> 10-11</w:t>
      </w:r>
    </w:p>
  </w:footnote>
  <w:footnote w:id="14">
    <w:p w:rsidR="00694BAA" w:rsidRPr="00694BAA" w:rsidRDefault="00694BAA">
      <w:pPr>
        <w:pStyle w:val="FootnoteText"/>
      </w:pPr>
      <w:r>
        <w:rPr>
          <w:rStyle w:val="FootnoteReference"/>
        </w:rPr>
        <w:footnoteRef/>
      </w:r>
      <w:r>
        <w:t xml:space="preserve"> </w:t>
      </w:r>
      <w:proofErr w:type="spellStart"/>
      <w:r>
        <w:t>Ov</w:t>
      </w:r>
      <w:proofErr w:type="spellEnd"/>
      <w:r w:rsidR="00C063CC">
        <w:t>.</w:t>
      </w:r>
      <w:r w:rsidR="00C063CC">
        <w:rPr>
          <w:i/>
        </w:rPr>
        <w:t xml:space="preserve"> </w:t>
      </w:r>
      <w:proofErr w:type="spellStart"/>
      <w:r w:rsidR="00C063CC">
        <w:rPr>
          <w:i/>
        </w:rPr>
        <w:t>Ars</w:t>
      </w:r>
      <w:proofErr w:type="spellEnd"/>
      <w:r w:rsidR="00C063CC">
        <w:t>:</w:t>
      </w:r>
      <w:r>
        <w:t xml:space="preserve"> </w:t>
      </w:r>
      <w:r w:rsidR="00E2777C">
        <w:t>III. 200-204</w:t>
      </w:r>
    </w:p>
  </w:footnote>
  <w:footnote w:id="15">
    <w:p w:rsidR="00D6104B" w:rsidRPr="00D6104B" w:rsidRDefault="00D6104B">
      <w:pPr>
        <w:pStyle w:val="FootnoteText"/>
      </w:pPr>
      <w:r>
        <w:rPr>
          <w:rStyle w:val="FootnoteReference"/>
        </w:rPr>
        <w:footnoteRef/>
      </w:r>
      <w:r>
        <w:t xml:space="preserve"> </w:t>
      </w:r>
      <w:proofErr w:type="spellStart"/>
      <w:r>
        <w:t>Ov</w:t>
      </w:r>
      <w:proofErr w:type="spellEnd"/>
      <w:r w:rsidR="00C063CC">
        <w:t>.</w:t>
      </w:r>
      <w:r>
        <w:t xml:space="preserve"> </w:t>
      </w:r>
      <w:proofErr w:type="spellStart"/>
      <w:r>
        <w:rPr>
          <w:i/>
        </w:rPr>
        <w:t>Ar</w:t>
      </w:r>
      <w:r w:rsidR="00C063CC">
        <w:rPr>
          <w:i/>
        </w:rPr>
        <w:t>s</w:t>
      </w:r>
      <w:proofErr w:type="spellEnd"/>
      <w:r w:rsidR="00C063CC">
        <w:t>:</w:t>
      </w:r>
      <w:r>
        <w:t xml:space="preserve"> </w:t>
      </w:r>
      <w:r w:rsidR="007A31EA">
        <w:t xml:space="preserve">III. </w:t>
      </w:r>
      <w:r w:rsidR="002D35F9">
        <w:t>133-152</w:t>
      </w:r>
    </w:p>
  </w:footnote>
  <w:footnote w:id="16">
    <w:p w:rsidR="0026388D" w:rsidRDefault="0026388D">
      <w:pPr>
        <w:pStyle w:val="FootnoteText"/>
      </w:pPr>
      <w:r>
        <w:rPr>
          <w:rStyle w:val="FootnoteReference"/>
        </w:rPr>
        <w:footnoteRef/>
      </w:r>
      <w:r w:rsidR="001B7E61">
        <w:t xml:space="preserve"> </w:t>
      </w:r>
      <w:proofErr w:type="spellStart"/>
      <w:r w:rsidR="001B7E61">
        <w:t>Ambrosio</w:t>
      </w:r>
      <w:proofErr w:type="spellEnd"/>
      <w:r w:rsidR="001B7E61">
        <w:t xml:space="preserve"> 2001:</w:t>
      </w:r>
      <w:r>
        <w:t xml:space="preserve"> 13-14</w:t>
      </w:r>
    </w:p>
  </w:footnote>
  <w:footnote w:id="17">
    <w:p w:rsidR="00B6377A" w:rsidRDefault="00B6377A">
      <w:pPr>
        <w:pStyle w:val="FootnoteText"/>
      </w:pPr>
      <w:r>
        <w:rPr>
          <w:rStyle w:val="FootnoteReference"/>
        </w:rPr>
        <w:footnoteRef/>
      </w:r>
      <w:r>
        <w:t xml:space="preserve"> </w:t>
      </w:r>
      <w:proofErr w:type="spellStart"/>
      <w:r>
        <w:t>Ambrosio</w:t>
      </w:r>
      <w:proofErr w:type="spellEnd"/>
      <w:r>
        <w:t xml:space="preserve"> 2001</w:t>
      </w:r>
      <w:r w:rsidR="001B7E61">
        <w:t>:</w:t>
      </w:r>
      <w:r>
        <w:t xml:space="preserve"> 13-14</w:t>
      </w:r>
    </w:p>
  </w:footnote>
  <w:footnote w:id="18">
    <w:p w:rsidR="00616480" w:rsidRDefault="00616480">
      <w:pPr>
        <w:pStyle w:val="FootnoteText"/>
      </w:pPr>
      <w:r>
        <w:rPr>
          <w:rStyle w:val="FootnoteReference"/>
        </w:rPr>
        <w:footnoteRef/>
      </w:r>
      <w:r>
        <w:t xml:space="preserve"> </w:t>
      </w:r>
      <w:proofErr w:type="spellStart"/>
      <w:r>
        <w:t>Theoi</w:t>
      </w:r>
      <w:proofErr w:type="spellEnd"/>
      <w:r>
        <w:t xml:space="preserve"> 2017</w:t>
      </w:r>
    </w:p>
  </w:footnote>
  <w:footnote w:id="19">
    <w:p w:rsidR="000A0CE5" w:rsidRDefault="000A0CE5">
      <w:pPr>
        <w:pStyle w:val="FootnoteText"/>
      </w:pPr>
      <w:r>
        <w:rPr>
          <w:rStyle w:val="FootnoteReference"/>
        </w:rPr>
        <w:footnoteRef/>
      </w:r>
      <w:r>
        <w:t xml:space="preserve"> </w:t>
      </w:r>
      <w:proofErr w:type="spellStart"/>
      <w:r>
        <w:t>Theoi</w:t>
      </w:r>
      <w:proofErr w:type="spellEnd"/>
      <w:r>
        <w:t xml:space="preserve"> 2017</w:t>
      </w:r>
    </w:p>
  </w:footnote>
  <w:footnote w:id="20">
    <w:p w:rsidR="004224DE" w:rsidRDefault="004224DE">
      <w:pPr>
        <w:pStyle w:val="FootnoteText"/>
      </w:pPr>
      <w:r>
        <w:rPr>
          <w:rStyle w:val="FootnoteReference"/>
        </w:rPr>
        <w:footnoteRef/>
      </w:r>
      <w:r>
        <w:t xml:space="preserve"> </w:t>
      </w:r>
      <w:proofErr w:type="spellStart"/>
      <w:r>
        <w:t>Theoi</w:t>
      </w:r>
      <w:proofErr w:type="spellEnd"/>
      <w:r>
        <w:t xml:space="preserve"> 2017</w:t>
      </w:r>
    </w:p>
  </w:footnote>
  <w:footnote w:id="21">
    <w:p w:rsidR="004030CA" w:rsidRDefault="004030CA" w:rsidP="004030CA">
      <w:pPr>
        <w:pStyle w:val="FootnoteText"/>
      </w:pPr>
      <w:r>
        <w:rPr>
          <w:rStyle w:val="FootnoteReference"/>
        </w:rPr>
        <w:footnoteRef/>
      </w:r>
      <w:r w:rsidR="001B7E61">
        <w:t xml:space="preserve"> Pomeroy 1976:</w:t>
      </w:r>
      <w:r>
        <w:t xml:space="preserve"> 4</w:t>
      </w:r>
    </w:p>
  </w:footnote>
  <w:footnote w:id="22">
    <w:p w:rsidR="004030CA" w:rsidRDefault="004030CA" w:rsidP="004030CA">
      <w:pPr>
        <w:pStyle w:val="FootnoteText"/>
      </w:pPr>
      <w:r>
        <w:rPr>
          <w:rStyle w:val="FootnoteReference"/>
        </w:rPr>
        <w:footnoteRef/>
      </w:r>
      <w:r w:rsidR="001B7E61">
        <w:t xml:space="preserve"> Pomeroy 1976:</w:t>
      </w:r>
      <w:r>
        <w:t xml:space="preserve"> 4</w:t>
      </w:r>
    </w:p>
  </w:footnote>
  <w:footnote w:id="23">
    <w:p w:rsidR="004030CA" w:rsidRDefault="004030CA" w:rsidP="004030CA">
      <w:pPr>
        <w:pStyle w:val="FootnoteText"/>
      </w:pPr>
      <w:r>
        <w:rPr>
          <w:rStyle w:val="FootnoteReference"/>
        </w:rPr>
        <w:footnoteRef/>
      </w:r>
      <w:r>
        <w:t xml:space="preserve"> Pomeroy 1976</w:t>
      </w:r>
      <w:r w:rsidR="001B7E61">
        <w:t>:</w:t>
      </w:r>
      <w:r>
        <w:t xml:space="preserve"> 4</w:t>
      </w:r>
    </w:p>
  </w:footnote>
  <w:footnote w:id="24">
    <w:p w:rsidR="0093723E" w:rsidRDefault="0093723E">
      <w:pPr>
        <w:pStyle w:val="FootnoteText"/>
      </w:pPr>
      <w:r>
        <w:rPr>
          <w:rStyle w:val="FootnoteReference"/>
        </w:rPr>
        <w:footnoteRef/>
      </w:r>
      <w:r>
        <w:t xml:space="preserve"> </w:t>
      </w:r>
      <w:proofErr w:type="spellStart"/>
      <w:r>
        <w:t>Theoi</w:t>
      </w:r>
      <w:proofErr w:type="spellEnd"/>
      <w:r>
        <w:t xml:space="preserve"> 2017</w:t>
      </w:r>
    </w:p>
  </w:footnote>
  <w:footnote w:id="25">
    <w:p w:rsidR="00F4749B" w:rsidRDefault="00F4749B">
      <w:pPr>
        <w:pStyle w:val="FootnoteText"/>
      </w:pPr>
      <w:r>
        <w:rPr>
          <w:rStyle w:val="FootnoteReference"/>
        </w:rPr>
        <w:footnoteRef/>
      </w:r>
      <w:r>
        <w:t xml:space="preserve"> </w:t>
      </w:r>
      <w:proofErr w:type="spellStart"/>
      <w:r>
        <w:t>Theoi</w:t>
      </w:r>
      <w:proofErr w:type="spellEnd"/>
      <w:r>
        <w:t xml:space="preserve"> 2017</w:t>
      </w:r>
    </w:p>
  </w:footnote>
  <w:footnote w:id="26">
    <w:p w:rsidR="00985E63" w:rsidRDefault="00985E63">
      <w:pPr>
        <w:pStyle w:val="FootnoteText"/>
      </w:pPr>
      <w:r>
        <w:rPr>
          <w:rStyle w:val="FootnoteReference"/>
        </w:rPr>
        <w:footnoteRef/>
      </w:r>
      <w:r>
        <w:t xml:space="preserve"> </w:t>
      </w:r>
      <w:proofErr w:type="spellStart"/>
      <w:r>
        <w:t>Theoi</w:t>
      </w:r>
      <w:proofErr w:type="spellEnd"/>
      <w:r>
        <w:t xml:space="preserve"> 2017</w:t>
      </w:r>
    </w:p>
  </w:footnote>
  <w:footnote w:id="27">
    <w:p w:rsidR="00985E63" w:rsidRDefault="00985E63">
      <w:pPr>
        <w:pStyle w:val="FootnoteText"/>
      </w:pPr>
      <w:r>
        <w:rPr>
          <w:rStyle w:val="FootnoteReference"/>
        </w:rPr>
        <w:footnoteRef/>
      </w:r>
      <w:r>
        <w:t xml:space="preserve"> </w:t>
      </w:r>
      <w:proofErr w:type="spellStart"/>
      <w:r>
        <w:t>Theoi</w:t>
      </w:r>
      <w:proofErr w:type="spellEnd"/>
      <w:r>
        <w:t xml:space="preserve"> 2017</w:t>
      </w:r>
    </w:p>
  </w:footnote>
  <w:footnote w:id="28">
    <w:p w:rsidR="00985E63" w:rsidRDefault="00985E63">
      <w:pPr>
        <w:pStyle w:val="FootnoteText"/>
      </w:pPr>
      <w:r>
        <w:rPr>
          <w:rStyle w:val="FootnoteReference"/>
        </w:rPr>
        <w:footnoteRef/>
      </w:r>
      <w:r>
        <w:t xml:space="preserve"> </w:t>
      </w:r>
      <w:proofErr w:type="spellStart"/>
      <w:r>
        <w:t>Theoi</w:t>
      </w:r>
      <w:proofErr w:type="spellEnd"/>
      <w:r>
        <w:t xml:space="preserve"> 2017</w:t>
      </w:r>
    </w:p>
  </w:footnote>
  <w:footnote w:id="29">
    <w:p w:rsidR="004D7827" w:rsidRDefault="004D7827">
      <w:pPr>
        <w:pStyle w:val="FootnoteText"/>
      </w:pPr>
      <w:r>
        <w:rPr>
          <w:rStyle w:val="FootnoteReference"/>
        </w:rPr>
        <w:footnoteRef/>
      </w:r>
      <w:r>
        <w:t xml:space="preserve"> </w:t>
      </w:r>
      <w:proofErr w:type="spellStart"/>
      <w:r>
        <w:t>Theoi</w:t>
      </w:r>
      <w:proofErr w:type="spellEnd"/>
      <w:r>
        <w:t xml:space="preserve"> 2017</w:t>
      </w:r>
    </w:p>
  </w:footnote>
  <w:footnote w:id="30">
    <w:p w:rsidR="00F44FC0" w:rsidRDefault="00F44FC0">
      <w:pPr>
        <w:pStyle w:val="FootnoteText"/>
      </w:pPr>
      <w:r>
        <w:rPr>
          <w:rStyle w:val="FootnoteReference"/>
        </w:rPr>
        <w:footnoteRef/>
      </w:r>
      <w:r>
        <w:t xml:space="preserve"> </w:t>
      </w:r>
      <w:proofErr w:type="spellStart"/>
      <w:r>
        <w:t>Theoi</w:t>
      </w:r>
      <w:proofErr w:type="spellEnd"/>
      <w:r>
        <w:t xml:space="preserve"> 2017</w:t>
      </w:r>
    </w:p>
  </w:footnote>
  <w:footnote w:id="31">
    <w:p w:rsidR="00832520" w:rsidRDefault="00832520">
      <w:pPr>
        <w:pStyle w:val="FootnoteText"/>
      </w:pPr>
      <w:r>
        <w:rPr>
          <w:rStyle w:val="FootnoteReference"/>
        </w:rPr>
        <w:footnoteRef/>
      </w:r>
      <w:r w:rsidR="001B7E61">
        <w:t xml:space="preserve"> Pomeroy 1976:</w:t>
      </w:r>
      <w:r>
        <w:t xml:space="preserve"> 6</w:t>
      </w:r>
    </w:p>
  </w:footnote>
  <w:footnote w:id="32">
    <w:p w:rsidR="00522050" w:rsidRDefault="00522050">
      <w:pPr>
        <w:pStyle w:val="FootnoteText"/>
      </w:pPr>
      <w:r>
        <w:rPr>
          <w:rStyle w:val="FootnoteReference"/>
        </w:rPr>
        <w:footnoteRef/>
      </w:r>
      <w:r>
        <w:t xml:space="preserve"> Pomeroy 1976</w:t>
      </w:r>
      <w:r w:rsidR="001B7E61">
        <w:t>:</w:t>
      </w:r>
      <w:r>
        <w:t xml:space="preserve"> 6</w:t>
      </w:r>
    </w:p>
  </w:footnote>
  <w:footnote w:id="33">
    <w:p w:rsidR="006D76EA" w:rsidRDefault="006D76EA">
      <w:pPr>
        <w:pStyle w:val="FootnoteText"/>
      </w:pPr>
      <w:r>
        <w:rPr>
          <w:rStyle w:val="FootnoteReference"/>
        </w:rPr>
        <w:footnoteRef/>
      </w:r>
      <w:r>
        <w:t xml:space="preserve"> </w:t>
      </w:r>
      <w:proofErr w:type="spellStart"/>
      <w:r>
        <w:t>Walcot</w:t>
      </w:r>
      <w:proofErr w:type="spellEnd"/>
      <w:r>
        <w:t xml:space="preserve"> 1996</w:t>
      </w:r>
      <w:r w:rsidR="001B7E61">
        <w:t xml:space="preserve">: </w:t>
      </w:r>
      <w:r>
        <w:t>97</w:t>
      </w:r>
    </w:p>
  </w:footnote>
  <w:footnote w:id="34">
    <w:p w:rsidR="00017B70" w:rsidRDefault="00017B70">
      <w:pPr>
        <w:pStyle w:val="FootnoteText"/>
      </w:pPr>
      <w:r>
        <w:rPr>
          <w:rStyle w:val="FootnoteReference"/>
        </w:rPr>
        <w:footnoteRef/>
      </w:r>
      <w:r>
        <w:t xml:space="preserve"> </w:t>
      </w:r>
      <w:proofErr w:type="spellStart"/>
      <w:r>
        <w:t>Theoi</w:t>
      </w:r>
      <w:proofErr w:type="spellEnd"/>
      <w:r>
        <w:t xml:space="preserve"> Project 2017</w:t>
      </w:r>
    </w:p>
  </w:footnote>
  <w:footnote w:id="35">
    <w:p w:rsidR="00EB6642" w:rsidRDefault="00EB6642">
      <w:pPr>
        <w:pStyle w:val="FootnoteText"/>
      </w:pPr>
      <w:r>
        <w:rPr>
          <w:rStyle w:val="FootnoteReference"/>
        </w:rPr>
        <w:footnoteRef/>
      </w:r>
      <w:r>
        <w:t xml:space="preserve"> </w:t>
      </w:r>
      <w:proofErr w:type="spellStart"/>
      <w:r>
        <w:t>Theoi</w:t>
      </w:r>
      <w:proofErr w:type="spellEnd"/>
      <w:r>
        <w:t xml:space="preserve"> 2017</w:t>
      </w:r>
    </w:p>
  </w:footnote>
  <w:footnote w:id="36">
    <w:p w:rsidR="00EB6642" w:rsidRDefault="00EB6642">
      <w:pPr>
        <w:pStyle w:val="FootnoteText"/>
      </w:pPr>
      <w:r>
        <w:rPr>
          <w:rStyle w:val="FootnoteReference"/>
        </w:rPr>
        <w:footnoteRef/>
      </w:r>
      <w:r>
        <w:t xml:space="preserve"> </w:t>
      </w:r>
      <w:proofErr w:type="spellStart"/>
      <w:r>
        <w:t>Theoi</w:t>
      </w:r>
      <w:proofErr w:type="spellEnd"/>
      <w:r>
        <w:t xml:space="preserve"> 2017</w:t>
      </w:r>
    </w:p>
  </w:footnote>
  <w:footnote w:id="37">
    <w:p w:rsidR="00EB6642" w:rsidRDefault="00EB6642">
      <w:pPr>
        <w:pStyle w:val="FootnoteText"/>
      </w:pPr>
      <w:r>
        <w:rPr>
          <w:rStyle w:val="FootnoteReference"/>
        </w:rPr>
        <w:footnoteRef/>
      </w:r>
      <w:r>
        <w:t xml:space="preserve"> </w:t>
      </w:r>
      <w:proofErr w:type="spellStart"/>
      <w:r>
        <w:t>Theoi</w:t>
      </w:r>
      <w:proofErr w:type="spellEnd"/>
      <w:r>
        <w:t xml:space="preserve"> 2017</w:t>
      </w:r>
    </w:p>
  </w:footnote>
  <w:footnote w:id="38">
    <w:p w:rsidR="003D13A7" w:rsidRDefault="003D13A7">
      <w:pPr>
        <w:pStyle w:val="FootnoteText"/>
      </w:pPr>
      <w:r>
        <w:rPr>
          <w:rStyle w:val="FootnoteReference"/>
        </w:rPr>
        <w:footnoteRef/>
      </w:r>
      <w:r>
        <w:t xml:space="preserve"> </w:t>
      </w:r>
      <w:proofErr w:type="spellStart"/>
      <w:r>
        <w:t>Theoi</w:t>
      </w:r>
      <w:proofErr w:type="spellEnd"/>
      <w:r>
        <w:t xml:space="preserve"> Project 2017</w:t>
      </w:r>
    </w:p>
  </w:footnote>
  <w:footnote w:id="39">
    <w:p w:rsidR="00A05EDE" w:rsidRDefault="00A05EDE">
      <w:pPr>
        <w:pStyle w:val="FootnoteText"/>
      </w:pPr>
      <w:r>
        <w:rPr>
          <w:rStyle w:val="FootnoteReference"/>
        </w:rPr>
        <w:footnoteRef/>
      </w:r>
      <w:r>
        <w:t xml:space="preserve"> </w:t>
      </w:r>
      <w:proofErr w:type="spellStart"/>
      <w:r>
        <w:t>Theoi</w:t>
      </w:r>
      <w:proofErr w:type="spellEnd"/>
      <w:r>
        <w:t xml:space="preserve"> Project 2017</w:t>
      </w:r>
    </w:p>
  </w:footnote>
  <w:footnote w:id="40">
    <w:p w:rsidR="00397A85" w:rsidRDefault="00397A85">
      <w:pPr>
        <w:pStyle w:val="FootnoteText"/>
      </w:pPr>
      <w:r>
        <w:rPr>
          <w:rStyle w:val="FootnoteReference"/>
        </w:rPr>
        <w:footnoteRef/>
      </w:r>
      <w:r>
        <w:t xml:space="preserve"> </w:t>
      </w:r>
      <w:proofErr w:type="spellStart"/>
      <w:r>
        <w:t>Theoi</w:t>
      </w:r>
      <w:proofErr w:type="spellEnd"/>
      <w:r>
        <w:t xml:space="preserve"> 2017</w:t>
      </w:r>
    </w:p>
  </w:footnote>
  <w:footnote w:id="41">
    <w:p w:rsidR="00370898" w:rsidRDefault="00370898">
      <w:pPr>
        <w:pStyle w:val="FootnoteText"/>
      </w:pPr>
      <w:r>
        <w:rPr>
          <w:rStyle w:val="FootnoteReference"/>
        </w:rPr>
        <w:footnoteRef/>
      </w:r>
      <w:r>
        <w:t xml:space="preserve"> </w:t>
      </w:r>
      <w:proofErr w:type="spellStart"/>
      <w:r>
        <w:t>McAuslen</w:t>
      </w:r>
      <w:proofErr w:type="spellEnd"/>
      <w:r>
        <w:t xml:space="preserve"> and </w:t>
      </w:r>
      <w:proofErr w:type="spellStart"/>
      <w:r>
        <w:t>Walcot</w:t>
      </w:r>
      <w:proofErr w:type="spellEnd"/>
      <w:r>
        <w:t xml:space="preserve"> 1996</w:t>
      </w:r>
      <w:r w:rsidR="001B7E61">
        <w:t>: 93</w:t>
      </w:r>
    </w:p>
  </w:footnote>
  <w:footnote w:id="42">
    <w:p w:rsidR="003B38D3" w:rsidRDefault="003B38D3">
      <w:pPr>
        <w:pStyle w:val="FootnoteText"/>
      </w:pPr>
      <w:r>
        <w:rPr>
          <w:rStyle w:val="FootnoteReference"/>
        </w:rPr>
        <w:footnoteRef/>
      </w:r>
      <w:r>
        <w:t xml:space="preserve"> </w:t>
      </w:r>
      <w:proofErr w:type="spellStart"/>
      <w:r>
        <w:t>Padel</w:t>
      </w:r>
      <w:proofErr w:type="spellEnd"/>
      <w:r>
        <w:t xml:space="preserve"> 1993</w:t>
      </w:r>
      <w:r w:rsidR="001B7E61">
        <w:t>: 12</w:t>
      </w:r>
    </w:p>
  </w:footnote>
  <w:footnote w:id="43">
    <w:p w:rsidR="002D47D3" w:rsidRDefault="002D47D3">
      <w:pPr>
        <w:pStyle w:val="FootnoteText"/>
      </w:pPr>
      <w:r>
        <w:rPr>
          <w:rStyle w:val="FootnoteReference"/>
        </w:rPr>
        <w:footnoteRef/>
      </w:r>
      <w:r>
        <w:t xml:space="preserve"> </w:t>
      </w:r>
      <w:proofErr w:type="spellStart"/>
      <w:r>
        <w:t>Walcot</w:t>
      </w:r>
      <w:proofErr w:type="spellEnd"/>
      <w:r>
        <w:t xml:space="preserve"> 1996</w:t>
      </w:r>
      <w:r w:rsidR="001B7E61">
        <w:t>: 95</w:t>
      </w:r>
    </w:p>
  </w:footnote>
  <w:footnote w:id="44">
    <w:p w:rsidR="004F5107" w:rsidRDefault="004F5107">
      <w:pPr>
        <w:pStyle w:val="FootnoteText"/>
      </w:pPr>
      <w:r>
        <w:rPr>
          <w:rStyle w:val="FootnoteReference"/>
        </w:rPr>
        <w:footnoteRef/>
      </w:r>
      <w:r>
        <w:t xml:space="preserve"> Perseus 2017</w:t>
      </w:r>
    </w:p>
  </w:footnote>
  <w:footnote w:id="45">
    <w:p w:rsidR="003050DE" w:rsidRDefault="003050DE">
      <w:pPr>
        <w:pStyle w:val="FootnoteText"/>
      </w:pPr>
      <w:r>
        <w:rPr>
          <w:rStyle w:val="FootnoteReference"/>
        </w:rPr>
        <w:footnoteRef/>
      </w:r>
      <w:r>
        <w:t xml:space="preserve"> </w:t>
      </w:r>
      <w:proofErr w:type="spellStart"/>
      <w:r>
        <w:t>Theoi</w:t>
      </w:r>
      <w:proofErr w:type="spellEnd"/>
      <w:r>
        <w:t xml:space="preserve"> Project 2017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657"/>
    <w:rsid w:val="0000425F"/>
    <w:rsid w:val="00004B6B"/>
    <w:rsid w:val="00017B70"/>
    <w:rsid w:val="00020354"/>
    <w:rsid w:val="00027755"/>
    <w:rsid w:val="00045041"/>
    <w:rsid w:val="00050FEA"/>
    <w:rsid w:val="00051101"/>
    <w:rsid w:val="00060B67"/>
    <w:rsid w:val="00076D19"/>
    <w:rsid w:val="000909FD"/>
    <w:rsid w:val="000A0CE5"/>
    <w:rsid w:val="000C3153"/>
    <w:rsid w:val="000D7294"/>
    <w:rsid w:val="000D73FA"/>
    <w:rsid w:val="000E49F8"/>
    <w:rsid w:val="000F3A69"/>
    <w:rsid w:val="000F5BF1"/>
    <w:rsid w:val="00104B70"/>
    <w:rsid w:val="0013083A"/>
    <w:rsid w:val="00131EB7"/>
    <w:rsid w:val="00143B8F"/>
    <w:rsid w:val="00153856"/>
    <w:rsid w:val="00156096"/>
    <w:rsid w:val="00161C77"/>
    <w:rsid w:val="00167B47"/>
    <w:rsid w:val="00175BF5"/>
    <w:rsid w:val="00185570"/>
    <w:rsid w:val="001950E3"/>
    <w:rsid w:val="001A2782"/>
    <w:rsid w:val="001A2D88"/>
    <w:rsid w:val="001B33FC"/>
    <w:rsid w:val="001B7CB9"/>
    <w:rsid w:val="001B7E61"/>
    <w:rsid w:val="00203D3D"/>
    <w:rsid w:val="002248CE"/>
    <w:rsid w:val="0026388D"/>
    <w:rsid w:val="0026443F"/>
    <w:rsid w:val="00267495"/>
    <w:rsid w:val="0027076A"/>
    <w:rsid w:val="00287C9E"/>
    <w:rsid w:val="002C0F5D"/>
    <w:rsid w:val="002C3ACF"/>
    <w:rsid w:val="002C52F6"/>
    <w:rsid w:val="002D1A7C"/>
    <w:rsid w:val="002D35F9"/>
    <w:rsid w:val="002D47D3"/>
    <w:rsid w:val="002E761F"/>
    <w:rsid w:val="002F76BC"/>
    <w:rsid w:val="00301E27"/>
    <w:rsid w:val="00304F85"/>
    <w:rsid w:val="003050DE"/>
    <w:rsid w:val="003266C6"/>
    <w:rsid w:val="00350A7A"/>
    <w:rsid w:val="00357C7E"/>
    <w:rsid w:val="00370898"/>
    <w:rsid w:val="003774B8"/>
    <w:rsid w:val="00397A85"/>
    <w:rsid w:val="003B38D3"/>
    <w:rsid w:val="003C26ED"/>
    <w:rsid w:val="003D13A7"/>
    <w:rsid w:val="003E4A2E"/>
    <w:rsid w:val="003F50FC"/>
    <w:rsid w:val="00402338"/>
    <w:rsid w:val="004030CA"/>
    <w:rsid w:val="00407DD9"/>
    <w:rsid w:val="004224DE"/>
    <w:rsid w:val="004300CF"/>
    <w:rsid w:val="0043792B"/>
    <w:rsid w:val="00441C70"/>
    <w:rsid w:val="00445933"/>
    <w:rsid w:val="00450880"/>
    <w:rsid w:val="0047017A"/>
    <w:rsid w:val="00476BB9"/>
    <w:rsid w:val="004C7ECC"/>
    <w:rsid w:val="004D08F5"/>
    <w:rsid w:val="004D77AD"/>
    <w:rsid w:val="004D7827"/>
    <w:rsid w:val="004E58FB"/>
    <w:rsid w:val="004F5107"/>
    <w:rsid w:val="00500C40"/>
    <w:rsid w:val="00513303"/>
    <w:rsid w:val="00513DC0"/>
    <w:rsid w:val="00522050"/>
    <w:rsid w:val="00540DCF"/>
    <w:rsid w:val="0054157A"/>
    <w:rsid w:val="00544562"/>
    <w:rsid w:val="00553F14"/>
    <w:rsid w:val="00561243"/>
    <w:rsid w:val="00580998"/>
    <w:rsid w:val="005847B8"/>
    <w:rsid w:val="00593EA9"/>
    <w:rsid w:val="00596B31"/>
    <w:rsid w:val="005A3E1A"/>
    <w:rsid w:val="005C1A9B"/>
    <w:rsid w:val="005D59A4"/>
    <w:rsid w:val="005D721C"/>
    <w:rsid w:val="005D7A65"/>
    <w:rsid w:val="006118E9"/>
    <w:rsid w:val="00616480"/>
    <w:rsid w:val="00632917"/>
    <w:rsid w:val="00636B14"/>
    <w:rsid w:val="00640772"/>
    <w:rsid w:val="00650FCD"/>
    <w:rsid w:val="006673D3"/>
    <w:rsid w:val="00677130"/>
    <w:rsid w:val="00685243"/>
    <w:rsid w:val="00694592"/>
    <w:rsid w:val="00694BAA"/>
    <w:rsid w:val="0069790B"/>
    <w:rsid w:val="006A2BB1"/>
    <w:rsid w:val="006C73B7"/>
    <w:rsid w:val="006D76EA"/>
    <w:rsid w:val="006E01E0"/>
    <w:rsid w:val="006E2318"/>
    <w:rsid w:val="00710F4B"/>
    <w:rsid w:val="0074149D"/>
    <w:rsid w:val="007534D3"/>
    <w:rsid w:val="007869B5"/>
    <w:rsid w:val="007A1A5E"/>
    <w:rsid w:val="007A31EA"/>
    <w:rsid w:val="007A4C3A"/>
    <w:rsid w:val="007D6A52"/>
    <w:rsid w:val="007E0D88"/>
    <w:rsid w:val="007E194D"/>
    <w:rsid w:val="007F1D83"/>
    <w:rsid w:val="00800179"/>
    <w:rsid w:val="00816EDB"/>
    <w:rsid w:val="00832520"/>
    <w:rsid w:val="00834D80"/>
    <w:rsid w:val="00844525"/>
    <w:rsid w:val="008567B2"/>
    <w:rsid w:val="00861A27"/>
    <w:rsid w:val="00866231"/>
    <w:rsid w:val="008849CC"/>
    <w:rsid w:val="0089256A"/>
    <w:rsid w:val="00894365"/>
    <w:rsid w:val="008B2741"/>
    <w:rsid w:val="008B4C09"/>
    <w:rsid w:val="008C2FF0"/>
    <w:rsid w:val="008D7F85"/>
    <w:rsid w:val="008E7384"/>
    <w:rsid w:val="008F262D"/>
    <w:rsid w:val="009033DB"/>
    <w:rsid w:val="00904780"/>
    <w:rsid w:val="00912714"/>
    <w:rsid w:val="00914897"/>
    <w:rsid w:val="0092092D"/>
    <w:rsid w:val="009266B6"/>
    <w:rsid w:val="00927997"/>
    <w:rsid w:val="0093723E"/>
    <w:rsid w:val="009465FD"/>
    <w:rsid w:val="00970657"/>
    <w:rsid w:val="00985E63"/>
    <w:rsid w:val="009C220B"/>
    <w:rsid w:val="009D1534"/>
    <w:rsid w:val="009F1590"/>
    <w:rsid w:val="009F2559"/>
    <w:rsid w:val="009F7A97"/>
    <w:rsid w:val="00A05EDE"/>
    <w:rsid w:val="00A60F6F"/>
    <w:rsid w:val="00A63C1A"/>
    <w:rsid w:val="00A94A67"/>
    <w:rsid w:val="00AD7627"/>
    <w:rsid w:val="00AE1B81"/>
    <w:rsid w:val="00B07AB5"/>
    <w:rsid w:val="00B138E9"/>
    <w:rsid w:val="00B44598"/>
    <w:rsid w:val="00B6377A"/>
    <w:rsid w:val="00B737CC"/>
    <w:rsid w:val="00BA7DFE"/>
    <w:rsid w:val="00BC4141"/>
    <w:rsid w:val="00BE7E40"/>
    <w:rsid w:val="00BF1FAF"/>
    <w:rsid w:val="00C063CC"/>
    <w:rsid w:val="00C57EC0"/>
    <w:rsid w:val="00C60737"/>
    <w:rsid w:val="00C65B28"/>
    <w:rsid w:val="00C8003C"/>
    <w:rsid w:val="00C90112"/>
    <w:rsid w:val="00C922E4"/>
    <w:rsid w:val="00CC0A89"/>
    <w:rsid w:val="00CE3F65"/>
    <w:rsid w:val="00CF1035"/>
    <w:rsid w:val="00CF2E76"/>
    <w:rsid w:val="00D04BB1"/>
    <w:rsid w:val="00D060EC"/>
    <w:rsid w:val="00D349CC"/>
    <w:rsid w:val="00D40392"/>
    <w:rsid w:val="00D577D7"/>
    <w:rsid w:val="00D6104B"/>
    <w:rsid w:val="00D61439"/>
    <w:rsid w:val="00D678A8"/>
    <w:rsid w:val="00D729FD"/>
    <w:rsid w:val="00D76336"/>
    <w:rsid w:val="00D92D75"/>
    <w:rsid w:val="00DB1D11"/>
    <w:rsid w:val="00DE122C"/>
    <w:rsid w:val="00DE2D28"/>
    <w:rsid w:val="00DF615C"/>
    <w:rsid w:val="00E0155D"/>
    <w:rsid w:val="00E1535F"/>
    <w:rsid w:val="00E276C8"/>
    <w:rsid w:val="00E2777C"/>
    <w:rsid w:val="00E31A90"/>
    <w:rsid w:val="00E44CE5"/>
    <w:rsid w:val="00E47849"/>
    <w:rsid w:val="00E82851"/>
    <w:rsid w:val="00EA2A35"/>
    <w:rsid w:val="00EB6642"/>
    <w:rsid w:val="00EC086B"/>
    <w:rsid w:val="00EC1171"/>
    <w:rsid w:val="00ED13A2"/>
    <w:rsid w:val="00F02152"/>
    <w:rsid w:val="00F12FE8"/>
    <w:rsid w:val="00F21E73"/>
    <w:rsid w:val="00F22C70"/>
    <w:rsid w:val="00F24869"/>
    <w:rsid w:val="00F44FC0"/>
    <w:rsid w:val="00F46950"/>
    <w:rsid w:val="00F4749B"/>
    <w:rsid w:val="00F710BC"/>
    <w:rsid w:val="00F73B99"/>
    <w:rsid w:val="00F814ED"/>
    <w:rsid w:val="00F82044"/>
    <w:rsid w:val="00FA2259"/>
    <w:rsid w:val="00FA4AAD"/>
    <w:rsid w:val="00FC736A"/>
    <w:rsid w:val="00FD3286"/>
    <w:rsid w:val="00FE0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8CE8051-B96C-4093-91FD-5C05D9670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6A52"/>
    <w:rPr>
      <w:color w:val="0563C1" w:themeColor="hyperlink"/>
      <w:u w:val="single"/>
    </w:rPr>
  </w:style>
  <w:style w:type="paragraph" w:styleId="FootnoteText">
    <w:name w:val="footnote text"/>
    <w:basedOn w:val="Normal"/>
    <w:link w:val="FootnoteTextChar"/>
    <w:uiPriority w:val="99"/>
    <w:semiHidden/>
    <w:unhideWhenUsed/>
    <w:rsid w:val="006C73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73B7"/>
    <w:rPr>
      <w:sz w:val="20"/>
      <w:szCs w:val="20"/>
    </w:rPr>
  </w:style>
  <w:style w:type="character" w:styleId="FootnoteReference">
    <w:name w:val="footnote reference"/>
    <w:basedOn w:val="DefaultParagraphFont"/>
    <w:uiPriority w:val="99"/>
    <w:semiHidden/>
    <w:unhideWhenUsed/>
    <w:rsid w:val="006C73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oi.com/Gallery/S8.6.html%20-%2006/12/2017" TargetMode="External"/><Relationship Id="rId13" Type="http://schemas.openxmlformats.org/officeDocument/2006/relationships/hyperlink" Target="http://www.theoi.com/Gallery/S13.2.html" TargetMode="External"/><Relationship Id="rId18" Type="http://schemas.openxmlformats.org/officeDocument/2006/relationships/hyperlink" Target="http://www.theoi.com/Gallery/S10.15.html" TargetMode="External"/><Relationship Id="rId3" Type="http://schemas.openxmlformats.org/officeDocument/2006/relationships/webSettings" Target="webSettings.xml"/><Relationship Id="rId21" Type="http://schemas.openxmlformats.org/officeDocument/2006/relationships/hyperlink" Target="http://www.perseus.tufts.edu/hopper/text?doc=Perseus%3Atext%3A1999.02.0069%3Atext%3DArs%3Abook%3D3" TargetMode="External"/><Relationship Id="rId7" Type="http://schemas.openxmlformats.org/officeDocument/2006/relationships/hyperlink" Target="http://www.cam.ac.uk/research/features/how-classical-sculpture-helped-to-set-impossible-standards-of-beauty" TargetMode="External"/><Relationship Id="rId12" Type="http://schemas.openxmlformats.org/officeDocument/2006/relationships/hyperlink" Target="http://www.theoi.com/Gallery/S6.5.html%20-%2006/12/2017" TargetMode="External"/><Relationship Id="rId17" Type="http://schemas.openxmlformats.org/officeDocument/2006/relationships/hyperlink" Target="http://www.theoi.com/Gallery/S10.5.html" TargetMode="External"/><Relationship Id="rId2" Type="http://schemas.openxmlformats.org/officeDocument/2006/relationships/settings" Target="settings.xml"/><Relationship Id="rId16" Type="http://schemas.openxmlformats.org/officeDocument/2006/relationships/hyperlink" Target="http://www.theoi.com/Gallery/S10.16.html" TargetMode="External"/><Relationship Id="rId20" Type="http://schemas.openxmlformats.org/officeDocument/2006/relationships/hyperlink" Target="http://www.perseus.tufts.edu/hopper/text?doc=Perseus%3Atext%3A1999.01.0130%3Acard%3D585" TargetMode="External"/><Relationship Id="rId1" Type="http://schemas.openxmlformats.org/officeDocument/2006/relationships/styles" Target="styles.xml"/><Relationship Id="rId6" Type="http://schemas.openxmlformats.org/officeDocument/2006/relationships/hyperlink" Target="http://www.bbc.co.uk/news/magazine-30746985" TargetMode="External"/><Relationship Id="rId11" Type="http://schemas.openxmlformats.org/officeDocument/2006/relationships/hyperlink" Target="http://www.theoi.com/Gallery/S6.11.html%20-%2006/12/2017" TargetMode="External"/><Relationship Id="rId5" Type="http://schemas.openxmlformats.org/officeDocument/2006/relationships/endnotes" Target="endnotes.xml"/><Relationship Id="rId15" Type="http://schemas.openxmlformats.org/officeDocument/2006/relationships/hyperlink" Target="http://www.theoi.com/Cult/AphroditeCult.html" TargetMode="External"/><Relationship Id="rId23" Type="http://schemas.openxmlformats.org/officeDocument/2006/relationships/theme" Target="theme/theme1.xml"/><Relationship Id="rId10" Type="http://schemas.openxmlformats.org/officeDocument/2006/relationships/hyperlink" Target="http://www.theoi.com/Gallery/S6.1.html%20-%2006/12/2017" TargetMode="External"/><Relationship Id="rId19" Type="http://schemas.openxmlformats.org/officeDocument/2006/relationships/hyperlink" Target="http://www.theoi.com/Gallery/S4.2.html" TargetMode="External"/><Relationship Id="rId4" Type="http://schemas.openxmlformats.org/officeDocument/2006/relationships/footnotes" Target="footnotes.xml"/><Relationship Id="rId9" Type="http://schemas.openxmlformats.org/officeDocument/2006/relationships/hyperlink" Target="http://www.theoi.com/Gallery/S8.1.html" TargetMode="External"/><Relationship Id="rId14" Type="http://schemas.openxmlformats.org/officeDocument/2006/relationships/hyperlink" Target="http://www.theoi.com/Gallery/S13.1.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1765</TotalTime>
  <Pages>7</Pages>
  <Words>3317</Words>
  <Characters>17450</Characters>
  <Application>Microsoft Office Word</Application>
  <DocSecurity>0</DocSecurity>
  <Lines>242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174</cp:revision>
  <dcterms:created xsi:type="dcterms:W3CDTF">2017-11-30T12:16:00Z</dcterms:created>
  <dcterms:modified xsi:type="dcterms:W3CDTF">2017-12-10T11:15:00Z</dcterms:modified>
</cp:coreProperties>
</file>