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0"/>
      </w:tblGrid>
      <w:tr w:rsidR="00F927A1" w:rsidRPr="005D3F07" w14:paraId="68CAA39D" w14:textId="77777777" w:rsidTr="008C4942">
        <w:tc>
          <w:tcPr>
            <w:tcW w:w="10940" w:type="dxa"/>
            <w:shd w:val="clear" w:color="auto" w:fill="auto"/>
          </w:tcPr>
          <w:p w14:paraId="02F8EE88" w14:textId="2F0C829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C4942" w:rsidRPr="008C4942">
              <w:rPr>
                <w:rFonts w:ascii="Times New Roman" w:hAnsi="Times New Roman" w:cs="Times New Roman"/>
                <w:color w:val="auto"/>
                <w:sz w:val="48"/>
              </w:rPr>
              <w:t>Holly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894D97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C4942">
              <w:rPr>
                <w:rFonts w:ascii="Times New Roman" w:hAnsi="Times New Roman" w:cs="Times New Roman"/>
                <w:b/>
                <w:color w:val="auto"/>
                <w:sz w:val="48"/>
              </w:rPr>
              <w:t xml:space="preserve"> </w:t>
            </w:r>
            <w:r w:rsidR="008C4942" w:rsidRPr="00303B6E">
              <w:rPr>
                <w:rFonts w:ascii="Times New Roman" w:hAnsi="Times New Roman" w:cs="Times New Roman"/>
                <w:sz w:val="48"/>
                <w:szCs w:val="48"/>
              </w:rPr>
              <w:t>2319561@student.uwtsd.ac.uk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B527A7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C4942">
              <w:rPr>
                <w:rFonts w:ascii="Times New Roman" w:hAnsi="Times New Roman" w:cs="Times New Roman"/>
                <w:b/>
                <w:color w:val="auto"/>
                <w:sz w:val="48"/>
              </w:rPr>
              <w:t xml:space="preserve"> </w:t>
            </w:r>
            <w:r w:rsidR="008C4942" w:rsidRPr="00303B6E">
              <w:rPr>
                <w:rFonts w:ascii="Times New Roman" w:hAnsi="Times New Roman" w:cs="Times New Roman"/>
                <w:sz w:val="48"/>
                <w:szCs w:val="48"/>
              </w:rPr>
              <w:t>2319561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sidRPr="008C4942">
              <w:rPr>
                <w:rFonts w:ascii="Times New Roman" w:hAnsi="Times New Roman" w:cs="Times New Roman"/>
                <w:color w:val="auto"/>
                <w:sz w:val="48"/>
              </w:rPr>
              <w:t>21</w:t>
            </w:r>
            <w:r w:rsidR="00AE6231" w:rsidRPr="008C4942">
              <w:rPr>
                <w:rFonts w:ascii="Times New Roman" w:hAnsi="Times New Roman" w:cs="Times New Roman"/>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75254E48" w14:textId="398C6139" w:rsidR="008C4942"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1F761027" w14:textId="77777777" w:rsidR="008C4942" w:rsidRPr="006108C9" w:rsidRDefault="008C4942" w:rsidP="008C4942">
            <w:pPr>
              <w:jc w:val="both"/>
              <w:rPr>
                <w:sz w:val="24"/>
                <w:szCs w:val="24"/>
              </w:rPr>
            </w:pPr>
          </w:p>
          <w:p w14:paraId="0F567E30" w14:textId="77777777" w:rsidR="008C4942" w:rsidRDefault="008C4942" w:rsidP="008C494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5974E941"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D57DF79" w14:textId="77777777" w:rsidR="008C4942" w:rsidRPr="008C4942" w:rsidRDefault="008C4942" w:rsidP="008C4942">
            <w:pPr>
              <w:spacing w:line="360" w:lineRule="auto"/>
              <w:jc w:val="both"/>
              <w:rPr>
                <w:sz w:val="24"/>
                <w:szCs w:val="24"/>
              </w:rPr>
            </w:pPr>
            <w:r w:rsidRPr="008C4942">
              <w:rPr>
                <w:sz w:val="24"/>
                <w:szCs w:val="24"/>
              </w:rPr>
              <w:t xml:space="preserve">The Children Act (1989) defines an adult as a person aged 18 or above. Part 7 of the Social Services and Wellbeing (Wales) Act (SSWBA) (2014) is predominant legislation in Wales used when safeguarding both children and adults. </w:t>
            </w:r>
            <w:bookmarkStart w:id="0" w:name="_GoBack"/>
            <w:bookmarkEnd w:id="0"/>
            <w:r w:rsidRPr="008C4942">
              <w:rPr>
                <w:sz w:val="24"/>
                <w:szCs w:val="24"/>
              </w:rPr>
              <w:t>The Wales Safeguarding Procedures (2019) detail guidelines for safeguarding and this guidance outlines the duties and responsibilities placed on social workers amongst other professionals and how to ensure these responsibilities are met. Furthermore, in Section 197 (1) of SSWBA (2014) the importance of National Safeguarding Boards are documented in order to provide multi-agency coordination in safeguarding in Wales and provide citizens with additional protection. The categories of abuse and neglect are defined in Section 197(1) of SSWBA.</w:t>
            </w:r>
          </w:p>
          <w:p w14:paraId="7F24DBA7" w14:textId="77777777" w:rsidR="008C4942" w:rsidRPr="008C4942" w:rsidRDefault="008C4942" w:rsidP="008C4942">
            <w:pPr>
              <w:spacing w:line="360" w:lineRule="auto"/>
              <w:jc w:val="both"/>
              <w:rPr>
                <w:sz w:val="24"/>
                <w:szCs w:val="24"/>
              </w:rPr>
            </w:pPr>
          </w:p>
          <w:p w14:paraId="440B866F" w14:textId="77777777" w:rsidR="008C4942" w:rsidRPr="008C4942" w:rsidRDefault="008C4942" w:rsidP="008C4942">
            <w:pPr>
              <w:spacing w:line="360" w:lineRule="auto"/>
              <w:jc w:val="both"/>
              <w:rPr>
                <w:sz w:val="24"/>
                <w:szCs w:val="24"/>
              </w:rPr>
            </w:pPr>
          </w:p>
          <w:p w14:paraId="09313867" w14:textId="5035B939" w:rsidR="008C4942" w:rsidRPr="008C4942" w:rsidRDefault="008C4942" w:rsidP="008C4942">
            <w:pPr>
              <w:spacing w:line="360" w:lineRule="auto"/>
              <w:jc w:val="both"/>
              <w:rPr>
                <w:sz w:val="24"/>
                <w:szCs w:val="24"/>
              </w:rPr>
            </w:pPr>
            <w:r w:rsidRPr="008C4942">
              <w:rPr>
                <w:sz w:val="24"/>
                <w:szCs w:val="24"/>
              </w:rPr>
              <w:t xml:space="preserve">SSWBA (2014) specifies an adult “at risk” if they are experiencing or at risk of experiencing abuse or neglect. The adult may also have care and support needs and as a result are unable to safeguard themselves against abuse or neglect or the risk of it. SSWBA (2014) uses the term “at risk” in order to endorse early intervention. This means practitioners are able to intervene prior to any abuse or neglect taking place. Social Care </w:t>
            </w:r>
            <w:r w:rsidRPr="008C4942">
              <w:rPr>
                <w:sz w:val="24"/>
                <w:szCs w:val="24"/>
              </w:rPr>
              <w:t>Institution</w:t>
            </w:r>
            <w:r w:rsidRPr="008C4942">
              <w:rPr>
                <w:sz w:val="24"/>
                <w:szCs w:val="24"/>
              </w:rPr>
              <w:t xml:space="preserve"> for Excellence (2015) states there does not always need to be physical evidence of abuse to raise concerns, behavioural changes and differing patterns of behaviour can be indicative and must be considered when completing safeguarding enquiries. </w:t>
            </w:r>
          </w:p>
          <w:p w14:paraId="404D865C" w14:textId="77777777" w:rsidR="008C4942" w:rsidRPr="008C4942" w:rsidRDefault="008C4942" w:rsidP="008C4942">
            <w:pPr>
              <w:spacing w:line="360" w:lineRule="auto"/>
              <w:jc w:val="both"/>
              <w:rPr>
                <w:sz w:val="24"/>
                <w:szCs w:val="24"/>
              </w:rPr>
            </w:pPr>
          </w:p>
          <w:p w14:paraId="79284113" w14:textId="77777777" w:rsidR="008C4942" w:rsidRPr="008C4942" w:rsidRDefault="008C4942" w:rsidP="008C4942">
            <w:pPr>
              <w:spacing w:line="360" w:lineRule="auto"/>
              <w:jc w:val="both"/>
              <w:rPr>
                <w:sz w:val="24"/>
                <w:szCs w:val="24"/>
              </w:rPr>
            </w:pPr>
          </w:p>
          <w:p w14:paraId="185564F3" w14:textId="5B794999" w:rsidR="008C4942" w:rsidRPr="008C4942" w:rsidRDefault="008C4942" w:rsidP="008C4942">
            <w:pPr>
              <w:spacing w:line="360" w:lineRule="auto"/>
              <w:jc w:val="both"/>
              <w:rPr>
                <w:sz w:val="24"/>
                <w:szCs w:val="24"/>
              </w:rPr>
            </w:pPr>
            <w:r w:rsidRPr="008C4942">
              <w:rPr>
                <w:sz w:val="24"/>
                <w:szCs w:val="24"/>
              </w:rPr>
              <w:t xml:space="preserve">In accordance with XXX Local Authority Safeguarding </w:t>
            </w:r>
            <w:r w:rsidRPr="008C4942">
              <w:rPr>
                <w:sz w:val="24"/>
                <w:szCs w:val="24"/>
              </w:rPr>
              <w:t>Procedures</w:t>
            </w:r>
            <w:r w:rsidRPr="008C4942">
              <w:rPr>
                <w:sz w:val="24"/>
                <w:szCs w:val="24"/>
              </w:rPr>
              <w:t>, if an adult is identified to be experiencing abuse or at risk of abuse, referrals detailing the concerns must be submitted to the Adult Safeguarding Team. The SSWBA (2014) states that consent must be obtained from the individual where possible.</w:t>
            </w:r>
          </w:p>
          <w:p w14:paraId="1F0E7940" w14:textId="77777777" w:rsidR="008C4942" w:rsidRPr="008C4942" w:rsidRDefault="008C4942" w:rsidP="008C4942">
            <w:pPr>
              <w:spacing w:line="360" w:lineRule="auto"/>
              <w:jc w:val="both"/>
              <w:rPr>
                <w:sz w:val="24"/>
                <w:szCs w:val="24"/>
              </w:rPr>
            </w:pPr>
          </w:p>
          <w:p w14:paraId="094E3DDB" w14:textId="77777777" w:rsidR="008C4942" w:rsidRPr="008C4942" w:rsidRDefault="008C4942" w:rsidP="008C4942">
            <w:pPr>
              <w:spacing w:line="360" w:lineRule="auto"/>
              <w:jc w:val="both"/>
              <w:rPr>
                <w:sz w:val="24"/>
                <w:szCs w:val="24"/>
              </w:rPr>
            </w:pPr>
          </w:p>
          <w:p w14:paraId="19A7B77A" w14:textId="46C35993" w:rsidR="008C4942" w:rsidRPr="008C4942" w:rsidRDefault="008C4942" w:rsidP="008C4942">
            <w:pPr>
              <w:spacing w:line="360" w:lineRule="auto"/>
              <w:jc w:val="both"/>
              <w:rPr>
                <w:sz w:val="24"/>
                <w:szCs w:val="24"/>
              </w:rPr>
            </w:pPr>
            <w:r w:rsidRPr="008C4942">
              <w:rPr>
                <w:sz w:val="24"/>
                <w:szCs w:val="24"/>
              </w:rPr>
              <w:t>The Care and Support (Eligibility) (Wales) Regulations (2015) states Care and Support needs must be identified in order to establish whether the threshold has been met for safeguarding interventions. Following from this, in accordance with XXX Safeguarding Policy (2021) and Section 126(2) of SSWBA, a lead practitioner would be allocated to complete enquiries to establish whether “a local authority has reasonable cause to suspect that a person within its area is an adult at risk”.</w:t>
            </w:r>
            <w:r>
              <w:rPr>
                <w:sz w:val="24"/>
                <w:szCs w:val="24"/>
              </w:rPr>
              <w:t xml:space="preserve"> Investigations of this nature </w:t>
            </w:r>
            <w:r w:rsidRPr="008C4942">
              <w:rPr>
                <w:sz w:val="24"/>
                <w:szCs w:val="24"/>
              </w:rPr>
              <w:t xml:space="preserve">are to be concluded within seven days of the referral, with a decision to investigate made. There should be clear documentation of the findings and the next steps of action to be recorded (Parker, 2020). </w:t>
            </w:r>
          </w:p>
          <w:p w14:paraId="523690A5" w14:textId="77777777" w:rsidR="008C4942" w:rsidRPr="008C4942" w:rsidRDefault="008C4942" w:rsidP="008C4942">
            <w:pPr>
              <w:spacing w:line="360" w:lineRule="auto"/>
              <w:jc w:val="both"/>
              <w:rPr>
                <w:sz w:val="24"/>
                <w:szCs w:val="24"/>
              </w:rPr>
            </w:pPr>
          </w:p>
          <w:p w14:paraId="1257F52B" w14:textId="77777777" w:rsidR="008C4942" w:rsidRPr="008C4942" w:rsidRDefault="008C4942" w:rsidP="008C4942">
            <w:pPr>
              <w:spacing w:line="360" w:lineRule="auto"/>
              <w:jc w:val="both"/>
              <w:rPr>
                <w:sz w:val="24"/>
                <w:szCs w:val="24"/>
              </w:rPr>
            </w:pPr>
          </w:p>
          <w:p w14:paraId="53652353" w14:textId="77777777" w:rsidR="008C4942" w:rsidRPr="008C4942" w:rsidRDefault="008C4942" w:rsidP="008C4942">
            <w:pPr>
              <w:spacing w:line="360" w:lineRule="auto"/>
              <w:jc w:val="both"/>
              <w:rPr>
                <w:sz w:val="24"/>
                <w:szCs w:val="24"/>
              </w:rPr>
            </w:pPr>
            <w:r w:rsidRPr="008C4942">
              <w:rPr>
                <w:sz w:val="24"/>
                <w:szCs w:val="24"/>
              </w:rPr>
              <w:t xml:space="preserve">Following safeguarding enquiries, Lustick et al., (2020) state adults should feel empowered and able to make informed decisions. Part 10 of the SSWBA Code of Practice if a person is unable to advocate for themselves then referrals to advocacy services will support greater participation and partnership working. The individuals safeguarding wellbeing outcomes will be coordinated through a Care and Support Plan. </w:t>
            </w:r>
          </w:p>
          <w:p w14:paraId="6A090389" w14:textId="77777777" w:rsidR="008C4942" w:rsidRPr="008C4942" w:rsidRDefault="008C4942" w:rsidP="008C4942">
            <w:pPr>
              <w:spacing w:line="360" w:lineRule="auto"/>
              <w:jc w:val="both"/>
              <w:rPr>
                <w:sz w:val="24"/>
                <w:szCs w:val="24"/>
              </w:rPr>
            </w:pPr>
          </w:p>
          <w:p w14:paraId="76D99D8C" w14:textId="77777777" w:rsidR="008C4942" w:rsidRPr="008C4942" w:rsidRDefault="008C4942" w:rsidP="008C4942">
            <w:pPr>
              <w:spacing w:line="360" w:lineRule="auto"/>
              <w:jc w:val="both"/>
              <w:rPr>
                <w:sz w:val="24"/>
                <w:szCs w:val="24"/>
              </w:rPr>
            </w:pPr>
          </w:p>
          <w:p w14:paraId="157DEA97" w14:textId="77777777" w:rsidR="008C4942" w:rsidRPr="008C4942" w:rsidRDefault="008C4942" w:rsidP="008C4942">
            <w:pPr>
              <w:spacing w:line="360" w:lineRule="auto"/>
              <w:jc w:val="both"/>
              <w:rPr>
                <w:sz w:val="24"/>
                <w:szCs w:val="24"/>
              </w:rPr>
            </w:pPr>
            <w:r w:rsidRPr="008C4942">
              <w:rPr>
                <w:sz w:val="24"/>
                <w:szCs w:val="24"/>
              </w:rPr>
              <w:t xml:space="preserve">If an individual is unable to make decisions for themself, the Mental Capacity Act (MCA)  (2005) offers protection. A principle of this law is that capacity must be assumed unless established otherwise (MCA S1.2, 2005). If it has been established that capacity is lacking, decisions must be made in the best interests of the individual, as detailed by S1(5) of the MCA (2005). </w:t>
            </w:r>
          </w:p>
          <w:p w14:paraId="1A9D5788" w14:textId="77777777" w:rsidR="008C4942" w:rsidRPr="008C4942" w:rsidRDefault="008C4942" w:rsidP="008C4942">
            <w:pPr>
              <w:spacing w:line="360" w:lineRule="auto"/>
              <w:jc w:val="both"/>
              <w:rPr>
                <w:sz w:val="24"/>
                <w:szCs w:val="24"/>
              </w:rPr>
            </w:pPr>
          </w:p>
          <w:p w14:paraId="2133CA7C" w14:textId="77777777" w:rsidR="008C4942" w:rsidRPr="008C4942" w:rsidRDefault="008C4942" w:rsidP="008C4942">
            <w:pPr>
              <w:spacing w:line="360" w:lineRule="auto"/>
              <w:jc w:val="both"/>
              <w:rPr>
                <w:sz w:val="24"/>
                <w:szCs w:val="24"/>
              </w:rPr>
            </w:pPr>
          </w:p>
          <w:p w14:paraId="0318E819" w14:textId="5AEBB4DD" w:rsidR="00FC0334" w:rsidRDefault="008C4942" w:rsidP="008C4942">
            <w:pPr>
              <w:spacing w:line="360" w:lineRule="auto"/>
              <w:jc w:val="both"/>
              <w:rPr>
                <w:sz w:val="24"/>
                <w:szCs w:val="24"/>
              </w:rPr>
            </w:pPr>
            <w:r w:rsidRPr="008C4942">
              <w:rPr>
                <w:sz w:val="24"/>
                <w:szCs w:val="24"/>
              </w:rPr>
              <w:t>On a further, international level, safeguards are offered to adults at risk under the United Nations Principles for Older Persons (1991) along with the Human Rights Act (1998). These laws provide an individual with protections such as the prohibition of torture balanced with the right to respect private and family life.</w:t>
            </w:r>
          </w:p>
          <w:p w14:paraId="6D8CB8AF" w14:textId="77777777" w:rsidR="00FC0334" w:rsidRDefault="00FC0334" w:rsidP="00FF7EBB">
            <w:pPr>
              <w:jc w:val="both"/>
              <w:rPr>
                <w:sz w:val="24"/>
                <w:szCs w:val="24"/>
              </w:rPr>
            </w:pPr>
          </w:p>
          <w:p w14:paraId="020D3BCD" w14:textId="77777777" w:rsidR="007A628F" w:rsidRDefault="008C4942" w:rsidP="008C4942">
            <w:pPr>
              <w:jc w:val="both"/>
              <w:rPr>
                <w:sz w:val="24"/>
                <w:szCs w:val="24"/>
              </w:rPr>
            </w:pPr>
            <w:r>
              <w:rPr>
                <w:sz w:val="24"/>
                <w:szCs w:val="24"/>
              </w:rPr>
              <w:t>565 words</w:t>
            </w:r>
          </w:p>
          <w:p w14:paraId="03BD6D93" w14:textId="030F6E75" w:rsidR="008C4942" w:rsidRPr="008C4942" w:rsidRDefault="008C4942" w:rsidP="008C4942">
            <w:pPr>
              <w:jc w:val="both"/>
              <w:rPr>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3D827C43"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51E5F280" w14:textId="0BF071C4" w:rsidR="00C07511" w:rsidRDefault="00C07511" w:rsidP="00FC0334">
            <w:pPr>
              <w:jc w:val="both"/>
              <w:rPr>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CABE426" w14:textId="77777777" w:rsidR="00FC0334" w:rsidRDefault="00FC0334" w:rsidP="00FC0334">
            <w:pPr>
              <w:jc w:val="both"/>
              <w:rPr>
                <w:sz w:val="24"/>
                <w:szCs w:val="24"/>
              </w:rPr>
            </w:pPr>
          </w:p>
          <w:p w14:paraId="2CC86B14" w14:textId="35FADEAD" w:rsidR="00C07511" w:rsidRPr="00C07511" w:rsidRDefault="00C07511" w:rsidP="00C07511">
            <w:pPr>
              <w:spacing w:line="360" w:lineRule="auto"/>
              <w:jc w:val="both"/>
              <w:rPr>
                <w:color w:val="auto"/>
                <w:sz w:val="24"/>
                <w:szCs w:val="24"/>
              </w:rPr>
            </w:pPr>
            <w:r>
              <w:rPr>
                <w:sz w:val="24"/>
                <w:szCs w:val="24"/>
              </w:rPr>
              <w:t>In Wales, there are similarities in th</w:t>
            </w:r>
            <w:r>
              <w:rPr>
                <w:sz w:val="24"/>
                <w:szCs w:val="24"/>
              </w:rPr>
              <w:t xml:space="preserve">e role of safeguarding children and adults </w:t>
            </w:r>
            <w:r>
              <w:rPr>
                <w:sz w:val="24"/>
                <w:szCs w:val="24"/>
              </w:rPr>
              <w:t xml:space="preserve">such as the basic values of safeguarding being everyone’s responsibility and abuse prevention. Though the Social Services and Wellbeing (Wales) Act (SSWBA) (2014) established a unified social care system for Wales, there are however dissimilarities in the legislation used to govern adults and children's safeguarding. The SSWBA (2014) and its coinciding procedures is the legislation which exclusively governs adult safeguarding. Whilst in Children’s safeguarding SSWBA (2014), is a preposition of the Children Act (1989) along with other legislation, as discussed in task 3a. </w:t>
            </w:r>
          </w:p>
          <w:p w14:paraId="1FC0BC74" w14:textId="77777777" w:rsidR="00C07511" w:rsidRDefault="00C07511" w:rsidP="00C07511">
            <w:pPr>
              <w:jc w:val="both"/>
              <w:rPr>
                <w:sz w:val="24"/>
                <w:szCs w:val="24"/>
              </w:rPr>
            </w:pPr>
          </w:p>
          <w:p w14:paraId="6B2A06BB" w14:textId="68C9DD9D" w:rsidR="00C07511" w:rsidRDefault="00C07511" w:rsidP="00C07511">
            <w:pPr>
              <w:spacing w:line="360" w:lineRule="auto"/>
              <w:jc w:val="both"/>
              <w:rPr>
                <w:sz w:val="24"/>
                <w:szCs w:val="24"/>
              </w:rPr>
            </w:pPr>
            <w:r>
              <w:rPr>
                <w:sz w:val="24"/>
                <w:szCs w:val="24"/>
              </w:rPr>
              <w:t xml:space="preserve">A key difference in safeguarding adults’ as opposed to children is that consent must be obtained from the service user. Exceptions to this are detailed in the All Wales Safeguarding Procedures (2019) which state that consent can be overridden should it be in the best interests of the individual or others are at danger. Within the All Wales Safeguarding Procedures (2019) consent is defined as "a person making an informed decision to provide their approval. It thus takes into account the main idea of SSWBA (2014), which is </w:t>
            </w:r>
            <w:r w:rsidR="008C4942">
              <w:rPr>
                <w:sz w:val="24"/>
                <w:szCs w:val="24"/>
              </w:rPr>
              <w:t>centred</w:t>
            </w:r>
            <w:r>
              <w:rPr>
                <w:sz w:val="24"/>
                <w:szCs w:val="24"/>
              </w:rPr>
              <w:t xml:space="preserve"> upon a person’s right to have autonomy and control, as well as their right to make poor decisions, as defined in the Mental Capacity Act (MCA) (2005). The All Wales Safeguarding Procedures (2019) guiding principles suggest the MCA (2005) and its essential ideas, such as presuming all persons to have mental capacity unless proven otherwise, are to be entrenched in practice to support both safeguarding and decision making.</w:t>
            </w:r>
          </w:p>
          <w:p w14:paraId="465117E3" w14:textId="77777777" w:rsidR="00C07511" w:rsidRDefault="00C07511" w:rsidP="00C07511">
            <w:pPr>
              <w:spacing w:line="360" w:lineRule="auto"/>
              <w:jc w:val="both"/>
              <w:rPr>
                <w:sz w:val="24"/>
                <w:szCs w:val="24"/>
              </w:rPr>
            </w:pPr>
          </w:p>
          <w:p w14:paraId="2E852251" w14:textId="2EFF75E1" w:rsidR="00C07511" w:rsidRDefault="00C07511" w:rsidP="00C07511">
            <w:pPr>
              <w:spacing w:line="360" w:lineRule="auto"/>
              <w:jc w:val="both"/>
              <w:rPr>
                <w:sz w:val="24"/>
                <w:szCs w:val="24"/>
              </w:rPr>
            </w:pPr>
            <w:r>
              <w:rPr>
                <w:sz w:val="24"/>
                <w:szCs w:val="24"/>
              </w:rPr>
              <w:t xml:space="preserve">According to the MCA (2005), consent is valid only if the subject has mental capacity. Furthermore, practitioners must be aware that mental capability is unique to a specific choice at a specific time (MCA, 2005). Principle 2 of the MCA (2005) states "a person must be given all practicable help before anyone treats them as not being able to make their own decisions." This denotes that social workers are required to make every effort to support and enable the person to make decisions for themselves and to participate in decision-making to the greatest extent possible, even in cases where capacity is compromised (Jayes </w:t>
            </w:r>
            <w:r>
              <w:rPr>
                <w:i/>
                <w:sz w:val="24"/>
                <w:szCs w:val="24"/>
              </w:rPr>
              <w:t>et al.,</w:t>
            </w:r>
            <w:r>
              <w:rPr>
                <w:sz w:val="24"/>
                <w:szCs w:val="24"/>
              </w:rPr>
              <w:t xml:space="preserve"> 2020).</w:t>
            </w:r>
          </w:p>
          <w:p w14:paraId="44824F9F" w14:textId="77777777" w:rsidR="00C07511" w:rsidRDefault="00C07511" w:rsidP="00C07511">
            <w:pPr>
              <w:spacing w:line="360" w:lineRule="auto"/>
              <w:jc w:val="both"/>
              <w:rPr>
                <w:sz w:val="24"/>
                <w:szCs w:val="24"/>
              </w:rPr>
            </w:pPr>
          </w:p>
          <w:p w14:paraId="56356A91" w14:textId="3E4F36D7" w:rsidR="00C07511" w:rsidRDefault="00C07511" w:rsidP="00C07511">
            <w:pPr>
              <w:spacing w:line="360" w:lineRule="auto"/>
              <w:jc w:val="both"/>
              <w:rPr>
                <w:sz w:val="24"/>
                <w:szCs w:val="24"/>
              </w:rPr>
            </w:pPr>
            <w:r>
              <w:rPr>
                <w:sz w:val="24"/>
                <w:szCs w:val="24"/>
              </w:rPr>
              <w:t>In contrast to safeguarding adults, the MCA (2005) is not applicable to children under the age of 16. Consent is not required in cases where concerns are raised about a child's welfare due to possible abuse or neglect; instead, the child's safety must come first. In these circumstances, it is important that attention is given to a child's age and level of comprehension when determining whether they are competent to make certain decisions, which the Care Quality Commission (2019) refer to as Gillick Competence (Gillick v West Norfolk, 1985). Whilst safeguarding children, the child's voice mus</w:t>
            </w:r>
            <w:r>
              <w:rPr>
                <w:sz w:val="24"/>
                <w:szCs w:val="24"/>
              </w:rPr>
              <w:t xml:space="preserve">t be obtained and referred to, </w:t>
            </w:r>
            <w:r>
              <w:rPr>
                <w:sz w:val="24"/>
                <w:szCs w:val="24"/>
              </w:rPr>
              <w:t>with their preferences and feelings addressed in all aspects. This should be regardless of age or levels of understanding, in order to promote child-</w:t>
            </w:r>
            <w:r>
              <w:rPr>
                <w:sz w:val="24"/>
                <w:szCs w:val="24"/>
              </w:rPr>
              <w:t>centred</w:t>
            </w:r>
            <w:r>
              <w:rPr>
                <w:sz w:val="24"/>
                <w:szCs w:val="24"/>
              </w:rPr>
              <w:t xml:space="preserve"> practice and define personal outcomes.</w:t>
            </w:r>
          </w:p>
          <w:p w14:paraId="6BA3DD84" w14:textId="397FF5EE" w:rsidR="00FC0334" w:rsidRDefault="00FC0334"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B7D1C7D" w:rsidR="00A5656A" w:rsidRDefault="00A5656A">
    <w:pPr>
      <w:pStyle w:val="Footer"/>
      <w:jc w:val="right"/>
    </w:pPr>
    <w:r>
      <w:fldChar w:fldCharType="begin"/>
    </w:r>
    <w:r>
      <w:instrText xml:space="preserve"> PAGE   \* MERGEFORMAT </w:instrText>
    </w:r>
    <w:r>
      <w:fldChar w:fldCharType="separate"/>
    </w:r>
    <w:r w:rsidR="008C4942">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4942"/>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511"/>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006180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C18472-6455-41FF-85E1-614F0702A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1256</Words>
  <Characters>6786</Characters>
  <Application>Microsoft Office Word</Application>
  <DocSecurity>4</DocSecurity>
  <Lines>56</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Holly Roberts</cp:lastModifiedBy>
  <cp:revision>2</cp:revision>
  <cp:lastPrinted>2020-02-11T19:20:00Z</cp:lastPrinted>
  <dcterms:created xsi:type="dcterms:W3CDTF">2024-10-07T17:38:00Z</dcterms:created>
  <dcterms:modified xsi:type="dcterms:W3CDTF">2024-10-07T17:38:00Z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