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57652E7" w:rsidP="4BDDEE6F" w:rsidRDefault="357652E7" w14:paraId="4F78832A" w14:textId="346D0BA5">
      <w:pPr>
        <w:pStyle w:val="Heading1"/>
        <w:rPr>
          <w:b w:val="1"/>
          <w:bCs w:val="1"/>
          <w:sz w:val="72"/>
          <w:szCs w:val="72"/>
        </w:rPr>
      </w:pPr>
      <w:bookmarkStart w:name="_Toc1615521947" w:id="569984238"/>
      <w:r w:rsidRPr="4BDDEE6F" w:rsidR="357652E7">
        <w:rPr>
          <w:b w:val="1"/>
          <w:bCs w:val="1"/>
          <w:sz w:val="72"/>
          <w:szCs w:val="72"/>
        </w:rPr>
        <w:t>2401039 – Jac Cromwell</w:t>
      </w:r>
      <w:bookmarkEnd w:id="569984238"/>
    </w:p>
    <w:p w:rsidR="16C77D9F" w:rsidP="4BDDEE6F" w:rsidRDefault="16C77D9F" w14:paraId="25F79C50" w14:textId="518E6CCB">
      <w:pPr>
        <w:spacing w:before="120" w:after="120"/>
        <w:jc w:val="both"/>
      </w:pPr>
      <w:r w:rsidRPr="4BDDEE6F" w:rsidR="16C77D9F">
        <w:rPr>
          <w:rFonts w:ascii="Arial" w:hAnsi="Arial" w:eastAsia="Arial" w:cs="Arial"/>
          <w:b w:val="1"/>
          <w:bCs w:val="1"/>
          <w:i w:val="0"/>
          <w:iCs w:val="0"/>
          <w:caps w:val="0"/>
          <w:smallCaps w:val="0"/>
          <w:noProof w:val="0"/>
          <w:color w:val="000000" w:themeColor="text1" w:themeTint="FF" w:themeShade="FF"/>
          <w:sz w:val="36"/>
          <w:szCs w:val="36"/>
          <w:lang w:val="en-GB"/>
        </w:rPr>
        <w:t>Data Security and Compliance – ACCA5034</w:t>
      </w:r>
    </w:p>
    <w:p w:rsidR="4BDDEE6F" w:rsidP="4BDDEE6F" w:rsidRDefault="4BDDEE6F" w14:paraId="727A7A60" w14:textId="47346C4A">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7C5C1DC2" w14:textId="20974179">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63938A60" w14:textId="757A7FEF">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40E45AA6" w14:textId="5460833A">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61085E30" w14:textId="20394F99">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2B872364" w14:textId="573748A1">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4E5A9EFA" w14:textId="667EC9DD">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146A8800" w14:textId="48DB6165">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63EB93C2" w14:textId="75AAD297">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79DB16CF" w14:textId="33CDAE0A">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23787D13" w14:textId="7BB2F9BE">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5E761891" w14:textId="148F7F49">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0F782297" w14:textId="05F95B5C">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2A9B06F8" w14:textId="19023276">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2572426C" w14:textId="210A0621">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26816D22" w14:textId="70131978">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61B41CCC" w14:textId="396172D7">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5AD062C5" w14:textId="10969B4E">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1189261A" w14:textId="3D6914CB">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4BDDEE6F" w:rsidP="4BDDEE6F" w:rsidRDefault="4BDDEE6F" w14:paraId="0233910D" w14:textId="7880EBDE">
      <w:pPr>
        <w:spacing w:before="120" w:after="120"/>
        <w:jc w:val="both"/>
        <w:rPr>
          <w:rFonts w:ascii="Arial" w:hAnsi="Arial" w:eastAsia="Arial" w:cs="Arial"/>
          <w:b w:val="1"/>
          <w:bCs w:val="1"/>
          <w:i w:val="0"/>
          <w:iCs w:val="0"/>
          <w:caps w:val="0"/>
          <w:smallCaps w:val="0"/>
          <w:noProof w:val="0"/>
          <w:color w:val="000000" w:themeColor="text1" w:themeTint="FF" w:themeShade="FF"/>
          <w:sz w:val="36"/>
          <w:szCs w:val="36"/>
          <w:lang w:val="en-GB"/>
        </w:rPr>
      </w:pPr>
    </w:p>
    <w:sdt>
      <w:sdtPr>
        <w:id w:val="291371074"/>
        <w:docPartObj>
          <w:docPartGallery w:val="Table of Contents"/>
          <w:docPartUnique/>
        </w:docPartObj>
      </w:sdtPr>
      <w:sdtContent>
        <w:p w:rsidR="4BDDEE6F" w:rsidP="4BDDEE6F" w:rsidRDefault="4BDDEE6F" w14:paraId="35D684AE" w14:textId="5C35DB10">
          <w:pPr>
            <w:pStyle w:val="TOC1"/>
            <w:tabs>
              <w:tab w:val="right" w:leader="dot" w:pos="9015"/>
            </w:tabs>
            <w:bidi w:val="0"/>
            <w:rPr>
              <w:rStyle w:val="Hyperlink"/>
            </w:rPr>
          </w:pPr>
          <w:r>
            <w:fldChar w:fldCharType="begin"/>
          </w:r>
          <w:r>
            <w:instrText xml:space="preserve">TOC \o \z \u \h</w:instrText>
          </w:r>
          <w:r>
            <w:fldChar w:fldCharType="separate"/>
          </w:r>
          <w:hyperlink w:anchor="_Toc1615521947">
            <w:r w:rsidRPr="4BDDEE6F" w:rsidR="4BDDEE6F">
              <w:rPr>
                <w:rStyle w:val="Hyperlink"/>
              </w:rPr>
              <w:t>2401039 – Jac Cromwell</w:t>
            </w:r>
            <w:r>
              <w:tab/>
            </w:r>
            <w:r>
              <w:fldChar w:fldCharType="begin"/>
            </w:r>
            <w:r>
              <w:instrText xml:space="preserve">PAGEREF _Toc1615521947 \h</w:instrText>
            </w:r>
            <w:r>
              <w:fldChar w:fldCharType="separate"/>
            </w:r>
            <w:r w:rsidRPr="4BDDEE6F" w:rsidR="4BDDEE6F">
              <w:rPr>
                <w:rStyle w:val="Hyperlink"/>
              </w:rPr>
              <w:t>1</w:t>
            </w:r>
            <w:r>
              <w:fldChar w:fldCharType="end"/>
            </w:r>
          </w:hyperlink>
        </w:p>
        <w:p w:rsidR="4BDDEE6F" w:rsidP="4BDDEE6F" w:rsidRDefault="4BDDEE6F" w14:paraId="5FD7953E" w14:textId="10827F23">
          <w:pPr>
            <w:pStyle w:val="TOC1"/>
            <w:tabs>
              <w:tab w:val="right" w:leader="dot" w:pos="9015"/>
            </w:tabs>
            <w:bidi w:val="0"/>
            <w:rPr>
              <w:rStyle w:val="Hyperlink"/>
            </w:rPr>
          </w:pPr>
          <w:hyperlink w:anchor="_Toc258076909">
            <w:r w:rsidRPr="4BDDEE6F" w:rsidR="4BDDEE6F">
              <w:rPr>
                <w:rStyle w:val="Hyperlink"/>
              </w:rPr>
              <w:t>TASK 1</w:t>
            </w:r>
            <w:r>
              <w:tab/>
            </w:r>
            <w:r>
              <w:fldChar w:fldCharType="begin"/>
            </w:r>
            <w:r>
              <w:instrText xml:space="preserve">PAGEREF _Toc258076909 \h</w:instrText>
            </w:r>
            <w:r>
              <w:fldChar w:fldCharType="separate"/>
            </w:r>
            <w:r w:rsidRPr="4BDDEE6F" w:rsidR="4BDDEE6F">
              <w:rPr>
                <w:rStyle w:val="Hyperlink"/>
              </w:rPr>
              <w:t>2</w:t>
            </w:r>
            <w:r>
              <w:fldChar w:fldCharType="end"/>
            </w:r>
          </w:hyperlink>
        </w:p>
        <w:p w:rsidR="4BDDEE6F" w:rsidP="4BDDEE6F" w:rsidRDefault="4BDDEE6F" w14:paraId="18229A71" w14:textId="404A3C5B">
          <w:pPr>
            <w:pStyle w:val="TOC1"/>
            <w:tabs>
              <w:tab w:val="right" w:leader="dot" w:pos="9015"/>
            </w:tabs>
            <w:bidi w:val="0"/>
            <w:rPr>
              <w:rStyle w:val="Hyperlink"/>
            </w:rPr>
          </w:pPr>
          <w:hyperlink w:anchor="_Toc767180747">
            <w:r w:rsidRPr="4BDDEE6F" w:rsidR="4BDDEE6F">
              <w:rPr>
                <w:rStyle w:val="Hyperlink"/>
              </w:rPr>
              <w:t>Introduction</w:t>
            </w:r>
            <w:r>
              <w:tab/>
            </w:r>
            <w:r>
              <w:fldChar w:fldCharType="begin"/>
            </w:r>
            <w:r>
              <w:instrText xml:space="preserve">PAGEREF _Toc767180747 \h</w:instrText>
            </w:r>
            <w:r>
              <w:fldChar w:fldCharType="separate"/>
            </w:r>
            <w:r w:rsidRPr="4BDDEE6F" w:rsidR="4BDDEE6F">
              <w:rPr>
                <w:rStyle w:val="Hyperlink"/>
              </w:rPr>
              <w:t>3</w:t>
            </w:r>
            <w:r>
              <w:fldChar w:fldCharType="end"/>
            </w:r>
          </w:hyperlink>
        </w:p>
        <w:p w:rsidR="4BDDEE6F" w:rsidP="4BDDEE6F" w:rsidRDefault="4BDDEE6F" w14:paraId="726C70B8" w14:textId="7881B98B">
          <w:pPr>
            <w:pStyle w:val="TOC1"/>
            <w:tabs>
              <w:tab w:val="right" w:leader="dot" w:pos="9015"/>
            </w:tabs>
            <w:bidi w:val="0"/>
            <w:rPr>
              <w:rStyle w:val="Hyperlink"/>
            </w:rPr>
          </w:pPr>
          <w:hyperlink w:anchor="_Toc1020798171">
            <w:r w:rsidRPr="4BDDEE6F" w:rsidR="4BDDEE6F">
              <w:rPr>
                <w:rStyle w:val="Hyperlink"/>
              </w:rPr>
              <w:t>AI Systems and Risk Landscape</w:t>
            </w:r>
            <w:r>
              <w:tab/>
            </w:r>
            <w:r>
              <w:fldChar w:fldCharType="begin"/>
            </w:r>
            <w:r>
              <w:instrText xml:space="preserve">PAGEREF _Toc1020798171 \h</w:instrText>
            </w:r>
            <w:r>
              <w:fldChar w:fldCharType="separate"/>
            </w:r>
            <w:r w:rsidRPr="4BDDEE6F" w:rsidR="4BDDEE6F">
              <w:rPr>
                <w:rStyle w:val="Hyperlink"/>
              </w:rPr>
              <w:t>3</w:t>
            </w:r>
            <w:r>
              <w:fldChar w:fldCharType="end"/>
            </w:r>
          </w:hyperlink>
        </w:p>
        <w:p w:rsidR="4BDDEE6F" w:rsidP="4BDDEE6F" w:rsidRDefault="4BDDEE6F" w14:paraId="5BC13526" w14:textId="1F0B2DF1">
          <w:pPr>
            <w:pStyle w:val="TOC1"/>
            <w:tabs>
              <w:tab w:val="right" w:leader="dot" w:pos="9015"/>
            </w:tabs>
            <w:bidi w:val="0"/>
            <w:rPr>
              <w:rStyle w:val="Hyperlink"/>
            </w:rPr>
          </w:pPr>
          <w:hyperlink w:anchor="_Toc1135521646">
            <w:r w:rsidRPr="4BDDEE6F" w:rsidR="4BDDEE6F">
              <w:rPr>
                <w:rStyle w:val="Hyperlink"/>
              </w:rPr>
              <w:t>Risk Management in AI Systems</w:t>
            </w:r>
            <w:r>
              <w:tab/>
            </w:r>
            <w:r>
              <w:fldChar w:fldCharType="begin"/>
            </w:r>
            <w:r>
              <w:instrText xml:space="preserve">PAGEREF _Toc1135521646 \h</w:instrText>
            </w:r>
            <w:r>
              <w:fldChar w:fldCharType="separate"/>
            </w:r>
            <w:r w:rsidRPr="4BDDEE6F" w:rsidR="4BDDEE6F">
              <w:rPr>
                <w:rStyle w:val="Hyperlink"/>
              </w:rPr>
              <w:t>5</w:t>
            </w:r>
            <w:r>
              <w:fldChar w:fldCharType="end"/>
            </w:r>
          </w:hyperlink>
        </w:p>
        <w:p w:rsidR="4BDDEE6F" w:rsidP="4BDDEE6F" w:rsidRDefault="4BDDEE6F" w14:paraId="29606E20" w14:textId="269711E6">
          <w:pPr>
            <w:pStyle w:val="TOC1"/>
            <w:tabs>
              <w:tab w:val="right" w:leader="dot" w:pos="9015"/>
            </w:tabs>
            <w:bidi w:val="0"/>
            <w:rPr>
              <w:rStyle w:val="Hyperlink"/>
            </w:rPr>
          </w:pPr>
          <w:hyperlink w:anchor="_Toc830879364">
            <w:r w:rsidRPr="4BDDEE6F" w:rsidR="4BDDEE6F">
              <w:rPr>
                <w:rStyle w:val="Hyperlink"/>
              </w:rPr>
              <w:t>Ethics and Bias in AI</w:t>
            </w:r>
            <w:r>
              <w:tab/>
            </w:r>
            <w:r>
              <w:fldChar w:fldCharType="begin"/>
            </w:r>
            <w:r>
              <w:instrText xml:space="preserve">PAGEREF _Toc830879364 \h</w:instrText>
            </w:r>
            <w:r>
              <w:fldChar w:fldCharType="separate"/>
            </w:r>
            <w:r w:rsidRPr="4BDDEE6F" w:rsidR="4BDDEE6F">
              <w:rPr>
                <w:rStyle w:val="Hyperlink"/>
              </w:rPr>
              <w:t>6</w:t>
            </w:r>
            <w:r>
              <w:fldChar w:fldCharType="end"/>
            </w:r>
          </w:hyperlink>
        </w:p>
        <w:p w:rsidR="4BDDEE6F" w:rsidP="4BDDEE6F" w:rsidRDefault="4BDDEE6F" w14:paraId="220E7089" w14:textId="03EC155B">
          <w:pPr>
            <w:pStyle w:val="TOC1"/>
            <w:tabs>
              <w:tab w:val="right" w:leader="dot" w:pos="9015"/>
            </w:tabs>
            <w:bidi w:val="0"/>
            <w:rPr>
              <w:rStyle w:val="Hyperlink"/>
            </w:rPr>
          </w:pPr>
          <w:hyperlink w:anchor="_Toc1864613415">
            <w:r w:rsidRPr="4BDDEE6F" w:rsidR="4BDDEE6F">
              <w:rPr>
                <w:rStyle w:val="Hyperlink"/>
              </w:rPr>
              <w:t>Compliance and Regulatory Requirements</w:t>
            </w:r>
            <w:r>
              <w:tab/>
            </w:r>
            <w:r>
              <w:fldChar w:fldCharType="begin"/>
            </w:r>
            <w:r>
              <w:instrText xml:space="preserve">PAGEREF _Toc1864613415 \h</w:instrText>
            </w:r>
            <w:r>
              <w:fldChar w:fldCharType="separate"/>
            </w:r>
            <w:r w:rsidRPr="4BDDEE6F" w:rsidR="4BDDEE6F">
              <w:rPr>
                <w:rStyle w:val="Hyperlink"/>
              </w:rPr>
              <w:t>7</w:t>
            </w:r>
            <w:r>
              <w:fldChar w:fldCharType="end"/>
            </w:r>
          </w:hyperlink>
        </w:p>
        <w:p w:rsidR="4BDDEE6F" w:rsidP="4BDDEE6F" w:rsidRDefault="4BDDEE6F" w14:paraId="55F1643F" w14:textId="5F08A5FB">
          <w:pPr>
            <w:pStyle w:val="TOC1"/>
            <w:tabs>
              <w:tab w:val="right" w:leader="dot" w:pos="9015"/>
            </w:tabs>
            <w:bidi w:val="0"/>
            <w:rPr>
              <w:rStyle w:val="Hyperlink"/>
            </w:rPr>
          </w:pPr>
          <w:hyperlink w:anchor="_Toc1579507261">
            <w:r w:rsidRPr="4BDDEE6F" w:rsidR="4BDDEE6F">
              <w:rPr>
                <w:rStyle w:val="Hyperlink"/>
              </w:rPr>
              <w:t>Governance Frameworks and Industry Approaches</w:t>
            </w:r>
            <w:r>
              <w:tab/>
            </w:r>
            <w:r>
              <w:fldChar w:fldCharType="begin"/>
            </w:r>
            <w:r>
              <w:instrText xml:space="preserve">PAGEREF _Toc1579507261 \h</w:instrText>
            </w:r>
            <w:r>
              <w:fldChar w:fldCharType="separate"/>
            </w:r>
            <w:r w:rsidRPr="4BDDEE6F" w:rsidR="4BDDEE6F">
              <w:rPr>
                <w:rStyle w:val="Hyperlink"/>
              </w:rPr>
              <w:t>8</w:t>
            </w:r>
            <w:r>
              <w:fldChar w:fldCharType="end"/>
            </w:r>
          </w:hyperlink>
        </w:p>
        <w:p w:rsidR="4BDDEE6F" w:rsidP="4BDDEE6F" w:rsidRDefault="4BDDEE6F" w14:paraId="75D4BB51" w14:textId="4D3F4917">
          <w:pPr>
            <w:pStyle w:val="TOC1"/>
            <w:tabs>
              <w:tab w:val="right" w:leader="dot" w:pos="9015"/>
            </w:tabs>
            <w:bidi w:val="0"/>
            <w:rPr>
              <w:rStyle w:val="Hyperlink"/>
            </w:rPr>
          </w:pPr>
          <w:hyperlink w:anchor="_Toc1869268019">
            <w:r w:rsidRPr="4BDDEE6F" w:rsidR="4BDDEE6F">
              <w:rPr>
                <w:rStyle w:val="Hyperlink"/>
              </w:rPr>
              <w:t>Challenges and Future Directions</w:t>
            </w:r>
            <w:r>
              <w:tab/>
            </w:r>
            <w:r>
              <w:fldChar w:fldCharType="begin"/>
            </w:r>
            <w:r>
              <w:instrText xml:space="preserve">PAGEREF _Toc1869268019 \h</w:instrText>
            </w:r>
            <w:r>
              <w:fldChar w:fldCharType="separate"/>
            </w:r>
            <w:r w:rsidRPr="4BDDEE6F" w:rsidR="4BDDEE6F">
              <w:rPr>
                <w:rStyle w:val="Hyperlink"/>
              </w:rPr>
              <w:t>8</w:t>
            </w:r>
            <w:r>
              <w:fldChar w:fldCharType="end"/>
            </w:r>
          </w:hyperlink>
        </w:p>
        <w:p w:rsidR="4BDDEE6F" w:rsidP="4BDDEE6F" w:rsidRDefault="4BDDEE6F" w14:paraId="567E9A29" w14:textId="7263F121">
          <w:pPr>
            <w:pStyle w:val="TOC1"/>
            <w:tabs>
              <w:tab w:val="right" w:leader="dot" w:pos="9015"/>
            </w:tabs>
            <w:bidi w:val="0"/>
            <w:rPr>
              <w:rStyle w:val="Hyperlink"/>
            </w:rPr>
          </w:pPr>
          <w:hyperlink w:anchor="_Toc2122399685">
            <w:r w:rsidRPr="4BDDEE6F" w:rsidR="4BDDEE6F">
              <w:rPr>
                <w:rStyle w:val="Hyperlink"/>
              </w:rPr>
              <w:t>Conclusion</w:t>
            </w:r>
            <w:r>
              <w:tab/>
            </w:r>
            <w:r>
              <w:fldChar w:fldCharType="begin"/>
            </w:r>
            <w:r>
              <w:instrText xml:space="preserve">PAGEREF _Toc2122399685 \h</w:instrText>
            </w:r>
            <w:r>
              <w:fldChar w:fldCharType="separate"/>
            </w:r>
            <w:r w:rsidRPr="4BDDEE6F" w:rsidR="4BDDEE6F">
              <w:rPr>
                <w:rStyle w:val="Hyperlink"/>
              </w:rPr>
              <w:t>9</w:t>
            </w:r>
            <w:r>
              <w:fldChar w:fldCharType="end"/>
            </w:r>
          </w:hyperlink>
        </w:p>
        <w:p w:rsidR="4BDDEE6F" w:rsidP="4BDDEE6F" w:rsidRDefault="4BDDEE6F" w14:paraId="5D0005B9" w14:textId="47B10828">
          <w:pPr>
            <w:pStyle w:val="TOC1"/>
            <w:tabs>
              <w:tab w:val="right" w:leader="dot" w:pos="9015"/>
            </w:tabs>
            <w:bidi w:val="0"/>
            <w:rPr>
              <w:rStyle w:val="Hyperlink"/>
            </w:rPr>
          </w:pPr>
          <w:hyperlink w:anchor="_Toc1160019387">
            <w:r w:rsidRPr="4BDDEE6F" w:rsidR="4BDDEE6F">
              <w:rPr>
                <w:rStyle w:val="Hyperlink"/>
              </w:rPr>
              <w:t>REFERENCES</w:t>
            </w:r>
            <w:r>
              <w:tab/>
            </w:r>
            <w:r>
              <w:fldChar w:fldCharType="begin"/>
            </w:r>
            <w:r>
              <w:instrText xml:space="preserve">PAGEREF _Toc1160019387 \h</w:instrText>
            </w:r>
            <w:r>
              <w:fldChar w:fldCharType="separate"/>
            </w:r>
            <w:r w:rsidRPr="4BDDEE6F" w:rsidR="4BDDEE6F">
              <w:rPr>
                <w:rStyle w:val="Hyperlink"/>
              </w:rPr>
              <w:t>9</w:t>
            </w:r>
            <w:r>
              <w:fldChar w:fldCharType="end"/>
            </w:r>
          </w:hyperlink>
        </w:p>
        <w:p w:rsidR="4BDDEE6F" w:rsidP="4BDDEE6F" w:rsidRDefault="4BDDEE6F" w14:paraId="60F9B6AD" w14:textId="196B6060">
          <w:pPr>
            <w:pStyle w:val="TOC1"/>
            <w:tabs>
              <w:tab w:val="right" w:leader="dot" w:pos="9015"/>
            </w:tabs>
            <w:bidi w:val="0"/>
            <w:rPr>
              <w:rStyle w:val="Hyperlink"/>
            </w:rPr>
          </w:pPr>
          <w:hyperlink w:anchor="_Toc732355261">
            <w:r w:rsidRPr="4BDDEE6F" w:rsidR="4BDDEE6F">
              <w:rPr>
                <w:rStyle w:val="Hyperlink"/>
              </w:rPr>
              <w:t>Task 2</w:t>
            </w:r>
            <w:r>
              <w:tab/>
            </w:r>
            <w:r>
              <w:fldChar w:fldCharType="begin"/>
            </w:r>
            <w:r>
              <w:instrText xml:space="preserve">PAGEREF _Toc732355261 \h</w:instrText>
            </w:r>
            <w:r>
              <w:fldChar w:fldCharType="separate"/>
            </w:r>
            <w:r w:rsidRPr="4BDDEE6F" w:rsidR="4BDDEE6F">
              <w:rPr>
                <w:rStyle w:val="Hyperlink"/>
              </w:rPr>
              <w:t>11</w:t>
            </w:r>
            <w:r>
              <w:fldChar w:fldCharType="end"/>
            </w:r>
          </w:hyperlink>
        </w:p>
        <w:p w:rsidR="4BDDEE6F" w:rsidP="4BDDEE6F" w:rsidRDefault="4BDDEE6F" w14:paraId="67316E24" w14:textId="5D21D3B9">
          <w:pPr>
            <w:pStyle w:val="TOC1"/>
            <w:tabs>
              <w:tab w:val="right" w:leader="dot" w:pos="9015"/>
            </w:tabs>
            <w:bidi w:val="0"/>
            <w:rPr>
              <w:rStyle w:val="Hyperlink"/>
            </w:rPr>
          </w:pPr>
          <w:hyperlink w:anchor="_Toc1907253470">
            <w:r w:rsidRPr="4BDDEE6F" w:rsidR="4BDDEE6F">
              <w:rPr>
                <w:rStyle w:val="Hyperlink"/>
              </w:rPr>
              <w:t>Executive Summary</w:t>
            </w:r>
            <w:r>
              <w:tab/>
            </w:r>
            <w:r>
              <w:fldChar w:fldCharType="begin"/>
            </w:r>
            <w:r>
              <w:instrText xml:space="preserve">PAGEREF _Toc1907253470 \h</w:instrText>
            </w:r>
            <w:r>
              <w:fldChar w:fldCharType="separate"/>
            </w:r>
            <w:r w:rsidRPr="4BDDEE6F" w:rsidR="4BDDEE6F">
              <w:rPr>
                <w:rStyle w:val="Hyperlink"/>
              </w:rPr>
              <w:t>11</w:t>
            </w:r>
            <w:r>
              <w:fldChar w:fldCharType="end"/>
            </w:r>
          </w:hyperlink>
        </w:p>
        <w:p w:rsidR="4BDDEE6F" w:rsidP="4BDDEE6F" w:rsidRDefault="4BDDEE6F" w14:paraId="29A5F143" w14:textId="744D8EB5">
          <w:pPr>
            <w:pStyle w:val="TOC1"/>
            <w:tabs>
              <w:tab w:val="right" w:leader="dot" w:pos="9015"/>
            </w:tabs>
            <w:bidi w:val="0"/>
            <w:rPr>
              <w:rStyle w:val="Hyperlink"/>
            </w:rPr>
          </w:pPr>
          <w:hyperlink w:anchor="_Toc1744265722">
            <w:r w:rsidRPr="4BDDEE6F" w:rsidR="4BDDEE6F">
              <w:rPr>
                <w:rStyle w:val="Hyperlink"/>
              </w:rPr>
              <w:t>Introduction</w:t>
            </w:r>
            <w:r>
              <w:tab/>
            </w:r>
            <w:r>
              <w:fldChar w:fldCharType="begin"/>
            </w:r>
            <w:r>
              <w:instrText xml:space="preserve">PAGEREF _Toc1744265722 \h</w:instrText>
            </w:r>
            <w:r>
              <w:fldChar w:fldCharType="separate"/>
            </w:r>
            <w:r w:rsidRPr="4BDDEE6F" w:rsidR="4BDDEE6F">
              <w:rPr>
                <w:rStyle w:val="Hyperlink"/>
              </w:rPr>
              <w:t>12</w:t>
            </w:r>
            <w:r>
              <w:fldChar w:fldCharType="end"/>
            </w:r>
          </w:hyperlink>
        </w:p>
        <w:p w:rsidR="4BDDEE6F" w:rsidP="4BDDEE6F" w:rsidRDefault="4BDDEE6F" w14:paraId="035D281E" w14:textId="2440B825">
          <w:pPr>
            <w:pStyle w:val="TOC1"/>
            <w:tabs>
              <w:tab w:val="right" w:leader="dot" w:pos="9015"/>
            </w:tabs>
            <w:bidi w:val="0"/>
            <w:rPr>
              <w:rStyle w:val="Hyperlink"/>
            </w:rPr>
          </w:pPr>
          <w:hyperlink w:anchor="_Toc941426179">
            <w:r w:rsidRPr="4BDDEE6F" w:rsidR="4BDDEE6F">
              <w:rPr>
                <w:rStyle w:val="Hyperlink"/>
              </w:rPr>
              <w:t>Work-Stream 1: Organisational Design &amp; Resourcing</w:t>
            </w:r>
            <w:r>
              <w:tab/>
            </w:r>
            <w:r>
              <w:fldChar w:fldCharType="begin"/>
            </w:r>
            <w:r>
              <w:instrText xml:space="preserve">PAGEREF _Toc941426179 \h</w:instrText>
            </w:r>
            <w:r>
              <w:fldChar w:fldCharType="separate"/>
            </w:r>
            <w:r w:rsidRPr="4BDDEE6F" w:rsidR="4BDDEE6F">
              <w:rPr>
                <w:rStyle w:val="Hyperlink"/>
              </w:rPr>
              <w:t>12</w:t>
            </w:r>
            <w:r>
              <w:fldChar w:fldCharType="end"/>
            </w:r>
          </w:hyperlink>
        </w:p>
        <w:p w:rsidR="4BDDEE6F" w:rsidP="4BDDEE6F" w:rsidRDefault="4BDDEE6F" w14:paraId="1F32989D" w14:textId="7D27C7E0">
          <w:pPr>
            <w:pStyle w:val="TOC1"/>
            <w:tabs>
              <w:tab w:val="right" w:leader="dot" w:pos="9015"/>
            </w:tabs>
            <w:bidi w:val="0"/>
            <w:rPr>
              <w:rStyle w:val="Hyperlink"/>
            </w:rPr>
          </w:pPr>
          <w:hyperlink w:anchor="_Toc1044769198">
            <w:r w:rsidRPr="4BDDEE6F" w:rsidR="4BDDEE6F">
              <w:rPr>
                <w:rStyle w:val="Hyperlink"/>
              </w:rPr>
              <w:t>Work-Stream 2: Policy Framework Development</w:t>
            </w:r>
            <w:r>
              <w:tab/>
            </w:r>
            <w:r>
              <w:fldChar w:fldCharType="begin"/>
            </w:r>
            <w:r>
              <w:instrText xml:space="preserve">PAGEREF _Toc1044769198 \h</w:instrText>
            </w:r>
            <w:r>
              <w:fldChar w:fldCharType="separate"/>
            </w:r>
            <w:r w:rsidRPr="4BDDEE6F" w:rsidR="4BDDEE6F">
              <w:rPr>
                <w:rStyle w:val="Hyperlink"/>
              </w:rPr>
              <w:t>14</w:t>
            </w:r>
            <w:r>
              <w:fldChar w:fldCharType="end"/>
            </w:r>
          </w:hyperlink>
        </w:p>
        <w:p w:rsidR="4BDDEE6F" w:rsidP="4BDDEE6F" w:rsidRDefault="4BDDEE6F" w14:paraId="1A39B7EF" w14:textId="44D66910">
          <w:pPr>
            <w:pStyle w:val="TOC2"/>
            <w:tabs>
              <w:tab w:val="right" w:leader="dot" w:pos="9015"/>
            </w:tabs>
            <w:bidi w:val="0"/>
            <w:rPr>
              <w:rStyle w:val="Hyperlink"/>
            </w:rPr>
          </w:pPr>
          <w:hyperlink w:anchor="_Toc801402184">
            <w:r w:rsidRPr="4BDDEE6F" w:rsidR="4BDDEE6F">
              <w:rPr>
                <w:rStyle w:val="Hyperlink"/>
              </w:rPr>
              <w:t>Policy 1: Acceptable Use Policy for AI &amp; Cloud Services</w:t>
            </w:r>
            <w:r>
              <w:tab/>
            </w:r>
            <w:r>
              <w:fldChar w:fldCharType="begin"/>
            </w:r>
            <w:r>
              <w:instrText xml:space="preserve">PAGEREF _Toc801402184 \h</w:instrText>
            </w:r>
            <w:r>
              <w:fldChar w:fldCharType="separate"/>
            </w:r>
            <w:r w:rsidRPr="4BDDEE6F" w:rsidR="4BDDEE6F">
              <w:rPr>
                <w:rStyle w:val="Hyperlink"/>
              </w:rPr>
              <w:t>14</w:t>
            </w:r>
            <w:r>
              <w:fldChar w:fldCharType="end"/>
            </w:r>
          </w:hyperlink>
        </w:p>
        <w:p w:rsidR="4BDDEE6F" w:rsidP="4BDDEE6F" w:rsidRDefault="4BDDEE6F" w14:paraId="51D59D96" w14:textId="63147D1C">
          <w:pPr>
            <w:pStyle w:val="TOC2"/>
            <w:tabs>
              <w:tab w:val="right" w:leader="dot" w:pos="9015"/>
            </w:tabs>
            <w:bidi w:val="0"/>
            <w:rPr>
              <w:rStyle w:val="Hyperlink"/>
            </w:rPr>
          </w:pPr>
          <w:hyperlink w:anchor="_Toc576865321">
            <w:r w:rsidRPr="4BDDEE6F" w:rsidR="4BDDEE6F">
              <w:rPr>
                <w:rStyle w:val="Hyperlink"/>
              </w:rPr>
              <w:t>Policy 2: Hybrid Work and Remote Access Policy</w:t>
            </w:r>
            <w:r>
              <w:tab/>
            </w:r>
            <w:r>
              <w:fldChar w:fldCharType="begin"/>
            </w:r>
            <w:r>
              <w:instrText xml:space="preserve">PAGEREF _Toc576865321 \h</w:instrText>
            </w:r>
            <w:r>
              <w:fldChar w:fldCharType="separate"/>
            </w:r>
            <w:r w:rsidRPr="4BDDEE6F" w:rsidR="4BDDEE6F">
              <w:rPr>
                <w:rStyle w:val="Hyperlink"/>
              </w:rPr>
              <w:t>14</w:t>
            </w:r>
            <w:r>
              <w:fldChar w:fldCharType="end"/>
            </w:r>
          </w:hyperlink>
        </w:p>
        <w:p w:rsidR="4BDDEE6F" w:rsidP="4BDDEE6F" w:rsidRDefault="4BDDEE6F" w14:paraId="49C3B4D4" w14:textId="6F700479">
          <w:pPr>
            <w:pStyle w:val="TOC2"/>
            <w:tabs>
              <w:tab w:val="right" w:leader="dot" w:pos="9015"/>
            </w:tabs>
            <w:bidi w:val="0"/>
            <w:rPr>
              <w:rStyle w:val="Hyperlink"/>
            </w:rPr>
          </w:pPr>
          <w:hyperlink w:anchor="_Toc1643746595">
            <w:r w:rsidRPr="4BDDEE6F" w:rsidR="4BDDEE6F">
              <w:rPr>
                <w:rStyle w:val="Hyperlink"/>
              </w:rPr>
              <w:t>Policy 3: Third-Party &amp; Cloud Vendor Risk Management</w:t>
            </w:r>
            <w:r>
              <w:tab/>
            </w:r>
            <w:r>
              <w:fldChar w:fldCharType="begin"/>
            </w:r>
            <w:r>
              <w:instrText xml:space="preserve">PAGEREF _Toc1643746595 \h</w:instrText>
            </w:r>
            <w:r>
              <w:fldChar w:fldCharType="separate"/>
            </w:r>
            <w:r w:rsidRPr="4BDDEE6F" w:rsidR="4BDDEE6F">
              <w:rPr>
                <w:rStyle w:val="Hyperlink"/>
              </w:rPr>
              <w:t>15</w:t>
            </w:r>
            <w:r>
              <w:fldChar w:fldCharType="end"/>
            </w:r>
          </w:hyperlink>
        </w:p>
        <w:p w:rsidR="4BDDEE6F" w:rsidP="4BDDEE6F" w:rsidRDefault="4BDDEE6F" w14:paraId="3085E0DF" w14:textId="0DD25C8D">
          <w:pPr>
            <w:pStyle w:val="TOC1"/>
            <w:tabs>
              <w:tab w:val="right" w:leader="dot" w:pos="9015"/>
            </w:tabs>
            <w:bidi w:val="0"/>
            <w:rPr>
              <w:rStyle w:val="Hyperlink"/>
            </w:rPr>
          </w:pPr>
          <w:hyperlink w:anchor="_Toc56597781">
            <w:r w:rsidRPr="4BDDEE6F" w:rsidR="4BDDEE6F">
              <w:rPr>
                <w:rStyle w:val="Hyperlink"/>
              </w:rPr>
              <w:t>Work-Stream 3: Regulatory Compliance Strategy</w:t>
            </w:r>
            <w:r>
              <w:tab/>
            </w:r>
            <w:r>
              <w:fldChar w:fldCharType="begin"/>
            </w:r>
            <w:r>
              <w:instrText xml:space="preserve">PAGEREF _Toc56597781 \h</w:instrText>
            </w:r>
            <w:r>
              <w:fldChar w:fldCharType="separate"/>
            </w:r>
            <w:r w:rsidRPr="4BDDEE6F" w:rsidR="4BDDEE6F">
              <w:rPr>
                <w:rStyle w:val="Hyperlink"/>
              </w:rPr>
              <w:t>15</w:t>
            </w:r>
            <w:r>
              <w:fldChar w:fldCharType="end"/>
            </w:r>
          </w:hyperlink>
        </w:p>
        <w:p w:rsidR="4BDDEE6F" w:rsidP="4BDDEE6F" w:rsidRDefault="4BDDEE6F" w14:paraId="4504605E" w14:textId="615C9FEC">
          <w:pPr>
            <w:pStyle w:val="TOC1"/>
            <w:tabs>
              <w:tab w:val="right" w:leader="dot" w:pos="9015"/>
            </w:tabs>
            <w:bidi w:val="0"/>
            <w:rPr>
              <w:rStyle w:val="Hyperlink"/>
            </w:rPr>
          </w:pPr>
          <w:hyperlink w:anchor="_Toc286927034">
            <w:r w:rsidRPr="4BDDEE6F" w:rsidR="4BDDEE6F">
              <w:rPr>
                <w:rStyle w:val="Hyperlink"/>
              </w:rPr>
              <w:t>Work-Stream 4: Technical Standards &amp; Architecture</w:t>
            </w:r>
            <w:r>
              <w:tab/>
            </w:r>
            <w:r>
              <w:fldChar w:fldCharType="begin"/>
            </w:r>
            <w:r>
              <w:instrText xml:space="preserve">PAGEREF _Toc286927034 \h</w:instrText>
            </w:r>
            <w:r>
              <w:fldChar w:fldCharType="separate"/>
            </w:r>
            <w:r w:rsidRPr="4BDDEE6F" w:rsidR="4BDDEE6F">
              <w:rPr>
                <w:rStyle w:val="Hyperlink"/>
              </w:rPr>
              <w:t>16</w:t>
            </w:r>
            <w:r>
              <w:fldChar w:fldCharType="end"/>
            </w:r>
          </w:hyperlink>
        </w:p>
        <w:p w:rsidR="4BDDEE6F" w:rsidP="4BDDEE6F" w:rsidRDefault="4BDDEE6F" w14:paraId="0AE29929" w14:textId="3EB6C51C">
          <w:pPr>
            <w:pStyle w:val="TOC1"/>
            <w:tabs>
              <w:tab w:val="right" w:leader="dot" w:pos="9015"/>
            </w:tabs>
            <w:bidi w:val="0"/>
            <w:rPr>
              <w:rStyle w:val="Hyperlink"/>
            </w:rPr>
          </w:pPr>
          <w:hyperlink w:anchor="_Toc283125731">
            <w:r w:rsidRPr="4BDDEE6F" w:rsidR="4BDDEE6F">
              <w:rPr>
                <w:rStyle w:val="Hyperlink"/>
              </w:rPr>
              <w:t>Work-Stream 5: Strategic Risk Assessment</w:t>
            </w:r>
            <w:r>
              <w:tab/>
            </w:r>
            <w:r>
              <w:fldChar w:fldCharType="begin"/>
            </w:r>
            <w:r>
              <w:instrText xml:space="preserve">PAGEREF _Toc283125731 \h</w:instrText>
            </w:r>
            <w:r>
              <w:fldChar w:fldCharType="separate"/>
            </w:r>
            <w:r w:rsidRPr="4BDDEE6F" w:rsidR="4BDDEE6F">
              <w:rPr>
                <w:rStyle w:val="Hyperlink"/>
              </w:rPr>
              <w:t>18</w:t>
            </w:r>
            <w:r>
              <w:fldChar w:fldCharType="end"/>
            </w:r>
          </w:hyperlink>
        </w:p>
        <w:p w:rsidR="4BDDEE6F" w:rsidP="4BDDEE6F" w:rsidRDefault="4BDDEE6F" w14:paraId="55B5A85D" w14:textId="1E6E2DDB">
          <w:pPr>
            <w:pStyle w:val="TOC1"/>
            <w:tabs>
              <w:tab w:val="right" w:leader="dot" w:pos="9015"/>
            </w:tabs>
            <w:bidi w:val="0"/>
            <w:rPr>
              <w:rStyle w:val="Hyperlink"/>
            </w:rPr>
          </w:pPr>
          <w:hyperlink w:anchor="_Toc303954610">
            <w:r w:rsidRPr="4BDDEE6F" w:rsidR="4BDDEE6F">
              <w:rPr>
                <w:rStyle w:val="Hyperlink"/>
              </w:rPr>
              <w:t>Work-Stream 6: Incident Response &amp; Business Continuity</w:t>
            </w:r>
            <w:r>
              <w:tab/>
            </w:r>
            <w:r>
              <w:fldChar w:fldCharType="begin"/>
            </w:r>
            <w:r>
              <w:instrText xml:space="preserve">PAGEREF _Toc303954610 \h</w:instrText>
            </w:r>
            <w:r>
              <w:fldChar w:fldCharType="separate"/>
            </w:r>
            <w:r w:rsidRPr="4BDDEE6F" w:rsidR="4BDDEE6F">
              <w:rPr>
                <w:rStyle w:val="Hyperlink"/>
              </w:rPr>
              <w:t>19</w:t>
            </w:r>
            <w:r>
              <w:fldChar w:fldCharType="end"/>
            </w:r>
          </w:hyperlink>
        </w:p>
        <w:p w:rsidR="4BDDEE6F" w:rsidP="4BDDEE6F" w:rsidRDefault="4BDDEE6F" w14:paraId="03FD43E5" w14:textId="68AD44F3">
          <w:pPr>
            <w:pStyle w:val="TOC2"/>
            <w:tabs>
              <w:tab w:val="right" w:leader="dot" w:pos="9015"/>
            </w:tabs>
            <w:bidi w:val="0"/>
            <w:rPr>
              <w:rStyle w:val="Hyperlink"/>
            </w:rPr>
          </w:pPr>
          <w:hyperlink w:anchor="_Toc1586539544">
            <w:r w:rsidRPr="4BDDEE6F" w:rsidR="4BDDEE6F">
              <w:rPr>
                <w:rStyle w:val="Hyperlink"/>
              </w:rPr>
              <w:t>Communication Plan</w:t>
            </w:r>
            <w:r>
              <w:tab/>
            </w:r>
            <w:r>
              <w:fldChar w:fldCharType="begin"/>
            </w:r>
            <w:r>
              <w:instrText xml:space="preserve">PAGEREF _Toc1586539544 \h</w:instrText>
            </w:r>
            <w:r>
              <w:fldChar w:fldCharType="separate"/>
            </w:r>
            <w:r w:rsidRPr="4BDDEE6F" w:rsidR="4BDDEE6F">
              <w:rPr>
                <w:rStyle w:val="Hyperlink"/>
              </w:rPr>
              <w:t>19</w:t>
            </w:r>
            <w:r>
              <w:fldChar w:fldCharType="end"/>
            </w:r>
          </w:hyperlink>
        </w:p>
        <w:p w:rsidR="4BDDEE6F" w:rsidP="4BDDEE6F" w:rsidRDefault="4BDDEE6F" w14:paraId="2E9AF325" w14:textId="4FFED86B">
          <w:pPr>
            <w:pStyle w:val="TOC1"/>
            <w:tabs>
              <w:tab w:val="right" w:leader="dot" w:pos="9015"/>
            </w:tabs>
            <w:bidi w:val="0"/>
            <w:rPr>
              <w:rStyle w:val="Hyperlink"/>
            </w:rPr>
          </w:pPr>
          <w:hyperlink w:anchor="_Toc1011517806">
            <w:r w:rsidRPr="4BDDEE6F" w:rsidR="4BDDEE6F">
              <w:rPr>
                <w:rStyle w:val="Hyperlink"/>
              </w:rPr>
              <w:t>Work-Stream 7: Governance &amp; Strategic Roadmap</w:t>
            </w:r>
            <w:r>
              <w:tab/>
            </w:r>
            <w:r>
              <w:fldChar w:fldCharType="begin"/>
            </w:r>
            <w:r>
              <w:instrText xml:space="preserve">PAGEREF _Toc1011517806 \h</w:instrText>
            </w:r>
            <w:r>
              <w:fldChar w:fldCharType="separate"/>
            </w:r>
            <w:r w:rsidRPr="4BDDEE6F" w:rsidR="4BDDEE6F">
              <w:rPr>
                <w:rStyle w:val="Hyperlink"/>
              </w:rPr>
              <w:t>19</w:t>
            </w:r>
            <w:r>
              <w:fldChar w:fldCharType="end"/>
            </w:r>
          </w:hyperlink>
        </w:p>
        <w:p w:rsidR="4BDDEE6F" w:rsidP="4BDDEE6F" w:rsidRDefault="4BDDEE6F" w14:paraId="7C6F90DA" w14:textId="04B97500">
          <w:pPr>
            <w:pStyle w:val="TOC2"/>
            <w:tabs>
              <w:tab w:val="right" w:leader="dot" w:pos="9015"/>
            </w:tabs>
            <w:bidi w:val="0"/>
            <w:rPr>
              <w:rStyle w:val="Hyperlink"/>
            </w:rPr>
          </w:pPr>
          <w:hyperlink w:anchor="_Toc169212374">
            <w:r w:rsidRPr="4BDDEE6F" w:rsidR="4BDDEE6F">
              <w:rPr>
                <w:rStyle w:val="Hyperlink"/>
              </w:rPr>
              <w:t>12-Month Roadmap</w:t>
            </w:r>
            <w:r>
              <w:tab/>
            </w:r>
            <w:r>
              <w:fldChar w:fldCharType="begin"/>
            </w:r>
            <w:r>
              <w:instrText xml:space="preserve">PAGEREF _Toc169212374 \h</w:instrText>
            </w:r>
            <w:r>
              <w:fldChar w:fldCharType="separate"/>
            </w:r>
            <w:r w:rsidRPr="4BDDEE6F" w:rsidR="4BDDEE6F">
              <w:rPr>
                <w:rStyle w:val="Hyperlink"/>
              </w:rPr>
              <w:t>20</w:t>
            </w:r>
            <w:r>
              <w:fldChar w:fldCharType="end"/>
            </w:r>
          </w:hyperlink>
        </w:p>
        <w:p w:rsidR="4BDDEE6F" w:rsidP="4BDDEE6F" w:rsidRDefault="4BDDEE6F" w14:paraId="366619D4" w14:textId="0E3B4CFE">
          <w:pPr>
            <w:pStyle w:val="TOC1"/>
            <w:tabs>
              <w:tab w:val="right" w:leader="dot" w:pos="9015"/>
            </w:tabs>
            <w:bidi w:val="0"/>
            <w:rPr>
              <w:rStyle w:val="Hyperlink"/>
            </w:rPr>
          </w:pPr>
          <w:hyperlink w:anchor="_Toc665071951">
            <w:r w:rsidRPr="4BDDEE6F" w:rsidR="4BDDEE6F">
              <w:rPr>
                <w:rStyle w:val="Hyperlink"/>
              </w:rPr>
              <w:t>Conclusion</w:t>
            </w:r>
            <w:r>
              <w:tab/>
            </w:r>
            <w:r>
              <w:fldChar w:fldCharType="begin"/>
            </w:r>
            <w:r>
              <w:instrText xml:space="preserve">PAGEREF _Toc665071951 \h</w:instrText>
            </w:r>
            <w:r>
              <w:fldChar w:fldCharType="separate"/>
            </w:r>
            <w:r w:rsidRPr="4BDDEE6F" w:rsidR="4BDDEE6F">
              <w:rPr>
                <w:rStyle w:val="Hyperlink"/>
              </w:rPr>
              <w:t>20</w:t>
            </w:r>
            <w:r>
              <w:fldChar w:fldCharType="end"/>
            </w:r>
          </w:hyperlink>
        </w:p>
        <w:p w:rsidR="4BDDEE6F" w:rsidRDefault="4BDDEE6F" w14:paraId="34E65DD6" w14:textId="2934D6BF">
          <w:r>
            <w:fldChar w:fldCharType="end"/>
          </w:r>
        </w:p>
      </w:sdtContent>
    </w:sdt>
    <w:p w:rsidR="4BDDEE6F" w:rsidP="4BDDEE6F" w:rsidRDefault="4BDDEE6F" w14:paraId="1EAFFB69" w14:textId="0D06CA3E">
      <w:pPr>
        <w:pStyle w:val="Heading1"/>
        <w:spacing w:before="120" w:after="120"/>
        <w:jc w:val="both"/>
        <w:rPr>
          <w:b w:val="1"/>
          <w:bCs w:val="1"/>
          <w:sz w:val="72"/>
          <w:szCs w:val="72"/>
        </w:rPr>
      </w:pPr>
    </w:p>
    <w:p w:rsidR="12DBD0FA" w:rsidP="4BDDEE6F" w:rsidRDefault="12DBD0FA" w14:paraId="7F9B8275" w14:textId="391DB56E">
      <w:pPr>
        <w:pStyle w:val="Heading1"/>
        <w:spacing w:before="120" w:after="120"/>
        <w:jc w:val="both"/>
        <w:rPr>
          <w:rFonts w:eastAsia="Calibri"/>
          <w:b w:val="1"/>
          <w:bCs w:val="1"/>
          <w:i w:val="1"/>
          <w:iCs w:val="1"/>
          <w:sz w:val="180"/>
          <w:szCs w:val="180"/>
        </w:rPr>
      </w:pPr>
      <w:bookmarkStart w:name="_Toc258076909" w:id="379192942"/>
      <w:r w:rsidRPr="4BDDEE6F" w:rsidR="12DBD0FA">
        <w:rPr>
          <w:b w:val="1"/>
          <w:bCs w:val="1"/>
          <w:sz w:val="72"/>
          <w:szCs w:val="72"/>
        </w:rPr>
        <w:t>TASK 1</w:t>
      </w:r>
      <w:bookmarkEnd w:id="379192942"/>
    </w:p>
    <w:p w:rsidRPr="00BC01D5" w:rsidR="00290D8B" w:rsidP="4BDDEE6F" w:rsidRDefault="00290D8B" w14:textId="77777777" w14:paraId="67E066A9">
      <w:pPr>
        <w:autoSpaceDN w:val="0"/>
        <w:spacing w:line="251" w:lineRule="auto"/>
        <w:jc w:val="both"/>
        <w:rPr>
          <w:rFonts w:eastAsia="Calibri"/>
          <w:b w:val="1"/>
          <w:bCs w:val="1"/>
          <w:i w:val="1"/>
          <w:iCs w:val="1"/>
          <w:kern w:val="3"/>
        </w:rPr>
      </w:pPr>
      <w:r w:rsidRPr="4BDDEE6F" w:rsidR="00290D8B">
        <w:rPr>
          <w:rFonts w:eastAsia="Calibri"/>
          <w:b w:val="1"/>
          <w:bCs w:val="1"/>
          <w:i w:val="1"/>
          <w:iCs w:val="1"/>
          <w:kern w:val="3"/>
        </w:rPr>
        <w:t>Title: Securing the Modern Enterprise: From Zero Trust to AI Governance</w:t>
      </w:r>
    </w:p>
    <w:p w:rsidRPr="0042065A" w:rsidR="0042065A" w:rsidP="340C47D3" w:rsidRDefault="0042065A" w14:paraId="6A456F59" w14:textId="2EDAC14C">
      <w:pPr>
        <w:pStyle w:val="Normal"/>
        <w:spacing w:line="251" w:lineRule="auto"/>
        <w:ind/>
        <w:jc w:val="both"/>
        <w:rPr>
          <w:rFonts w:eastAsia="Calibri"/>
        </w:rPr>
      </w:pPr>
    </w:p>
    <w:p w:rsidRPr="00290D8B" w:rsidR="00290D8B" w:rsidP="4BDDEE6F" w:rsidRDefault="00290D8B" w14:paraId="57855EE7" w14:textId="4AE0E4DC">
      <w:pPr>
        <w:pStyle w:val="Heading1"/>
        <w:rPr>
          <w:b w:val="1"/>
          <w:bCs w:val="1"/>
          <w:sz w:val="44"/>
          <w:szCs w:val="44"/>
        </w:rPr>
      </w:pPr>
      <w:bookmarkStart w:name="_Toc767180747" w:id="1341794500"/>
      <w:r w:rsidRPr="4BDDEE6F" w:rsidR="00290D8B">
        <w:rPr>
          <w:b w:val="1"/>
          <w:bCs w:val="1"/>
          <w:sz w:val="44"/>
          <w:szCs w:val="44"/>
        </w:rPr>
        <w:t>Introduction</w:t>
      </w:r>
      <w:bookmarkEnd w:id="1341794500"/>
    </w:p>
    <w:p w:rsidR="005225DF" w:rsidP="4BDDEE6F" w:rsidRDefault="00290D8B" w14:paraId="6D1A60D0" w14:textId="73265D71">
      <w:pPr>
        <w:pStyle w:val="Normal"/>
        <w:rPr>
          <w:sz w:val="22"/>
          <w:szCs w:val="22"/>
        </w:rPr>
      </w:pPr>
      <w:r w:rsidR="00290D8B">
        <w:rPr/>
        <w:t>This research paper</w:t>
      </w:r>
      <w:r w:rsidR="00290D8B">
        <w:rPr/>
        <w:t xml:space="preserve"> covers the data security landscape and governance mechanisms </w:t>
      </w:r>
      <w:r w:rsidR="00290D8B">
        <w:rPr/>
        <w:t>required</w:t>
      </w:r>
      <w:r w:rsidR="00290D8B">
        <w:rPr/>
        <w:t xml:space="preserve"> to manage the risks that affiliated with AI systems in modern enterprises. </w:t>
      </w:r>
      <w:r w:rsidR="3B8D8114">
        <w:rPr/>
        <w:t>Firstly,</w:t>
      </w:r>
      <w:r w:rsidR="00290D8B">
        <w:rPr/>
        <w:t xml:space="preserve"> there is a huge rise of AI and Machine Learning in </w:t>
      </w:r>
      <w:r w:rsidR="40CCB459">
        <w:rPr/>
        <w:t>business-critical</w:t>
      </w:r>
      <w:r w:rsidR="00290D8B">
        <w:rPr/>
        <w:t xml:space="preserve"> systems. Between 2022 and 2024 the UK’s AI ecosystem seen a growth of 85% in AI driven companies</w:t>
      </w:r>
      <w:r w:rsidR="00D66FA1">
        <w:rPr/>
        <w:t xml:space="preserve"> which </w:t>
      </w:r>
      <w:r w:rsidR="00D66FA1">
        <w:rPr/>
        <w:t>indicates</w:t>
      </w:r>
      <w:r w:rsidR="00D66FA1">
        <w:rPr/>
        <w:t xml:space="preserve"> that it is growing at an alarming rate, faster than governance and standards around </w:t>
      </w:r>
      <w:r w:rsidR="537923DA">
        <w:rPr/>
        <w:t>it [</w:t>
      </w:r>
      <w:r w:rsidR="00D66FA1">
        <w:rPr/>
        <w:t xml:space="preserve">1]. Some of the primary risks that are associated with AI are data privacy issues, cybersecurity threats, </w:t>
      </w:r>
      <w:r w:rsidR="00D66FA1">
        <w:rPr/>
        <w:t>misinformation</w:t>
      </w:r>
      <w:r w:rsidR="00D66FA1">
        <w:rPr/>
        <w:t xml:space="preserve"> and manipulation and more which </w:t>
      </w:r>
      <w:r w:rsidR="00D66FA1">
        <w:rPr/>
        <w:t>ultimately are</w:t>
      </w:r>
      <w:r w:rsidR="00D66FA1">
        <w:rPr/>
        <w:t xml:space="preserve"> the causation of the first two risks.</w:t>
      </w:r>
      <w:r w:rsidR="005225DF">
        <w:rPr/>
        <w:t xml:space="preserve"> Some of the more advanced cybersecurity threats that AI has made possible are voice cloning, higher quality phishing emails and voice cloning, all allowing bad actors to hack, </w:t>
      </w:r>
      <w:r w:rsidR="005225DF">
        <w:rPr/>
        <w:t>scam</w:t>
      </w:r>
      <w:r w:rsidR="005225DF">
        <w:rPr/>
        <w:t xml:space="preserve"> or steal a </w:t>
      </w:r>
      <w:r w:rsidR="11A7F6AE">
        <w:rPr/>
        <w:t>person's</w:t>
      </w:r>
      <w:r w:rsidR="005225DF">
        <w:rPr/>
        <w:t xml:space="preserve"> identity for malicious </w:t>
      </w:r>
      <w:r w:rsidR="30202C49">
        <w:rPr/>
        <w:t>use [</w:t>
      </w:r>
      <w:r w:rsidR="005225DF">
        <w:rPr/>
        <w:t>2]. Some challenges we are seeing with AI are black-box models</w:t>
      </w:r>
      <w:r w:rsidR="00A72D7F">
        <w:rPr/>
        <w:t xml:space="preserve">, meaning that the background logic is abstracted behind layers. Because we </w:t>
      </w:r>
      <w:r w:rsidR="00A72D7F">
        <w:rPr/>
        <w:t>can’t</w:t>
      </w:r>
      <w:r w:rsidR="00A72D7F">
        <w:rPr/>
        <w:t xml:space="preserve"> see the reasoning behind AI models responses and solutions, this means we cannot </w:t>
      </w:r>
      <w:r w:rsidR="00A72D7F">
        <w:rPr/>
        <w:t>validate</w:t>
      </w:r>
      <w:r w:rsidR="00A72D7F">
        <w:rPr/>
        <w:t xml:space="preserve"> the logic behind solutions. </w:t>
      </w:r>
      <w:r w:rsidR="47892A39">
        <w:rPr/>
        <w:t>Therefore,</w:t>
      </w:r>
      <w:r w:rsidR="00A72D7F">
        <w:rPr/>
        <w:t xml:space="preserve"> we are uncertain whether solutions are factual or hallucinated which can be a huge risk when using AI to complete tasks or to ask </w:t>
      </w:r>
      <w:r w:rsidR="195AF90B">
        <w:rPr/>
        <w:t>questions [</w:t>
      </w:r>
      <w:r w:rsidR="00A72D7F">
        <w:rPr/>
        <w:t xml:space="preserve">3]. This makes it clear how risk management is a very important concept when it comes to artificial intelligence, </w:t>
      </w:r>
      <w:r w:rsidR="00DC7C81">
        <w:rPr/>
        <w:t xml:space="preserve">especially for model risks, where models can be reverse engineered and as models are black boxed this will be more difficult for a user to </w:t>
      </w:r>
      <w:r w:rsidR="74C1AA5F">
        <w:rPr/>
        <w:t>detect [</w:t>
      </w:r>
      <w:r w:rsidR="00DC7C81">
        <w:rPr/>
        <w:t>4]. This is just a broad landscape of some of the threats and issues with artificial intelligence in modern society.</w:t>
      </w:r>
    </w:p>
    <w:p w:rsidR="00DC7C81" w:rsidP="00290D8B" w:rsidRDefault="00DC7C81" w14:paraId="593A8110" w14:textId="77777777">
      <w:pPr>
        <w:rPr>
          <w:sz w:val="22"/>
          <w:szCs w:val="22"/>
        </w:rPr>
      </w:pPr>
    </w:p>
    <w:p w:rsidR="00BE6886" w:rsidP="4BDDEE6F" w:rsidRDefault="00DC7C81" w14:paraId="2FE9A6FD" w14:textId="655013F7">
      <w:pPr>
        <w:pStyle w:val="Heading1"/>
        <w:rPr>
          <w:rFonts w:ascii="Segoe UI" w:hAnsi="Segoe UI" w:eastAsia="Times New Roman" w:cs="Segoe UI"/>
          <w:b w:val="1"/>
          <w:bCs w:val="1"/>
          <w:sz w:val="40"/>
          <w:szCs w:val="40"/>
          <w:lang w:eastAsia="en-GB"/>
        </w:rPr>
      </w:pPr>
      <w:bookmarkStart w:name="_Toc1020798171" w:id="315135146"/>
      <w:r w:rsidRPr="4BDDEE6F" w:rsidR="00DC7C81">
        <w:rPr>
          <w:b w:val="1"/>
          <w:bCs w:val="1"/>
          <w:sz w:val="44"/>
          <w:szCs w:val="44"/>
        </w:rPr>
        <w:t>AI Systems and Risk Landscape</w:t>
      </w:r>
      <w:bookmarkEnd w:id="315135146"/>
    </w:p>
    <w:p w:rsidR="00BE6886" w:rsidP="4BDDEE6F" w:rsidRDefault="00BE6886" w14:paraId="79FCC868" w14:textId="2AF23177">
      <w:pPr>
        <w:pStyle w:val="Normal"/>
        <w:rPr>
          <w:rFonts w:ascii="Segoe UI" w:hAnsi="Segoe UI" w:eastAsia="Times New Roman" w:cs="Segoe UI"/>
          <w:sz w:val="22"/>
          <w:szCs w:val="22"/>
          <w:lang w:eastAsia="en-GB"/>
        </w:rPr>
      </w:pPr>
      <w:r w:rsidR="00BE6886">
        <w:rPr/>
        <w:t xml:space="preserve">AI governance </w:t>
      </w:r>
      <w:r w:rsidR="003C7FAC">
        <w:rPr/>
        <w:t xml:space="preserve">refers to the </w:t>
      </w:r>
      <w:r w:rsidR="00BE6886">
        <w:rPr/>
        <w:t xml:space="preserve">processes, </w:t>
      </w:r>
      <w:r w:rsidR="00BE6886">
        <w:rPr/>
        <w:t>standards</w:t>
      </w:r>
      <w:r w:rsidR="00BE6886">
        <w:rPr/>
        <w:t xml:space="preserve"> and mitigations to ensure that systems that </w:t>
      </w:r>
      <w:r w:rsidR="00BE6886">
        <w:rPr/>
        <w:t>leverage</w:t>
      </w:r>
      <w:r w:rsidR="00BE6886">
        <w:rPr/>
        <w:t xml:space="preserve"> AI are kept safe. Without governance we </w:t>
      </w:r>
      <w:r w:rsidR="00BE6886">
        <w:rPr/>
        <w:t>wouldn’t</w:t>
      </w:r>
      <w:r w:rsidR="00BE6886">
        <w:rPr/>
        <w:t xml:space="preserve"> have regulation to </w:t>
      </w:r>
      <w:r w:rsidR="00BE6886">
        <w:rPr/>
        <w:t xml:space="preserve">ensure that there </w:t>
      </w:r>
      <w:r w:rsidR="00BE6886">
        <w:rPr/>
        <w:t>is</w:t>
      </w:r>
      <w:r w:rsidR="00BE6886">
        <w:rPr/>
        <w:t xml:space="preserve"> fairness and respect for human rights </w:t>
      </w:r>
      <w:r w:rsidR="00BE6886">
        <w:rPr/>
        <w:t>regarding</w:t>
      </w:r>
      <w:r w:rsidR="00BE6886">
        <w:rPr/>
        <w:t xml:space="preserve"> AI usage. This helps us remain compliant with frameworks like GDPR whilst using AI powered </w:t>
      </w:r>
      <w:r w:rsidR="6C95503A">
        <w:rPr/>
        <w:t>technology [</w:t>
      </w:r>
      <w:r w:rsidR="00BE6886">
        <w:rPr/>
        <w:t xml:space="preserve">5]. </w:t>
      </w:r>
    </w:p>
    <w:p w:rsidR="001869E6" w:rsidP="4BDDEE6F" w:rsidRDefault="001869E6" w14:paraId="5311E1C2" w14:textId="285B6FF6">
      <w:pPr>
        <w:pStyle w:val="Normal"/>
        <w:rPr>
          <w:rFonts w:ascii="Segoe UI" w:hAnsi="Segoe UI" w:eastAsia="Times New Roman" w:cs="Segoe UI"/>
          <w:sz w:val="22"/>
          <w:szCs w:val="22"/>
          <w:lang w:eastAsia="en-GB"/>
        </w:rPr>
      </w:pPr>
      <w:r w:rsidR="001869E6">
        <w:drawing>
          <wp:inline wp14:editId="105737F6" wp14:anchorId="6CD11005">
            <wp:extent cx="5731510" cy="4293870"/>
            <wp:effectExtent l="0" t="0" r="0" b="0"/>
            <wp:docPr id="7594085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408578" name=""/>
                    <pic:cNvPicPr/>
                  </pic:nvPicPr>
                  <pic:blipFill>
                    <a:blip xmlns:r="http://schemas.openxmlformats.org/officeDocument/2006/relationships" r:embed="rId5"/>
                    <a:stretch>
                      <a:fillRect/>
                    </a:stretch>
                  </pic:blipFill>
                  <pic:spPr>
                    <a:xfrm>
                      <a:off x="0" y="0"/>
                      <a:ext cx="5731510" cy="4293870"/>
                    </a:xfrm>
                    <a:prstGeom prst="rect">
                      <a:avLst/>
                    </a:prstGeom>
                  </pic:spPr>
                </pic:pic>
              </a:graphicData>
            </a:graphic>
          </wp:inline>
        </w:drawing>
      </w:r>
    </w:p>
    <w:p w:rsidR="001869E6" w:rsidP="4BDDEE6F" w:rsidRDefault="001869E6" w14:paraId="5C6DA30F" w14:textId="3986F211">
      <w:pPr>
        <w:pStyle w:val="Normal"/>
        <w:rPr>
          <w:rFonts w:ascii="Segoe UI" w:hAnsi="Segoe UI" w:eastAsia="Times New Roman" w:cs="Segoe UI"/>
          <w:sz w:val="22"/>
          <w:szCs w:val="22"/>
          <w:lang w:eastAsia="en-GB"/>
        </w:rPr>
      </w:pPr>
      <w:r w:rsidR="001869E6">
        <w:rPr/>
        <w:t>[6]</w:t>
      </w:r>
    </w:p>
    <w:p w:rsidR="00E9215A" w:rsidP="4BDDEE6F" w:rsidRDefault="001869E6" w14:paraId="2056158C" w14:textId="76D89C45">
      <w:pPr>
        <w:pStyle w:val="Normal"/>
        <w:rPr>
          <w:rFonts w:ascii="Segoe UI" w:hAnsi="Segoe UI" w:eastAsia="Times New Roman" w:cs="Segoe UI"/>
          <w:sz w:val="22"/>
          <w:szCs w:val="22"/>
          <w:lang w:eastAsia="en-GB"/>
        </w:rPr>
      </w:pPr>
      <w:r w:rsidR="001869E6">
        <w:rPr/>
        <w:t>Th</w:t>
      </w:r>
      <w:r w:rsidR="004166F5">
        <w:rPr/>
        <w:t xml:space="preserve">e above diagram derives </w:t>
      </w:r>
      <w:r w:rsidR="001869E6">
        <w:rPr/>
        <w:t xml:space="preserve">from the NIST AI Risk Management Framework. It presents the AI lifecycle as a continuous process, consisting of many stages such as data collection, model deployment, validation and collecting and monitoring output. It is unlike the average system lifecycles as it conveys risks are not isolated or present in one phase of the lifecycle but are present throughout. For </w:t>
      </w:r>
      <w:r w:rsidR="136AAFA9">
        <w:rPr/>
        <w:t>example,</w:t>
      </w:r>
      <w:r w:rsidR="001869E6">
        <w:rPr/>
        <w:t xml:space="preserve"> during data collection and processing, risks such as biased datasets which will lead to inaccurate outcomes.</w:t>
      </w:r>
      <w:r w:rsidR="004166F5">
        <w:rPr/>
        <w:t xml:space="preserve"> </w:t>
      </w:r>
      <w:r w:rsidR="0C81B854">
        <w:rPr/>
        <w:t>However,</w:t>
      </w:r>
      <w:r w:rsidR="004166F5">
        <w:rPr/>
        <w:t xml:space="preserve"> in model development there is other issues such as lack of transparency and explainability, and as models are black boxed this is also a risk. </w:t>
      </w:r>
      <w:r w:rsidR="39F145E6">
        <w:rPr/>
        <w:t>Furthermore,</w:t>
      </w:r>
      <w:r w:rsidR="004166F5">
        <w:rPr/>
        <w:t xml:space="preserve"> in the deployment and usage phase models are vulnerable to outside attacks, effecting </w:t>
      </w:r>
      <w:r w:rsidR="54B4FDA5">
        <w:rPr/>
        <w:t>models'</w:t>
      </w:r>
      <w:r w:rsidR="004166F5">
        <w:rPr/>
        <w:t xml:space="preserve"> performance over time. </w:t>
      </w:r>
      <w:r w:rsidR="47138E8F">
        <w:rPr/>
        <w:t>Therefore,</w:t>
      </w:r>
      <w:r w:rsidR="004166F5">
        <w:rPr/>
        <w:t xml:space="preserve"> whilst the NIST framework provides a thorough approach to AI governance and risks, the effectiveness of a lifecycle like this rely on the organisation implementing it to have sufficient resources, expertise and tooling to monitor AI and ensure security across all of the phases that we see in the lifecycle. As a result of this despite it being a strong framework, there </w:t>
      </w:r>
      <w:r w:rsidR="003C7FAC">
        <w:rPr/>
        <w:t>are substantial gaps</w:t>
      </w:r>
      <w:r w:rsidR="004166F5">
        <w:rPr/>
        <w:t xml:space="preserve"> </w:t>
      </w:r>
      <w:r w:rsidR="003C7FAC">
        <w:rPr/>
        <w:t>between theory</w:t>
      </w:r>
      <w:r w:rsidR="004166F5">
        <w:rPr/>
        <w:t xml:space="preserve"> and applying it in the real </w:t>
      </w:r>
      <w:r w:rsidR="67F58F97">
        <w:rPr/>
        <w:t>world [</w:t>
      </w:r>
      <w:r w:rsidR="004166F5">
        <w:rPr/>
        <w:t xml:space="preserve">6]. AI systems introduce </w:t>
      </w:r>
      <w:r w:rsidR="003C7FAC">
        <w:rPr/>
        <w:t>a wide range of risks</w:t>
      </w:r>
      <w:r w:rsidR="004166F5">
        <w:rPr/>
        <w:t xml:space="preserve"> that extend beyond </w:t>
      </w:r>
      <w:r w:rsidR="00C02BF1">
        <w:rPr/>
        <w:t>traditional risks</w:t>
      </w:r>
      <w:r w:rsidR="00E9215A">
        <w:rPr/>
        <w:t xml:space="preserve">, a broad example of the risks are data risks, model risks, security </w:t>
      </w:r>
      <w:r w:rsidR="00E9215A">
        <w:rPr/>
        <w:t>risks</w:t>
      </w:r>
      <w:r w:rsidR="00E9215A">
        <w:rPr/>
        <w:t xml:space="preserve"> and operational risks. Security and data risks include web crawlers sourcing data to train models, this is unethical </w:t>
      </w:r>
      <w:r w:rsidR="003C7FAC">
        <w:rPr/>
        <w:t xml:space="preserve">as in many cases, user consent is not obtained </w:t>
      </w:r>
      <w:r w:rsidR="00E9215A">
        <w:rPr/>
        <w:t xml:space="preserve">and may </w:t>
      </w:r>
      <w:r w:rsidR="00E9215A">
        <w:rPr/>
        <w:t>contain</w:t>
      </w:r>
      <w:r w:rsidR="00E9215A">
        <w:rPr/>
        <w:t xml:space="preserve"> PII (Personally Identifiable Information). And operational risks such as misinformation being spread, which influences people’s decisions for example Joe Biden </w:t>
      </w:r>
      <w:r w:rsidR="00E9215A">
        <w:rPr/>
        <w:t xml:space="preserve">the former US President’s voice being used to discourage American voters from going to the polls. Critically, while categorising these risks like this into a framework they can help </w:t>
      </w:r>
      <w:r w:rsidR="00E9215A">
        <w:rPr/>
        <w:t>identify</w:t>
      </w:r>
      <w:r w:rsidR="00E9215A">
        <w:rPr/>
        <w:t xml:space="preserve"> risks, in the real world they tie into one another, making governance a lot more difficult to implement in real world </w:t>
      </w:r>
      <w:r w:rsidR="2541F486">
        <w:rPr/>
        <w:t>organisations [</w:t>
      </w:r>
      <w:r w:rsidR="00E9215A">
        <w:rPr/>
        <w:t xml:space="preserve">2]. </w:t>
      </w:r>
    </w:p>
    <w:p w:rsidR="001869E6" w:rsidP="001869E6" w:rsidRDefault="001869E6" w14:paraId="40969891" w14:textId="77777777">
      <w:pPr>
        <w:spacing w:after="0" w:line="300" w:lineRule="atLeast"/>
        <w:ind w:left="360"/>
        <w:rPr>
          <w:rFonts w:ascii="Segoe UI" w:hAnsi="Segoe UI" w:eastAsia="Times New Roman" w:cs="Segoe UI"/>
          <w:kern w:val="0"/>
          <w:sz w:val="22"/>
          <w:szCs w:val="22"/>
          <w:lang w:eastAsia="en-GB"/>
          <w14:ligatures w14:val="none"/>
        </w:rPr>
      </w:pPr>
    </w:p>
    <w:p w:rsidR="001869E6" w:rsidP="001869E6" w:rsidRDefault="001869E6" w14:paraId="67511C46" w14:textId="77777777">
      <w:pPr>
        <w:spacing w:after="0" w:line="300" w:lineRule="atLeast"/>
        <w:ind w:left="360"/>
        <w:rPr>
          <w:rFonts w:ascii="Segoe UI" w:hAnsi="Segoe UI" w:eastAsia="Times New Roman" w:cs="Segoe UI"/>
          <w:kern w:val="0"/>
          <w:sz w:val="22"/>
          <w:szCs w:val="22"/>
          <w:lang w:eastAsia="en-GB"/>
          <w14:ligatures w14:val="none"/>
        </w:rPr>
      </w:pPr>
    </w:p>
    <w:p w:rsidR="001869E6" w:rsidP="001869E6" w:rsidRDefault="001869E6" w14:paraId="5334C1EB" w14:textId="77777777">
      <w:pPr>
        <w:spacing w:after="0" w:line="300" w:lineRule="atLeast"/>
        <w:ind w:left="360"/>
        <w:rPr>
          <w:rFonts w:ascii="Segoe UI" w:hAnsi="Segoe UI" w:eastAsia="Times New Roman" w:cs="Segoe UI"/>
          <w:kern w:val="0"/>
          <w:sz w:val="22"/>
          <w:szCs w:val="22"/>
          <w:lang w:eastAsia="en-GB"/>
          <w14:ligatures w14:val="none"/>
        </w:rPr>
      </w:pPr>
    </w:p>
    <w:p w:rsidRPr="0042065A" w:rsidR="001869E6" w:rsidP="4BDDEE6F" w:rsidRDefault="001869E6" w14:paraId="1F0E7B11" w14:textId="1879AE9D">
      <w:pPr>
        <w:pStyle w:val="Heading1"/>
        <w:rPr>
          <w:rFonts w:ascii="Segoe UI" w:hAnsi="Segoe UI" w:eastAsia="Times New Roman" w:cs="Segoe UI"/>
          <w:b w:val="1"/>
          <w:bCs w:val="1"/>
          <w:sz w:val="40"/>
          <w:szCs w:val="40"/>
          <w:lang w:eastAsia="en-GB"/>
        </w:rPr>
      </w:pPr>
      <w:bookmarkStart w:name="_Toc1135521646" w:id="1543633194"/>
      <w:r w:rsidRPr="4BDDEE6F" w:rsidR="001869E6">
        <w:rPr>
          <w:b w:val="1"/>
          <w:bCs w:val="1"/>
          <w:sz w:val="44"/>
          <w:szCs w:val="44"/>
        </w:rPr>
        <w:t>Risk Management in AI Systems</w:t>
      </w:r>
      <w:bookmarkEnd w:id="1543633194"/>
    </w:p>
    <w:p w:rsidR="0042065A" w:rsidP="4BDDEE6F" w:rsidRDefault="0042065A" w14:paraId="3B90DB61" w14:textId="1512333E">
      <w:pPr>
        <w:pStyle w:val="ListParagraph"/>
        <w:spacing w:before="100" w:beforeAutospacing="on" w:after="100" w:afterAutospacing="on" w:line="300" w:lineRule="atLeast"/>
        <w:ind w:left="0"/>
        <w:outlineLvl w:val="1"/>
        <w:rPr>
          <w:rFonts w:ascii="Segoe UI" w:hAnsi="Segoe UI" w:eastAsia="Times New Roman" w:cs="Segoe UI"/>
          <w:b w:val="1"/>
          <w:bCs w:val="1"/>
          <w:kern w:val="0"/>
          <w:sz w:val="36"/>
          <w:szCs w:val="36"/>
          <w:lang w:eastAsia="en-GB"/>
          <w14:ligatures w14:val="none"/>
        </w:rPr>
      </w:pPr>
    </w:p>
    <w:p w:rsidR="00130599" w:rsidP="4BDDEE6F" w:rsidRDefault="0042065A" w14:paraId="3266A5FD" w14:textId="00FA81B9">
      <w:pPr>
        <w:pStyle w:val="Normal"/>
        <w:rPr>
          <w:rFonts w:ascii="Segoe UI" w:hAnsi="Segoe UI" w:eastAsia="Times New Roman" w:cs="Segoe UI"/>
          <w:sz w:val="22"/>
          <w:szCs w:val="22"/>
          <w:lang w:eastAsia="en-GB"/>
        </w:rPr>
      </w:pPr>
      <w:r w:rsidR="0042065A">
        <w:rPr/>
        <w:t xml:space="preserve">Risk management in AI systems are </w:t>
      </w:r>
      <w:r w:rsidR="0042065A">
        <w:rPr/>
        <w:t>largely different</w:t>
      </w:r>
      <w:r w:rsidR="0042065A">
        <w:rPr/>
        <w:t xml:space="preserve"> to those of traditional risks. </w:t>
      </w:r>
      <w:r w:rsidR="0042065A">
        <w:rPr/>
        <w:t>Mainly due to</w:t>
      </w:r>
      <w:r w:rsidR="0042065A">
        <w:rPr/>
        <w:t xml:space="preserve"> the dynamic and adaptive nature of AI,</w:t>
      </w:r>
      <w:r w:rsidR="00E1387D">
        <w:rPr/>
        <w:t>[6]</w:t>
      </w:r>
      <w:r w:rsidR="0042065A">
        <w:rPr/>
        <w:t xml:space="preserve"> </w:t>
      </w:r>
      <w:r w:rsidR="0042065A">
        <w:rPr/>
        <w:t>it’s</w:t>
      </w:r>
      <w:r w:rsidR="0042065A">
        <w:rPr/>
        <w:t xml:space="preserve"> constantly evolving and adapting and </w:t>
      </w:r>
      <w:r w:rsidR="0042065A">
        <w:rPr/>
        <w:t>isn’t</w:t>
      </w:r>
      <w:r w:rsidR="0042065A">
        <w:rPr/>
        <w:t xml:space="preserve"> as deterministic as software which only works based on predefined rules. AI systems are constantly learning and changing from data which creates an uncertainty in </w:t>
      </w:r>
      <w:r w:rsidR="053DCD61">
        <w:rPr/>
        <w:t>its</w:t>
      </w:r>
      <w:r w:rsidR="0042065A">
        <w:rPr/>
        <w:t xml:space="preserve"> capability which</w:t>
      </w:r>
      <w:r w:rsidR="00E1387D">
        <w:rPr/>
        <w:t xml:space="preserve"> produces risks that are harder to predict, detect and control using traditional cyber security approaches.[6] However whilst traditional risks can be mitigated through patching and managing configuration, AI risks require continuous monitoring and analysing throughout the model lifecycle, which conveys the need for specialised governance </w:t>
      </w:r>
      <w:r w:rsidR="23FF2194">
        <w:rPr/>
        <w:t>frameworks [</w:t>
      </w:r>
      <w:r w:rsidR="00130599">
        <w:rPr/>
        <w:t>7].</w:t>
      </w:r>
    </w:p>
    <w:p w:rsidR="00130599" w:rsidP="4BDDEE6F" w:rsidRDefault="00130599" w14:paraId="4FC8D760" w14:textId="511878F5">
      <w:pPr>
        <w:pStyle w:val="Normal"/>
        <w:rPr>
          <w:rFonts w:ascii="Segoe UI" w:hAnsi="Segoe UI" w:eastAsia="Times New Roman" w:cs="Segoe UI"/>
          <w:sz w:val="22"/>
          <w:szCs w:val="22"/>
          <w:lang w:eastAsia="en-GB"/>
        </w:rPr>
      </w:pPr>
      <w:r w:rsidR="00130599">
        <w:rPr/>
        <w:t xml:space="preserve">  There Are many attacks that are easier to produce and execute using AI, one of these being Adversarial attacks. These attacks involve intentionally crafted malicious inputs designed to manipulate AI model outputs without having to alter the AI system. For </w:t>
      </w:r>
      <w:r w:rsidR="242CD531">
        <w:rPr/>
        <w:t>example,</w:t>
      </w:r>
      <w:r w:rsidR="00130599">
        <w:rPr/>
        <w:t xml:space="preserve"> subtle changes to input can cause AI models to misclassify the input which poses a significant risk in safety-critical systems. These attacks exploit AI models design and nature which conveys that conventional </w:t>
      </w:r>
      <w:r w:rsidR="3F890965">
        <w:rPr/>
        <w:t>perimeter-based</w:t>
      </w:r>
      <w:r w:rsidR="00130599">
        <w:rPr/>
        <w:t xml:space="preserve"> control is insufficient to protect AI-Driven systems.</w:t>
      </w:r>
    </w:p>
    <w:p w:rsidR="00EA336C" w:rsidP="4BDDEE6F" w:rsidRDefault="00EA336C" w14:paraId="175163E1" w14:textId="21723944">
      <w:pPr>
        <w:pStyle w:val="Normal"/>
      </w:pPr>
      <w:r>
        <w:fldChar w:fldCharType="begin"/>
      </w:r>
      <w:r>
        <w:instrText xml:space="preserve"> INCLUDEPICTURE "https://www.nist.gov/sites/default/files/styles/2800_x_2800_limit/public/images/2024/01/03/AI-evasion-rev-3.png?itok=msOI5gEd" \* MERGEFORMATINET </w:instrText>
      </w:r>
      <w:r>
        <w:fldChar w:fldCharType="separate"/>
      </w:r>
      <w:r w:rsidR="00EA336C">
        <w:drawing>
          <wp:inline wp14:editId="48D43769" wp14:anchorId="1F32E6FA">
            <wp:extent cx="2344847" cy="1381293"/>
            <wp:effectExtent l="0" t="0" r="5080" b="3175"/>
            <wp:docPr id="411397724" name="Picture 1" descr="Overhead view of intersection shows how deceptive markings on the road could cause an AI-directed car to veer into oncoming traffic.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7" descr="Overhead view of intersection shows how deceptive markings on the road could cause an AI-directed car to veer into oncoming traffic. "/>
                    <pic:cNvPicPr>
                      <a:picLocks noChangeAspect="1" noChangeArrowheads="1"/>
                    </pic:cNvPicPr>
                  </pic:nvPicPr>
                  <pic:blipFill>
                    <a:blip xmlns:r="http://schemas.openxmlformats.org/officeDocument/2006/relationships" r:embed="rId6" cstate="print">
                      <a:extLst>
                        <a:ext uri="{28A0092B-C50C-407E-A947-70E740481C1C}">
                          <a14:useLocalDpi xmlns:a14="http://schemas.microsoft.com/office/drawing/2010/main" val="0"/>
                        </a:ext>
                      </a:extLst>
                    </a:blip>
                    <a:srcRect/>
                    <a:stretch>
                      <a:fillRect/>
                    </a:stretch>
                  </pic:blipFill>
                  <pic:spPr bwMode="auto">
                    <a:xfrm>
                      <a:off x="0" y="0"/>
                      <a:ext cx="2369053" cy="1395552"/>
                    </a:xfrm>
                    <a:prstGeom prst="rect">
                      <a:avLst/>
                    </a:prstGeom>
                    <a:noFill/>
                    <a:ln>
                      <a:noFill/>
                    </a:ln>
                  </pic:spPr>
                </pic:pic>
              </a:graphicData>
            </a:graphic>
          </wp:inline>
        </w:drawing>
      </w:r>
      <w:r>
        <w:fldChar w:fldCharType="end"/>
      </w:r>
    </w:p>
    <w:p w:rsidR="00EA336C" w:rsidP="4BDDEE6F" w:rsidRDefault="00EA336C" w14:paraId="24E39ECA" w14:textId="42C2D755">
      <w:pPr>
        <w:pStyle w:val="Normal"/>
      </w:pPr>
      <w:r w:rsidR="00EA336C">
        <w:rPr/>
        <w:t>An example is this image above, slight change of instructions to an AI powered car could cause it to swerve into oncoming traffic if prompted maliciously.[8]</w:t>
      </w:r>
    </w:p>
    <w:p w:rsidR="00C25753" w:rsidP="4BDDEE6F" w:rsidRDefault="00EA336C" w14:paraId="0987DC23" w14:textId="0D58E9CA">
      <w:pPr>
        <w:pStyle w:val="Normal"/>
      </w:pPr>
      <w:r w:rsidR="00EA336C">
        <w:rPr/>
        <w:t xml:space="preserve">  On top of that an indirect risk in AI systems is model drift and performance failure. Over time as </w:t>
      </w:r>
      <w:r w:rsidR="00C25753">
        <w:rPr/>
        <w:t>real-world</w:t>
      </w:r>
      <w:r w:rsidR="00EA336C">
        <w:rPr/>
        <w:t xml:space="preserve"> conditions change there is a risk of model drift, this is where an AI systems performance slowly degrades as the data fed to it differs from the training data. This showcases the necessity for continuous monitoring as otherwise it may go undetected, resulting in biased or inaccurate outcomes or even outputs that violate organisational </w:t>
      </w:r>
      <w:r w:rsidR="00C25753">
        <w:rPr/>
        <w:t>requirements [9].</w:t>
      </w:r>
    </w:p>
    <w:p w:rsidR="00C25753" w:rsidP="4BDDEE6F" w:rsidRDefault="00C25753" w14:paraId="7BC1E6EB" w14:textId="1776A94A">
      <w:pPr>
        <w:pStyle w:val="Normal"/>
      </w:pPr>
      <w:r w:rsidR="00C25753">
        <w:rPr/>
        <w:t xml:space="preserve">   However not every threat to AI systems is indirect. There are attacks such as Model Poisoning attacks occur when malicious actors manipulate the training data given to AI to influence the model’s behaviour. This is very threatening in systems that rely on data </w:t>
      </w:r>
      <w:r w:rsidR="00C25753">
        <w:rPr/>
        <w:t>that’s</w:t>
      </w:r>
      <w:r w:rsidR="00C25753">
        <w:rPr/>
        <w:t xml:space="preserve"> externally sourced because the integrity is </w:t>
      </w:r>
      <w:r w:rsidR="00C25753">
        <w:rPr/>
        <w:t xml:space="preserve">difficult to verify. Governance mechanisms </w:t>
      </w:r>
      <w:r w:rsidR="00C25753">
        <w:rPr/>
        <w:t>aren’t</w:t>
      </w:r>
      <w:r w:rsidR="00C25753">
        <w:rPr/>
        <w:t xml:space="preserve"> as strong here due to struggling to detect the attacks, this is due to poisoned data often appearing as valid, which exposes a limitation in current governance and validation </w:t>
      </w:r>
      <w:r w:rsidR="2B755B30">
        <w:rPr/>
        <w:t>techniques [</w:t>
      </w:r>
      <w:r w:rsidR="00C25753">
        <w:rPr/>
        <w:t>10].</w:t>
      </w:r>
    </w:p>
    <w:p w:rsidRPr="00C25753" w:rsidR="003D6555" w:rsidP="4BDDEE6F" w:rsidRDefault="003D6555" w14:paraId="45C0D2DD" w14:textId="242F0ED0">
      <w:pPr>
        <w:pStyle w:val="Normal"/>
      </w:pPr>
      <w:r w:rsidR="003D6555">
        <w:rPr/>
        <w:t xml:space="preserve">  Overall, while existing governance strategies provide valuable solutions to manage AI related risks, only few are implemented. The lack of a standardised risk management practice that can be used cross-organisation creates gaps in protection which reinforces the demand for governance models that are tailor made for AI systems.</w:t>
      </w:r>
    </w:p>
    <w:p w:rsidRPr="001869E6" w:rsidR="001869E6" w:rsidP="001869E6" w:rsidRDefault="006F5F45" w14:paraId="2578B845" w14:textId="77777777">
      <w:pPr>
        <w:spacing w:after="0" w:line="300" w:lineRule="atLeast"/>
        <w:rPr>
          <w:rFonts w:ascii="Segoe UI" w:hAnsi="Segoe UI" w:eastAsia="Times New Roman" w:cs="Segoe UI"/>
          <w:kern w:val="0"/>
          <w:sz w:val="21"/>
          <w:szCs w:val="21"/>
          <w:lang w:eastAsia="en-GB"/>
          <w14:ligatures w14:val="none"/>
        </w:rPr>
      </w:pPr>
      <w:r>
        <w:rPr>
          <w:rFonts w:ascii="Segoe UI" w:hAnsi="Segoe UI" w:eastAsia="Times New Roman" w:cs="Segoe UI"/>
          <w:noProof/>
          <w:kern w:val="0"/>
          <w:sz w:val="21"/>
          <w:szCs w:val="21"/>
          <w:lang w:eastAsia="en-GB"/>
        </w:rPr>
        <w:pict w14:anchorId="2AFC5B0E">
          <v:rect id="_x0000_i1030" style="width:451.3pt;height:.05pt;mso-width-percent:0;mso-height-percent:0;mso-width-percent:0;mso-height-percent:0" alt="" o:hr="t" o:hrstd="t" o:hralign="center" fillcolor="#a0a0a0" stroked="f"/>
        </w:pict>
      </w:r>
    </w:p>
    <w:p w:rsidRPr="00D85D42" w:rsidR="001869E6" w:rsidP="4BDDEE6F" w:rsidRDefault="001869E6" w14:paraId="2341E3BE" w14:textId="5FA151F9">
      <w:pPr>
        <w:pStyle w:val="Heading1"/>
        <w:rPr>
          <w:rFonts w:ascii="Segoe UI" w:hAnsi="Segoe UI" w:eastAsia="Times New Roman" w:cs="Segoe UI"/>
          <w:b w:val="1"/>
          <w:bCs w:val="1"/>
          <w:sz w:val="40"/>
          <w:szCs w:val="40"/>
          <w:lang w:eastAsia="en-GB"/>
        </w:rPr>
      </w:pPr>
      <w:bookmarkStart w:name="_Toc830879364" w:id="1582712862"/>
      <w:r w:rsidRPr="4BDDEE6F" w:rsidR="001869E6">
        <w:rPr>
          <w:b w:val="1"/>
          <w:bCs w:val="1"/>
          <w:sz w:val="44"/>
          <w:szCs w:val="44"/>
        </w:rPr>
        <w:t>Ethics and Bias in AI</w:t>
      </w:r>
      <w:bookmarkEnd w:id="1582712862"/>
    </w:p>
    <w:p w:rsidR="00D85D42" w:rsidP="4BDDEE6F" w:rsidRDefault="00D85D42" w14:paraId="5A1BC21E" w14:textId="4654B358">
      <w:pPr>
        <w:pStyle w:val="Normal"/>
        <w:rPr>
          <w:rFonts w:ascii="Segoe UI" w:hAnsi="Segoe UI" w:eastAsia="Times New Roman" w:cs="Segoe UI"/>
          <w:sz w:val="22"/>
          <w:szCs w:val="22"/>
          <w:lang w:eastAsia="en-GB"/>
        </w:rPr>
      </w:pPr>
      <w:r w:rsidR="00D85D42">
        <w:rPr/>
        <w:t xml:space="preserve">Ethical considerations and bias in AI cover some of the most significant challenges in utilising AI systems in modern organisations. Algorithmic bias can suddenly arise when AI models are trained on historical data sets that reflect inequalities related to the topic they are trained on, this can be data such as gender, </w:t>
      </w:r>
      <w:r w:rsidR="00D85D42">
        <w:rPr/>
        <w:t>race</w:t>
      </w:r>
      <w:r w:rsidR="00D85D42">
        <w:rPr/>
        <w:t xml:space="preserve"> or socioeconomic data where inequalities may </w:t>
      </w:r>
      <w:r w:rsidR="04278A0B">
        <w:rPr/>
        <w:t>appear [</w:t>
      </w:r>
      <w:r w:rsidR="00AA5027">
        <w:rPr/>
        <w:t>11]</w:t>
      </w:r>
      <w:r w:rsidR="00D85D42">
        <w:rPr/>
        <w:t xml:space="preserve">. As AI systems are becoming an increasing influence on high impact decisions such as job recruiting, criminal justice and credit scoring, old, biased data can reinforce discrimination in AI model’s decisions leading to lack of public trust to an organisation due to unfair treatment. These risks are beyond technical failure and </w:t>
      </w:r>
      <w:r w:rsidR="00D85D42">
        <w:rPr/>
        <w:t>largely hit</w:t>
      </w:r>
      <w:r w:rsidR="00D85D42">
        <w:rPr/>
        <w:t xml:space="preserve"> ethical and societal concerns.</w:t>
      </w:r>
    </w:p>
    <w:p w:rsidR="00D85D42" w:rsidP="4BDDEE6F" w:rsidRDefault="00D85D42" w14:paraId="19C0F4AF" w14:textId="54874DBD">
      <w:pPr>
        <w:pStyle w:val="Normal"/>
        <w:rPr>
          <w:rFonts w:ascii="Segoe UI" w:hAnsi="Segoe UI" w:eastAsia="Times New Roman" w:cs="Segoe UI"/>
          <w:sz w:val="22"/>
          <w:szCs w:val="22"/>
          <w:lang w:eastAsia="en-GB"/>
        </w:rPr>
      </w:pPr>
      <w:r w:rsidR="00D85D42">
        <w:rPr/>
        <w:t xml:space="preserve">   One of the main contributors to ethical risk is the lack of transparency with AI models, which as I covered above is the ‘black box’ problem. Complex AI models don’t provide how they make decisions and reach solutions</w:t>
      </w:r>
      <w:r w:rsidR="005347E7">
        <w:rPr/>
        <w:t>, this is what causes the lack of accountability and makes it difficult to challenge decisions, especially in contexts where individuals are entitled to explanations for automated outcomes. As a result, black box models are a threat to ethical governance and regulatory compliance.</w:t>
      </w:r>
    </w:p>
    <w:p w:rsidR="00A64D5D" w:rsidP="4BDDEE6F" w:rsidRDefault="00A64D5D" w14:paraId="4C48E1DC" w14:textId="73BDEB85">
      <w:pPr>
        <w:pStyle w:val="Normal"/>
        <w:rPr>
          <w:rFonts w:ascii="Segoe UI" w:hAnsi="Segoe UI" w:eastAsia="Times New Roman" w:cs="Segoe UI"/>
          <w:sz w:val="22"/>
          <w:szCs w:val="22"/>
          <w:lang w:eastAsia="en-GB"/>
        </w:rPr>
      </w:pPr>
      <w:r w:rsidR="00A64D5D">
        <w:rPr/>
        <w:t xml:space="preserve">  There are several </w:t>
      </w:r>
      <w:r w:rsidR="6362070A">
        <w:rPr/>
        <w:t xml:space="preserve">real-world</w:t>
      </w:r>
      <w:r w:rsidR="00A64D5D">
        <w:rPr/>
        <w:t xml:space="preserve"> case studies that </w:t>
      </w:r>
      <w:r w:rsidR="00A64D5D">
        <w:rPr/>
        <w:t xml:space="preserve">demonstrate</w:t>
      </w:r>
      <w:r w:rsidR="00A64D5D">
        <w:rPr/>
        <w:t xml:space="preserve"> the impact of Bias in AI systems. Amazon had an experimental recruitment tool that was abandoned after it was found to disadvantage female applicants based on old hiring data that favoured male </w:t>
      </w:r>
      <w:r w:rsidR="1857004E">
        <w:rPr/>
        <w:t xml:space="preserve">applicants [</w:t>
      </w:r>
      <w:r w:rsidR="00583BB7">
        <w:rPr/>
        <w:t>1</w:t>
      </w:r>
      <w:r w:rsidR="00AA5027">
        <w:rPr/>
        <w:t>2</w:t>
      </w:r>
      <w:r w:rsidR="00583BB7">
        <w:rPr/>
        <w:t>]</w:t>
      </w:r>
      <w:r w:rsidR="00A64D5D">
        <w:rPr/>
        <w:t xml:space="preserve">. </w:t>
      </w:r>
      <w:r w:rsidR="00583BB7">
        <w:rPr/>
        <w:t xml:space="preserve">Aswell as that is the COMPAS </w:t>
      </w:r>
      <w:r w:rsidR="00AA5027">
        <w:rPr/>
        <w:t xml:space="preserve">(Correctional Offender Management Profiling for Alternative Sanctions) </w:t>
      </w:r>
      <w:r w:rsidR="00583BB7">
        <w:rPr/>
        <w:t xml:space="preserve">algorithm used in the criminal justice system in the US was criticised due to it providing racially biased risk assessments, which was affecting minority </w:t>
      </w:r>
      <w:r w:rsidR="00583BB7">
        <w:rPr/>
        <w:t>groups largely</w:t>
      </w:r>
      <w:r w:rsidR="00583BB7">
        <w:rPr/>
        <w:t xml:space="preserve">. These examples highlight how biased </w:t>
      </w:r>
      <w:r w:rsidR="1B8F4798">
        <w:rPr/>
        <w:t>decision-making</w:t>
      </w:r>
      <w:r w:rsidR="00583BB7">
        <w:rPr/>
        <w:t xml:space="preserve"> processes can result in unfair outcomes when </w:t>
      </w:r>
      <w:r w:rsidR="00583BB7">
        <w:rPr/>
        <w:t>there’s</w:t>
      </w:r>
      <w:r w:rsidR="00583BB7">
        <w:rPr/>
        <w:t xml:space="preserve"> a lack of </w:t>
      </w:r>
      <w:r w:rsidR="158AF8D1">
        <w:rPr/>
        <w:t>governance [</w:t>
      </w:r>
      <w:r w:rsidR="00230DA1">
        <w:rPr/>
        <w:t>13]</w:t>
      </w:r>
      <w:r w:rsidR="00583BB7">
        <w:rPr/>
        <w:t>.</w:t>
      </w:r>
    </w:p>
    <w:p w:rsidR="0089614E" w:rsidP="4BDDEE6F" w:rsidRDefault="00C03C6F" w14:paraId="3FB3EA60" w14:textId="2529C8BB">
      <w:pPr>
        <w:pStyle w:val="Normal"/>
        <w:rPr>
          <w:rFonts w:ascii="Segoe UI" w:hAnsi="Segoe UI" w:eastAsia="Times New Roman" w:cs="Segoe UI"/>
          <w:sz w:val="22"/>
          <w:szCs w:val="22"/>
          <w:lang w:eastAsia="en-GB"/>
        </w:rPr>
      </w:pPr>
      <w:r w:rsidR="00C03C6F">
        <w:rPr/>
        <w:t>To address these</w:t>
      </w:r>
      <w:r w:rsidR="0089614E">
        <w:rPr/>
        <w:t xml:space="preserve"> challenges, organisations are implementing governance mechanisms. These are tools such as fairness metrics being used to measure and mitigate bias across groups. And XAI (Explainable AI) techniques to improve transparency and to help understand </w:t>
      </w:r>
      <w:r w:rsidR="2D5983D0">
        <w:rPr/>
        <w:t xml:space="preserve">models'</w:t>
      </w:r>
      <w:r w:rsidR="0089614E">
        <w:rPr/>
        <w:t xml:space="preserve"> </w:t>
      </w:r>
      <w:r w:rsidR="2E1A730C">
        <w:rPr/>
        <w:t xml:space="preserve">behaviour [</w:t>
      </w:r>
      <w:r w:rsidR="00527909">
        <w:rPr/>
        <w:t>14]</w:t>
      </w:r>
      <w:r w:rsidR="0089614E">
        <w:rPr/>
        <w:t xml:space="preserve">. In addition to this ethical AI frameworks are being developed by tech giants such as Microsoft and Google to </w:t>
      </w:r>
      <w:r w:rsidR="0089614E">
        <w:rPr/>
        <w:t xml:space="preserve">establish</w:t>
      </w:r>
      <w:r w:rsidR="0089614E">
        <w:rPr/>
        <w:t xml:space="preserve"> standards for fairness, </w:t>
      </w:r>
      <w:r w:rsidR="0089614E">
        <w:rPr/>
        <w:t xml:space="preserve">accountability</w:t>
      </w:r>
      <w:r w:rsidR="0089614E">
        <w:rPr/>
        <w:t xml:space="preserve"> and </w:t>
      </w:r>
      <w:r w:rsidR="0089614E">
        <w:rPr/>
        <w:lastRenderedPageBreak/>
        <w:t>oversight through the AI lifecycle, which will be good guidance for responsible AI development and deployment within organisations.</w:t>
      </w:r>
    </w:p>
    <w:p w:rsidR="0089614E" w:rsidP="4BDDEE6F" w:rsidRDefault="0089614E" w14:paraId="10675A72" w14:textId="59CE7548">
      <w:pPr>
        <w:pStyle w:val="Normal"/>
        <w:rPr>
          <w:rFonts w:ascii="Segoe UI" w:hAnsi="Segoe UI" w:eastAsia="Times New Roman" w:cs="Segoe UI"/>
          <w:sz w:val="22"/>
          <w:szCs w:val="22"/>
          <w:lang w:eastAsia="en-GB"/>
        </w:rPr>
      </w:pPr>
      <w:r w:rsidR="0089614E">
        <w:rPr/>
        <w:t xml:space="preserve">  However, the effectiveness of the approaches is limited. This is because Bias cannot be eliminated entirely due to the fact AI systems only reflect data and assumptions based on what they are trained on. Furthermore, there is a trade-off between AI model accuracy and fairness, the more performant an AI model becomes it can lose accuracy and become more biased. And with governance tools being inconsistently applied conveys that </w:t>
      </w:r>
      <w:r w:rsidR="0089614E">
        <w:rPr/>
        <w:t xml:space="preserve">it’s</w:t>
      </w:r>
      <w:r w:rsidR="0089614E">
        <w:rPr/>
        <w:t xml:space="preserve"> not only a technical challenge but an organisational one as well.</w:t>
      </w:r>
      <w:r w:rsidR="2CF1193B">
        <w:rPr/>
        <w:t xml:space="preserve"> </w:t>
      </w:r>
    </w:p>
    <w:p w:rsidRPr="000E4593" w:rsidR="001869E6" w:rsidP="4BDDEE6F" w:rsidRDefault="001869E6" w14:paraId="6805903E" w14:textId="0D9CD567">
      <w:pPr>
        <w:pStyle w:val="Heading1"/>
        <w:rPr>
          <w:rFonts w:ascii="Segoe UI" w:hAnsi="Segoe UI" w:eastAsia="Times New Roman" w:cs="Segoe UI"/>
          <w:b w:val="1"/>
          <w:bCs w:val="1"/>
          <w:sz w:val="44"/>
          <w:szCs w:val="44"/>
          <w:lang w:eastAsia="en-GB"/>
        </w:rPr>
      </w:pPr>
      <w:bookmarkStart w:name="_Toc1864613415" w:id="554371746"/>
      <w:r w:rsidRPr="4BDDEE6F" w:rsidR="001869E6">
        <w:rPr>
          <w:b w:val="1"/>
          <w:bCs w:val="1"/>
          <w:sz w:val="44"/>
          <w:szCs w:val="44"/>
        </w:rPr>
        <w:t>Compliance and Regulatory Requirements</w:t>
      </w:r>
      <w:bookmarkEnd w:id="554371746"/>
    </w:p>
    <w:p w:rsidRPr="000E4593" w:rsidR="000E4593" w:rsidP="4BDDEE6F" w:rsidRDefault="000E4593" w14:paraId="751A50DB" w14:textId="142EA840">
      <w:pPr>
        <w:pStyle w:val="Normal"/>
        <w:rPr>
          <w:rFonts w:ascii="Segoe UI" w:hAnsi="Segoe UI" w:eastAsia="Times New Roman" w:cs="Segoe UI"/>
          <w:b w:val="0"/>
          <w:bCs w:val="0"/>
          <w:sz w:val="22"/>
          <w:szCs w:val="22"/>
          <w:lang w:eastAsia="en-GB"/>
        </w:rPr>
      </w:pPr>
      <w:r w:rsidR="1F803042">
        <w:rPr/>
        <w:t xml:space="preserve">The rapid adoption of AI </w:t>
      </w:r>
      <w:r w:rsidR="462E3342">
        <w:rPr/>
        <w:t xml:space="preserve">has triggered the development of regulatory frameworks to ensure that organisations are following a standard when deploying AI systems. </w:t>
      </w:r>
      <w:r w:rsidR="3DBFA059">
        <w:rPr/>
        <w:t xml:space="preserve">The most significant regulations affecting AI governance are the GDPR (General Data Protection Regulation) and the emerging European </w:t>
      </w:r>
      <w:r w:rsidR="01BC7E5A">
        <w:rPr/>
        <w:t>Union AI act, which both are enforcing compliance rules on organisations that are deploying AI systems.</w:t>
      </w:r>
    </w:p>
    <w:p w:rsidRPr="001869E6" w:rsidR="001869E6" w:rsidP="4BDDEE6F" w:rsidRDefault="006F5F45" w14:paraId="34275DF7" w14:textId="47FCFC7C">
      <w:pPr>
        <w:pStyle w:val="Normal"/>
        <w:rPr>
          <w:rFonts w:ascii="Segoe UI" w:hAnsi="Segoe UI" w:eastAsia="Times New Roman" w:cs="Segoe UI"/>
          <w:b w:val="0"/>
          <w:bCs w:val="0"/>
          <w:sz w:val="22"/>
          <w:szCs w:val="22"/>
          <w:lang w:eastAsia="en-GB"/>
        </w:rPr>
      </w:pPr>
      <w:r w:rsidR="01BC7E5A">
        <w:rPr/>
        <w:t xml:space="preserve">  GDPR </w:t>
      </w:r>
      <w:r w:rsidR="39ACD10A">
        <w:rPr/>
        <w:t xml:space="preserve">plays a key role in governing and enforcing the </w:t>
      </w:r>
      <w:r w:rsidR="50034F1F">
        <w:rPr/>
        <w:t>use of personal data within AI systems. It includes strict requirements around data protection, including</w:t>
      </w:r>
      <w:r w:rsidR="084DB7AC">
        <w:rPr/>
        <w:t xml:space="preserve"> lawfulness, fairness</w:t>
      </w:r>
      <w:r w:rsidR="6322A3BC">
        <w:rPr/>
        <w:t xml:space="preserve">, </w:t>
      </w:r>
      <w:r w:rsidR="6322A3BC">
        <w:rPr/>
        <w:t>transparency</w:t>
      </w:r>
      <w:r w:rsidR="6322A3BC">
        <w:rPr/>
        <w:t xml:space="preserve"> and data minimisation. Article 22 protects individuals by giving the right </w:t>
      </w:r>
      <w:r w:rsidR="59D7FC7A">
        <w:rPr/>
        <w:t xml:space="preserve">not to be subject to decisions that are based only </w:t>
      </w:r>
      <w:r w:rsidR="6DD428D4">
        <w:rPr/>
        <w:t>off</w:t>
      </w:r>
      <w:r w:rsidR="59D7FC7A">
        <w:rPr/>
        <w:t xml:space="preserve"> automated </w:t>
      </w:r>
      <w:r w:rsidR="0AA8644E">
        <w:rPr/>
        <w:t xml:space="preserve">processes where those outcomes will have effects that are legal or significant. </w:t>
      </w:r>
      <w:r w:rsidR="6E6A37A9">
        <w:rPr/>
        <w:t xml:space="preserve">This limits fully automated AI decisions and forces organisations to implement safeguards and human oversight to processes and to ensure the ability to justify </w:t>
      </w:r>
      <w:r w:rsidR="1A393D83">
        <w:rPr/>
        <w:t>decisions. On top of that AI systems that deal with personal data must incorporate strong data governance controls to ensure that they are compliant with policies such as GDPR.</w:t>
      </w:r>
    </w:p>
    <w:p w:rsidRPr="001869E6" w:rsidR="001869E6" w:rsidP="4BDDEE6F" w:rsidRDefault="006F5F45" w14:paraId="7A76FD0C" w14:textId="322B757B">
      <w:pPr>
        <w:pStyle w:val="Normal"/>
        <w:rPr>
          <w:rFonts w:ascii="Segoe UI" w:hAnsi="Segoe UI" w:eastAsia="Times New Roman" w:cs="Segoe UI"/>
          <w:b w:val="0"/>
          <w:bCs w:val="0"/>
          <w:sz w:val="22"/>
          <w:szCs w:val="22"/>
          <w:lang w:eastAsia="en-GB"/>
        </w:rPr>
      </w:pPr>
      <w:r w:rsidR="1A393D83">
        <w:rPr/>
        <w:t xml:space="preserve">   The EU AI act introduced </w:t>
      </w:r>
      <w:r w:rsidR="1AC9FF13">
        <w:rPr/>
        <w:t>risk-based</w:t>
      </w:r>
      <w:r w:rsidR="1A393D83">
        <w:rPr/>
        <w:t xml:space="preserve"> regulations </w:t>
      </w:r>
      <w:r w:rsidR="62058109">
        <w:rPr/>
        <w:t xml:space="preserve">that were tailored specifically to AI systems. It groups the AI systems into </w:t>
      </w:r>
      <w:r w:rsidR="62058109">
        <w:rPr/>
        <w:t>different groups</w:t>
      </w:r>
      <w:r w:rsidR="62058109">
        <w:rPr/>
        <w:t xml:space="preserve"> such as high-risk, limited-risk, and minimal-risk systems. High-risks systems </w:t>
      </w:r>
      <w:r w:rsidR="61C60F70">
        <w:rPr/>
        <w:t xml:space="preserve">being the ones that are used in fields such as recruitment, credit scoring or identification, are subject to strict </w:t>
      </w:r>
      <w:r w:rsidR="79F0AC5C">
        <w:rPr/>
        <w:t>obligations, including risk management procedures</w:t>
      </w:r>
      <w:r w:rsidR="552AA146">
        <w:rPr/>
        <w:t xml:space="preserve">, high integrity training </w:t>
      </w:r>
      <w:r w:rsidR="552AA146">
        <w:rPr/>
        <w:t>data</w:t>
      </w:r>
      <w:r w:rsidR="552AA146">
        <w:rPr/>
        <w:t xml:space="preserve"> and documentation with strong oversight. This targets AI specific risks rather than data usage generically.</w:t>
      </w:r>
    </w:p>
    <w:p w:rsidRPr="001869E6" w:rsidR="001869E6" w:rsidP="4BDDEE6F" w:rsidRDefault="006F5F45" w14:paraId="045B1125" w14:textId="79DD66BB">
      <w:pPr>
        <w:pStyle w:val="Normal"/>
        <w:rPr>
          <w:rFonts w:ascii="Segoe UI" w:hAnsi="Segoe UI" w:eastAsia="Times New Roman" w:cs="Segoe UI"/>
          <w:b w:val="0"/>
          <w:bCs w:val="0"/>
          <w:sz w:val="22"/>
          <w:szCs w:val="22"/>
          <w:lang w:eastAsia="en-GB"/>
        </w:rPr>
      </w:pPr>
      <w:r w:rsidR="09224600">
        <w:rPr/>
        <w:t xml:space="preserve">   Compliance with the regulations</w:t>
      </w:r>
      <w:r w:rsidR="1A931ADC">
        <w:rPr/>
        <w:t xml:space="preserve"> require organisations to prioritise accountability and auditability throughout the AI lifecycle. Which includes </w:t>
      </w:r>
      <w:r w:rsidR="7164EE7B">
        <w:rPr/>
        <w:t xml:space="preserve">up to date and </w:t>
      </w:r>
      <w:r w:rsidR="7164EE7B">
        <w:rPr/>
        <w:t>accurate</w:t>
      </w:r>
      <w:r w:rsidR="7164EE7B">
        <w:rPr/>
        <w:t xml:space="preserve"> documentation on model design, training data and to carry out risk assessments to </w:t>
      </w:r>
      <w:r w:rsidR="7164EE7B">
        <w:rPr/>
        <w:t>demonstrate</w:t>
      </w:r>
      <w:r w:rsidR="7164EE7B">
        <w:rPr/>
        <w:t xml:space="preserve"> that they are compliant with regulations</w:t>
      </w:r>
      <w:r w:rsidR="0B33F6AB">
        <w:rPr/>
        <w:t>.</w:t>
      </w:r>
    </w:p>
    <w:p w:rsidRPr="001869E6" w:rsidR="001869E6" w:rsidP="4BDDEE6F" w:rsidRDefault="006F5F45" w14:paraId="2F499BB1" w14:textId="5DF172D5">
      <w:pPr>
        <w:pStyle w:val="Normal"/>
        <w:rPr>
          <w:rFonts w:ascii="Segoe UI" w:hAnsi="Segoe UI" w:eastAsia="Times New Roman" w:cs="Segoe UI"/>
          <w:sz w:val="21"/>
          <w:szCs w:val="21"/>
          <w:lang w:eastAsia="en-GB"/>
        </w:rPr>
      </w:pPr>
      <w:r w:rsidR="0B33F6AB">
        <w:rPr/>
        <w:t xml:space="preserve">  </w:t>
      </w:r>
      <w:r w:rsidR="2EDF9015">
        <w:rPr/>
        <w:t>However,</w:t>
      </w:r>
      <w:r w:rsidR="0B33F6AB">
        <w:rPr/>
        <w:t xml:space="preserve"> despite the advancements made from regulations there are still a </w:t>
      </w:r>
      <w:r w:rsidR="0B33F6AB">
        <w:rPr/>
        <w:t>significant number</w:t>
      </w:r>
      <w:r w:rsidR="0B33F6AB">
        <w:rPr/>
        <w:t xml:space="preserve"> of challenges. Regulatory gaps </w:t>
      </w:r>
      <w:r w:rsidR="5614ACD9">
        <w:rPr/>
        <w:t>because of</w:t>
      </w:r>
      <w:r w:rsidR="63139717">
        <w:rPr/>
        <w:t xml:space="preserve"> the differences in enforcement timelines</w:t>
      </w:r>
      <w:r w:rsidR="51B50D93">
        <w:rPr/>
        <w:t xml:space="preserve"> and different interpretations across regions. This is a more significant issue for larger organisations that </w:t>
      </w:r>
      <w:r w:rsidR="51B50D93">
        <w:rPr/>
        <w:t>operate</w:t>
      </w:r>
      <w:r w:rsidR="51B50D93">
        <w:rPr/>
        <w:t xml:space="preserve"> across regions that have differing regulations.</w:t>
      </w:r>
      <w:r w:rsidR="11D15E5A">
        <w:rPr/>
        <w:t xml:space="preserve"> Furthermore, the pace of AI innovating is far quicker than the pace regulatory development, creating uncertainty around obligations</w:t>
      </w:r>
      <w:r w:rsidR="60B823D6">
        <w:rPr/>
        <w:t xml:space="preserve">. While frameworks such as </w:t>
      </w:r>
      <w:r w:rsidR="271A9C13">
        <w:rPr/>
        <w:t xml:space="preserve">OECD AI Principles and ISO standards are pushing for international alignment, because they are largely </w:t>
      </w:r>
      <w:r w:rsidR="7F3B319B">
        <w:rPr/>
        <w:t>voluntary,</w:t>
      </w:r>
      <w:r w:rsidR="4C5B780B">
        <w:rPr/>
        <w:t xml:space="preserve"> they lack enforceability. This further highlights the challenge of consistent and effective AI compliance in a rapidly evolving landscap</w:t>
      </w:r>
      <w:r w:rsidR="1BCE272B">
        <w:rPr/>
        <w:t>e.</w:t>
      </w:r>
    </w:p>
    <w:p w:rsidRPr="001869E6" w:rsidR="001869E6" w:rsidP="4BDDEE6F" w:rsidRDefault="001869E6" w14:paraId="35E6A9D2" w14:textId="77777777">
      <w:pPr>
        <w:pStyle w:val="Heading1"/>
        <w:rPr>
          <w:rFonts w:ascii="Segoe UI" w:hAnsi="Segoe UI" w:eastAsia="Times New Roman" w:cs="Segoe UI"/>
          <w:b w:val="1"/>
          <w:bCs w:val="1"/>
          <w:sz w:val="40"/>
          <w:szCs w:val="40"/>
          <w:lang w:eastAsia="en-GB"/>
        </w:rPr>
      </w:pPr>
      <w:bookmarkStart w:name="_Toc1579507261" w:id="738501273"/>
      <w:r w:rsidRPr="4BDDEE6F" w:rsidR="001869E6">
        <w:rPr>
          <w:b w:val="1"/>
          <w:bCs w:val="1"/>
          <w:sz w:val="44"/>
          <w:szCs w:val="44"/>
        </w:rPr>
        <w:lastRenderedPageBreak/>
        <w:t>Governance Frameworks and Industry Approaches</w:t>
      </w:r>
      <w:bookmarkEnd w:id="738501273"/>
    </w:p>
    <w:p w:rsidR="5D951093" w:rsidP="4BDDEE6F" w:rsidRDefault="5D951093" w14:paraId="07AA6599" w14:textId="6FDAEC9C">
      <w:pPr>
        <w:pStyle w:val="Normal"/>
        <w:rPr>
          <w:rFonts w:ascii="Segoe UI" w:hAnsi="Segoe UI" w:eastAsia="Times New Roman" w:cs="Segoe UI"/>
          <w:b w:val="0"/>
          <w:bCs w:val="0"/>
          <w:sz w:val="22"/>
          <w:szCs w:val="22"/>
          <w:lang w:eastAsia="en-GB"/>
        </w:rPr>
      </w:pPr>
      <w:r w:rsidR="5D951093">
        <w:rPr/>
        <w:t xml:space="preserve">In response to increasing ethical, security and regulatory concerns, many organisations have developed internal AI governance frameworks to guide </w:t>
      </w:r>
      <w:r w:rsidR="766E07D8">
        <w:rPr/>
        <w:t xml:space="preserve">compliant development and deployment of AI systems. Key examples of these are Microsoft Responsible AI standard, Google’s AI </w:t>
      </w:r>
      <w:r w:rsidR="766E07D8">
        <w:rPr/>
        <w:t>Principles</w:t>
      </w:r>
      <w:r w:rsidR="766E07D8">
        <w:rPr/>
        <w:t xml:space="preserve"> and IBM’s AI </w:t>
      </w:r>
      <w:r w:rsidR="55834A24">
        <w:rPr/>
        <w:t>governance framework. All aiming to utilise ethical AI concepts by implementing governance controls throughout the lifecycle.</w:t>
      </w:r>
    </w:p>
    <w:p w:rsidR="55834A24" w:rsidP="4BDDEE6F" w:rsidRDefault="55834A24" w14:paraId="770448AB" w14:textId="15BEFBFC">
      <w:pPr>
        <w:pStyle w:val="Normal"/>
      </w:pPr>
      <w:r w:rsidR="48430146">
        <w:rPr/>
        <w:t xml:space="preserve">   </w:t>
      </w:r>
      <w:r w:rsidR="65C7CCE8">
        <w:rPr/>
        <w:t>Common components of the frameworks include clearly defined policies, validation processes for AI models, and mechanisms for human oversight.</w:t>
      </w:r>
      <w:r w:rsidR="2E27F93A">
        <w:rPr/>
        <w:t xml:space="preserve"> </w:t>
      </w:r>
      <w:r w:rsidR="77F941DA">
        <w:rPr/>
        <w:t xml:space="preserve">Companies in industry are also implementing Technical Controls to mitigate the risk that comes with AI, one of the controls being used is referred to as ‘Red Teaming’ </w:t>
      </w:r>
      <w:r w:rsidR="677E4B92">
        <w:rPr/>
        <w:t>which is a precise way to test AI models to identify any risks or issues and prevent harmful threats, logging and monitoring or metadata identification</w:t>
      </w:r>
      <w:r w:rsidR="788267ED">
        <w:rPr/>
        <w:t>. This is an automated method of testing, which will be</w:t>
      </w:r>
      <w:r w:rsidR="30FF90A5">
        <w:rPr/>
        <w:t xml:space="preserve"> necessary with modern and future AI models due to the speed and intelligence of the models increasing.</w:t>
      </w:r>
      <w:r w:rsidR="3CF0FF92">
        <w:rPr/>
        <w:t>[15]</w:t>
      </w:r>
      <w:r w:rsidR="06C44676">
        <w:rPr/>
        <w:t>.</w:t>
      </w:r>
    </w:p>
    <w:p w:rsidR="268AD327" w:rsidP="4BDDEE6F" w:rsidRDefault="268AD327" w14:paraId="2541C4F2" w14:textId="32B2F4C9">
      <w:pPr>
        <w:pStyle w:val="Normal"/>
      </w:pPr>
      <w:r w:rsidR="268AD327">
        <w:rPr/>
        <w:t xml:space="preserve">On the other hand, AI is still a huge risk since innovation of AI models is developing at a rate much quicker than governance. </w:t>
      </w:r>
      <w:r w:rsidR="75E6BC62">
        <w:rPr/>
        <w:t xml:space="preserve">The benefit of leveraging AI is that organisations </w:t>
      </w:r>
      <w:r w:rsidR="75E6BC62">
        <w:rPr/>
        <w:t>are able to</w:t>
      </w:r>
      <w:r w:rsidR="75E6BC62">
        <w:rPr/>
        <w:t xml:space="preserve"> work and ship products at a much faster rate however this exact benefit is the main causation of governance challenges.</w:t>
      </w:r>
      <w:r w:rsidR="14D024A1">
        <w:rPr/>
        <w:t xml:space="preserve"> And the traditional security method of locking down systems to </w:t>
      </w:r>
      <w:r w:rsidR="14D024A1">
        <w:rPr/>
        <w:t>maintain</w:t>
      </w:r>
      <w:r w:rsidR="14D024A1">
        <w:rPr/>
        <w:t xml:space="preserve"> security contradicts the advantage that AI </w:t>
      </w:r>
      <w:r w:rsidR="7F62758A">
        <w:rPr/>
        <w:t>provides [</w:t>
      </w:r>
      <w:r w:rsidR="14D024A1">
        <w:rPr/>
        <w:t>16</w:t>
      </w:r>
      <w:r w:rsidR="50C724AB">
        <w:rPr/>
        <w:t>]</w:t>
      </w:r>
      <w:r w:rsidR="14D024A1">
        <w:rPr/>
        <w:t>.</w:t>
      </w:r>
    </w:p>
    <w:p w:rsidRPr="001869E6" w:rsidR="001869E6" w:rsidP="001869E6" w:rsidRDefault="006F5F45" w14:paraId="34478931" w14:textId="77777777">
      <w:pPr>
        <w:spacing w:after="0" w:line="300" w:lineRule="atLeast"/>
        <w:rPr>
          <w:rFonts w:ascii="Segoe UI" w:hAnsi="Segoe UI" w:eastAsia="Times New Roman" w:cs="Segoe UI"/>
          <w:kern w:val="0"/>
          <w:sz w:val="21"/>
          <w:szCs w:val="21"/>
          <w:lang w:eastAsia="en-GB"/>
          <w14:ligatures w14:val="none"/>
        </w:rPr>
      </w:pPr>
      <w:r>
        <w:rPr>
          <w:rFonts w:ascii="Segoe UI" w:hAnsi="Segoe UI" w:eastAsia="Times New Roman" w:cs="Segoe UI"/>
          <w:noProof/>
          <w:kern w:val="0"/>
          <w:sz w:val="21"/>
          <w:szCs w:val="21"/>
          <w:lang w:eastAsia="en-GB"/>
        </w:rPr>
        <w:pict w14:anchorId="15A352BF">
          <v:rect id="_x0000_i1027" style="width:451.3pt;height:.05pt;mso-width-percent:0;mso-height-percent:0;mso-width-percent:0;mso-height-percent:0" alt="" o:hr="t" o:hrstd="t" o:hralign="center" fillcolor="#a0a0a0" stroked="f"/>
        </w:pict>
      </w:r>
    </w:p>
    <w:p w:rsidRPr="001869E6" w:rsidR="001869E6" w:rsidP="4BDDEE6F" w:rsidRDefault="001869E6" w14:paraId="3766F8E3" w14:textId="77777777">
      <w:pPr>
        <w:pStyle w:val="Heading1"/>
        <w:rPr>
          <w:rFonts w:ascii="Segoe UI" w:hAnsi="Segoe UI" w:eastAsia="Times New Roman" w:cs="Segoe UI"/>
          <w:b w:val="1"/>
          <w:bCs w:val="1"/>
          <w:sz w:val="40"/>
          <w:szCs w:val="40"/>
          <w:lang w:eastAsia="en-GB"/>
        </w:rPr>
      </w:pPr>
      <w:bookmarkStart w:name="_Toc1869268019" w:id="404445218"/>
      <w:r w:rsidRPr="4BDDEE6F" w:rsidR="001869E6">
        <w:rPr>
          <w:b w:val="1"/>
          <w:bCs w:val="1"/>
          <w:sz w:val="44"/>
          <w:szCs w:val="44"/>
        </w:rPr>
        <w:t>Challenges and Future Directions</w:t>
      </w:r>
      <w:bookmarkEnd w:id="404445218"/>
    </w:p>
    <w:p w:rsidRPr="001869E6" w:rsidR="001869E6" w:rsidP="4BDDEE6F" w:rsidRDefault="006F5F45" w14:paraId="5937FC43" w14:textId="6C631405">
      <w:pPr>
        <w:pStyle w:val="Normal"/>
      </w:pPr>
      <w:r w:rsidR="0A3A9D1C">
        <w:rPr/>
        <w:t>There are many challenges that come with AI even with having governance in place. One of the main risks is how the rapid development of AI is outpacing current regulation.</w:t>
      </w:r>
      <w:r w:rsidR="65B96743">
        <w:rPr/>
        <w:t xml:space="preserve"> AI is developing so quickly that it is recommended to focus on how AI is used in a specific context and not the technology itself due to the technology advancing rapidly, and the risk may differ where and how it is used.</w:t>
      </w:r>
      <w:r w:rsidR="032BEC9D">
        <w:rPr/>
        <w:t xml:space="preserve"> Nonetheless this exact recommendation could be the determinant for AI related threat</w:t>
      </w:r>
      <w:r w:rsidR="5AFCA26E">
        <w:rPr/>
        <w:t xml:space="preserve">s </w:t>
      </w:r>
      <w:r w:rsidR="4C6B8707">
        <w:rPr/>
        <w:t>since</w:t>
      </w:r>
      <w:r w:rsidR="5AFCA26E">
        <w:rPr/>
        <w:t xml:space="preserve"> proficient AI systems that can be used in a wide range of sectors will not be governed generically due to the specialised governance </w:t>
      </w:r>
      <w:r w:rsidR="2629E03E">
        <w:rPr/>
        <w:t>focus [</w:t>
      </w:r>
      <w:r w:rsidR="14F0F8F6">
        <w:rPr/>
        <w:t>17]</w:t>
      </w:r>
      <w:r w:rsidR="4BEC8871">
        <w:rPr/>
        <w:t xml:space="preserve">. This emphasises the complexity that comes with managing AI at a larger scale, </w:t>
      </w:r>
      <w:r w:rsidR="4BEC8871">
        <w:rPr/>
        <w:t>it’s</w:t>
      </w:r>
      <w:r w:rsidR="4BEC8871">
        <w:rPr/>
        <w:t xml:space="preserve"> a lot easier to manage for </w:t>
      </w:r>
      <w:r w:rsidR="4F1B2BF8">
        <w:rPr/>
        <w:t>more niche use-cases.</w:t>
      </w:r>
    </w:p>
    <w:p w:rsidRPr="001869E6" w:rsidR="001869E6" w:rsidP="4BDDEE6F" w:rsidRDefault="006F5F45" w14:paraId="17608E4A" w14:textId="6D96D139">
      <w:pPr>
        <w:pStyle w:val="Normal"/>
        <w:rPr>
          <w:rFonts w:ascii="Segoe UI" w:hAnsi="Segoe UI" w:eastAsia="Times New Roman" w:cs="Segoe UI"/>
          <w:sz w:val="21"/>
          <w:szCs w:val="21"/>
          <w:lang w:eastAsia="en-GB"/>
        </w:rPr>
      </w:pPr>
      <w:r w:rsidR="4F1B2BF8">
        <w:rPr/>
        <w:t xml:space="preserve">In future </w:t>
      </w:r>
      <w:r w:rsidR="29B2805F">
        <w:rPr/>
        <w:t xml:space="preserve">one of the biggest necessities to work with AI </w:t>
      </w:r>
      <w:r w:rsidR="65F92F1B">
        <w:rPr/>
        <w:t>for organisations will be operational readiness. To become ready organisations are strengthening</w:t>
      </w:r>
      <w:r w:rsidR="1E3D9E01">
        <w:rPr/>
        <w:t xml:space="preserve"> governance, improving the quality of </w:t>
      </w:r>
      <w:r w:rsidR="1E3D9E01">
        <w:rPr/>
        <w:t>data</w:t>
      </w:r>
      <w:r w:rsidR="1E3D9E01">
        <w:rPr/>
        <w:t xml:space="preserve"> and modernising their infrastructure to work across teams and with AI models. Only expanding AI when it is needed not inheriting AI systems </w:t>
      </w:r>
      <w:r w:rsidR="76C2C746">
        <w:rPr/>
        <w:t>for the buzzword, therefore prioritising the foundations needed to support AI at a large scale and investing in readiness so that they are able to adapt as AI</w:t>
      </w:r>
      <w:r w:rsidR="10199962">
        <w:rPr/>
        <w:t xml:space="preserve">’s capability </w:t>
      </w:r>
      <w:r w:rsidR="10199962">
        <w:rPr/>
        <w:t>improves.[</w:t>
      </w:r>
      <w:r w:rsidR="10199962">
        <w:rPr/>
        <w:t>1</w:t>
      </w:r>
      <w:r w:rsidR="7F451B0F">
        <w:rPr/>
        <w:t>8]</w:t>
      </w:r>
    </w:p>
    <w:p w:rsidRPr="001869E6" w:rsidR="001869E6" w:rsidP="4BDDEE6F" w:rsidRDefault="001869E6" w14:paraId="6E3F6C92" w14:textId="77777777">
      <w:pPr>
        <w:pStyle w:val="Heading1"/>
        <w:rPr>
          <w:b w:val="1"/>
          <w:bCs w:val="1"/>
          <w:sz w:val="44"/>
          <w:szCs w:val="44"/>
        </w:rPr>
      </w:pPr>
      <w:bookmarkStart w:name="_Toc2122399685" w:id="1464590754"/>
      <w:r w:rsidRPr="4BDDEE6F" w:rsidR="001869E6">
        <w:rPr>
          <w:b w:val="1"/>
          <w:bCs w:val="1"/>
          <w:sz w:val="44"/>
          <w:szCs w:val="44"/>
        </w:rPr>
        <w:lastRenderedPageBreak/>
        <w:t>Conclusion</w:t>
      </w:r>
      <w:bookmarkEnd w:id="1464590754"/>
    </w:p>
    <w:p w:rsidR="47BB2736" w:rsidP="4BDDEE6F" w:rsidRDefault="47BB2736" w14:paraId="3C6E9B1A" w14:textId="4496A3B0">
      <w:pPr>
        <w:pStyle w:val="Normal"/>
      </w:pPr>
      <w:r w:rsidR="47BB2736">
        <w:rPr/>
        <w:t xml:space="preserve">To conclude, it is </w:t>
      </w:r>
      <w:r w:rsidR="47BB2736">
        <w:rPr/>
        <w:t>very important</w:t>
      </w:r>
      <w:r w:rsidR="47BB2736">
        <w:rPr/>
        <w:t xml:space="preserve"> to have strong governance due to the new security and ethical risks that modern AI systems are introducing. </w:t>
      </w:r>
      <w:r w:rsidR="47BB2736">
        <w:rPr/>
        <w:t>It’s</w:t>
      </w:r>
      <w:r w:rsidR="47BB2736">
        <w:rPr/>
        <w:t xml:space="preserve"> obvious that governance frameworks are still in </w:t>
      </w:r>
      <w:r w:rsidR="47BB2736">
        <w:rPr/>
        <w:t>early stages</w:t>
      </w:r>
      <w:r w:rsidR="47BB2736">
        <w:rPr/>
        <w:t xml:space="preserve">, especially on a global scale </w:t>
      </w:r>
      <w:r w:rsidR="4B7313D8">
        <w:rPr/>
        <w:t xml:space="preserve">and </w:t>
      </w:r>
      <w:r w:rsidR="4B7313D8">
        <w:rPr/>
        <w:t>aren’t</w:t>
      </w:r>
      <w:r w:rsidR="4B7313D8">
        <w:rPr/>
        <w:t xml:space="preserve"> ready to be used as the only source of truth.</w:t>
      </w:r>
      <w:r w:rsidR="679D4C83">
        <w:rPr/>
        <w:t xml:space="preserve"> As a result of </w:t>
      </w:r>
      <w:r w:rsidR="73F0B11A">
        <w:rPr/>
        <w:t>this, organisations</w:t>
      </w:r>
      <w:r w:rsidR="679D4C83">
        <w:rPr/>
        <w:t xml:space="preserve"> must implement a proactive approach and begin early phases of AI adoption, with strong governance models to mitigate threats and offer securi</w:t>
      </w:r>
      <w:r w:rsidR="63E7A078">
        <w:rPr/>
        <w:t>ty, fairness and allow regulatory compliance.</w:t>
      </w:r>
    </w:p>
    <w:p w:rsidRPr="00BE6886" w:rsidR="001869E6" w:rsidP="340C47D3" w:rsidRDefault="001869E6" w14:paraId="12369D54" w14:textId="7C1B7C94">
      <w:pPr>
        <w:spacing w:after="0" w:line="300" w:lineRule="atLeast"/>
        <w:ind/>
        <w:rPr>
          <w:rFonts w:ascii="Segoe UI" w:hAnsi="Segoe UI" w:eastAsia="Times New Roman" w:cs="Segoe UI"/>
          <w:kern w:val="0"/>
          <w:sz w:val="22"/>
          <w:szCs w:val="22"/>
          <w:lang w:eastAsia="en-GB"/>
          <w14:ligatures w14:val="none"/>
        </w:rPr>
      </w:pPr>
      <w:r w:rsidRPr="340C47D3" w:rsidR="001869E6">
        <w:rPr>
          <w:rFonts w:ascii="Segoe UI" w:hAnsi="Segoe UI" w:eastAsia="Times New Roman" w:cs="Segoe UI"/>
          <w:sz w:val="22"/>
          <w:szCs w:val="22"/>
          <w:lang w:eastAsia="en-GB"/>
        </w:rPr>
        <w:t xml:space="preserve"> </w:t>
      </w:r>
    </w:p>
    <w:p w:rsidR="00D66FA1" w:rsidP="4BDDEE6F" w:rsidRDefault="00D66FA1" w14:paraId="2DBE42F2" w14:textId="587D9DF9">
      <w:pPr>
        <w:pStyle w:val="Heading1"/>
        <w:rPr>
          <w:rFonts w:ascii="Arial" w:hAnsi="Arial" w:cs="Arial"/>
          <w:b w:val="1"/>
          <w:bCs w:val="1"/>
          <w:color w:val="0B0C0C"/>
          <w:sz w:val="96"/>
          <w:szCs w:val="96"/>
        </w:rPr>
      </w:pPr>
      <w:bookmarkStart w:name="_Toc1160019387" w:id="254980145"/>
      <w:r w:rsidRPr="4BDDEE6F" w:rsidR="00D66FA1">
        <w:rPr>
          <w:b w:val="1"/>
          <w:bCs w:val="1"/>
          <w:sz w:val="48"/>
          <w:szCs w:val="48"/>
        </w:rPr>
        <w:t>REFERENCES</w:t>
      </w:r>
      <w:bookmarkEnd w:id="254980145"/>
    </w:p>
    <w:p w:rsidR="00D66FA1" w:rsidP="4BDDEE6F" w:rsidRDefault="00D66FA1" w14:paraId="3F3AD3BA" w14:textId="6CAAFCE4">
      <w:pPr>
        <w:pStyle w:val="Normal"/>
      </w:pPr>
      <w:r w:rsidR="00D66FA1">
        <w:rPr/>
        <w:t>[1]</w:t>
      </w:r>
      <w:r w:rsidRPr="340C47D3" w:rsidR="6D441570">
        <w:rPr/>
        <w:t xml:space="preserve"> </w:t>
      </w:r>
      <w:r w:rsidRPr="4BDDEE6F" w:rsidR="6D441570">
        <w:rPr>
          <w:noProof w:val="0"/>
          <w:lang w:val="en-GB"/>
        </w:rPr>
        <w:t xml:space="preserve">Department for Science, Innovation and Technology, “Artificial Intelligence sector study 2024,” </w:t>
      </w:r>
      <w:r w:rsidRPr="4BDDEE6F" w:rsidR="6D441570">
        <w:rPr>
          <w:noProof w:val="0"/>
          <w:lang w:val="en-GB"/>
        </w:rPr>
        <w:t>GOV.UK</w:t>
      </w:r>
      <w:r w:rsidRPr="4BDDEE6F" w:rsidR="6D441570">
        <w:rPr>
          <w:noProof w:val="0"/>
          <w:lang w:val="en-GB"/>
        </w:rPr>
        <w:t xml:space="preserve">, Sept. 03, 2025. </w:t>
      </w:r>
      <w:hyperlink r:id="R84d9099ec8d54cab">
        <w:r w:rsidRPr="4BDDEE6F" w:rsidR="6D441570">
          <w:rPr>
            <w:rStyle w:val="Hyperlink"/>
            <w:noProof w:val="0"/>
            <w:lang w:val="en-GB"/>
          </w:rPr>
          <w:t>https://www.gov.uk/government/publications/artificial-intelligence-sector-study-2024/artificial-intelligence-sector-study-2024</w:t>
        </w:r>
      </w:hyperlink>
      <w:r w:rsidRPr="4BDDEE6F" w:rsidR="6D441570">
        <w:rPr>
          <w:noProof w:val="0"/>
          <w:lang w:val="en-GB"/>
        </w:rPr>
        <w:t xml:space="preserve"> (accessed July 14, 2026).</w:t>
      </w:r>
    </w:p>
    <w:p w:rsidR="00D66FA1" w:rsidP="4BDDEE6F" w:rsidRDefault="00D66FA1" w14:paraId="17988582" w14:textId="040CCE37">
      <w:pPr>
        <w:pStyle w:val="Normal"/>
      </w:pPr>
      <w:r w:rsidR="00D66FA1">
        <w:rPr/>
        <w:t>[2]</w:t>
      </w:r>
      <w:r w:rsidRPr="00D66FA1" w:rsidR="00D66FA1">
        <w:rPr/>
        <w:t xml:space="preserve"> </w:t>
      </w:r>
      <w:r w:rsidRPr="4BDDEE6F" w:rsidR="217F27E0">
        <w:rPr>
          <w:noProof w:val="0"/>
          <w:lang w:val="en-GB"/>
        </w:rPr>
        <w:t xml:space="preserve">R. D. Caballar, “10 AI Dangers And Risks </w:t>
      </w:r>
      <w:r w:rsidRPr="4BDDEE6F" w:rsidR="217F27E0">
        <w:rPr>
          <w:noProof w:val="0"/>
          <w:lang w:val="en-GB"/>
        </w:rPr>
        <w:t>And</w:t>
      </w:r>
      <w:r w:rsidRPr="4BDDEE6F" w:rsidR="217F27E0">
        <w:rPr>
          <w:noProof w:val="0"/>
          <w:lang w:val="en-GB"/>
        </w:rPr>
        <w:t xml:space="preserve"> How </w:t>
      </w:r>
      <w:r w:rsidRPr="4BDDEE6F" w:rsidR="217F27E0">
        <w:rPr>
          <w:noProof w:val="0"/>
          <w:lang w:val="en-GB"/>
        </w:rPr>
        <w:t>To</w:t>
      </w:r>
      <w:r w:rsidRPr="4BDDEE6F" w:rsidR="217F27E0">
        <w:rPr>
          <w:noProof w:val="0"/>
          <w:lang w:val="en-GB"/>
        </w:rPr>
        <w:t xml:space="preserve"> Manage Them,” </w:t>
      </w:r>
      <w:r w:rsidRPr="4BDDEE6F" w:rsidR="217F27E0">
        <w:rPr>
          <w:noProof w:val="0"/>
          <w:lang w:val="en-GB"/>
        </w:rPr>
        <w:t>Ibm.com</w:t>
      </w:r>
      <w:r w:rsidRPr="4BDDEE6F" w:rsidR="217F27E0">
        <w:rPr>
          <w:noProof w:val="0"/>
          <w:lang w:val="en-GB"/>
        </w:rPr>
        <w:t xml:space="preserve">, June 25, 2026. </w:t>
      </w:r>
      <w:hyperlink r:id="R7f4f578ae87e45b7">
        <w:r w:rsidRPr="4BDDEE6F" w:rsidR="217F27E0">
          <w:rPr>
            <w:rStyle w:val="Hyperlink"/>
            <w:noProof w:val="0"/>
            <w:lang w:val="en-GB"/>
          </w:rPr>
          <w:t>https://www.ibm.com/think/insights/10-ai-dangers-and-risks-and-how-to-manage-them</w:t>
        </w:r>
      </w:hyperlink>
      <w:r w:rsidRPr="4BDDEE6F" w:rsidR="217F27E0">
        <w:rPr>
          <w:noProof w:val="0"/>
          <w:lang w:val="en-GB"/>
        </w:rPr>
        <w:t xml:space="preserve"> (accessed July 14, 2026).</w:t>
      </w:r>
    </w:p>
    <w:p w:rsidR="00A72D7F" w:rsidP="4BDDEE6F" w:rsidRDefault="00A72D7F" w14:paraId="2FA513F5" w14:textId="3041F707">
      <w:pPr>
        <w:pStyle w:val="Normal"/>
      </w:pPr>
      <w:r w:rsidR="00A72D7F">
        <w:rPr/>
        <w:t>[3]</w:t>
      </w:r>
      <w:r w:rsidRPr="00A72D7F" w:rsidR="00A72D7F">
        <w:rPr/>
        <w:t xml:space="preserve"> </w:t>
      </w:r>
      <w:r w:rsidRPr="4BDDEE6F" w:rsidR="74744B62">
        <w:rPr>
          <w:noProof w:val="0"/>
          <w:lang w:val="en-GB"/>
        </w:rPr>
        <w:t xml:space="preserve">“Black Box AI: Problems, Security Implications, &amp; Solutions,” </w:t>
      </w:r>
      <w:r w:rsidRPr="4BDDEE6F" w:rsidR="74744B62">
        <w:rPr>
          <w:noProof w:val="0"/>
          <w:lang w:val="en-GB"/>
        </w:rPr>
        <w:t>Palo Alto Networks</w:t>
      </w:r>
      <w:r w:rsidRPr="4BDDEE6F" w:rsidR="74744B62">
        <w:rPr>
          <w:noProof w:val="0"/>
          <w:lang w:val="en-GB"/>
        </w:rPr>
        <w:t xml:space="preserve">, 2026. </w:t>
      </w:r>
      <w:hyperlink r:id="R27a332b5ca3e4d9f">
        <w:r w:rsidRPr="4BDDEE6F" w:rsidR="74744B62">
          <w:rPr>
            <w:rStyle w:val="Hyperlink"/>
            <w:noProof w:val="0"/>
            <w:lang w:val="en-GB"/>
          </w:rPr>
          <w:t>https://www.paloaltonetworks.com/cyberpedia/black-box-ai</w:t>
        </w:r>
      </w:hyperlink>
      <w:r w:rsidRPr="4BDDEE6F" w:rsidR="74744B62">
        <w:rPr>
          <w:noProof w:val="0"/>
          <w:lang w:val="en-GB"/>
        </w:rPr>
        <w:t xml:space="preserve"> (accessed July 14, 2026).</w:t>
      </w:r>
    </w:p>
    <w:p w:rsidR="00DC7C81" w:rsidP="4BDDEE6F" w:rsidRDefault="00DC7C81" w14:paraId="67CDFD8E" w14:textId="14BABD08">
      <w:pPr>
        <w:pStyle w:val="Normal"/>
      </w:pPr>
      <w:r w:rsidR="00DC7C81">
        <w:rPr/>
        <w:t>[4]</w:t>
      </w:r>
      <w:r w:rsidRPr="00DC7C81" w:rsidR="00DC7C81">
        <w:rPr/>
        <w:t xml:space="preserve"> </w:t>
      </w:r>
      <w:r w:rsidRPr="4BDDEE6F" w:rsidR="092B8E67">
        <w:rPr>
          <w:noProof w:val="0"/>
          <w:lang w:val="en-GB"/>
        </w:rPr>
        <w:t xml:space="preserve">“Risk Management in AI | IBM,” </w:t>
      </w:r>
      <w:r w:rsidRPr="4BDDEE6F" w:rsidR="092B8E67">
        <w:rPr>
          <w:noProof w:val="0"/>
          <w:lang w:val="en-GB"/>
        </w:rPr>
        <w:t>Ibm.com</w:t>
      </w:r>
      <w:r w:rsidRPr="4BDDEE6F" w:rsidR="092B8E67">
        <w:rPr>
          <w:noProof w:val="0"/>
          <w:lang w:val="en-GB"/>
        </w:rPr>
        <w:t xml:space="preserve">, June 20, 2024. </w:t>
      </w:r>
      <w:hyperlink r:id="Rd8d08b12749a45fd">
        <w:r w:rsidRPr="4BDDEE6F" w:rsidR="092B8E67">
          <w:rPr>
            <w:rStyle w:val="Hyperlink"/>
            <w:noProof w:val="0"/>
            <w:lang w:val="en-GB"/>
          </w:rPr>
          <w:t>https://www.ibm.com/think/insights/ai-risk-management</w:t>
        </w:r>
      </w:hyperlink>
      <w:r w:rsidRPr="4BDDEE6F" w:rsidR="092B8E67">
        <w:rPr>
          <w:noProof w:val="0"/>
          <w:lang w:val="en-GB"/>
        </w:rPr>
        <w:t xml:space="preserve"> (accessed July 14, 2026).</w:t>
      </w:r>
    </w:p>
    <w:p w:rsidR="00BE6886" w:rsidP="4BDDEE6F" w:rsidRDefault="00BE6886" w14:paraId="396597B6" w14:textId="7F3614B5">
      <w:pPr>
        <w:pStyle w:val="Normal"/>
      </w:pPr>
      <w:r w:rsidR="00BE6886">
        <w:rPr/>
        <w:t xml:space="preserve">[5]</w:t>
      </w:r>
      <w:r w:rsidRPr="4BDDEE6F" w:rsidR="020D0B61">
        <w:rPr>
          <w:noProof w:val="0"/>
          <w:lang w:val="en-GB"/>
        </w:rPr>
        <w:t xml:space="preserve">“What is AI Governance? | IBM,” </w:t>
      </w:r>
      <w:r w:rsidRPr="4BDDEE6F" w:rsidR="020D0B61">
        <w:rPr>
          <w:noProof w:val="0"/>
          <w:lang w:val="en-GB"/>
        </w:rPr>
        <w:t>Ibm.com</w:t>
      </w:r>
      <w:r w:rsidRPr="4BDDEE6F" w:rsidR="020D0B61">
        <w:rPr>
          <w:noProof w:val="0"/>
          <w:lang w:val="en-GB"/>
        </w:rPr>
        <w:t xml:space="preserve">, Oct. 10, 2024. </w:t>
      </w:r>
      <w:hyperlink r:id="Ra785d4b2ff7d4c40">
        <w:r w:rsidRPr="4BDDEE6F" w:rsidR="020D0B61">
          <w:rPr>
            <w:rStyle w:val="Hyperlink"/>
            <w:noProof w:val="0"/>
            <w:lang w:val="en-GB"/>
          </w:rPr>
          <w:t>https://www.ibm.com/think/topics/ai-governance</w:t>
        </w:r>
      </w:hyperlink>
      <w:r w:rsidRPr="4BDDEE6F" w:rsidR="020D0B61">
        <w:rPr>
          <w:noProof w:val="0"/>
          <w:lang w:val="en-GB"/>
        </w:rPr>
        <w:t xml:space="preserve"> (accessed July 14, 2026).</w:t>
      </w:r>
    </w:p>
    <w:p w:rsidR="00E1387D" w:rsidP="4BDDEE6F" w:rsidRDefault="00E1387D" w14:paraId="1F6BF6ED" w14:textId="55EBC68B">
      <w:pPr>
        <w:pStyle w:val="Normal"/>
      </w:pPr>
      <w:r w:rsidR="00E1387D">
        <w:rPr/>
        <w:t>[6]</w:t>
      </w:r>
      <w:r w:rsidRPr="00E1387D" w:rsidR="00E1387D">
        <w:rPr/>
        <w:t xml:space="preserve"> </w:t>
      </w:r>
      <w:r w:rsidRPr="4BDDEE6F" w:rsidR="67298013">
        <w:rPr>
          <w:noProof w:val="0"/>
          <w:lang w:val="en-GB"/>
        </w:rPr>
        <w:t xml:space="preserve">NIST, “AI Risk Management Framework,” </w:t>
      </w:r>
      <w:r w:rsidRPr="4BDDEE6F" w:rsidR="67298013">
        <w:rPr>
          <w:noProof w:val="0"/>
          <w:lang w:val="en-GB"/>
        </w:rPr>
        <w:t>Artificial Intelligence Risk Management Framework (AI RMF 1.0)</w:t>
      </w:r>
      <w:r w:rsidRPr="4BDDEE6F" w:rsidR="67298013">
        <w:rPr>
          <w:noProof w:val="0"/>
          <w:lang w:val="en-GB"/>
        </w:rPr>
        <w:t xml:space="preserve">, vol. 1, no. 1, Jan. 2023, </w:t>
      </w:r>
      <w:r w:rsidRPr="4BDDEE6F" w:rsidR="67298013">
        <w:rPr>
          <w:noProof w:val="0"/>
          <w:lang w:val="en-GB"/>
        </w:rPr>
        <w:t>doi</w:t>
      </w:r>
      <w:r w:rsidRPr="4BDDEE6F" w:rsidR="67298013">
        <w:rPr>
          <w:noProof w:val="0"/>
          <w:lang w:val="en-GB"/>
        </w:rPr>
        <w:t>: 10.6028/nist.ai.100-1.</w:t>
      </w:r>
    </w:p>
    <w:p w:rsidR="00130599" w:rsidP="4BDDEE6F" w:rsidRDefault="00130599" w14:paraId="0AA9A7B2" w14:textId="50AAAE96">
      <w:pPr>
        <w:pStyle w:val="Normal"/>
      </w:pPr>
      <w:r w:rsidR="00130599">
        <w:rPr/>
        <w:t>[7]</w:t>
      </w:r>
      <w:r w:rsidRPr="4BDDEE6F" w:rsidR="5172EA40">
        <w:rPr>
          <w:noProof w:val="0"/>
          <w:lang w:val="en-GB"/>
        </w:rPr>
        <w:t xml:space="preserve">“AI Governance Needs More Than Policies | Gartner,” </w:t>
      </w:r>
      <w:r w:rsidRPr="4BDDEE6F" w:rsidR="5172EA40">
        <w:rPr>
          <w:noProof w:val="0"/>
          <w:lang w:val="en-GB"/>
        </w:rPr>
        <w:t>Gartner</w:t>
      </w:r>
      <w:r w:rsidRPr="4BDDEE6F" w:rsidR="5172EA40">
        <w:rPr>
          <w:noProof w:val="0"/>
          <w:lang w:val="en-GB"/>
        </w:rPr>
        <w:t xml:space="preserve">, June 10, 2026. </w:t>
      </w:r>
      <w:hyperlink r:id="R79f12558461b4ec7">
        <w:r w:rsidRPr="4BDDEE6F" w:rsidR="5172EA40">
          <w:rPr>
            <w:rStyle w:val="Hyperlink"/>
            <w:noProof w:val="0"/>
            <w:lang w:val="en-GB"/>
          </w:rPr>
          <w:t>https://www.gartner.com/en/articles/ai-governance-trism</w:t>
        </w:r>
      </w:hyperlink>
      <w:r w:rsidRPr="4BDDEE6F" w:rsidR="5172EA40">
        <w:rPr>
          <w:noProof w:val="0"/>
          <w:lang w:val="en-GB"/>
        </w:rPr>
        <w:t xml:space="preserve"> (accessed July 14, 2026).</w:t>
      </w:r>
    </w:p>
    <w:p w:rsidR="00130599" w:rsidP="4BDDEE6F" w:rsidRDefault="00130599" w14:paraId="103605DF" w14:textId="3774B991">
      <w:pPr>
        <w:pStyle w:val="Normal"/>
      </w:pPr>
      <w:r w:rsidRPr="4BDDEE6F" w:rsidR="5172EA40">
        <w:rPr>
          <w:noProof w:val="0"/>
          <w:lang w:val="en-GB"/>
        </w:rPr>
        <w:t>‌</w:t>
      </w:r>
    </w:p>
    <w:p w:rsidR="00130599" w:rsidP="4BDDEE6F" w:rsidRDefault="00130599" w14:paraId="64BC151F" w14:textId="21FEDB98">
      <w:pPr>
        <w:pStyle w:val="Normal"/>
      </w:pPr>
    </w:p>
    <w:p w:rsidR="00EA336C" w:rsidP="4BDDEE6F" w:rsidRDefault="00EA336C" w14:paraId="4731EEF8" w14:textId="35B3C71D">
      <w:pPr>
        <w:pStyle w:val="Normal"/>
      </w:pPr>
      <w:r w:rsidR="00EA336C">
        <w:rPr/>
        <w:t>[8]</w:t>
      </w:r>
      <w:r w:rsidRPr="00EA336C" w:rsidR="00EA336C">
        <w:rPr/>
        <w:t xml:space="preserve"> </w:t>
      </w:r>
      <w:r w:rsidRPr="4BDDEE6F" w:rsidR="09BEE7E2">
        <w:rPr>
          <w:noProof w:val="0"/>
          <w:lang w:val="en-GB"/>
        </w:rPr>
        <w:t xml:space="preserve">C. Boutin, “NIST Identifies Types of Cyberattacks That Manipulate </w:t>
      </w:r>
      <w:r w:rsidRPr="4BDDEE6F" w:rsidR="09BEE7E2">
        <w:rPr>
          <w:noProof w:val="0"/>
          <w:lang w:val="en-GB"/>
        </w:rPr>
        <w:t>Behavior</w:t>
      </w:r>
      <w:r w:rsidRPr="4BDDEE6F" w:rsidR="09BEE7E2">
        <w:rPr>
          <w:noProof w:val="0"/>
          <w:lang w:val="en-GB"/>
        </w:rPr>
        <w:t xml:space="preserve"> of AI Systems,” </w:t>
      </w:r>
      <w:r w:rsidRPr="4BDDEE6F" w:rsidR="09BEE7E2">
        <w:rPr>
          <w:noProof w:val="0"/>
          <w:lang w:val="en-GB"/>
        </w:rPr>
        <w:t>NIST</w:t>
      </w:r>
      <w:r w:rsidRPr="4BDDEE6F" w:rsidR="09BEE7E2">
        <w:rPr>
          <w:noProof w:val="0"/>
          <w:lang w:val="en-GB"/>
        </w:rPr>
        <w:t xml:space="preserve">, Jan. 04, 2024. </w:t>
      </w:r>
      <w:hyperlink r:id="Re1218a03b62d469c">
        <w:r w:rsidRPr="4BDDEE6F" w:rsidR="09BEE7E2">
          <w:rPr>
            <w:rStyle w:val="Hyperlink"/>
            <w:noProof w:val="0"/>
            <w:lang w:val="en-GB"/>
          </w:rPr>
          <w:t>https://www.nist.gov/news-events/news/2024/01/nist-identifies-types-cyberattacks-manipulate-behavior-ai-systems</w:t>
        </w:r>
      </w:hyperlink>
      <w:r w:rsidRPr="4BDDEE6F" w:rsidR="09BEE7E2">
        <w:rPr>
          <w:noProof w:val="0"/>
          <w:lang w:val="en-GB"/>
        </w:rPr>
        <w:t xml:space="preserve"> (accessed July 14, 2026).</w:t>
      </w:r>
    </w:p>
    <w:p w:rsidR="00EA336C" w:rsidP="4BDDEE6F" w:rsidRDefault="00C25753" w14:paraId="4C2B586E" w14:textId="6D9B04C5">
      <w:pPr>
        <w:pStyle w:val="Normal"/>
      </w:pPr>
      <w:r w:rsidR="00C25753">
        <w:rPr/>
        <w:t>[9]</w:t>
      </w:r>
      <w:r w:rsidR="00C25753">
        <w:rPr/>
        <w:t xml:space="preserve"> </w:t>
      </w:r>
      <w:r w:rsidRPr="4BDDEE6F" w:rsidR="575CC673">
        <w:rPr>
          <w:noProof w:val="0"/>
          <w:lang w:val="en-GB"/>
        </w:rPr>
        <w:t xml:space="preserve">“What Is Model Drift? | IBM,” </w:t>
      </w:r>
      <w:r w:rsidRPr="4BDDEE6F" w:rsidR="575CC673">
        <w:rPr>
          <w:noProof w:val="0"/>
          <w:lang w:val="en-GB"/>
        </w:rPr>
        <w:t>Ibm.com</w:t>
      </w:r>
      <w:r w:rsidRPr="4BDDEE6F" w:rsidR="575CC673">
        <w:rPr>
          <w:noProof w:val="0"/>
          <w:lang w:val="en-GB"/>
        </w:rPr>
        <w:t xml:space="preserve">, July 16, 2024. </w:t>
      </w:r>
      <w:hyperlink r:id="R73245f154dfa4988">
        <w:r w:rsidRPr="4BDDEE6F" w:rsidR="575CC673">
          <w:rPr>
            <w:rStyle w:val="Hyperlink"/>
            <w:noProof w:val="0"/>
            <w:lang w:val="en-GB"/>
          </w:rPr>
          <w:t>https://www.ibm.com/think/topics/model-drift</w:t>
        </w:r>
      </w:hyperlink>
      <w:r w:rsidRPr="4BDDEE6F" w:rsidR="575CC673">
        <w:rPr>
          <w:noProof w:val="0"/>
          <w:lang w:val="en-GB"/>
        </w:rPr>
        <w:t xml:space="preserve"> (accessed July 14, 2026).</w:t>
      </w:r>
    </w:p>
    <w:p w:rsidR="00C25753" w:rsidP="4BDDEE6F" w:rsidRDefault="00C25753" w14:paraId="1AA7BA37" w14:textId="7D72F162">
      <w:pPr>
        <w:pStyle w:val="Normal"/>
      </w:pPr>
      <w:r w:rsidR="00C25753">
        <w:rPr/>
        <w:t>[10]</w:t>
      </w:r>
      <w:r w:rsidR="00C25753">
        <w:rPr/>
        <w:t xml:space="preserve"> </w:t>
      </w:r>
      <w:r w:rsidRPr="4BDDEE6F" w:rsidR="329EFA1D">
        <w:rPr>
          <w:noProof w:val="0"/>
          <w:lang w:val="en-GB"/>
        </w:rPr>
        <w:t>OWASPGenAIProject</w:t>
      </w:r>
      <w:r w:rsidRPr="4BDDEE6F" w:rsidR="329EFA1D">
        <w:rPr>
          <w:noProof w:val="0"/>
          <w:lang w:val="en-GB"/>
        </w:rPr>
        <w:t xml:space="preserve"> Editor, “LLM04:2025 Data and Model Poisoning - OWASP Gen AI Security Project,” </w:t>
      </w:r>
      <w:r w:rsidRPr="4BDDEE6F" w:rsidR="329EFA1D">
        <w:rPr>
          <w:noProof w:val="0"/>
          <w:lang w:val="en-GB"/>
        </w:rPr>
        <w:t>OWASP Gen AI Security Project</w:t>
      </w:r>
      <w:r w:rsidRPr="4BDDEE6F" w:rsidR="329EFA1D">
        <w:rPr>
          <w:noProof w:val="0"/>
          <w:lang w:val="en-GB"/>
        </w:rPr>
        <w:t xml:space="preserve">, Apr. 10, 2024. </w:t>
      </w:r>
      <w:hyperlink r:id="R2ce1440ca7034e1b">
        <w:r w:rsidRPr="4BDDEE6F" w:rsidR="329EFA1D">
          <w:rPr>
            <w:rStyle w:val="Hyperlink"/>
            <w:noProof w:val="0"/>
            <w:lang w:val="en-GB"/>
          </w:rPr>
          <w:t>https://genai.owasp.org/llmrisk/llm042025-data-and-model-poisoning/</w:t>
        </w:r>
      </w:hyperlink>
      <w:r w:rsidRPr="4BDDEE6F" w:rsidR="329EFA1D">
        <w:rPr>
          <w:noProof w:val="0"/>
          <w:lang w:val="en-GB"/>
        </w:rPr>
        <w:t xml:space="preserve"> (accessed July 14, 2026).</w:t>
      </w:r>
    </w:p>
    <w:p w:rsidR="00AA5027" w:rsidP="4BDDEE6F" w:rsidRDefault="00AA5027" w14:paraId="5EB8A167" w14:textId="1E9C2BBD">
      <w:pPr>
        <w:pStyle w:val="Normal"/>
      </w:pPr>
      <w:r w:rsidR="00AA5027">
        <w:rPr/>
        <w:t xml:space="preserve">[11] </w:t>
      </w:r>
      <w:r w:rsidRPr="4BDDEE6F" w:rsidR="152069F9">
        <w:rPr>
          <w:noProof w:val="0"/>
          <w:lang w:val="en-GB"/>
        </w:rPr>
        <w:t xml:space="preserve">E. Castilla, “AI is reinventing hiring — with the same old biases. </w:t>
      </w:r>
      <w:r w:rsidRPr="4BDDEE6F" w:rsidR="152069F9">
        <w:rPr>
          <w:noProof w:val="0"/>
          <w:lang w:val="en-GB"/>
        </w:rPr>
        <w:t>Here’s</w:t>
      </w:r>
      <w:r w:rsidRPr="4BDDEE6F" w:rsidR="152069F9">
        <w:rPr>
          <w:noProof w:val="0"/>
          <w:lang w:val="en-GB"/>
        </w:rPr>
        <w:t xml:space="preserve"> how to avoid that trap,” </w:t>
      </w:r>
      <w:r w:rsidRPr="4BDDEE6F" w:rsidR="152069F9">
        <w:rPr>
          <w:noProof w:val="0"/>
          <w:lang w:val="en-GB"/>
        </w:rPr>
        <w:t>MIT Sloan</w:t>
      </w:r>
      <w:r w:rsidRPr="4BDDEE6F" w:rsidR="152069F9">
        <w:rPr>
          <w:noProof w:val="0"/>
          <w:lang w:val="en-GB"/>
        </w:rPr>
        <w:t xml:space="preserve">, Dec. 15, 2025. </w:t>
      </w:r>
      <w:hyperlink r:id="R1aa197c8544741fd">
        <w:r w:rsidRPr="4BDDEE6F" w:rsidR="152069F9">
          <w:rPr>
            <w:rStyle w:val="Hyperlink"/>
            <w:noProof w:val="0"/>
            <w:lang w:val="en-GB"/>
          </w:rPr>
          <w:t>https://mitsloan.mit.edu/ideas-made-to-matter/ai-reinventing-hiring-same-old-biases-heres-how-to-avoid-trap</w:t>
        </w:r>
      </w:hyperlink>
      <w:r w:rsidRPr="4BDDEE6F" w:rsidR="152069F9">
        <w:rPr>
          <w:noProof w:val="0"/>
          <w:lang w:val="en-GB"/>
        </w:rPr>
        <w:t xml:space="preserve"> (accessed July 14, 2026).</w:t>
      </w:r>
    </w:p>
    <w:p w:rsidR="00583BB7" w:rsidP="4BDDEE6F" w:rsidRDefault="00583BB7" w14:paraId="7B18911B" w14:textId="3D9D2D61">
      <w:pPr>
        <w:pStyle w:val="Normal"/>
      </w:pPr>
      <w:r w:rsidR="00583BB7">
        <w:rPr/>
        <w:t>[1</w:t>
      </w:r>
      <w:r w:rsidR="00AA5027">
        <w:rPr/>
        <w:t>2</w:t>
      </w:r>
      <w:r w:rsidR="00583BB7">
        <w:rPr/>
        <w:t>]</w:t>
      </w:r>
      <w:r w:rsidR="403A6F40">
        <w:rPr/>
        <w:t xml:space="preserve"> </w:t>
      </w:r>
      <w:r w:rsidRPr="4BDDEE6F" w:rsidR="403A6F40">
        <w:rPr>
          <w:noProof w:val="0"/>
          <w:lang w:val="en-GB"/>
        </w:rPr>
        <w:t xml:space="preserve">J. Dastin, “Insight - Amazon scraps secret AI recruiting tool that showed bias against women,” </w:t>
      </w:r>
      <w:r w:rsidRPr="4BDDEE6F" w:rsidR="403A6F40">
        <w:rPr>
          <w:noProof w:val="0"/>
          <w:lang w:val="en-GB"/>
        </w:rPr>
        <w:t>Reuters</w:t>
      </w:r>
      <w:r w:rsidRPr="4BDDEE6F" w:rsidR="403A6F40">
        <w:rPr>
          <w:noProof w:val="0"/>
          <w:lang w:val="en-GB"/>
        </w:rPr>
        <w:t xml:space="preserve">, Oct. 11, 2018. </w:t>
      </w:r>
      <w:hyperlink r:id="R1541738fe03e4e74">
        <w:r w:rsidRPr="4BDDEE6F" w:rsidR="403A6F40">
          <w:rPr>
            <w:rStyle w:val="Hyperlink"/>
            <w:noProof w:val="0"/>
            <w:lang w:val="en-GB"/>
          </w:rPr>
          <w:t>https://www.reuters.com/article/world/insight-amazon-scraps-secret-ai-recruiting-tool-that-showed-bias-against-women-idUSKCN1MK0AG/</w:t>
        </w:r>
      </w:hyperlink>
      <w:r w:rsidRPr="4BDDEE6F" w:rsidR="403A6F40">
        <w:rPr>
          <w:noProof w:val="0"/>
          <w:lang w:val="en-GB"/>
        </w:rPr>
        <w:t xml:space="preserve"> (accessed July 14, 2026).</w:t>
      </w:r>
    </w:p>
    <w:p w:rsidR="340C47D3" w:rsidP="4BDDEE6F" w:rsidRDefault="340C47D3" w14:paraId="58642523" w14:textId="3B462E5C">
      <w:pPr>
        <w:pStyle w:val="Normal"/>
        <w:rPr>
          <w:noProof w:val="0"/>
          <w:lang w:val="en-GB"/>
        </w:rPr>
      </w:pPr>
    </w:p>
    <w:p w:rsidR="00230DA1" w:rsidP="4BDDEE6F" w:rsidRDefault="00230DA1" w14:paraId="1FF0D718" w14:textId="5342CC88">
      <w:pPr>
        <w:pStyle w:val="Normal"/>
      </w:pPr>
      <w:r w:rsidR="00230DA1">
        <w:rPr/>
        <w:t>[13]</w:t>
      </w:r>
      <w:r w:rsidR="00230DA1">
        <w:rPr/>
        <w:t xml:space="preserve"> </w:t>
      </w:r>
      <w:r w:rsidRPr="4BDDEE6F" w:rsidR="099338AC">
        <w:rPr>
          <w:noProof w:val="0"/>
          <w:lang w:val="en-GB"/>
        </w:rPr>
        <w:t xml:space="preserve">“How We </w:t>
      </w:r>
      <w:r w:rsidRPr="4BDDEE6F" w:rsidR="099338AC">
        <w:rPr>
          <w:noProof w:val="0"/>
          <w:lang w:val="en-GB"/>
        </w:rPr>
        <w:t>Analyzed</w:t>
      </w:r>
      <w:r w:rsidRPr="4BDDEE6F" w:rsidR="099338AC">
        <w:rPr>
          <w:noProof w:val="0"/>
          <w:lang w:val="en-GB"/>
        </w:rPr>
        <w:t xml:space="preserve"> the COMPAS Recidivism Algorithm,” </w:t>
      </w:r>
      <w:r w:rsidRPr="4BDDEE6F" w:rsidR="099338AC">
        <w:rPr>
          <w:noProof w:val="0"/>
          <w:lang w:val="en-GB"/>
        </w:rPr>
        <w:t>ProPublica</w:t>
      </w:r>
      <w:r w:rsidRPr="4BDDEE6F" w:rsidR="099338AC">
        <w:rPr>
          <w:noProof w:val="0"/>
          <w:lang w:val="en-GB"/>
        </w:rPr>
        <w:t xml:space="preserve">, May 23, 2016. </w:t>
      </w:r>
      <w:hyperlink r:id="Ra2b1d17faed6441d">
        <w:r w:rsidRPr="4BDDEE6F" w:rsidR="099338AC">
          <w:rPr>
            <w:rStyle w:val="Hyperlink"/>
            <w:noProof w:val="0"/>
            <w:lang w:val="en-GB"/>
          </w:rPr>
          <w:t>https://www.propublica.org/article/how-we-analyzed-the-compas-recidivism-algorithm</w:t>
        </w:r>
      </w:hyperlink>
      <w:r w:rsidRPr="4BDDEE6F" w:rsidR="099338AC">
        <w:rPr>
          <w:noProof w:val="0"/>
          <w:lang w:val="en-GB"/>
        </w:rPr>
        <w:t xml:space="preserve"> (accessed July 14, 2026).</w:t>
      </w:r>
    </w:p>
    <w:p w:rsidR="00527909" w:rsidP="4BDDEE6F" w:rsidRDefault="00527909" w14:paraId="001A2EEA" w14:textId="19C2253A">
      <w:pPr>
        <w:pStyle w:val="Normal"/>
      </w:pPr>
      <w:r w:rsidR="00527909">
        <w:rPr/>
        <w:t>[14]</w:t>
      </w:r>
      <w:r w:rsidR="00527909">
        <w:rPr/>
        <w:t xml:space="preserve"> </w:t>
      </w:r>
      <w:r w:rsidRPr="4BDDEE6F" w:rsidR="376880BA">
        <w:rPr>
          <w:noProof w:val="0"/>
          <w:lang w:val="en-GB"/>
        </w:rPr>
        <w:t>“</w:t>
      </w:r>
      <w:r w:rsidRPr="4BDDEE6F" w:rsidR="376880BA">
        <w:rPr>
          <w:noProof w:val="0"/>
          <w:lang w:val="en-GB"/>
        </w:rPr>
        <w:t>BigQuery</w:t>
      </w:r>
      <w:r w:rsidRPr="4BDDEE6F" w:rsidR="376880BA">
        <w:rPr>
          <w:noProof w:val="0"/>
          <w:lang w:val="en-GB"/>
        </w:rPr>
        <w:t xml:space="preserve"> Explainable AI overview,” </w:t>
      </w:r>
      <w:r w:rsidRPr="4BDDEE6F" w:rsidR="376880BA">
        <w:rPr>
          <w:noProof w:val="0"/>
          <w:lang w:val="en-GB"/>
        </w:rPr>
        <w:t>Google Cloud Documentation</w:t>
      </w:r>
      <w:r w:rsidRPr="4BDDEE6F" w:rsidR="376880BA">
        <w:rPr>
          <w:noProof w:val="0"/>
          <w:lang w:val="en-GB"/>
        </w:rPr>
        <w:t xml:space="preserve">, 2026. </w:t>
      </w:r>
      <w:hyperlink r:id="Ra64788f690874975">
        <w:r w:rsidRPr="4BDDEE6F" w:rsidR="376880BA">
          <w:rPr>
            <w:rStyle w:val="Hyperlink"/>
            <w:noProof w:val="0"/>
            <w:lang w:val="en-GB"/>
          </w:rPr>
          <w:t>https://docs.cloud.google.com/bigquery/docs/xai-overview</w:t>
        </w:r>
      </w:hyperlink>
      <w:r w:rsidRPr="4BDDEE6F" w:rsidR="376880BA">
        <w:rPr>
          <w:noProof w:val="0"/>
          <w:lang w:val="en-GB"/>
        </w:rPr>
        <w:t xml:space="preserve"> (accessed July 14, 2026).</w:t>
      </w:r>
    </w:p>
    <w:p w:rsidR="2915E0E8" w:rsidP="4BDDEE6F" w:rsidRDefault="2915E0E8" w14:paraId="0CB0005A" w14:textId="482162E2">
      <w:pPr>
        <w:pStyle w:val="Normal"/>
      </w:pPr>
      <w:r w:rsidR="2915E0E8">
        <w:rPr/>
        <w:t>[15</w:t>
      </w:r>
      <w:r w:rsidR="2915E0E8">
        <w:rPr/>
        <w:t>]</w:t>
      </w:r>
      <w:r w:rsidRPr="4BDDEE6F" w:rsidR="09E0DB8C">
        <w:rPr>
          <w:noProof w:val="0"/>
          <w:lang w:val="en-GB"/>
        </w:rPr>
        <w:t xml:space="preserve">K. Martineau, “What is red teaming for generative </w:t>
      </w:r>
      <w:r w:rsidRPr="4BDDEE6F" w:rsidR="09E0DB8C">
        <w:rPr>
          <w:noProof w:val="0"/>
          <w:lang w:val="en-GB"/>
        </w:rPr>
        <w:t>AI?,</w:t>
      </w:r>
      <w:r w:rsidRPr="4BDDEE6F" w:rsidR="09E0DB8C">
        <w:rPr>
          <w:noProof w:val="0"/>
          <w:lang w:val="en-GB"/>
        </w:rPr>
        <w:t xml:space="preserve">” </w:t>
      </w:r>
      <w:r w:rsidRPr="4BDDEE6F" w:rsidR="09E0DB8C">
        <w:rPr>
          <w:noProof w:val="0"/>
          <w:lang w:val="en-GB"/>
        </w:rPr>
        <w:t>IBM Research</w:t>
      </w:r>
      <w:r w:rsidRPr="4BDDEE6F" w:rsidR="09E0DB8C">
        <w:rPr>
          <w:noProof w:val="0"/>
          <w:lang w:val="en-GB"/>
        </w:rPr>
        <w:t xml:space="preserve">, Apr. 11, 2024. </w:t>
      </w:r>
      <w:hyperlink r:id="Rd48a0aa6acb54e2e">
        <w:r w:rsidRPr="4BDDEE6F" w:rsidR="09E0DB8C">
          <w:rPr>
            <w:rStyle w:val="Hyperlink"/>
            <w:noProof w:val="0"/>
            <w:lang w:val="en-GB"/>
          </w:rPr>
          <w:t>https://research.ibm.com/blog/what-is-red-teaming-gen-AI</w:t>
        </w:r>
      </w:hyperlink>
      <w:r w:rsidRPr="4BDDEE6F" w:rsidR="09E0DB8C">
        <w:rPr>
          <w:noProof w:val="0"/>
          <w:lang w:val="en-GB"/>
        </w:rPr>
        <w:t xml:space="preserve"> (accessed July 14, 2026).</w:t>
      </w:r>
    </w:p>
    <w:p w:rsidR="340C47D3" w:rsidP="4BDDEE6F" w:rsidRDefault="340C47D3" w14:paraId="53B09A22" w14:textId="391C441E">
      <w:pPr>
        <w:pStyle w:val="Normal"/>
      </w:pPr>
    </w:p>
    <w:p w:rsidR="190A7EE6" w:rsidP="4BDDEE6F" w:rsidRDefault="190A7EE6" w14:paraId="1F1CEE43" w14:textId="79FE6EB8">
      <w:pPr>
        <w:pStyle w:val="Normal"/>
      </w:pPr>
      <w:r w:rsidR="190A7EE6">
        <w:rPr/>
        <w:t xml:space="preserve">[16] </w:t>
      </w:r>
      <w:r w:rsidRPr="4BDDEE6F" w:rsidR="5EBD84A3">
        <w:rPr>
          <w:noProof w:val="0"/>
          <w:lang w:val="en-GB"/>
        </w:rPr>
        <w:t xml:space="preserve">T. Dennis, “Unapproved AI use shows adoption is outpacing governance,” </w:t>
      </w:r>
      <w:r w:rsidRPr="4BDDEE6F" w:rsidR="5EBD84A3">
        <w:rPr>
          <w:noProof w:val="0"/>
          <w:lang w:val="en-GB"/>
        </w:rPr>
        <w:t>Raconteur</w:t>
      </w:r>
      <w:r w:rsidRPr="4BDDEE6F" w:rsidR="5EBD84A3">
        <w:rPr>
          <w:noProof w:val="0"/>
          <w:lang w:val="en-GB"/>
        </w:rPr>
        <w:t xml:space="preserve">, June 22, 2026. </w:t>
      </w:r>
      <w:hyperlink r:id="Rb17cd8c5bca4400a">
        <w:r w:rsidRPr="4BDDEE6F" w:rsidR="5EBD84A3">
          <w:rPr>
            <w:rStyle w:val="Hyperlink"/>
            <w:noProof w:val="0"/>
            <w:lang w:val="en-GB"/>
          </w:rPr>
          <w:t>https://www.raconteur.net/risk-regulation/unapproved-ai-use-shows-adoption-is-outpacing-governance</w:t>
        </w:r>
      </w:hyperlink>
      <w:r w:rsidRPr="4BDDEE6F" w:rsidR="5EBD84A3">
        <w:rPr>
          <w:noProof w:val="0"/>
          <w:lang w:val="en-GB"/>
        </w:rPr>
        <w:t xml:space="preserve"> (accessed July 14, 2026).</w:t>
      </w:r>
    </w:p>
    <w:p w:rsidR="2C779437" w:rsidP="4BDDEE6F" w:rsidRDefault="2C779437" w14:paraId="297A8F86" w14:textId="3BBE26BE">
      <w:pPr>
        <w:pStyle w:val="Normal"/>
      </w:pPr>
      <w:r w:rsidR="2C779437">
        <w:rPr/>
        <w:t xml:space="preserve">[17] </w:t>
      </w:r>
      <w:r w:rsidRPr="4BDDEE6F" w:rsidR="6A6D7A80">
        <w:rPr>
          <w:noProof w:val="0"/>
          <w:lang w:val="en-GB"/>
        </w:rPr>
        <w:t xml:space="preserve">“A pro-innovation approach to AI regulation: government response - GOV.UK,” </w:t>
      </w:r>
      <w:hyperlink r:id="Rff9e5cf636c249cf">
        <w:r w:rsidRPr="4BDDEE6F" w:rsidR="6A6D7A80">
          <w:rPr>
            <w:rStyle w:val="Hyperlink"/>
            <w:noProof w:val="0"/>
            <w:lang w:val="en-GB"/>
          </w:rPr>
          <w:t>Www.gov.uk</w:t>
        </w:r>
      </w:hyperlink>
      <w:r w:rsidRPr="4BDDEE6F" w:rsidR="6A6D7A80">
        <w:rPr>
          <w:noProof w:val="0"/>
          <w:lang w:val="en-GB"/>
        </w:rPr>
        <w:t xml:space="preserve">, 2026. </w:t>
      </w:r>
      <w:hyperlink r:id="R7d10240d825c4d5f">
        <w:r w:rsidRPr="4BDDEE6F" w:rsidR="6A6D7A80">
          <w:rPr>
            <w:rStyle w:val="Hyperlink"/>
            <w:noProof w:val="0"/>
            <w:lang w:val="en-GB"/>
          </w:rPr>
          <w:t>https://www.gov.uk/government/consultations/ai-regulation-a-pro-innovation-approach-policy-proposals/outcome/a-pro-innovation-approach-to-ai-regulation-government-response</w:t>
        </w:r>
      </w:hyperlink>
      <w:r w:rsidRPr="4BDDEE6F" w:rsidR="6A6D7A80">
        <w:rPr>
          <w:noProof w:val="0"/>
          <w:lang w:val="en-GB"/>
        </w:rPr>
        <w:t xml:space="preserve"> (accessed July 14, 2026).</w:t>
      </w:r>
    </w:p>
    <w:p w:rsidR="382833D6" w:rsidP="4BDDEE6F" w:rsidRDefault="382833D6" w14:paraId="45D5BA47" w14:textId="140976F5">
      <w:pPr>
        <w:pStyle w:val="Normal"/>
      </w:pPr>
      <w:r w:rsidR="382833D6">
        <w:rPr/>
        <w:t xml:space="preserve">[18] </w:t>
      </w:r>
      <w:r w:rsidRPr="4BDDEE6F" w:rsidR="73DD6D93">
        <w:rPr>
          <w:noProof w:val="0"/>
          <w:lang w:val="en-GB"/>
        </w:rPr>
        <w:t xml:space="preserve">“The Biggest AI Adoption Challenges for 2026 | IBM,” </w:t>
      </w:r>
      <w:r w:rsidRPr="4BDDEE6F" w:rsidR="73DD6D93">
        <w:rPr>
          <w:noProof w:val="0"/>
          <w:lang w:val="en-GB"/>
        </w:rPr>
        <w:t>Ibm.com</w:t>
      </w:r>
      <w:r w:rsidRPr="4BDDEE6F" w:rsidR="73DD6D93">
        <w:rPr>
          <w:noProof w:val="0"/>
          <w:lang w:val="en-GB"/>
        </w:rPr>
        <w:t xml:space="preserve">, Feb. 14, 2025. </w:t>
      </w:r>
      <w:hyperlink r:id="Ref338af86c6c4ba3">
        <w:r w:rsidRPr="4BDDEE6F" w:rsidR="73DD6D93">
          <w:rPr>
            <w:rStyle w:val="Hyperlink"/>
            <w:noProof w:val="0"/>
            <w:lang w:val="en-GB"/>
          </w:rPr>
          <w:t>https://www.ibm.com/think/insights/ai-adoption-challenges</w:t>
        </w:r>
      </w:hyperlink>
      <w:r w:rsidRPr="4BDDEE6F" w:rsidR="73DD6D93">
        <w:rPr>
          <w:noProof w:val="0"/>
          <w:lang w:val="en-GB"/>
        </w:rPr>
        <w:t xml:space="preserve"> (accessed July 14, 2026).</w:t>
      </w:r>
    </w:p>
    <w:p w:rsidRPr="00D66FA1" w:rsidR="00C25753" w:rsidP="00290D8B" w:rsidRDefault="00C25753" w14:paraId="5DBD0E29" w14:textId="77777777"/>
    <w:p w:rsidR="4BDDEE6F" w:rsidRDefault="4BDDEE6F" w14:paraId="7A20C5AD" w14:textId="5FA3A95F"/>
    <w:p w:rsidR="4BDDEE6F" w:rsidRDefault="4BDDEE6F" w14:paraId="6D3F9A71" w14:textId="13EFC1FD"/>
    <w:p w:rsidR="4BDDEE6F" w:rsidRDefault="4BDDEE6F" w14:paraId="28E37B31" w14:textId="78CC2D71"/>
    <w:p w:rsidR="4BDDEE6F" w:rsidRDefault="4BDDEE6F" w14:paraId="4F23B27E" w14:textId="795B2A86"/>
    <w:p w:rsidR="0ED3B071" w:rsidP="4BDDEE6F" w:rsidRDefault="0ED3B071" w14:paraId="7A1E4F4C" w14:textId="30E0211E">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72"/>
          <w:szCs w:val="72"/>
          <w:lang w:val="en-GB"/>
        </w:rPr>
      </w:pPr>
      <w:bookmarkStart w:name="_Toc732355261" w:id="64126968"/>
      <w:r w:rsidRPr="4BDDEE6F" w:rsidR="0ED3B071">
        <w:rPr>
          <w:rFonts w:ascii="Aptos" w:hAnsi="Aptos" w:eastAsia="Aptos" w:cs="Aptos"/>
          <w:b w:val="1"/>
          <w:bCs w:val="1"/>
          <w:i w:val="0"/>
          <w:iCs w:val="0"/>
          <w:caps w:val="0"/>
          <w:smallCaps w:val="0"/>
          <w:noProof w:val="0"/>
          <w:color w:val="0F4761" w:themeColor="accent1" w:themeTint="FF" w:themeShade="BF"/>
          <w:sz w:val="72"/>
          <w:szCs w:val="72"/>
          <w:lang w:val="en-GB"/>
        </w:rPr>
        <w:t>Task 2</w:t>
      </w:r>
      <w:bookmarkEnd w:id="64126968"/>
    </w:p>
    <w:p w:rsidR="0ED3B071" w:rsidP="4BDDEE6F" w:rsidRDefault="0ED3B071" w14:paraId="751C689A" w14:textId="17402B0A">
      <w:pPr>
        <w:spacing w:before="210" w:beforeAutospacing="off" w:after="210" w:afterAutospacing="off" w:line="300" w:lineRule="auto"/>
        <w:rPr>
          <w:rFonts w:ascii="Aptos" w:hAnsi="Aptos" w:eastAsia="Aptos" w:cs="Aptos"/>
          <w:b w:val="0"/>
          <w:bCs w:val="0"/>
          <w:i w:val="0"/>
          <w:iCs w:val="0"/>
          <w:caps w:val="0"/>
          <w:smallCaps w:val="0"/>
          <w:noProof w:val="0"/>
          <w:color w:val="000000" w:themeColor="text1" w:themeTint="FF" w:themeShade="FF"/>
          <w:sz w:val="21"/>
          <w:szCs w:val="21"/>
          <w:lang w:val="en-GB"/>
        </w:rPr>
      </w:pPr>
      <w:r w:rsidRPr="4BDDEE6F" w:rsidR="0ED3B071">
        <w:rPr>
          <w:rFonts w:ascii="Aptos" w:hAnsi="Aptos" w:eastAsia="Aptos" w:cs="Aptos"/>
          <w:b w:val="1"/>
          <w:bCs w:val="1"/>
          <w:i w:val="0"/>
          <w:iCs w:val="0"/>
          <w:caps w:val="0"/>
          <w:smallCaps w:val="0"/>
          <w:noProof w:val="0"/>
          <w:color w:val="000000" w:themeColor="text1" w:themeTint="FF" w:themeShade="FF"/>
          <w:sz w:val="21"/>
          <w:szCs w:val="21"/>
          <w:lang w:val="en-GB"/>
        </w:rPr>
        <w:t>CISO Proposal and Information Security Unit Implementation Plan for Aegis FinTech Innovations Ltd: Establishing Secure AI Governance and Regulatory Compliance</w:t>
      </w:r>
    </w:p>
    <w:p w:rsidR="0ED3B071" w:rsidP="4BDDEE6F" w:rsidRDefault="0ED3B071" w14:paraId="6A30AC7F" w14:textId="00C47EF0">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1907253470" w:id="1798513491"/>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Executive Summary</w:t>
      </w:r>
      <w:bookmarkEnd w:id="1798513491"/>
    </w:p>
    <w:p w:rsidR="0ED3B071" w:rsidP="4BDDEE6F" w:rsidRDefault="0ED3B071" w14:paraId="40AC82CF" w14:textId="1751D278">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Aegis Fintech is a London Based Company based in the finance and technology industry and are developing an AI (Artificial Intelligence) powered analytics platform in preparation for an expansion into the European Union. As identified in the research conducted in Task 1, modern AI systems are exposed to many risks including model poisoning and model drift, lack of transparency, adversarial attacks and non-compliance with GDPR and EU AI act. </w:t>
      </w:r>
    </w:p>
    <w:p w:rsidR="0ED3B071" w:rsidP="4BDDEE6F" w:rsidRDefault="0ED3B071" w14:paraId="163B93D3" w14:textId="0A7E943A">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This proposal covers the strategic implementation and design of an Information Security Unit capable of supporting secure growth, regulatory compliance and resilient business operations. The proposed approach leverages the NIST Cybersecurity Framework (CSF 2.0) and the NIST AI Risk Management Framework (AI RMF), ensuring that AI governance and cybersecurity are up to date throughout the organisation.</w:t>
      </w:r>
    </w:p>
    <w:p w:rsidR="0ED3B071" w:rsidP="4BDDEE6F" w:rsidRDefault="0ED3B071" w14:paraId="46D9B54A" w14:textId="5F4AA605">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By implementing recommendations such as Zero Trust architecture, advanced incident response and monitoring and developing a personalised governance roadmap aligning with GDPR and Frameworks Aegis will strengthen its cybersecurity resilience, improve trust in AI systems, meet regulatory requirements and create a secure foundation ready for European expansion.</w:t>
      </w:r>
    </w:p>
    <w:p w:rsidR="0ED3B071" w:rsidP="4BDDEE6F" w:rsidRDefault="0ED3B071" w14:paraId="6F580045" w14:textId="312B0D9D">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ED3B071" w:rsidP="4BDDEE6F" w:rsidRDefault="0ED3B071" w14:paraId="5FEC5F5A" w14:textId="0AB7BE6A">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1744265722" w:id="588752186"/>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Introduction</w:t>
      </w:r>
      <w:bookmarkEnd w:id="588752186"/>
    </w:p>
    <w:p w:rsidR="0ED3B071" w:rsidP="4BDDEE6F" w:rsidRDefault="0ED3B071" w14:paraId="5B79C72B" w14:textId="64834489">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As Aegis prepares for European Union expansion and the Series B investment, the company faces pressure to strengthen cybersecurity capabilities and demonstrate compliance with modern evolving regulatory requirements. As the financial sector remains a primary target for cybercriminals, mainly ransomware groups and supply chain attackers, Aegis’ reliance on AI introduces additional governance challenges regarding data privacy, model security and transparency and regulatory compliance.</w:t>
      </w:r>
    </w:p>
    <w:p w:rsidR="0ED3B071" w:rsidP="4BDDEE6F" w:rsidRDefault="0ED3B071" w14:paraId="0B64901C" w14:textId="693FF32B">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The research in task 1 identified that AI systems introduce many unique risks that cannot be managed effectively through traditional cybersecurity controls alone. Modern risks such as model poisoning, model drift, adversarial attacks and ethical bias require a more specialised governance and continuous monitoring throughout the AI lifecycle.</w:t>
      </w:r>
    </w:p>
    <w:p w:rsidR="0ED3B071" w:rsidP="4BDDEE6F" w:rsidRDefault="0ED3B071" w14:paraId="4DF5E9D7" w14:textId="3E518FC5">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In response to these challenges, the Board of Directors has authorised the establishment of a dedicated Information Security Unit. The report translates the findings from the research into a practical implementation strategy for developing the Information Security Unit capable of managing the company’s cybersecurity, AI governance, and regulatory compliance risks.</w:t>
      </w:r>
    </w:p>
    <w:p w:rsidR="0ED3B071" w:rsidP="4BDDEE6F" w:rsidRDefault="0ED3B071" w14:paraId="773F09EF" w14:textId="7CE1ECA9">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941426179" w:id="2016326429"/>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1: Organisational Design &amp; Resourcing</w:t>
      </w:r>
      <w:bookmarkEnd w:id="2016326429"/>
    </w:p>
    <w:p w:rsidR="0ED3B071" w:rsidP="4BDDEE6F" w:rsidRDefault="0ED3B071" w14:paraId="39D1FEFA" w14:textId="3D5C7634">
      <w:pPr>
        <w:spacing w:before="210" w:beforeAutospacing="off" w:after="21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As the backbone of Aegis Fintech's European Union expansion will be the Information Security Unit, led by the CISO (Chief Information Security Officer). As identified in the research, traditional cybersecurity controls alone are insufficient in managing risks manufactured by artificial intelligence. These modern threats include model poisoning, adversarial attacks and model drift. As a result, the proposed organisational structure amalgamates conventional security functions with specialised AI governance capabilities to provide comprehensive protection across the organisation.</w:t>
      </w:r>
    </w:p>
    <w:p w:rsidR="0ED3B071" w:rsidP="4BDDEE6F" w:rsidRDefault="0ED3B071" w14:paraId="305EA0F6" w14:textId="51FF2234">
      <w:pPr>
        <w:spacing w:before="210" w:beforeAutospacing="off" w:after="21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0ED3B071">
        <w:drawing>
          <wp:inline wp14:editId="2D44F872" wp14:anchorId="67F1469A">
            <wp:extent cx="5153025" cy="2752725"/>
            <wp:effectExtent l="0" t="0" r="0" b="0"/>
            <wp:docPr id="1590674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674831" name="Picture 1590674831"/>
                    <pic:cNvPicPr/>
                  </pic:nvPicPr>
                  <pic:blipFill>
                    <a:blip xmlns:r="http://schemas.openxmlformats.org/officeDocument/2006/relationships" r:embed="rId1611425497">
                      <a:extLst>
                        <a:ext uri="{28A0092B-C50C-407E-A947-70E740481C1C}">
                          <a14:useLocalDpi xmlns:a14="http://schemas.microsoft.com/office/drawing/2010/main"/>
                        </a:ext>
                      </a:extLst>
                    </a:blip>
                    <a:stretch>
                      <a:fillRect/>
                    </a:stretch>
                  </pic:blipFill>
                  <pic:spPr>
                    <a:xfrm>
                      <a:off x="0" y="0"/>
                      <a:ext cx="5153025" cy="2752725"/>
                    </a:xfrm>
                    <a:prstGeom prst="rect">
                      <a:avLst/>
                    </a:prstGeom>
                  </pic:spPr>
                </pic:pic>
              </a:graphicData>
            </a:graphic>
          </wp:inline>
        </w:drawing>
      </w:r>
    </w:p>
    <w:p w:rsidR="4BDDEE6F" w:rsidP="4BDDEE6F" w:rsidRDefault="4BDDEE6F" w14:paraId="0944C8F3" w14:textId="1F8535A6">
      <w:pPr>
        <w:spacing w:before="210" w:beforeAutospacing="off" w:after="21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630F6C2D" w14:textId="70F937C3">
      <w:pPr>
        <w:spacing w:before="210" w:beforeAutospacing="off" w:after="210" w:afterAutospacing="off" w:line="30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The Security Operations Manager will oversee daily security monitoring through the SOC (Security Operations Centre), assisted by SOC and Incident Response Analysts who are responsible for threat detection, investigation and recovery from threats and incidents such as ransomware attacks. The Cloud Security Architect will design and maintain secure cloud infrastructure, managing the protection of AI workflows and sensitive financial data hosted within the cloud environments. The DevSecOps Engineer will integrate automatic security testing into the services and lifecycle, reducing our vulnerabilities before deployment and ensuring secure AI software development.</w:t>
      </w:r>
    </w:p>
    <w:p w:rsidR="0ED3B071" w:rsidP="4BDDEE6F" w:rsidRDefault="0ED3B071" w14:paraId="283BDB81" w14:textId="5FCE7F62">
      <w:pPr>
        <w:spacing w:before="210" w:beforeAutospacing="off" w:after="210" w:afterAutospacing="off" w:line="30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As a result of the research, an AI Governance Specialist was included as a dedicated role responsible for conducting risk assessments, evaluating models for bias and red teaming. They will leverage the NIST AI Risk Management Framework. To conclude, the Compliance and Risk Manager and Data Protection Officer will ensure that we are GDPR and DORA compliant, ensuring regulatory obligations, data protection requirements and governance controls are all embedded within our organisational processes to support the European expansion.</w:t>
      </w:r>
    </w:p>
    <w:p w:rsidR="4BDDEE6F" w:rsidP="4BDDEE6F" w:rsidRDefault="4BDDEE6F" w14:paraId="4D7980D8" w14:textId="1528E706">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4D239AB9" w14:textId="0E1D99E9">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1044769198" w:id="919212055"/>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2: Policy Framework Development</w:t>
      </w:r>
      <w:bookmarkEnd w:id="919212055"/>
    </w:p>
    <w:p w:rsidR="0ED3B071" w:rsidP="4BDDEE6F" w:rsidRDefault="0ED3B071" w14:paraId="4FB630F4" w14:textId="6D4E67CB">
      <w:pPr>
        <w:pStyle w:val="Heading2"/>
        <w:keepNext w:val="1"/>
        <w:keepLines w:val="1"/>
        <w:spacing w:before="261" w:beforeAutospacing="off" w:after="261" w:afterAutospacing="off" w:line="300" w:lineRule="auto"/>
        <w:rPr>
          <w:rFonts w:ascii="Aptos" w:hAnsi="Aptos" w:eastAsia="Aptos" w:cs="Aptos"/>
          <w:b w:val="0"/>
          <w:bCs w:val="0"/>
          <w:i w:val="0"/>
          <w:iCs w:val="0"/>
          <w:caps w:val="0"/>
          <w:smallCaps w:val="0"/>
          <w:noProof w:val="0"/>
          <w:color w:val="0F4761" w:themeColor="accent1" w:themeTint="FF" w:themeShade="BF"/>
          <w:sz w:val="31"/>
          <w:szCs w:val="31"/>
          <w:lang w:val="en-GB"/>
        </w:rPr>
      </w:pPr>
      <w:bookmarkStart w:name="_Toc801402184" w:id="1829182354"/>
      <w:r w:rsidRPr="4BDDEE6F" w:rsidR="0ED3B071">
        <w:rPr>
          <w:rFonts w:ascii="Aptos" w:hAnsi="Aptos" w:eastAsia="Aptos" w:cs="Aptos"/>
          <w:b w:val="1"/>
          <w:bCs w:val="1"/>
          <w:i w:val="0"/>
          <w:iCs w:val="0"/>
          <w:caps w:val="0"/>
          <w:smallCaps w:val="0"/>
          <w:noProof w:val="0"/>
          <w:color w:val="0F4761" w:themeColor="accent1" w:themeTint="FF" w:themeShade="BF"/>
          <w:sz w:val="31"/>
          <w:szCs w:val="31"/>
          <w:lang w:val="en-GB"/>
        </w:rPr>
        <w:t>Policy 1: Acceptable Use Policy for AI &amp; Cloud Services</w:t>
      </w:r>
      <w:bookmarkEnd w:id="1829182354"/>
    </w:p>
    <w:p w:rsidR="0ED3B071" w:rsidP="4BDDEE6F" w:rsidRDefault="0ED3B071" w14:paraId="69931FB4" w14:textId="42EDC2BD">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The main purpose of this policy is to establish clear rules regarding the secure and ethical use of AI and cloud technologies within Aegis Fintech, to ensure we are protecting sensitive financial information while ensuring GDPR compliance and organisational security standards. This policy will apply to all employees, and contracted employees and third-party users that access company AI systems, our cloud services or dealing with customer data. As identified in the research, the AI introduced risks cannot be managed with traditional cybersecurity mitigations alone. To lessen the risks, employees must only use organisation approved tools and cloud services. Customer information must not be entered into public AI platforms without authorisation. AI generated output used for business decisions must go through human review before being implemented, and all AI activity must be logged and monitored to support compliance and accountability. This policy promotes responsible AI usage while reducing security and regulatory risks.</w:t>
      </w:r>
    </w:p>
    <w:p w:rsidR="4BDDEE6F" w:rsidP="4BDDEE6F" w:rsidRDefault="4BDDEE6F" w14:paraId="674C8533" w14:textId="596CEBA4">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1C3321C1" w14:textId="7A240A42">
      <w:pPr>
        <w:pStyle w:val="Heading2"/>
        <w:keepNext w:val="1"/>
        <w:keepLines w:val="1"/>
        <w:spacing w:before="261" w:beforeAutospacing="off" w:after="261" w:afterAutospacing="off" w:line="300" w:lineRule="auto"/>
        <w:rPr>
          <w:rFonts w:ascii="Aptos" w:hAnsi="Aptos" w:eastAsia="Aptos" w:cs="Aptos"/>
          <w:b w:val="0"/>
          <w:bCs w:val="0"/>
          <w:i w:val="0"/>
          <w:iCs w:val="0"/>
          <w:caps w:val="0"/>
          <w:smallCaps w:val="0"/>
          <w:noProof w:val="0"/>
          <w:color w:val="0F4761" w:themeColor="accent1" w:themeTint="FF" w:themeShade="BF"/>
          <w:sz w:val="31"/>
          <w:szCs w:val="31"/>
          <w:lang w:val="en-GB"/>
        </w:rPr>
      </w:pPr>
      <w:bookmarkStart w:name="_Toc576865321" w:id="1863439364"/>
      <w:r w:rsidRPr="4BDDEE6F" w:rsidR="0ED3B071">
        <w:rPr>
          <w:rFonts w:ascii="Aptos" w:hAnsi="Aptos" w:eastAsia="Aptos" w:cs="Aptos"/>
          <w:b w:val="1"/>
          <w:bCs w:val="1"/>
          <w:i w:val="0"/>
          <w:iCs w:val="0"/>
          <w:caps w:val="0"/>
          <w:smallCaps w:val="0"/>
          <w:noProof w:val="0"/>
          <w:color w:val="0F4761" w:themeColor="accent1" w:themeTint="FF" w:themeShade="BF"/>
          <w:sz w:val="31"/>
          <w:szCs w:val="31"/>
          <w:lang w:val="en-GB"/>
        </w:rPr>
        <w:t>Policy 2: Hybrid Work and Remote Access Policy</w:t>
      </w:r>
      <w:bookmarkEnd w:id="1863439364"/>
    </w:p>
    <w:p w:rsidR="0ED3B071" w:rsidP="4BDDEE6F" w:rsidRDefault="0ED3B071" w14:paraId="60F36216" w14:textId="58AC7A72">
      <w:pPr>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The purpose of this policy is to ensure employees can securely access organisational resources while remote working without increasing exposure to cyber threats. The policy will apply to all staff accessing company systems from remote locations using organisation or authorised devices. Hybrid working becoming increasingly popular also increases the attack surface for financial organisations like Fintech, making secure remote access a necessity. In line with the Zero Trust principles within this policy, all remote users must authenticate using multi factor authentication and access corporate services through secure identity management. Organisation managed devices must have their hard drives fully encrypted, endpoint detection and response and continuous automated security updates. Access privileges will follow the principle of least privilege to minimise the impact of a compromised account. These controls will strengthen organisational resilience and ensure secure access to AI systems and sensitive financial information regardless of employee location.</w:t>
      </w:r>
    </w:p>
    <w:p w:rsidR="4BDDEE6F" w:rsidP="4BDDEE6F" w:rsidRDefault="4BDDEE6F" w14:paraId="2F52007B" w14:textId="2BF2EF94">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4A8957DB" w14:textId="032B0EF7">
      <w:pPr>
        <w:pStyle w:val="Heading2"/>
        <w:keepNext w:val="1"/>
        <w:keepLines w:val="1"/>
        <w:spacing w:before="261" w:beforeAutospacing="off" w:after="261" w:afterAutospacing="off" w:line="300" w:lineRule="auto"/>
        <w:rPr>
          <w:rFonts w:ascii="Aptos" w:hAnsi="Aptos" w:eastAsia="Aptos" w:cs="Aptos"/>
          <w:b w:val="0"/>
          <w:bCs w:val="0"/>
          <w:i w:val="0"/>
          <w:iCs w:val="0"/>
          <w:caps w:val="0"/>
          <w:smallCaps w:val="0"/>
          <w:noProof w:val="0"/>
          <w:color w:val="0F4761" w:themeColor="accent1" w:themeTint="FF" w:themeShade="BF"/>
          <w:sz w:val="31"/>
          <w:szCs w:val="31"/>
          <w:lang w:val="en-GB"/>
        </w:rPr>
      </w:pPr>
      <w:bookmarkStart w:name="_Toc1643746595" w:id="1958929432"/>
      <w:r w:rsidRPr="4BDDEE6F" w:rsidR="0ED3B071">
        <w:rPr>
          <w:rFonts w:ascii="Aptos" w:hAnsi="Aptos" w:eastAsia="Aptos" w:cs="Aptos"/>
          <w:b w:val="1"/>
          <w:bCs w:val="1"/>
          <w:i w:val="0"/>
          <w:iCs w:val="0"/>
          <w:caps w:val="0"/>
          <w:smallCaps w:val="0"/>
          <w:noProof w:val="0"/>
          <w:color w:val="0F4761" w:themeColor="accent1" w:themeTint="FF" w:themeShade="BF"/>
          <w:sz w:val="31"/>
          <w:szCs w:val="31"/>
          <w:lang w:val="en-GB"/>
        </w:rPr>
        <w:t>Policy 3: Third-Party &amp; Cloud Vendor Risk Management</w:t>
      </w:r>
      <w:bookmarkEnd w:id="1958929432"/>
    </w:p>
    <w:p w:rsidR="0ED3B071" w:rsidP="4BDDEE6F" w:rsidRDefault="0ED3B071" w14:paraId="6F1453A1" w14:textId="41CA5FE3">
      <w:pPr>
        <w:spacing w:before="0" w:beforeAutospacing="off" w:after="0" w:afterAutospacing="off" w:line="30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policy is to reduce security, privacy and operational risks introduced through third party suppliers and cloud service providers. The policy will apply to external suppliers providing cloud services, </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software</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and AI technologies to Aegis Fintech. In the research it was </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that AI governance weaknesses and supply chain attacks are significant risks to organisational security. Consequently, all third-party suppliers must go through security and compliance assessments before contracts are approved. Third party vendors processing personal or financial information must demonstrate GDPR and DORA compliance while also following modern security standards such as ISO/IEC. AI vendors must also provide evidence of governance on models, </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transparency</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and security testing to reduce the risk of model </w:t>
      </w:r>
      <w:r w:rsidRPr="4BDDEE6F" w:rsidR="50E13A50">
        <w:rPr>
          <w:rFonts w:ascii="Aptos" w:hAnsi="Aptos" w:eastAsia="Aptos" w:cs="Aptos"/>
          <w:b w:val="0"/>
          <w:bCs w:val="0"/>
          <w:i w:val="0"/>
          <w:iCs w:val="0"/>
          <w:caps w:val="0"/>
          <w:smallCaps w:val="0"/>
          <w:noProof w:val="0"/>
          <w:color w:val="000000" w:themeColor="text1" w:themeTint="FF" w:themeShade="FF"/>
          <w:sz w:val="24"/>
          <w:szCs w:val="24"/>
          <w:lang w:val="en-GB"/>
        </w:rPr>
        <w:t>poisoning</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or AI bias decisions. Supplier performance will be reviewed </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frequently</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with security audits and risk assessments, ensuring third party relationships support resilience and </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comply with</w:t>
      </w: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regulations.</w:t>
      </w:r>
    </w:p>
    <w:p w:rsidR="4BDDEE6F" w:rsidP="4BDDEE6F" w:rsidRDefault="4BDDEE6F" w14:paraId="41CE5F35" w14:textId="2280531E">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61A3C6E6" w14:textId="652A81A6">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56597781" w:id="451023015"/>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3: Regulatory Compliance Strategy</w:t>
      </w:r>
      <w:bookmarkEnd w:id="451023015"/>
    </w:p>
    <w:p w:rsidR="0ED3B071" w:rsidP="4BDDEE6F" w:rsidRDefault="0ED3B071" w14:paraId="51B5EEC7" w14:textId="15E22FEF">
      <w:pPr>
        <w:spacing w:before="210" w:beforeAutospacing="off" w:after="21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0ED3B071">
        <w:drawing>
          <wp:inline wp14:editId="303CCFC6" wp14:anchorId="328723D6">
            <wp:extent cx="6038850" cy="895350"/>
            <wp:effectExtent l="0" t="0" r="0" b="0"/>
            <wp:docPr id="823700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3700768" name="Picture 823700768"/>
                    <pic:cNvPicPr/>
                  </pic:nvPicPr>
                  <pic:blipFill>
                    <a:blip xmlns:r="http://schemas.openxmlformats.org/officeDocument/2006/relationships" r:embed="rId420821104">
                      <a:extLst>
                        <a:ext uri="{28A0092B-C50C-407E-A947-70E740481C1C}">
                          <a14:useLocalDpi xmlns:a14="http://schemas.microsoft.com/office/drawing/2010/main"/>
                        </a:ext>
                      </a:extLst>
                    </a:blip>
                    <a:stretch>
                      <a:fillRect/>
                    </a:stretch>
                  </pic:blipFill>
                  <pic:spPr>
                    <a:xfrm>
                      <a:off x="0" y="0"/>
                      <a:ext cx="6038850" cy="895350"/>
                    </a:xfrm>
                    <a:prstGeom prst="rect">
                      <a:avLst/>
                    </a:prstGeom>
                  </pic:spPr>
                </pic:pic>
              </a:graphicData>
            </a:graphic>
          </wp:inline>
        </w:drawing>
      </w:r>
    </w:p>
    <w:p w:rsidR="0ED3B071" w:rsidP="4BDDEE6F" w:rsidRDefault="0ED3B071" w14:paraId="12AC6F51" w14:textId="4CAC0B4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asciiTheme="minorAscii" w:hAnsiTheme="minorAscii" w:eastAsiaTheme="minorAscii" w:cstheme="minorAscii"/>
          <w:noProof w:val="0"/>
          <w:sz w:val="24"/>
          <w:szCs w:val="24"/>
          <w:lang w:val="en-GB"/>
        </w:rPr>
        <w:t>The compliance roadmap is made utilising the research that I conducted in the research task. Which highlighted that accountability, transparency and strong governance are the backbone for trustworthy AI deployment. GDPR compliance and activities are prioritised in Q1 to ensure that personal data is processed lawfully in alignment with Article 22, which grants individuals rights regarding AI and automated decision making. Hiring a Data Protection Officer and conducting Data Protection Impact Assessments as the governance foundations preparing us for responsible AI adoption.</w:t>
      </w:r>
    </w:p>
    <w:p w:rsidR="0ED3B071" w:rsidP="4BDDEE6F" w:rsidRDefault="0ED3B071" w14:paraId="0105C3D1" w14:textId="096DFAB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asciiTheme="minorAscii" w:hAnsiTheme="minorAscii" w:eastAsiaTheme="minorAscii" w:cstheme="minorAscii"/>
          <w:noProof w:val="0"/>
          <w:sz w:val="24"/>
          <w:szCs w:val="24"/>
          <w:lang w:val="en-GB"/>
        </w:rPr>
        <w:t xml:space="preserve">  Activities tied to DORA will be introduced in Q2 and Q3 due to increased pressure for cyber resilience being placed on financial organisations within the European Union. Incident response process, third party risk assessments and frequent resilience testing to support operational continuity and reduce exposure to ransomware and supply chain attacks.</w:t>
      </w:r>
    </w:p>
    <w:p w:rsidR="0ED3B071" w:rsidP="4BDDEE6F" w:rsidRDefault="0ED3B071" w14:paraId="3DF66EAA" w14:textId="771BB23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asciiTheme="minorAscii" w:hAnsiTheme="minorAscii" w:eastAsiaTheme="minorAscii" w:cstheme="minorAscii"/>
          <w:noProof w:val="0"/>
          <w:sz w:val="24"/>
          <w:szCs w:val="24"/>
          <w:lang w:val="en-GB"/>
        </w:rPr>
        <w:t xml:space="preserve">  As identified in the research task, AI systems require dedicated monitoring throughout their lifecycle. Therefore, an AI Governance Committee will be established in Q3 to oversee and monitor model transparency, model bias, model drift and ensure compliance with emerging EU AI Act requirements. This will ensure that Aegis Fintech can demonstrate human oversight and responsible AI governance while conducting a secure expansion into the European market.</w:t>
      </w:r>
    </w:p>
    <w:p w:rsidR="4BDDEE6F" w:rsidP="4BDDEE6F" w:rsidRDefault="4BDDEE6F" w14:paraId="3DCE18B7" w14:textId="04196CCE">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16DAD609" w14:textId="36A04722">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286927034" w:id="82907569"/>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4: Technical Standards &amp; Architecture</w:t>
      </w:r>
      <w:bookmarkEnd w:id="82907569"/>
    </w:p>
    <w:p w:rsidR="0ED3B071" w:rsidP="4BDDEE6F" w:rsidRDefault="0ED3B071" w14:paraId="14A90282" w14:textId="4924960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The NIST Cybersecurity Framework 2.0 (CSF) has been selected as the core cybersecurity framework for Aegis Fintech. This framework provides a risk-based approach to managing cybersecurity threats and is adopted within multiple industries due to being flexible, scalable and aligning with modern security standards. As Aegis Fintech prepares to expand into the EU, NIST CSF 2.0 will be utilised as a structured method to strengthen cybersecurity resilience while supporting regulatory compliance goals. The framework contains of six main functions, Govern, Identify, Protect, Detect, Respond and Recover.</w:t>
      </w:r>
    </w:p>
    <w:p w:rsidR="0ED3B071" w:rsidP="4BDDEE6F" w:rsidRDefault="0ED3B071" w14:paraId="3CB007C3" w14:textId="07B34B7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The findings in the research task were the main decider for selecting this framework. The research indicated that AI systems are introducing unique security challenges, including model poisoning, adversarial attacks, and lack of transparency. As identified, traditional cybersecurity controls are insufficient for managing these threats alone because AI risks are continuing throughout the entire model lifecycle. As a result, Aegis Fintech will utilise NIST CSF 2.0 with the NIST AI Risk Management Framework (AI RMF) to provide AI specific governance controls.</w:t>
      </w:r>
    </w:p>
    <w:p w:rsidR="0ED3B071" w:rsidP="4BDDEE6F" w:rsidRDefault="0ED3B071" w14:paraId="36801C09" w14:textId="140CD14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By using this approach, the Govern function will create the AI Governance Committee and security policies, and the Identify function will classify AI models, datasets and important business assets. The Protect function will implement security controls, such as Zero Trust, encryption and multi factor authentication. Continuous monitoring leveraging SIEM and AI security tools under the Detect function, while incident response procedures and immutable backups will be used under the Respond and Recover functions.</w:t>
      </w:r>
    </w:p>
    <w:p w:rsidR="0ED3B071" w:rsidP="4BDDEE6F" w:rsidRDefault="0ED3B071" w14:paraId="426B3564" w14:textId="36B8D87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The combined usage of NIST CSF 2.0 and NIST AI RMF creates a bulletproof governance model that allows for secure AI innovation, GDPR compliance and ultimately a successful expansion into the European market.</w:t>
      </w:r>
    </w:p>
    <w:p w:rsidR="4BDDEE6F" w:rsidP="4BDDEE6F" w:rsidRDefault="4BDDEE6F" w14:paraId="5BD8636D" w14:textId="71B92A59">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154B2AF6" w14:textId="17C4804D">
      <w:pPr>
        <w:rPr>
          <w:rFonts w:ascii="Aptos" w:hAnsi="Aptos" w:eastAsia="Aptos" w:cs="Aptos"/>
          <w:b w:val="0"/>
          <w:bCs w:val="0"/>
          <w:i w:val="0"/>
          <w:iCs w:val="0"/>
          <w:caps w:val="0"/>
          <w:smallCaps w:val="0"/>
          <w:noProof w:val="0"/>
          <w:color w:val="000000" w:themeColor="text1" w:themeTint="FF" w:themeShade="FF"/>
          <w:sz w:val="31"/>
          <w:szCs w:val="31"/>
          <w:lang w:val="en-GB"/>
        </w:rPr>
      </w:pPr>
      <w:r w:rsidRPr="4BDDEE6F" w:rsidR="0ED3B071">
        <w:rPr>
          <w:rFonts w:ascii="Aptos" w:hAnsi="Aptos" w:eastAsia="Aptos" w:cs="Aptos"/>
          <w:b w:val="1"/>
          <w:bCs w:val="1"/>
          <w:i w:val="0"/>
          <w:iCs w:val="0"/>
          <w:caps w:val="0"/>
          <w:smallCaps w:val="0"/>
          <w:noProof w:val="0"/>
          <w:color w:val="000000" w:themeColor="text1" w:themeTint="FF" w:themeShade="FF"/>
          <w:sz w:val="31"/>
          <w:szCs w:val="31"/>
          <w:lang w:val="en-GB"/>
        </w:rPr>
        <w:t>High-Level Architecture Diagram</w:t>
      </w:r>
    </w:p>
    <w:p w:rsidR="4BDDEE6F" w:rsidP="4BDDEE6F" w:rsidRDefault="4BDDEE6F" w14:paraId="45527FA7" w14:textId="764C666D">
      <w:pPr>
        <w:rPr>
          <w:rFonts w:ascii="Aptos" w:hAnsi="Aptos" w:eastAsia="Aptos" w:cs="Aptos"/>
          <w:b w:val="0"/>
          <w:bCs w:val="0"/>
          <w:i w:val="0"/>
          <w:iCs w:val="0"/>
          <w:caps w:val="0"/>
          <w:smallCaps w:val="0"/>
          <w:noProof w:val="0"/>
          <w:color w:val="000000" w:themeColor="text1" w:themeTint="FF" w:themeShade="FF"/>
          <w:sz w:val="31"/>
          <w:szCs w:val="31"/>
          <w:lang w:val="en-GB"/>
        </w:rPr>
      </w:pPr>
    </w:p>
    <w:p w:rsidR="0ED3B071" w:rsidP="4BDDEE6F" w:rsidRDefault="0ED3B071" w14:paraId="1B758739" w14:textId="2DD94287">
      <w:pPr>
        <w:rPr>
          <w:rFonts w:ascii="Aptos" w:hAnsi="Aptos" w:eastAsia="Aptos" w:cs="Aptos"/>
          <w:b w:val="0"/>
          <w:bCs w:val="0"/>
          <w:i w:val="0"/>
          <w:iCs w:val="0"/>
          <w:caps w:val="0"/>
          <w:smallCaps w:val="0"/>
          <w:noProof w:val="0"/>
          <w:color w:val="000000" w:themeColor="text1" w:themeTint="FF" w:themeShade="FF"/>
          <w:sz w:val="31"/>
          <w:szCs w:val="31"/>
          <w:lang w:val="en-GB"/>
        </w:rPr>
      </w:pPr>
      <w:r w:rsidR="0ED3B071">
        <w:drawing>
          <wp:inline wp14:editId="1EC0CD18" wp14:anchorId="629F10E6">
            <wp:extent cx="2247900" cy="3381375"/>
            <wp:effectExtent l="0" t="0" r="0" b="0"/>
            <wp:docPr id="625879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879456" name="Picture 625879456"/>
                    <pic:cNvPicPr/>
                  </pic:nvPicPr>
                  <pic:blipFill>
                    <a:blip xmlns:r="http://schemas.openxmlformats.org/officeDocument/2006/relationships" r:embed="rId1544720034">
                      <a:extLst>
                        <a:ext uri="{28A0092B-C50C-407E-A947-70E740481C1C}">
                          <a14:useLocalDpi xmlns:a14="http://schemas.microsoft.com/office/drawing/2010/main"/>
                        </a:ext>
                      </a:extLst>
                    </a:blip>
                    <a:stretch>
                      <a:fillRect/>
                    </a:stretch>
                  </pic:blipFill>
                  <pic:spPr>
                    <a:xfrm>
                      <a:off x="0" y="0"/>
                      <a:ext cx="2247900" cy="3381375"/>
                    </a:xfrm>
                    <a:prstGeom prst="rect">
                      <a:avLst/>
                    </a:prstGeom>
                  </pic:spPr>
                </pic:pic>
              </a:graphicData>
            </a:graphic>
          </wp:inline>
        </w:drawing>
      </w:r>
    </w:p>
    <w:p w:rsidR="0ED3B071" w:rsidP="4BDDEE6F" w:rsidRDefault="0ED3B071" w14:paraId="4B1605E8" w14:textId="5466F019">
      <w:pPr>
        <w:spacing w:before="0" w:beforeAutospacing="off" w:after="0" w:afterAutospacing="off" w:line="300" w:lineRule="auto"/>
        <w:jc w:val="left"/>
        <w:rPr>
          <w:rFonts w:ascii="Aptos" w:hAnsi="Aptos" w:eastAsia="Aptos" w:cs="Aptos"/>
          <w:b w:val="0"/>
          <w:bCs w:val="0"/>
          <w:i w:val="0"/>
          <w:iCs w:val="0"/>
          <w:caps w:val="0"/>
          <w:smallCaps w:val="0"/>
          <w:noProof w:val="0"/>
          <w:color w:val="000000" w:themeColor="text1" w:themeTint="FF" w:themeShade="FF"/>
          <w:sz w:val="21"/>
          <w:szCs w:val="21"/>
          <w:lang w:val="en-GB"/>
        </w:rPr>
      </w:pPr>
      <w:r>
        <w:br/>
      </w:r>
    </w:p>
    <w:p w:rsidR="0ED3B071" w:rsidP="4BDDEE6F" w:rsidRDefault="0ED3B071" w14:paraId="0B84DE3C" w14:textId="1D4B773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Above is the proposed security architecture diagram based on Zero Trust principles, where no user, device or application is trusted by default. This approach was selected due to the outcome of findings from the research task, which indicated that AI systems and cloud-based services require frequent verification and monitoring trhoughout their lifecycle.</w:t>
      </w:r>
    </w:p>
    <w:p w:rsidR="0ED3B071" w:rsidP="4BDDEE6F" w:rsidRDefault="0ED3B071" w14:paraId="61D00100" w14:textId="5550995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All users must use MFA before being granted access to organisational resources. Access is then controlled through a Zero Trust Network Access Gateway, ensuring that users are only provided with the minimum permissions required to complete their tasks.</w:t>
      </w:r>
    </w:p>
    <w:p w:rsidR="0ED3B071" w:rsidP="4BDDEE6F" w:rsidRDefault="0ED3B071" w14:paraId="4BD83F50" w14:textId="64CB78A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Within the cloud platform, the AI Analytic Platform will host the AI powered financial services. Cloud Security Posture Management will continuously monitor cloud configurations to identify any security flaws and compliance issues. A SIEM platform combined with SOAR will provide live threat detection and automated incident response.</w:t>
      </w:r>
    </w:p>
    <w:p w:rsidR="0ED3B071" w:rsidP="4BDDEE6F" w:rsidRDefault="0ED3B071" w14:paraId="3942ABF6" w14:textId="2991684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noProof w:val="0"/>
          <w:lang w:val="en-GB"/>
        </w:rPr>
        <w:t xml:space="preserve">  The architecture also includes a secure Data Lake for storing business and customer data with Immutable Backup Storage for rapid recovery post ransomware attacks. Continuous monitoring will be provided by the Security Operations Centre, ensuring that threats are identified and contained swiftly. This architecture allows for secure AI innovation, regulatory compliance and operational resilience during Aegis Fintech’s European expansion.</w:t>
      </w:r>
    </w:p>
    <w:p w:rsidR="4BDDEE6F" w:rsidP="4BDDEE6F" w:rsidRDefault="4BDDEE6F" w14:paraId="70C0873B" w14:textId="529A4F94">
      <w:pPr>
        <w:pStyle w:val="Normal"/>
        <w:rPr>
          <w:noProof w:val="0"/>
          <w:lang w:val="en-GB"/>
        </w:rPr>
      </w:pPr>
    </w:p>
    <w:p w:rsidR="0ED3B071" w:rsidP="4BDDEE6F" w:rsidRDefault="0ED3B071" w14:paraId="42709FD1" w14:textId="4A44C8FF">
      <w:pPr>
        <w:pStyle w:val="Heading1"/>
        <w:keepNext w:val="1"/>
        <w:keepLines w:val="1"/>
        <w:rPr>
          <w:rFonts w:ascii="Aptos" w:hAnsi="Aptos" w:eastAsia="Aptos" w:cs="Aptos"/>
          <w:b w:val="1"/>
          <w:bCs w:val="1"/>
          <w:i w:val="0"/>
          <w:iCs w:val="0"/>
          <w:caps w:val="0"/>
          <w:smallCaps w:val="0"/>
          <w:noProof w:val="0"/>
          <w:color w:val="0F4761" w:themeColor="accent1" w:themeTint="FF" w:themeShade="BF"/>
          <w:sz w:val="48"/>
          <w:szCs w:val="48"/>
          <w:lang w:val="en-GB"/>
        </w:rPr>
      </w:pPr>
      <w:bookmarkStart w:name="_Toc283125731" w:id="1401530141"/>
      <w:r w:rsidRPr="4BDDEE6F" w:rsidR="0ED3B071">
        <w:rPr>
          <w:b w:val="1"/>
          <w:bCs w:val="1"/>
          <w:noProof w:val="0"/>
          <w:sz w:val="44"/>
          <w:szCs w:val="44"/>
          <w:lang w:val="en-GB"/>
        </w:rPr>
        <w:t>Work-Stream 5: Strategic Risk Assessment</w:t>
      </w:r>
      <w:bookmarkEnd w:id="1401530141"/>
    </w:p>
    <w:p w:rsidR="0ED3B071" w:rsidP="4BDDEE6F" w:rsidRDefault="0ED3B071" w14:paraId="2D0F69DD" w14:textId="0F422E2E">
      <w:pPr>
        <w:pStyle w:val="Normal"/>
        <w:rPr>
          <w:rFonts w:ascii="Aptos" w:hAnsi="Aptos" w:eastAsia="Aptos" w:cs="Aptos"/>
          <w:b w:val="0"/>
          <w:bCs w:val="0"/>
          <w:i w:val="0"/>
          <w:iCs w:val="0"/>
          <w:caps w:val="0"/>
          <w:smallCaps w:val="0"/>
          <w:noProof w:val="0"/>
          <w:color w:val="000000" w:themeColor="text1" w:themeTint="FF" w:themeShade="FF"/>
          <w:sz w:val="21"/>
          <w:szCs w:val="21"/>
          <w:lang w:val="en-GB"/>
        </w:rPr>
      </w:pPr>
      <w:r w:rsidR="0ED3B071">
        <w:drawing>
          <wp:inline wp14:editId="141A185B" wp14:anchorId="7FA84DE7">
            <wp:extent cx="6267450" cy="600075"/>
            <wp:effectExtent l="0" t="0" r="0" b="0"/>
            <wp:docPr id="11893307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9330720" name="Picture 1189330720"/>
                    <pic:cNvPicPr/>
                  </pic:nvPicPr>
                  <pic:blipFill>
                    <a:blip xmlns:r="http://schemas.openxmlformats.org/officeDocument/2006/relationships" r:embed="rId237271486">
                      <a:extLst>
                        <a:ext uri="{28A0092B-C50C-407E-A947-70E740481C1C}">
                          <a14:useLocalDpi xmlns:a14="http://schemas.microsoft.com/office/drawing/2010/main"/>
                        </a:ext>
                      </a:extLst>
                    </a:blip>
                    <a:stretch>
                      <a:fillRect/>
                    </a:stretch>
                  </pic:blipFill>
                  <pic:spPr>
                    <a:xfrm>
                      <a:off x="0" y="0"/>
                      <a:ext cx="6267450" cy="600075"/>
                    </a:xfrm>
                    <a:prstGeom prst="rect">
                      <a:avLst/>
                    </a:prstGeom>
                  </pic:spPr>
                </pic:pic>
              </a:graphicData>
            </a:graphic>
          </wp:inline>
        </w:drawing>
      </w:r>
      <w:r w:rsidRPr="4BDDEE6F" w:rsidR="0ED3B071">
        <w:rPr>
          <w:noProof w:val="0"/>
          <w:lang w:val="en-GB"/>
        </w:rPr>
        <w:t>The risks within the risk register table are directly pulled from the research tasks findings. The research concluded that AI systems introduce security risks that extend beyond traditional cybersecurity threats, requiring specialised governance and continuous monitoring throughout the lifecycle.</w:t>
      </w:r>
    </w:p>
    <w:p w:rsidR="0ED3B071" w:rsidP="4BDDEE6F" w:rsidRDefault="0ED3B071" w14:paraId="661A69E7" w14:textId="5B4C0AFC">
      <w:pPr>
        <w:pStyle w:val="Normal"/>
        <w:rPr>
          <w:rFonts w:ascii="Aptos" w:hAnsi="Aptos" w:eastAsia="Aptos" w:cs="Aptos"/>
          <w:b w:val="0"/>
          <w:bCs w:val="0"/>
          <w:i w:val="0"/>
          <w:iCs w:val="0"/>
          <w:caps w:val="0"/>
          <w:smallCaps w:val="0"/>
          <w:noProof w:val="0"/>
          <w:color w:val="000000" w:themeColor="text1" w:themeTint="FF" w:themeShade="FF"/>
          <w:sz w:val="21"/>
          <w:szCs w:val="21"/>
          <w:lang w:val="en-GB"/>
        </w:rPr>
      </w:pPr>
      <w:r w:rsidRPr="4BDDEE6F" w:rsidR="0ED3B071">
        <w:rPr>
          <w:noProof w:val="0"/>
          <w:lang w:val="en-GB"/>
        </w:rPr>
        <w:t xml:space="preserve">  AI model poisoning is a priority risk due to its capability to manipulate training data and influence model’s behaviour. As covered in the research OWASP identified model poisoning to be a significant threat as malicious data could appear to be legitimate and therefore difficult to detect. For Aegis Fintech, compromised models can generate incorrect financial analytics, which could have a domino effect to things such as reputational damage, customer mistrust and regulatory scrutiny.</w:t>
      </w:r>
    </w:p>
    <w:p w:rsidR="0ED3B071" w:rsidP="4BDDEE6F" w:rsidRDefault="0ED3B071" w14:paraId="35ECD701" w14:textId="2CC4231B">
      <w:pPr>
        <w:pStyle w:val="Normal"/>
        <w:rPr>
          <w:rFonts w:ascii="Aptos" w:hAnsi="Aptos" w:eastAsia="Aptos" w:cs="Aptos"/>
          <w:b w:val="0"/>
          <w:bCs w:val="0"/>
          <w:i w:val="0"/>
          <w:iCs w:val="0"/>
          <w:caps w:val="0"/>
          <w:smallCaps w:val="0"/>
          <w:noProof w:val="0"/>
          <w:color w:val="000000" w:themeColor="text1" w:themeTint="FF" w:themeShade="FF"/>
          <w:sz w:val="21"/>
          <w:szCs w:val="21"/>
          <w:lang w:val="en-GB"/>
        </w:rPr>
      </w:pPr>
      <w:r w:rsidRPr="4BDDEE6F" w:rsidR="0ED3B071">
        <w:rPr>
          <w:noProof w:val="0"/>
          <w:lang w:val="en-GB"/>
        </w:rPr>
        <w:t xml:space="preserve">  Model drift is another major threat to the organisation’s AI powered platform. In the research it was highlighted that AI model performance can gradually deteriorate as real-world data changes over time. If left unmanaged, inaccurate model output may affect customer decisions and reduce confidence in the platform. Continuous monitoring and model validation paired with frequent retraining are necessary governance controls.</w:t>
      </w:r>
    </w:p>
    <w:p w:rsidR="0ED3B071" w:rsidP="4BDDEE6F" w:rsidRDefault="0ED3B071" w14:paraId="407D963D" w14:textId="706B97BD">
      <w:pPr>
        <w:pStyle w:val="Normal"/>
        <w:rPr>
          <w:rFonts w:ascii="Aptos" w:hAnsi="Aptos" w:eastAsia="Aptos" w:cs="Aptos"/>
          <w:b w:val="0"/>
          <w:bCs w:val="0"/>
          <w:i w:val="0"/>
          <w:iCs w:val="0"/>
          <w:caps w:val="0"/>
          <w:smallCaps w:val="0"/>
          <w:noProof w:val="0"/>
          <w:color w:val="000000" w:themeColor="text1" w:themeTint="FF" w:themeShade="FF"/>
          <w:sz w:val="21"/>
          <w:szCs w:val="21"/>
          <w:lang w:val="en-GB"/>
        </w:rPr>
      </w:pPr>
      <w:r w:rsidRPr="4BDDEE6F" w:rsidR="0ED3B071">
        <w:rPr>
          <w:noProof w:val="0"/>
          <w:lang w:val="en-GB"/>
        </w:rPr>
        <w:t xml:space="preserve">  Finally, ransomware, this is still one of the most significant cybersecurity threats in the AI era. Successful ransomware attacks can disrupt business operations, compromise sensitive customer information and disrupt the organisations planned European expansion. To mitigate the risk, Aegis Fintech will utilise immutable backups, endpoint detection and response paired with Zero Trust access and regular incident response exercises.</w:t>
      </w:r>
    </w:p>
    <w:p w:rsidR="0ED3B071" w:rsidP="4BDDEE6F" w:rsidRDefault="0ED3B071" w14:paraId="5A1B99B7" w14:textId="3C6794FA">
      <w:pPr>
        <w:pStyle w:val="Normal"/>
        <w:rPr>
          <w:rFonts w:ascii="Aptos" w:hAnsi="Aptos" w:eastAsia="Aptos" w:cs="Aptos"/>
          <w:b w:val="0"/>
          <w:bCs w:val="0"/>
          <w:i w:val="0"/>
          <w:iCs w:val="0"/>
          <w:caps w:val="0"/>
          <w:smallCaps w:val="0"/>
          <w:noProof w:val="0"/>
          <w:color w:val="000000" w:themeColor="text1" w:themeTint="FF" w:themeShade="FF"/>
          <w:sz w:val="21"/>
          <w:szCs w:val="21"/>
          <w:lang w:val="en-GB"/>
        </w:rPr>
      </w:pPr>
      <w:r w:rsidRPr="4BDDEE6F" w:rsidR="0ED3B071">
        <w:rPr>
          <w:noProof w:val="0"/>
          <w:lang w:val="en-GB"/>
        </w:rPr>
        <w:t xml:space="preserve">  By prioritising these risks, Aegis Fintech can address both AI specific governance challenges alongside traditional cyber threats while strengthening operational resilience and regulatory compliance.</w:t>
      </w:r>
    </w:p>
    <w:p w:rsidR="4BDDEE6F" w:rsidP="4BDDEE6F" w:rsidRDefault="4BDDEE6F" w14:paraId="126779A1" w14:textId="41F680E0">
      <w:pPr>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3CDF07BB" w14:textId="3FE8432F">
      <w:pPr>
        <w:pStyle w:val="Heading1"/>
        <w:keepNext w:val="1"/>
        <w:keepLines w:val="1"/>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303954610" w:id="801571660"/>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6: Incident Response &amp; Business Continuity</w:t>
      </w:r>
      <w:bookmarkEnd w:id="801571660"/>
    </w:p>
    <w:p w:rsidR="0ED3B071" w:rsidP="4BDDEE6F" w:rsidRDefault="0ED3B071" w14:paraId="44F733C6" w14:textId="69379ADB">
      <w:pPr>
        <w:pStyle w:val="Heading2"/>
        <w:keepNext w:val="1"/>
        <w:keepLines w:val="1"/>
        <w:spacing w:before="261" w:beforeAutospacing="off" w:after="261" w:afterAutospacing="off" w:line="300" w:lineRule="auto"/>
        <w:rPr>
          <w:rFonts w:ascii="Aptos" w:hAnsi="Aptos" w:eastAsia="Aptos" w:cs="Aptos"/>
          <w:b w:val="0"/>
          <w:bCs w:val="0"/>
          <w:i w:val="0"/>
          <w:iCs w:val="0"/>
          <w:caps w:val="0"/>
          <w:smallCaps w:val="0"/>
          <w:noProof w:val="0"/>
          <w:color w:val="0F4761" w:themeColor="accent1" w:themeTint="FF" w:themeShade="BF"/>
          <w:sz w:val="31"/>
          <w:szCs w:val="31"/>
          <w:lang w:val="en-GB"/>
        </w:rPr>
      </w:pPr>
      <w:bookmarkStart w:name="_Toc1586539544" w:id="1160058544"/>
      <w:r w:rsidRPr="4BDDEE6F" w:rsidR="0ED3B071">
        <w:rPr>
          <w:rFonts w:ascii="Aptos" w:hAnsi="Aptos" w:eastAsia="Aptos" w:cs="Aptos"/>
          <w:b w:val="1"/>
          <w:bCs w:val="1"/>
          <w:i w:val="0"/>
          <w:iCs w:val="0"/>
          <w:caps w:val="0"/>
          <w:smallCaps w:val="0"/>
          <w:noProof w:val="0"/>
          <w:color w:val="0F4761" w:themeColor="accent1" w:themeTint="FF" w:themeShade="BF"/>
          <w:sz w:val="31"/>
          <w:szCs w:val="31"/>
          <w:lang w:val="en-GB"/>
        </w:rPr>
        <w:t>Communication Plan</w:t>
      </w:r>
      <w:bookmarkEnd w:id="1160058544"/>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2280"/>
        <w:gridCol w:w="2595"/>
      </w:tblGrid>
      <w:tr w:rsidR="4BDDEE6F" w:rsidTr="4BDDEE6F" w14:paraId="2E8761CA">
        <w:trPr>
          <w:trHeight w:val="285"/>
        </w:trPr>
        <w:tc>
          <w:tcPr>
            <w:tcW w:w="228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4BDDEE6F" w:rsidP="4BDDEE6F" w:rsidRDefault="4BDDEE6F" w14:paraId="3776CCE0" w14:textId="3E83AF55">
            <w:pPr>
              <w:spacing w:before="0" w:beforeAutospacing="off" w:after="0" w:afterAutospacing="off" w:line="300" w:lineRule="auto"/>
              <w:jc w:val="center"/>
              <w:rPr>
                <w:rFonts w:ascii="Aptos" w:hAnsi="Aptos" w:eastAsia="Aptos" w:cs="Aptos"/>
                <w:b w:val="0"/>
                <w:bCs w:val="0"/>
                <w:i w:val="0"/>
                <w:iCs w:val="0"/>
                <w:sz w:val="24"/>
                <w:szCs w:val="24"/>
              </w:rPr>
            </w:pPr>
            <w:r w:rsidRPr="4BDDEE6F" w:rsidR="4BDDEE6F">
              <w:rPr>
                <w:rFonts w:ascii="Aptos" w:hAnsi="Aptos" w:eastAsia="Aptos" w:cs="Aptos"/>
                <w:b w:val="1"/>
                <w:bCs w:val="1"/>
                <w:i w:val="0"/>
                <w:iCs w:val="0"/>
                <w:sz w:val="24"/>
                <w:szCs w:val="24"/>
                <w:lang w:val="en-GB"/>
              </w:rPr>
              <w:t>Stakeholder</w:t>
            </w:r>
          </w:p>
        </w:tc>
        <w:tc>
          <w:tcPr>
            <w:tcW w:w="259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4BDDEE6F" w:rsidP="4BDDEE6F" w:rsidRDefault="4BDDEE6F" w14:paraId="7E5089BF" w14:textId="4F5E7FD1">
            <w:pPr>
              <w:spacing w:before="0" w:beforeAutospacing="off" w:after="0" w:afterAutospacing="off" w:line="300" w:lineRule="auto"/>
              <w:jc w:val="center"/>
              <w:rPr>
                <w:rFonts w:ascii="Aptos" w:hAnsi="Aptos" w:eastAsia="Aptos" w:cs="Aptos"/>
                <w:b w:val="0"/>
                <w:bCs w:val="0"/>
                <w:i w:val="0"/>
                <w:iCs w:val="0"/>
                <w:sz w:val="24"/>
                <w:szCs w:val="24"/>
              </w:rPr>
            </w:pPr>
            <w:r w:rsidRPr="4BDDEE6F" w:rsidR="4BDDEE6F">
              <w:rPr>
                <w:rFonts w:ascii="Aptos" w:hAnsi="Aptos" w:eastAsia="Aptos" w:cs="Aptos"/>
                <w:b w:val="1"/>
                <w:bCs w:val="1"/>
                <w:i w:val="0"/>
                <w:iCs w:val="0"/>
                <w:sz w:val="24"/>
                <w:szCs w:val="24"/>
                <w:lang w:val="en-GB"/>
              </w:rPr>
              <w:t>Notification Time</w:t>
            </w:r>
          </w:p>
        </w:tc>
      </w:tr>
      <w:tr w:rsidR="4BDDEE6F" w:rsidTr="4BDDEE6F" w14:paraId="18C115F0">
        <w:trPr>
          <w:trHeight w:val="285"/>
        </w:trPr>
        <w:tc>
          <w:tcPr>
            <w:tcW w:w="228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16DAB7B9" w14:textId="37A4648E">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CEO</w:t>
            </w:r>
          </w:p>
        </w:tc>
        <w:tc>
          <w:tcPr>
            <w:tcW w:w="25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6B8C5E25" w14:textId="24F7D333">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Immediate</w:t>
            </w:r>
          </w:p>
        </w:tc>
      </w:tr>
      <w:tr w:rsidR="4BDDEE6F" w:rsidTr="4BDDEE6F" w14:paraId="46BDE772">
        <w:trPr>
          <w:trHeight w:val="285"/>
        </w:trPr>
        <w:tc>
          <w:tcPr>
            <w:tcW w:w="228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5ADF8E06" w14:textId="176A0063">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Board</w:t>
            </w:r>
          </w:p>
        </w:tc>
        <w:tc>
          <w:tcPr>
            <w:tcW w:w="25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12959AEC" w14:textId="0D6E33D5">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Within 4 hours</w:t>
            </w:r>
          </w:p>
        </w:tc>
      </w:tr>
      <w:tr w:rsidR="4BDDEE6F" w:rsidTr="4BDDEE6F" w14:paraId="2790860A">
        <w:trPr>
          <w:trHeight w:val="285"/>
        </w:trPr>
        <w:tc>
          <w:tcPr>
            <w:tcW w:w="228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0E5892A" w14:textId="0FD34AA9">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ICO</w:t>
            </w:r>
          </w:p>
        </w:tc>
        <w:tc>
          <w:tcPr>
            <w:tcW w:w="25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634B87A2" w14:textId="1B2D681C">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Within 72 hours</w:t>
            </w:r>
          </w:p>
        </w:tc>
      </w:tr>
      <w:tr w:rsidR="4BDDEE6F" w:rsidTr="4BDDEE6F" w14:paraId="19F4C6DC">
        <w:trPr>
          <w:trHeight w:val="285"/>
        </w:trPr>
        <w:tc>
          <w:tcPr>
            <w:tcW w:w="228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03B7B6BE" w14:textId="202C52E0">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Customers</w:t>
            </w:r>
          </w:p>
        </w:tc>
        <w:tc>
          <w:tcPr>
            <w:tcW w:w="25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54333755" w14:textId="18BC7C8F">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As required</w:t>
            </w:r>
          </w:p>
        </w:tc>
      </w:tr>
      <w:tr w:rsidR="4BDDEE6F" w:rsidTr="4BDDEE6F" w14:paraId="71876AA9">
        <w:trPr>
          <w:trHeight w:val="285"/>
        </w:trPr>
        <w:tc>
          <w:tcPr>
            <w:tcW w:w="228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67C16200" w14:textId="04F23490">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DORA regulators</w:t>
            </w:r>
          </w:p>
        </w:tc>
        <w:tc>
          <w:tcPr>
            <w:tcW w:w="25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140DCFFD" w14:textId="55E8DC22">
            <w:pPr>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Regulatory timelines</w:t>
            </w:r>
          </w:p>
        </w:tc>
      </w:tr>
    </w:tbl>
    <w:p w:rsidR="4BDDEE6F" w:rsidP="4BDDEE6F" w:rsidRDefault="4BDDEE6F" w14:paraId="40C535CE" w14:textId="213DBB0D">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49FDBB37" w14:textId="2769449B">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Ransomware continues to be the most significant threats that organisations face within the financial sector due to it disrupting operations, encrypting financial data and causing substantial reputational damage. As Aegis Fintech prepares for EU expansion, an effective incident response is necessary to maintain regulatory compliance.</w:t>
      </w:r>
    </w:p>
    <w:p w:rsidR="0ED3B071" w:rsidP="4BDDEE6F" w:rsidRDefault="0ED3B071" w14:paraId="1CDBFEE8" w14:textId="6F74605A">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The proposed ransomware response playbook follows five phases: Identify, Contain, Eradicate, Recover and Lessons Learned. Security alerts propagated through the SIEM platform will be investigated by the Security Operations Centre to determine the scope and severity of the incident. Once confirmed, affected systems will be isolated immediately and compromise accounts disabled to prevent further attacks in other environments.</w:t>
      </w:r>
    </w:p>
    <w:p w:rsidR="0ED3B071" w:rsidP="4BDDEE6F" w:rsidRDefault="0ED3B071" w14:paraId="5A593695" w14:textId="67BC6147">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After containment, security tams will remove malicious software, identify exploited vulnerabilities and implement corrective measures. Business continuity will be supported due to having immutable backups, allowing critical systems and data to be restored without paying ransom demands. Post attack AI models and datasets will face validation testing to ensure their integrity before production use.</w:t>
      </w:r>
    </w:p>
    <w:p w:rsidR="0ED3B071" w:rsidP="4BDDEE6F" w:rsidRDefault="0ED3B071" w14:paraId="6C6F1DD3" w14:textId="75CF5E02">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 xml:space="preserve">  This approach is again directed by the information discovered in the research task, which indicated the importance of continuous monitoring and governance when managing modern cybersecurity risks. Regular exercises and incident simulations with post incident retrospectives will ensure that Aegis Fintech improves its ability to respond to cyber-attacks while meeting GDPR and DORA requirements.</w:t>
      </w:r>
    </w:p>
    <w:p w:rsidR="0ED3B071" w:rsidP="4BDDEE6F" w:rsidRDefault="0ED3B071" w14:paraId="7FDA073A" w14:textId="67B07173">
      <w:pPr>
        <w:pStyle w:val="Heading1"/>
        <w:keepNext w:val="1"/>
        <w:keepLines w:val="1"/>
        <w:bidi w:val="0"/>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1011517806" w:id="243357842"/>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Work-Stream 7: Governance &amp; Strategic Roadmap</w:t>
      </w:r>
      <w:bookmarkEnd w:id="243357842"/>
    </w:p>
    <w:p w:rsidR="0ED3B071" w:rsidP="4BDDEE6F" w:rsidRDefault="0ED3B071" w14:paraId="68EA0E3B" w14:textId="2578712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To provide strategic oversight, Aegis FinTech will establish a Cyber Security Steering Committee run by the CISO. Members will include the CEO, CTO, CFO, Data Protection Officer, Head of Legal &amp; Compliance, Security Operations Manager and AI Governance Specialist. The committee will meet monthly to review cybersecurity risks, AI governance, regulatory compliance, incident reports and progress against the strategic roadmap. This governance structure supports the findings from Task 1 by ensuring continuous monitoring of AI systems, regulatory compliance and organisational risk management.</w:t>
      </w:r>
    </w:p>
    <w:p w:rsidR="0ED3B071" w:rsidP="4BDDEE6F" w:rsidRDefault="0ED3B071" w14:paraId="49382BF3" w14:textId="3C3EC50A">
      <w:pPr>
        <w:pStyle w:val="Heading2"/>
        <w:keepNext w:val="1"/>
        <w:keepLines w:val="1"/>
        <w:bidi w:val="0"/>
        <w:spacing w:before="261" w:beforeAutospacing="off" w:after="261" w:afterAutospacing="off" w:line="300" w:lineRule="auto"/>
        <w:rPr>
          <w:rFonts w:ascii="Aptos" w:hAnsi="Aptos" w:eastAsia="Aptos" w:cs="Aptos"/>
          <w:b w:val="0"/>
          <w:bCs w:val="0"/>
          <w:i w:val="0"/>
          <w:iCs w:val="0"/>
          <w:caps w:val="0"/>
          <w:smallCaps w:val="0"/>
          <w:noProof w:val="0"/>
          <w:color w:val="0F4761" w:themeColor="accent1" w:themeTint="FF" w:themeShade="BF"/>
          <w:sz w:val="31"/>
          <w:szCs w:val="31"/>
          <w:lang w:val="en-GB"/>
        </w:rPr>
      </w:pPr>
      <w:bookmarkStart w:name="_Toc169212374" w:id="1187962556"/>
      <w:r w:rsidRPr="4BDDEE6F" w:rsidR="0ED3B071">
        <w:rPr>
          <w:rFonts w:ascii="Aptos" w:hAnsi="Aptos" w:eastAsia="Aptos" w:cs="Aptos"/>
          <w:b w:val="1"/>
          <w:bCs w:val="1"/>
          <w:i w:val="0"/>
          <w:iCs w:val="0"/>
          <w:caps w:val="0"/>
          <w:smallCaps w:val="0"/>
          <w:noProof w:val="0"/>
          <w:color w:val="0F4761" w:themeColor="accent1" w:themeTint="FF" w:themeShade="BF"/>
          <w:sz w:val="31"/>
          <w:szCs w:val="31"/>
          <w:lang w:val="en-GB"/>
        </w:rPr>
        <w:t>12-Month Roadmap</w:t>
      </w:r>
      <w:bookmarkEnd w:id="1187962556"/>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140"/>
        <w:gridCol w:w="3600"/>
        <w:gridCol w:w="3495"/>
      </w:tblGrid>
      <w:tr w:rsidR="4BDDEE6F" w:rsidTr="4BDDEE6F" w14:paraId="2BDDDE42">
        <w:trPr>
          <w:trHeight w:val="285"/>
        </w:trPr>
        <w:tc>
          <w:tcPr>
            <w:tcW w:w="114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4BDDEE6F" w:rsidP="4BDDEE6F" w:rsidRDefault="4BDDEE6F" w14:paraId="7C9E50E2" w14:textId="3C359C9B">
            <w:pPr>
              <w:bidi w:val="0"/>
              <w:spacing w:before="0" w:beforeAutospacing="off" w:after="0" w:afterAutospacing="off" w:line="300" w:lineRule="auto"/>
              <w:jc w:val="center"/>
              <w:rPr>
                <w:rFonts w:ascii="Aptos" w:hAnsi="Aptos" w:eastAsia="Aptos" w:cs="Aptos"/>
                <w:b w:val="0"/>
                <w:bCs w:val="0"/>
                <w:i w:val="0"/>
                <w:iCs w:val="0"/>
                <w:sz w:val="24"/>
                <w:szCs w:val="24"/>
              </w:rPr>
            </w:pPr>
            <w:r w:rsidRPr="4BDDEE6F" w:rsidR="4BDDEE6F">
              <w:rPr>
                <w:rFonts w:ascii="Aptos" w:hAnsi="Aptos" w:eastAsia="Aptos" w:cs="Aptos"/>
                <w:b w:val="1"/>
                <w:bCs w:val="1"/>
                <w:i w:val="0"/>
                <w:iCs w:val="0"/>
                <w:sz w:val="24"/>
                <w:szCs w:val="24"/>
                <w:lang w:val="en-GB"/>
              </w:rPr>
              <w:t>Quarter</w:t>
            </w:r>
          </w:p>
        </w:tc>
        <w:tc>
          <w:tcPr>
            <w:tcW w:w="3600"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4BDDEE6F" w:rsidP="4BDDEE6F" w:rsidRDefault="4BDDEE6F" w14:paraId="0C91254B" w14:textId="3B0F4357">
            <w:pPr>
              <w:bidi w:val="0"/>
              <w:spacing w:before="0" w:beforeAutospacing="off" w:after="0" w:afterAutospacing="off" w:line="300" w:lineRule="auto"/>
              <w:jc w:val="center"/>
              <w:rPr>
                <w:rFonts w:ascii="Aptos" w:hAnsi="Aptos" w:eastAsia="Aptos" w:cs="Aptos"/>
                <w:b w:val="0"/>
                <w:bCs w:val="0"/>
                <w:i w:val="0"/>
                <w:iCs w:val="0"/>
                <w:sz w:val="24"/>
                <w:szCs w:val="24"/>
              </w:rPr>
            </w:pPr>
            <w:r w:rsidRPr="4BDDEE6F" w:rsidR="4BDDEE6F">
              <w:rPr>
                <w:rFonts w:ascii="Aptos" w:hAnsi="Aptos" w:eastAsia="Aptos" w:cs="Aptos"/>
                <w:b w:val="1"/>
                <w:bCs w:val="1"/>
                <w:i w:val="0"/>
                <w:iCs w:val="0"/>
                <w:sz w:val="24"/>
                <w:szCs w:val="24"/>
                <w:lang w:val="en-GB"/>
              </w:rPr>
              <w:t>Initiative</w:t>
            </w:r>
          </w:p>
        </w:tc>
        <w:tc>
          <w:tcPr>
            <w:tcW w:w="3495" w:type="dxa"/>
            <w:tcBorders>
              <w:top w:val="single" w:color="E6E6E6" w:sz="6"/>
              <w:left w:val="single" w:color="E6E6E6" w:sz="6"/>
              <w:bottom w:val="single" w:color="E6E6E6" w:sz="6"/>
              <w:right w:val="single" w:color="E6E6E6" w:sz="6"/>
            </w:tcBorders>
            <w:shd w:val="clear" w:color="auto" w:fill="F5F5F5"/>
            <w:tcMar>
              <w:left w:w="105" w:type="dxa"/>
              <w:right w:w="105" w:type="dxa"/>
            </w:tcMar>
            <w:vAlign w:val="center"/>
          </w:tcPr>
          <w:p w:rsidR="4BDDEE6F" w:rsidP="4BDDEE6F" w:rsidRDefault="4BDDEE6F" w14:paraId="0FA61A82" w14:textId="483B6075">
            <w:pPr>
              <w:bidi w:val="0"/>
              <w:spacing w:before="0" w:beforeAutospacing="off" w:after="0" w:afterAutospacing="off" w:line="300" w:lineRule="auto"/>
              <w:jc w:val="center"/>
              <w:rPr>
                <w:rFonts w:ascii="Aptos" w:hAnsi="Aptos" w:eastAsia="Aptos" w:cs="Aptos"/>
                <w:b w:val="0"/>
                <w:bCs w:val="0"/>
                <w:i w:val="0"/>
                <w:iCs w:val="0"/>
                <w:sz w:val="24"/>
                <w:szCs w:val="24"/>
              </w:rPr>
            </w:pPr>
            <w:r w:rsidRPr="4BDDEE6F" w:rsidR="4BDDEE6F">
              <w:rPr>
                <w:rFonts w:ascii="Aptos" w:hAnsi="Aptos" w:eastAsia="Aptos" w:cs="Aptos"/>
                <w:b w:val="1"/>
                <w:bCs w:val="1"/>
                <w:i w:val="0"/>
                <w:iCs w:val="0"/>
                <w:sz w:val="24"/>
                <w:szCs w:val="24"/>
                <w:lang w:val="en-GB"/>
              </w:rPr>
              <w:t>KPI</w:t>
            </w:r>
          </w:p>
        </w:tc>
      </w:tr>
      <w:tr w:rsidR="4BDDEE6F" w:rsidTr="4BDDEE6F" w14:paraId="02F2E18A">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432ACE0" w14:textId="150958F2">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Q1</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220B192C" w14:textId="4735980E">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Build security unit</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7FFA3D29" w14:textId="44F52E17">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All key roles hired</w:t>
            </w:r>
          </w:p>
        </w:tc>
      </w:tr>
      <w:tr w:rsidR="4BDDEE6F" w:rsidTr="4BDDEE6F" w14:paraId="3822E48E">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23C7D038" w14:textId="15880E51">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Q1</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4BB72645" w14:textId="4DFBED8B">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Establish AI Governance Board</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59461039" w14:textId="4075BE36">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Board operational</w:t>
            </w:r>
          </w:p>
        </w:tc>
      </w:tr>
      <w:tr w:rsidR="4BDDEE6F" w:rsidTr="4BDDEE6F" w14:paraId="702D7679">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7280D150" w14:textId="055E6821">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Q2</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0E400D89" w14:textId="7342EFC8">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Deploy SIEM and EDR</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4FB072B2" w14:textId="2E7FD9F9">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100% endpoint coverage</w:t>
            </w:r>
          </w:p>
        </w:tc>
      </w:tr>
      <w:tr w:rsidR="4BDDEE6F" w:rsidTr="4BDDEE6F" w14:paraId="7109D6EB">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046E0E0C" w14:textId="1675627F">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Q2</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C5A71E6" w14:textId="6C5424D8">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Implement ZTNA</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0ACC946C" w14:textId="3B445B15">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100% remote users protected</w:t>
            </w:r>
          </w:p>
        </w:tc>
      </w:tr>
      <w:tr w:rsidR="4BDDEE6F" w:rsidTr="4BDDEE6F" w14:paraId="5D9224B8">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1AF7523C" w14:textId="0596EEBE">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Q3</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CAEEB89" w14:textId="65427AD6">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AI model monitoring programme</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7636C33" w14:textId="427E1120">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All production models monitored</w:t>
            </w:r>
          </w:p>
        </w:tc>
      </w:tr>
      <w:tr w:rsidR="4BDDEE6F" w:rsidTr="4BDDEE6F" w14:paraId="723181E0">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2A2AE0E" w14:textId="505239DE">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Q3</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20E52463" w14:textId="4D5F9CF8">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GDPR and DORA gap assessment</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271CB313" w14:textId="594261E1">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Assessment completed</w:t>
            </w:r>
          </w:p>
        </w:tc>
      </w:tr>
      <w:tr w:rsidR="4BDDEE6F" w:rsidTr="4BDDEE6F" w14:paraId="7091024F">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7AF65411" w14:textId="399CBFF6">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Q4</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4914B0B6" w14:textId="0AAC4E16">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Incident response exercise</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4D5A9E3C" w14:textId="77C2B524">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Response time under KPI</w:t>
            </w:r>
          </w:p>
        </w:tc>
      </w:tr>
      <w:tr w:rsidR="4BDDEE6F" w:rsidTr="4BDDEE6F" w14:paraId="6E564A2C">
        <w:trPr>
          <w:trHeight w:val="285"/>
        </w:trPr>
        <w:tc>
          <w:tcPr>
            <w:tcW w:w="114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3762F429" w14:textId="6CFC0F18">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Q4</w:t>
            </w:r>
          </w:p>
        </w:tc>
        <w:tc>
          <w:tcPr>
            <w:tcW w:w="3600"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2A63E21E" w14:textId="0DDD7692">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Internal audit</w:t>
            </w:r>
          </w:p>
        </w:tc>
        <w:tc>
          <w:tcPr>
            <w:tcW w:w="3495" w:type="dxa"/>
            <w:tcBorders>
              <w:top w:val="single" w:color="E6E6E6" w:sz="6"/>
              <w:left w:val="single" w:color="E6E6E6" w:sz="6"/>
              <w:bottom w:val="single" w:color="E6E6E6" w:sz="6"/>
              <w:right w:val="single" w:color="E6E6E6" w:sz="6"/>
            </w:tcBorders>
            <w:tcMar>
              <w:left w:w="105" w:type="dxa"/>
              <w:right w:w="105" w:type="dxa"/>
            </w:tcMar>
            <w:vAlign w:val="center"/>
          </w:tcPr>
          <w:p w:rsidR="4BDDEE6F" w:rsidP="4BDDEE6F" w:rsidRDefault="4BDDEE6F" w14:paraId="6AAD72A3" w14:textId="794D6C6F">
            <w:pPr>
              <w:bidi w:val="0"/>
              <w:spacing w:before="0" w:beforeAutospacing="off" w:after="0" w:afterAutospacing="off" w:line="300" w:lineRule="auto"/>
              <w:rPr>
                <w:rFonts w:ascii="Aptos" w:hAnsi="Aptos" w:eastAsia="Aptos" w:cs="Aptos"/>
                <w:b w:val="0"/>
                <w:bCs w:val="0"/>
                <w:i w:val="0"/>
                <w:iCs w:val="0"/>
                <w:sz w:val="24"/>
                <w:szCs w:val="24"/>
              </w:rPr>
            </w:pPr>
            <w:r w:rsidRPr="4BDDEE6F" w:rsidR="4BDDEE6F">
              <w:rPr>
                <w:rFonts w:ascii="Aptos" w:hAnsi="Aptos" w:eastAsia="Aptos" w:cs="Aptos"/>
                <w:b w:val="0"/>
                <w:bCs w:val="0"/>
                <w:i w:val="0"/>
                <w:iCs w:val="0"/>
                <w:sz w:val="24"/>
                <w:szCs w:val="24"/>
                <w:lang w:val="en-GB"/>
              </w:rPr>
              <w:t>90% control compliance</w:t>
            </w:r>
          </w:p>
        </w:tc>
      </w:tr>
    </w:tbl>
    <w:p w:rsidR="4BDDEE6F" w:rsidP="4BDDEE6F" w:rsidRDefault="4BDDEE6F" w14:paraId="0726277C" w14:textId="07778683">
      <w:pPr>
        <w:bidi w:val="0"/>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ED3B071" w:rsidP="4BDDEE6F" w:rsidRDefault="0ED3B071" w14:paraId="259CCC6F" w14:textId="4BA5AF7A">
      <w:pPr>
        <w:pStyle w:val="Heading1"/>
        <w:keepNext w:val="1"/>
        <w:keepLines w:val="1"/>
        <w:bidi w:val="0"/>
        <w:spacing w:before="281" w:beforeAutospacing="off" w:after="281" w:afterAutospacing="off" w:line="300" w:lineRule="auto"/>
        <w:rPr>
          <w:rFonts w:ascii="Aptos" w:hAnsi="Aptos" w:eastAsia="Aptos" w:cs="Aptos"/>
          <w:b w:val="0"/>
          <w:bCs w:val="0"/>
          <w:i w:val="0"/>
          <w:iCs w:val="0"/>
          <w:caps w:val="0"/>
          <w:smallCaps w:val="0"/>
          <w:noProof w:val="0"/>
          <w:color w:val="0F4761" w:themeColor="accent1" w:themeTint="FF" w:themeShade="BF"/>
          <w:sz w:val="42"/>
          <w:szCs w:val="42"/>
          <w:lang w:val="en-GB"/>
        </w:rPr>
      </w:pPr>
      <w:bookmarkStart w:name="_Toc665071951" w:id="50709100"/>
      <w:r w:rsidRPr="4BDDEE6F" w:rsidR="0ED3B071">
        <w:rPr>
          <w:rFonts w:ascii="Aptos" w:hAnsi="Aptos" w:eastAsia="Aptos" w:cs="Aptos"/>
          <w:b w:val="1"/>
          <w:bCs w:val="1"/>
          <w:i w:val="0"/>
          <w:iCs w:val="0"/>
          <w:caps w:val="0"/>
          <w:smallCaps w:val="0"/>
          <w:noProof w:val="0"/>
          <w:color w:val="0F4761" w:themeColor="accent1" w:themeTint="FF" w:themeShade="BF"/>
          <w:sz w:val="42"/>
          <w:szCs w:val="42"/>
          <w:lang w:val="en-GB"/>
        </w:rPr>
        <w:t>Conclusion</w:t>
      </w:r>
      <w:bookmarkEnd w:id="50709100"/>
    </w:p>
    <w:p w:rsidR="0ED3B071" w:rsidP="4BDDEE6F" w:rsidRDefault="0ED3B071" w14:paraId="792B8291" w14:textId="75916F6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BDDEE6F" w:rsidR="0ED3B071">
        <w:rPr>
          <w:rFonts w:ascii="Aptos" w:hAnsi="Aptos" w:eastAsia="Aptos" w:cs="Aptos"/>
          <w:b w:val="0"/>
          <w:bCs w:val="0"/>
          <w:i w:val="0"/>
          <w:iCs w:val="0"/>
          <w:caps w:val="0"/>
          <w:smallCaps w:val="0"/>
          <w:noProof w:val="0"/>
          <w:color w:val="000000" w:themeColor="text1" w:themeTint="FF" w:themeShade="FF"/>
          <w:sz w:val="24"/>
          <w:szCs w:val="24"/>
          <w:lang w:val="en-GB"/>
        </w:rPr>
        <w:t>This proposal provides Aegis FinTech with a practical strategy for building a secure Information Security Unit that supports AI governance, cybersecurity and regulatory compliance. Led by the findings from Task 1, the proposal combines NIST CSF 2.0, the NIST AI RMF and Zero Trust principles to address AI-specific risks alongside traditional cyber threats. Through specialist security roles, robust policies, continuous monitoring and effective incident response, Aegis will strengthen operational resilience, support GDPR and DORA compliance and establish a secure foundation for expansion into the European market.</w:t>
      </w:r>
    </w:p>
    <w:p w:rsidR="4BDDEE6F" w:rsidP="4BDDEE6F" w:rsidRDefault="4BDDEE6F" w14:paraId="26244890" w14:textId="0D917415">
      <w:pPr>
        <w:pStyle w:val="Normal"/>
      </w:pPr>
    </w:p>
    <w:sectPr w:rsidRPr="00D66FA1" w:rsidR="00C2575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D0B69"/>
    <w:multiLevelType w:val="multilevel"/>
    <w:tmpl w:val="F702BF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95F169C"/>
    <w:multiLevelType w:val="multilevel"/>
    <w:tmpl w:val="0F522C3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DF15A4B"/>
    <w:multiLevelType w:val="multilevel"/>
    <w:tmpl w:val="73A4F6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807474B"/>
    <w:multiLevelType w:val="multilevel"/>
    <w:tmpl w:val="A1E2D0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A857D69"/>
    <w:multiLevelType w:val="multilevel"/>
    <w:tmpl w:val="EC74E0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14B5179"/>
    <w:multiLevelType w:val="multilevel"/>
    <w:tmpl w:val="8B642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3975738"/>
    <w:multiLevelType w:val="multilevel"/>
    <w:tmpl w:val="79DC4A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60A4E82"/>
    <w:multiLevelType w:val="multilevel"/>
    <w:tmpl w:val="3B42CC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F474087"/>
    <w:multiLevelType w:val="multilevel"/>
    <w:tmpl w:val="81004D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2C370D6"/>
    <w:multiLevelType w:val="hybridMultilevel"/>
    <w:tmpl w:val="351E3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F11D04"/>
    <w:multiLevelType w:val="multilevel"/>
    <w:tmpl w:val="8DAA15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A665EB5"/>
    <w:multiLevelType w:val="multilevel"/>
    <w:tmpl w:val="1094652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DF03121"/>
    <w:multiLevelType w:val="multilevel"/>
    <w:tmpl w:val="12A6B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E6948A9"/>
    <w:multiLevelType w:val="multilevel"/>
    <w:tmpl w:val="A26A3F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B60311F"/>
    <w:multiLevelType w:val="multilevel"/>
    <w:tmpl w:val="7B68A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01019B9"/>
    <w:multiLevelType w:val="multilevel"/>
    <w:tmpl w:val="FCB417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A394C2A"/>
    <w:multiLevelType w:val="multilevel"/>
    <w:tmpl w:val="55DEB2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73ED0F4C"/>
    <w:multiLevelType w:val="multilevel"/>
    <w:tmpl w:val="17963F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6D64142"/>
    <w:multiLevelType w:val="multilevel"/>
    <w:tmpl w:val="85A23C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E3515F2"/>
    <w:multiLevelType w:val="multilevel"/>
    <w:tmpl w:val="55F60E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66504206">
    <w:abstractNumId w:val="9"/>
  </w:num>
  <w:num w:numId="2" w16cid:durableId="1958414274">
    <w:abstractNumId w:val="14"/>
  </w:num>
  <w:num w:numId="3" w16cid:durableId="107819897">
    <w:abstractNumId w:val="3"/>
  </w:num>
  <w:num w:numId="4" w16cid:durableId="571082643">
    <w:abstractNumId w:val="18"/>
  </w:num>
  <w:num w:numId="5" w16cid:durableId="432554029">
    <w:abstractNumId w:val="5"/>
  </w:num>
  <w:num w:numId="6" w16cid:durableId="603927864">
    <w:abstractNumId w:val="6"/>
  </w:num>
  <w:num w:numId="7" w16cid:durableId="1799059352">
    <w:abstractNumId w:val="17"/>
  </w:num>
  <w:num w:numId="8" w16cid:durableId="1797992165">
    <w:abstractNumId w:val="12"/>
  </w:num>
  <w:num w:numId="9" w16cid:durableId="1673677365">
    <w:abstractNumId w:val="7"/>
  </w:num>
  <w:num w:numId="10" w16cid:durableId="1500730249">
    <w:abstractNumId w:val="2"/>
  </w:num>
  <w:num w:numId="11" w16cid:durableId="487018570">
    <w:abstractNumId w:val="19"/>
  </w:num>
  <w:num w:numId="12" w16cid:durableId="1643195088">
    <w:abstractNumId w:val="16"/>
  </w:num>
  <w:num w:numId="13" w16cid:durableId="1295601371">
    <w:abstractNumId w:val="0"/>
  </w:num>
  <w:num w:numId="14" w16cid:durableId="1435322310">
    <w:abstractNumId w:val="15"/>
  </w:num>
  <w:num w:numId="15" w16cid:durableId="1194805537">
    <w:abstractNumId w:val="4"/>
  </w:num>
  <w:num w:numId="16" w16cid:durableId="2028361942">
    <w:abstractNumId w:val="8"/>
  </w:num>
  <w:num w:numId="17" w16cid:durableId="107969976">
    <w:abstractNumId w:val="10"/>
  </w:num>
  <w:num w:numId="18" w16cid:durableId="2058621334">
    <w:abstractNumId w:val="13"/>
  </w:num>
  <w:num w:numId="19" w16cid:durableId="458571266">
    <w:abstractNumId w:val="11"/>
  </w:num>
  <w:num w:numId="20" w16cid:durableId="922185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CAE"/>
    <w:rsid w:val="000E4593"/>
    <w:rsid w:val="00130599"/>
    <w:rsid w:val="001869E6"/>
    <w:rsid w:val="00230DA1"/>
    <w:rsid w:val="00290D8B"/>
    <w:rsid w:val="003C07A7"/>
    <w:rsid w:val="003C7FAC"/>
    <w:rsid w:val="003D6555"/>
    <w:rsid w:val="004166F5"/>
    <w:rsid w:val="0042065A"/>
    <w:rsid w:val="00495DCD"/>
    <w:rsid w:val="005225DF"/>
    <w:rsid w:val="00527909"/>
    <w:rsid w:val="005347E7"/>
    <w:rsid w:val="00583BB7"/>
    <w:rsid w:val="0066588B"/>
    <w:rsid w:val="006B61F4"/>
    <w:rsid w:val="006F5F45"/>
    <w:rsid w:val="006F7C37"/>
    <w:rsid w:val="00764EA1"/>
    <w:rsid w:val="0089614E"/>
    <w:rsid w:val="00A64D5D"/>
    <w:rsid w:val="00A72D7F"/>
    <w:rsid w:val="00A923E2"/>
    <w:rsid w:val="00AA5027"/>
    <w:rsid w:val="00AF7A73"/>
    <w:rsid w:val="00B66CAE"/>
    <w:rsid w:val="00BE6886"/>
    <w:rsid w:val="00C02BF1"/>
    <w:rsid w:val="00C03C6F"/>
    <w:rsid w:val="00C25753"/>
    <w:rsid w:val="00C972D1"/>
    <w:rsid w:val="00D66FA1"/>
    <w:rsid w:val="00D85D42"/>
    <w:rsid w:val="00DC7C81"/>
    <w:rsid w:val="00E00F91"/>
    <w:rsid w:val="00E1387D"/>
    <w:rsid w:val="00E9215A"/>
    <w:rsid w:val="00EA336C"/>
    <w:rsid w:val="00F153A7"/>
    <w:rsid w:val="01AA6C08"/>
    <w:rsid w:val="01BC7E5A"/>
    <w:rsid w:val="0200B2D0"/>
    <w:rsid w:val="020D0B61"/>
    <w:rsid w:val="032BEC9D"/>
    <w:rsid w:val="04278A0B"/>
    <w:rsid w:val="04CC7432"/>
    <w:rsid w:val="04CFFFF6"/>
    <w:rsid w:val="053DCD61"/>
    <w:rsid w:val="0593B2AB"/>
    <w:rsid w:val="0643BF56"/>
    <w:rsid w:val="065A06BD"/>
    <w:rsid w:val="06C44676"/>
    <w:rsid w:val="07D81807"/>
    <w:rsid w:val="084DB7AC"/>
    <w:rsid w:val="089566FA"/>
    <w:rsid w:val="08BF31A9"/>
    <w:rsid w:val="09224600"/>
    <w:rsid w:val="092B8E67"/>
    <w:rsid w:val="099338AC"/>
    <w:rsid w:val="09BEE7E2"/>
    <w:rsid w:val="09E0DB8C"/>
    <w:rsid w:val="0A222AF7"/>
    <w:rsid w:val="0A3A9D1C"/>
    <w:rsid w:val="0A69D484"/>
    <w:rsid w:val="0A9BBD11"/>
    <w:rsid w:val="0AA8644E"/>
    <w:rsid w:val="0B33F6AB"/>
    <w:rsid w:val="0B7A836F"/>
    <w:rsid w:val="0C81B854"/>
    <w:rsid w:val="0E283DB4"/>
    <w:rsid w:val="0ED3B071"/>
    <w:rsid w:val="0EF7C48B"/>
    <w:rsid w:val="10199962"/>
    <w:rsid w:val="118AE8C4"/>
    <w:rsid w:val="11A7F6AE"/>
    <w:rsid w:val="11D15E5A"/>
    <w:rsid w:val="1200CDB6"/>
    <w:rsid w:val="120BFDD2"/>
    <w:rsid w:val="1257552C"/>
    <w:rsid w:val="125A4B9D"/>
    <w:rsid w:val="128FE65C"/>
    <w:rsid w:val="12DBD0FA"/>
    <w:rsid w:val="1366606E"/>
    <w:rsid w:val="136AAFA9"/>
    <w:rsid w:val="1431FE9E"/>
    <w:rsid w:val="14B57ABE"/>
    <w:rsid w:val="14D024A1"/>
    <w:rsid w:val="14F0F8F6"/>
    <w:rsid w:val="152069F9"/>
    <w:rsid w:val="158AF8D1"/>
    <w:rsid w:val="16C77D9F"/>
    <w:rsid w:val="16DBAA21"/>
    <w:rsid w:val="182B286E"/>
    <w:rsid w:val="1830069C"/>
    <w:rsid w:val="1857004E"/>
    <w:rsid w:val="18EAB191"/>
    <w:rsid w:val="18FA3C67"/>
    <w:rsid w:val="190A7EE6"/>
    <w:rsid w:val="195AF90B"/>
    <w:rsid w:val="197BAB35"/>
    <w:rsid w:val="1A393D83"/>
    <w:rsid w:val="1A931ADC"/>
    <w:rsid w:val="1AC9FF13"/>
    <w:rsid w:val="1B79B342"/>
    <w:rsid w:val="1B8F4798"/>
    <w:rsid w:val="1B98E8D7"/>
    <w:rsid w:val="1BCE272B"/>
    <w:rsid w:val="1BD7AA5D"/>
    <w:rsid w:val="1BD9E052"/>
    <w:rsid w:val="1BF3B490"/>
    <w:rsid w:val="1CF5B308"/>
    <w:rsid w:val="1DF63225"/>
    <w:rsid w:val="1E2A048E"/>
    <w:rsid w:val="1E3D9E01"/>
    <w:rsid w:val="1E4A0F69"/>
    <w:rsid w:val="1F2FC0EB"/>
    <w:rsid w:val="1F803042"/>
    <w:rsid w:val="1FE47647"/>
    <w:rsid w:val="208EF9D5"/>
    <w:rsid w:val="217F27E0"/>
    <w:rsid w:val="21BB7A38"/>
    <w:rsid w:val="21C79D58"/>
    <w:rsid w:val="21E4D12A"/>
    <w:rsid w:val="21EEDCB7"/>
    <w:rsid w:val="220BC6B2"/>
    <w:rsid w:val="221DA7EA"/>
    <w:rsid w:val="22CA0732"/>
    <w:rsid w:val="23FF2194"/>
    <w:rsid w:val="240564D4"/>
    <w:rsid w:val="2416F43F"/>
    <w:rsid w:val="242CD531"/>
    <w:rsid w:val="2541F486"/>
    <w:rsid w:val="25CC3057"/>
    <w:rsid w:val="25EA20CC"/>
    <w:rsid w:val="2629E03E"/>
    <w:rsid w:val="268AD327"/>
    <w:rsid w:val="271A9C13"/>
    <w:rsid w:val="272036AA"/>
    <w:rsid w:val="277ACDC2"/>
    <w:rsid w:val="2915E0E8"/>
    <w:rsid w:val="29B2805F"/>
    <w:rsid w:val="2A41EC55"/>
    <w:rsid w:val="2A98306B"/>
    <w:rsid w:val="2B746AA7"/>
    <w:rsid w:val="2B755B30"/>
    <w:rsid w:val="2B8E7AD8"/>
    <w:rsid w:val="2C496184"/>
    <w:rsid w:val="2C779437"/>
    <w:rsid w:val="2CBA1361"/>
    <w:rsid w:val="2CF1193B"/>
    <w:rsid w:val="2D3D246C"/>
    <w:rsid w:val="2D5983D0"/>
    <w:rsid w:val="2D9BF4A5"/>
    <w:rsid w:val="2E1A730C"/>
    <w:rsid w:val="2E27F93A"/>
    <w:rsid w:val="2E893E86"/>
    <w:rsid w:val="2EDF9015"/>
    <w:rsid w:val="2F64A708"/>
    <w:rsid w:val="2FAAEE9C"/>
    <w:rsid w:val="2FF0ABDE"/>
    <w:rsid w:val="30202C49"/>
    <w:rsid w:val="30480105"/>
    <w:rsid w:val="3055FB56"/>
    <w:rsid w:val="306B10D6"/>
    <w:rsid w:val="30FF90A5"/>
    <w:rsid w:val="327172A4"/>
    <w:rsid w:val="329EFA1D"/>
    <w:rsid w:val="32A6A59D"/>
    <w:rsid w:val="32DC637B"/>
    <w:rsid w:val="32F6D62F"/>
    <w:rsid w:val="33284A7F"/>
    <w:rsid w:val="340C47D3"/>
    <w:rsid w:val="343691DC"/>
    <w:rsid w:val="357652E7"/>
    <w:rsid w:val="358A33A2"/>
    <w:rsid w:val="35BF419F"/>
    <w:rsid w:val="376880BA"/>
    <w:rsid w:val="3774B1B0"/>
    <w:rsid w:val="37D59044"/>
    <w:rsid w:val="382833D6"/>
    <w:rsid w:val="384A375A"/>
    <w:rsid w:val="3855E554"/>
    <w:rsid w:val="38FE9A6F"/>
    <w:rsid w:val="391829C3"/>
    <w:rsid w:val="39A41830"/>
    <w:rsid w:val="39ACD10A"/>
    <w:rsid w:val="39F145E6"/>
    <w:rsid w:val="3A18C9F6"/>
    <w:rsid w:val="3A47B0A3"/>
    <w:rsid w:val="3B3F130F"/>
    <w:rsid w:val="3B488F08"/>
    <w:rsid w:val="3B8D8114"/>
    <w:rsid w:val="3CF0FF92"/>
    <w:rsid w:val="3D74FAC8"/>
    <w:rsid w:val="3DA1ED09"/>
    <w:rsid w:val="3DBFA059"/>
    <w:rsid w:val="3E42F439"/>
    <w:rsid w:val="3ECFB7EF"/>
    <w:rsid w:val="3F890965"/>
    <w:rsid w:val="403A6F40"/>
    <w:rsid w:val="407C5741"/>
    <w:rsid w:val="40CCB459"/>
    <w:rsid w:val="40EAB83F"/>
    <w:rsid w:val="4100625E"/>
    <w:rsid w:val="4354CB2B"/>
    <w:rsid w:val="436505FD"/>
    <w:rsid w:val="448FAF0C"/>
    <w:rsid w:val="4499951A"/>
    <w:rsid w:val="44D8545E"/>
    <w:rsid w:val="4555C94C"/>
    <w:rsid w:val="4571578C"/>
    <w:rsid w:val="45F2E7FA"/>
    <w:rsid w:val="462E3342"/>
    <w:rsid w:val="46460D3F"/>
    <w:rsid w:val="47138E8F"/>
    <w:rsid w:val="47892A39"/>
    <w:rsid w:val="478AFE85"/>
    <w:rsid w:val="47BB2736"/>
    <w:rsid w:val="47D9759D"/>
    <w:rsid w:val="48430146"/>
    <w:rsid w:val="4873279F"/>
    <w:rsid w:val="498D01A8"/>
    <w:rsid w:val="4A70A19E"/>
    <w:rsid w:val="4B0A6507"/>
    <w:rsid w:val="4B7313D8"/>
    <w:rsid w:val="4B8651A5"/>
    <w:rsid w:val="4BDDEE6F"/>
    <w:rsid w:val="4BE3DC8D"/>
    <w:rsid w:val="4BEC8871"/>
    <w:rsid w:val="4C5B780B"/>
    <w:rsid w:val="4C6B8707"/>
    <w:rsid w:val="4D30ED30"/>
    <w:rsid w:val="4D3A8C7C"/>
    <w:rsid w:val="4D86D11D"/>
    <w:rsid w:val="4DD8C7F3"/>
    <w:rsid w:val="4DEBE6D9"/>
    <w:rsid w:val="4E05CB01"/>
    <w:rsid w:val="4F1B2BF8"/>
    <w:rsid w:val="4FF3D571"/>
    <w:rsid w:val="50034F1F"/>
    <w:rsid w:val="503798AD"/>
    <w:rsid w:val="5080A23D"/>
    <w:rsid w:val="50B146C9"/>
    <w:rsid w:val="50C724AB"/>
    <w:rsid w:val="50E13A50"/>
    <w:rsid w:val="50F782A0"/>
    <w:rsid w:val="511E989C"/>
    <w:rsid w:val="5172EA40"/>
    <w:rsid w:val="51B50D93"/>
    <w:rsid w:val="51B912EB"/>
    <w:rsid w:val="51B912EB"/>
    <w:rsid w:val="521AC04B"/>
    <w:rsid w:val="5285DF6D"/>
    <w:rsid w:val="537923DA"/>
    <w:rsid w:val="53F40097"/>
    <w:rsid w:val="5455956B"/>
    <w:rsid w:val="54B4FDA5"/>
    <w:rsid w:val="552AA146"/>
    <w:rsid w:val="552F7291"/>
    <w:rsid w:val="55834A24"/>
    <w:rsid w:val="5614ACD9"/>
    <w:rsid w:val="563D71ED"/>
    <w:rsid w:val="572F2C9D"/>
    <w:rsid w:val="575CC673"/>
    <w:rsid w:val="5765EE9B"/>
    <w:rsid w:val="593432C1"/>
    <w:rsid w:val="59BEC439"/>
    <w:rsid w:val="59D7FC7A"/>
    <w:rsid w:val="5A53BFDF"/>
    <w:rsid w:val="5A92D012"/>
    <w:rsid w:val="5AFCA26E"/>
    <w:rsid w:val="5B1A950A"/>
    <w:rsid w:val="5C83B528"/>
    <w:rsid w:val="5D951093"/>
    <w:rsid w:val="5E067291"/>
    <w:rsid w:val="5E517F13"/>
    <w:rsid w:val="5EB32AB4"/>
    <w:rsid w:val="5EBD84A3"/>
    <w:rsid w:val="608D13AC"/>
    <w:rsid w:val="60B823D6"/>
    <w:rsid w:val="60D45FC9"/>
    <w:rsid w:val="60DB107F"/>
    <w:rsid w:val="60F94B5B"/>
    <w:rsid w:val="61C60F70"/>
    <w:rsid w:val="62058109"/>
    <w:rsid w:val="627F29E1"/>
    <w:rsid w:val="62C2B693"/>
    <w:rsid w:val="63139717"/>
    <w:rsid w:val="6322A3BC"/>
    <w:rsid w:val="6362070A"/>
    <w:rsid w:val="63A8DABC"/>
    <w:rsid w:val="63BD9FC3"/>
    <w:rsid w:val="63E7A078"/>
    <w:rsid w:val="64DA88B0"/>
    <w:rsid w:val="65B96743"/>
    <w:rsid w:val="65C7CCE8"/>
    <w:rsid w:val="65F92F1B"/>
    <w:rsid w:val="6637E6BB"/>
    <w:rsid w:val="66CACBD6"/>
    <w:rsid w:val="66CACBD6"/>
    <w:rsid w:val="66F84873"/>
    <w:rsid w:val="67298013"/>
    <w:rsid w:val="6746687C"/>
    <w:rsid w:val="677E4B92"/>
    <w:rsid w:val="679D4C83"/>
    <w:rsid w:val="67A0F9C5"/>
    <w:rsid w:val="67F58F97"/>
    <w:rsid w:val="68EFD0DA"/>
    <w:rsid w:val="690398AD"/>
    <w:rsid w:val="6A330473"/>
    <w:rsid w:val="6A6D7A80"/>
    <w:rsid w:val="6AA069FE"/>
    <w:rsid w:val="6B0A7626"/>
    <w:rsid w:val="6B0CC5B3"/>
    <w:rsid w:val="6C95503A"/>
    <w:rsid w:val="6D1883BD"/>
    <w:rsid w:val="6D327C5C"/>
    <w:rsid w:val="6D441570"/>
    <w:rsid w:val="6D59E083"/>
    <w:rsid w:val="6DD428D4"/>
    <w:rsid w:val="6E6A37A9"/>
    <w:rsid w:val="6E8E624F"/>
    <w:rsid w:val="6E978791"/>
    <w:rsid w:val="6F09BBA0"/>
    <w:rsid w:val="6F379B50"/>
    <w:rsid w:val="6F55488A"/>
    <w:rsid w:val="6FBF9D5D"/>
    <w:rsid w:val="70266AA8"/>
    <w:rsid w:val="71001FCF"/>
    <w:rsid w:val="7164EE7B"/>
    <w:rsid w:val="73321943"/>
    <w:rsid w:val="73A642A4"/>
    <w:rsid w:val="73D9C36A"/>
    <w:rsid w:val="73DD6D93"/>
    <w:rsid w:val="73F0B11A"/>
    <w:rsid w:val="74744B62"/>
    <w:rsid w:val="74C1AA5F"/>
    <w:rsid w:val="74EE0299"/>
    <w:rsid w:val="7527B29C"/>
    <w:rsid w:val="75E6BC62"/>
    <w:rsid w:val="76057ADB"/>
    <w:rsid w:val="766E07D8"/>
    <w:rsid w:val="76C2C746"/>
    <w:rsid w:val="77F582A7"/>
    <w:rsid w:val="77F941DA"/>
    <w:rsid w:val="7840E28D"/>
    <w:rsid w:val="788267ED"/>
    <w:rsid w:val="79F0AC5C"/>
    <w:rsid w:val="7ACD463F"/>
    <w:rsid w:val="7AE00D4D"/>
    <w:rsid w:val="7B72ACDD"/>
    <w:rsid w:val="7CC91C5C"/>
    <w:rsid w:val="7CE51B0F"/>
    <w:rsid w:val="7DD411BB"/>
    <w:rsid w:val="7E2ED6F5"/>
    <w:rsid w:val="7EDB9230"/>
    <w:rsid w:val="7EF64ECA"/>
    <w:rsid w:val="7F03B002"/>
    <w:rsid w:val="7F3B319B"/>
    <w:rsid w:val="7F451B0F"/>
    <w:rsid w:val="7F62758A"/>
    <w:rsid w:val="7FEB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F1030"/>
  <w15:chartTrackingRefBased/>
  <w15:docId w15:val="{AE13D2BC-EF1F-F04E-8C37-40E69344B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66CA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6CA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6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CA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66CA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66CA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B66CA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66CA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66CA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66CA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66CA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66CA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66CAE"/>
    <w:rPr>
      <w:rFonts w:eastAsiaTheme="majorEastAsia" w:cstheme="majorBidi"/>
      <w:color w:val="272727" w:themeColor="text1" w:themeTint="D8"/>
    </w:rPr>
  </w:style>
  <w:style w:type="paragraph" w:styleId="Title">
    <w:name w:val="Title"/>
    <w:basedOn w:val="Normal"/>
    <w:next w:val="Normal"/>
    <w:link w:val="TitleChar"/>
    <w:uiPriority w:val="10"/>
    <w:qFormat/>
    <w:rsid w:val="00B66CA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66CA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66CA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66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CAE"/>
    <w:pPr>
      <w:spacing w:before="160"/>
      <w:jc w:val="center"/>
    </w:pPr>
    <w:rPr>
      <w:i/>
      <w:iCs/>
      <w:color w:val="404040" w:themeColor="text1" w:themeTint="BF"/>
    </w:rPr>
  </w:style>
  <w:style w:type="character" w:styleId="QuoteChar" w:customStyle="1">
    <w:name w:val="Quote Char"/>
    <w:basedOn w:val="DefaultParagraphFont"/>
    <w:link w:val="Quote"/>
    <w:uiPriority w:val="29"/>
    <w:rsid w:val="00B66CAE"/>
    <w:rPr>
      <w:i/>
      <w:iCs/>
      <w:color w:val="404040" w:themeColor="text1" w:themeTint="BF"/>
    </w:rPr>
  </w:style>
  <w:style w:type="paragraph" w:styleId="ListParagraph">
    <w:name w:val="List Paragraph"/>
    <w:basedOn w:val="Normal"/>
    <w:uiPriority w:val="34"/>
    <w:qFormat/>
    <w:rsid w:val="00B66CAE"/>
    <w:pPr>
      <w:ind w:left="720"/>
      <w:contextualSpacing/>
    </w:pPr>
  </w:style>
  <w:style w:type="character" w:styleId="IntenseEmphasis">
    <w:name w:val="Intense Emphasis"/>
    <w:basedOn w:val="DefaultParagraphFont"/>
    <w:uiPriority w:val="21"/>
    <w:qFormat/>
    <w:rsid w:val="00B66CAE"/>
    <w:rPr>
      <w:i/>
      <w:iCs/>
      <w:color w:val="0F4761" w:themeColor="accent1" w:themeShade="BF"/>
    </w:rPr>
  </w:style>
  <w:style w:type="paragraph" w:styleId="IntenseQuote">
    <w:name w:val="Intense Quote"/>
    <w:basedOn w:val="Normal"/>
    <w:next w:val="Normal"/>
    <w:link w:val="IntenseQuoteChar"/>
    <w:uiPriority w:val="30"/>
    <w:qFormat/>
    <w:rsid w:val="00B66CA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66CAE"/>
    <w:rPr>
      <w:i/>
      <w:iCs/>
      <w:color w:val="0F4761" w:themeColor="accent1" w:themeShade="BF"/>
    </w:rPr>
  </w:style>
  <w:style w:type="character" w:styleId="IntenseReference">
    <w:name w:val="Intense Reference"/>
    <w:basedOn w:val="DefaultParagraphFont"/>
    <w:uiPriority w:val="32"/>
    <w:qFormat/>
    <w:rsid w:val="00B66CAE"/>
    <w:rPr>
      <w:b/>
      <w:bCs/>
      <w:smallCaps/>
      <w:color w:val="0F4761" w:themeColor="accent1" w:themeShade="BF"/>
      <w:spacing w:val="5"/>
    </w:rPr>
  </w:style>
  <w:style w:type="character" w:styleId="Hyperlink">
    <w:name w:val="Hyperlink"/>
    <w:basedOn w:val="DefaultParagraphFont"/>
    <w:uiPriority w:val="99"/>
    <w:unhideWhenUsed/>
    <w:rsid w:val="00D66FA1"/>
    <w:rPr>
      <w:color w:val="467886" w:themeColor="hyperlink"/>
      <w:u w:val="single"/>
    </w:rPr>
  </w:style>
  <w:style w:type="character" w:styleId="UnresolvedMention">
    <w:name w:val="Unresolved Mention"/>
    <w:basedOn w:val="DefaultParagraphFont"/>
    <w:uiPriority w:val="99"/>
    <w:semiHidden/>
    <w:unhideWhenUsed/>
    <w:rsid w:val="00D66FA1"/>
    <w:rPr>
      <w:color w:val="605E5C"/>
      <w:shd w:val="clear" w:color="auto" w:fill="E1DFDD"/>
    </w:rPr>
  </w:style>
  <w:style w:type="character" w:styleId="Strong">
    <w:name w:val="Strong"/>
    <w:basedOn w:val="DefaultParagraphFont"/>
    <w:uiPriority w:val="22"/>
    <w:qFormat/>
    <w:rsid w:val="001869E6"/>
    <w:rPr>
      <w:b/>
      <w:bCs/>
    </w:rPr>
  </w:style>
  <w:style w:type="paragraph" w:styleId="NormalWeb">
    <w:name w:val="Normal (Web)"/>
    <w:basedOn w:val="Normal"/>
    <w:uiPriority w:val="99"/>
    <w:semiHidden/>
    <w:unhideWhenUsed/>
    <w:rsid w:val="001869E6"/>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FollowedHyperlink">
    <w:name w:val="FollowedHyperlink"/>
    <w:basedOn w:val="DefaultParagraphFont"/>
    <w:uiPriority w:val="99"/>
    <w:semiHidden/>
    <w:unhideWhenUsed/>
    <w:rsid w:val="00EA336C"/>
    <w:rPr>
      <w:color w:val="96607D" w:themeColor="followed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www.gov.uk/government/publications/artificial-intelligence-sector-study-2024/artificial-intelligence-sector-study-2024" TargetMode="External" Id="R84d9099ec8d54cab" /><Relationship Type="http://schemas.openxmlformats.org/officeDocument/2006/relationships/hyperlink" Target="https://www.ibm.com/think/insights/10-ai-dangers-and-risks-and-how-to-manage-them" TargetMode="External" Id="R7f4f578ae87e45b7" /><Relationship Type="http://schemas.openxmlformats.org/officeDocument/2006/relationships/hyperlink" Target="https://www.paloaltonetworks.com/cyberpedia/black-box-ai" TargetMode="External" Id="R27a332b5ca3e4d9f" /><Relationship Type="http://schemas.openxmlformats.org/officeDocument/2006/relationships/hyperlink" Target="https://www.ibm.com/think/insights/ai-risk-management" TargetMode="External" Id="Rd8d08b12749a45fd" /><Relationship Type="http://schemas.openxmlformats.org/officeDocument/2006/relationships/hyperlink" Target="https://www.ibm.com/think/topics/ai-governance" TargetMode="External" Id="Ra785d4b2ff7d4c40" /><Relationship Type="http://schemas.openxmlformats.org/officeDocument/2006/relationships/hyperlink" Target="https://www.gartner.com/en/articles/ai-governance-trism" TargetMode="External" Id="R79f12558461b4ec7" /><Relationship Type="http://schemas.openxmlformats.org/officeDocument/2006/relationships/hyperlink" Target="https://www.nist.gov/news-events/news/2024/01/nist-identifies-types-cyberattacks-manipulate-behavior-ai-systems" TargetMode="External" Id="Re1218a03b62d469c" /><Relationship Type="http://schemas.openxmlformats.org/officeDocument/2006/relationships/hyperlink" Target="https://www.ibm.com/think/topics/model-drift" TargetMode="External" Id="R73245f154dfa4988" /><Relationship Type="http://schemas.openxmlformats.org/officeDocument/2006/relationships/hyperlink" Target="https://genai.owasp.org/llmrisk/llm042025-data-and-model-poisoning/" TargetMode="External" Id="R2ce1440ca7034e1b" /><Relationship Type="http://schemas.openxmlformats.org/officeDocument/2006/relationships/hyperlink" Target="https://mitsloan.mit.edu/ideas-made-to-matter/ai-reinventing-hiring-same-old-biases-heres-how-to-avoid-trap" TargetMode="External" Id="R1aa197c8544741fd" /><Relationship Type="http://schemas.openxmlformats.org/officeDocument/2006/relationships/hyperlink" Target="https://www.reuters.com/article/world/insight-amazon-scraps-secret-ai-recruiting-tool-that-showed-bias-against-women-idUSKCN1MK0AG/" TargetMode="External" Id="R1541738fe03e4e74" /><Relationship Type="http://schemas.openxmlformats.org/officeDocument/2006/relationships/hyperlink" Target="https://www.propublica.org/article/how-we-analyzed-the-compas-recidivism-algorithm" TargetMode="External" Id="Ra2b1d17faed6441d" /><Relationship Type="http://schemas.openxmlformats.org/officeDocument/2006/relationships/hyperlink" Target="https://docs.cloud.google.com/bigquery/docs/xai-overview" TargetMode="External" Id="Ra64788f690874975" /><Relationship Type="http://schemas.openxmlformats.org/officeDocument/2006/relationships/hyperlink" Target="https://research.ibm.com/blog/what-is-red-teaming-gen-AI" TargetMode="External" Id="Rd48a0aa6acb54e2e" /><Relationship Type="http://schemas.openxmlformats.org/officeDocument/2006/relationships/hyperlink" Target="https://www.raconteur.net/risk-regulation/unapproved-ai-use-shows-adoption-is-outpacing-governance" TargetMode="External" Id="Rb17cd8c5bca4400a" /><Relationship Type="http://schemas.openxmlformats.org/officeDocument/2006/relationships/hyperlink" Target="https://Www.gov.uk" TargetMode="External" Id="Rff9e5cf636c249cf" /><Relationship Type="http://schemas.openxmlformats.org/officeDocument/2006/relationships/hyperlink" Target="https://www.gov.uk/government/consultations/ai-regulation-a-pro-innovation-approach-policy-proposals/outcome/a-pro-innovation-approach-to-ai-regulation-government-response" TargetMode="External" Id="R7d10240d825c4d5f" /><Relationship Type="http://schemas.openxmlformats.org/officeDocument/2006/relationships/hyperlink" Target="https://www.ibm.com/think/insights/ai-adoption-challenges" TargetMode="External" Id="Ref338af86c6c4ba3" /><Relationship Type="http://schemas.openxmlformats.org/officeDocument/2006/relationships/image" Target="/media/image3.png" Id="rId1611425497" /><Relationship Type="http://schemas.openxmlformats.org/officeDocument/2006/relationships/image" Target="/media/image4.png" Id="rId420821104" /><Relationship Type="http://schemas.openxmlformats.org/officeDocument/2006/relationships/image" Target="/media/image5.png" Id="rId1544720034" /><Relationship Type="http://schemas.openxmlformats.org/officeDocument/2006/relationships/image" Target="/media/image6.png" Id="rId23727148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Cromwell</dc:creator>
  <keywords/>
  <dc:description/>
  <lastModifiedBy>Jac Cromwell (2401039)</lastModifiedBy>
  <revision>26</revision>
  <dcterms:created xsi:type="dcterms:W3CDTF">2026-06-02T10:18:00.0000000Z</dcterms:created>
  <dcterms:modified xsi:type="dcterms:W3CDTF">2026-07-25T08:55:27.2670894Z</dcterms:modified>
</coreProperties>
</file>