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2C64" w:rsidP="324AADD7" w:rsidRDefault="00BB2DF0" w14:paraId="4FF6B1C7" w14:textId="7BF2AC00">
      <w:pPr>
        <w:rPr>
          <w:rFonts w:ascii="Segoe UI" w:hAnsi="Segoe UI" w:cs="Segoe UI"/>
          <w:color w:val="373A3C"/>
          <w:lang w:val="en"/>
        </w:rPr>
      </w:pPr>
      <w:r w:rsidRPr="324AADD7" w:rsidR="324AADD7">
        <w:rPr>
          <w:rFonts w:ascii="Segoe UI" w:hAnsi="Segoe UI" w:cs="Segoe UI"/>
          <w:color w:val="373A3C"/>
          <w:lang w:val="en-US"/>
        </w:rPr>
        <w:t>2.</w:t>
      </w:r>
      <w:r w:rsidRPr="324AADD7" w:rsidR="324AADD7">
        <w:rPr>
          <w:rFonts w:ascii="Segoe UI" w:hAnsi="Segoe UI" w:cs="Segoe UI"/>
          <w:b w:val="1"/>
          <w:bCs w:val="1"/>
          <w:color w:val="373A3C"/>
          <w:lang w:val="en-US"/>
        </w:rPr>
        <w:t xml:space="preserve"> </w:t>
      </w:r>
      <w:r w:rsidRPr="324AADD7" w:rsidR="324AADD7">
        <w:rPr>
          <w:rFonts w:ascii="Segoe UI" w:hAnsi="Segoe UI" w:cs="Segoe UI"/>
          <w:b w:val="1"/>
          <w:bCs w:val="1"/>
          <w:color w:val="373A3C"/>
          <w:u w:val="single"/>
          <w:lang w:val="en"/>
        </w:rPr>
        <w:t>What idea is Merlea</w:t>
      </w:r>
      <w:r w:rsidRPr="324AADD7" w:rsidR="324AADD7">
        <w:rPr>
          <w:rFonts w:ascii="Segoe UI" w:hAnsi="Segoe UI" w:cs="Segoe UI"/>
          <w:b w:val="1"/>
          <w:bCs w:val="1"/>
          <w:color w:val="373A3C"/>
          <w:u w:val="single"/>
          <w:lang w:val="en"/>
        </w:rPr>
        <w:t>u</w:t>
      </w:r>
      <w:r w:rsidRPr="324AADD7" w:rsidR="324AADD7">
        <w:rPr>
          <w:rFonts w:ascii="Segoe UI" w:hAnsi="Segoe UI" w:cs="Segoe UI"/>
          <w:b w:val="1"/>
          <w:bCs w:val="1"/>
          <w:color w:val="373A3C"/>
          <w:u w:val="single"/>
          <w:lang w:val="en"/>
        </w:rPr>
        <w:t>-Ponty referring to when he speaks of an ‘inner man’? What does he think is wrong in that idea?</w:t>
      </w:r>
    </w:p>
    <w:p w:rsidR="76AE5DB0" w:rsidP="76AE5DB0" w:rsidRDefault="76AE5DB0" w14:paraId="678797D0" w14:textId="35526F60">
      <w:pPr>
        <w:pStyle w:val="Normal"/>
        <w:rPr>
          <w:rFonts w:ascii="Segoe UI" w:hAnsi="Segoe UI" w:cs="Segoe UI"/>
          <w:color w:val="373A3C"/>
          <w:lang w:val="en"/>
        </w:rPr>
      </w:pPr>
      <w:r w:rsidRPr="76AE5DB0" w:rsidR="76AE5DB0">
        <w:rPr>
          <w:rFonts w:ascii="Segoe UI" w:hAnsi="Segoe UI" w:cs="Segoe UI"/>
          <w:color w:val="373A3C"/>
          <w:lang w:val="en"/>
        </w:rPr>
        <w:t xml:space="preserve">St. Augustine – </w:t>
      </w:r>
      <w:r w:rsidRPr="76AE5DB0" w:rsidR="76AE5DB0">
        <w:rPr>
          <w:rFonts w:ascii="Segoe UI" w:hAnsi="Segoe UI" w:cs="Segoe UI"/>
          <w:i w:val="1"/>
          <w:iCs w:val="1"/>
          <w:color w:val="373A3C"/>
          <w:lang w:val="en"/>
        </w:rPr>
        <w:t>homo-interior</w:t>
      </w:r>
    </w:p>
    <w:p w:rsidR="76AE5DB0" w:rsidP="1DA28984" w:rsidRDefault="76AE5DB0" w14:paraId="669F5B5C" w14:textId="23C22E95">
      <w:pPr>
        <w:pStyle w:val="Normal"/>
        <w:rPr>
          <w:rFonts w:ascii="Segoe UI" w:hAnsi="Segoe UI" w:cs="Segoe UI"/>
          <w:i w:val="0"/>
          <w:iCs w:val="0"/>
          <w:color w:val="373A3C"/>
          <w:lang w:val="en"/>
        </w:rPr>
      </w:pPr>
      <w:r w:rsidRPr="1DA28984" w:rsidR="1DA28984">
        <w:rPr>
          <w:rFonts w:ascii="Segoe UI" w:hAnsi="Segoe UI" w:cs="Segoe UI"/>
          <w:i w:val="0"/>
          <w:iCs w:val="0"/>
          <w:color w:val="373A3C"/>
          <w:lang w:val="en"/>
        </w:rPr>
        <w:t xml:space="preserve"> St. Augustine’s term ‘Inner man’, is a reference to the inner being who is responsible for the workings of the body,  “a constituting power which has always been identical with the inner self”</w:t>
      </w:r>
      <w:r w:rsidRPr="1DA28984">
        <w:rPr>
          <w:rStyle w:val="FootnoteReference"/>
          <w:rFonts w:ascii="Segoe UI" w:hAnsi="Segoe UI" w:cs="Segoe UI"/>
          <w:i w:val="0"/>
          <w:iCs w:val="0"/>
          <w:color w:val="373A3C"/>
          <w:lang w:val="en"/>
        </w:rPr>
        <w:footnoteReference w:id="7587"/>
      </w:r>
      <w:r w:rsidRPr="1DA28984" w:rsidR="1DA28984">
        <w:rPr>
          <w:rFonts w:ascii="Segoe UI" w:hAnsi="Segoe UI" w:cs="Segoe UI"/>
          <w:i w:val="0"/>
          <w:iCs w:val="0"/>
          <w:color w:val="373A3C"/>
          <w:lang w:val="en"/>
        </w:rPr>
        <w:t>.</w:t>
      </w:r>
      <w:r w:rsidRPr="1DA28984" w:rsidR="1DA28984">
        <w:rPr>
          <w:rFonts w:ascii="Segoe UI" w:hAnsi="Segoe UI" w:cs="Segoe UI"/>
          <w:i w:val="0"/>
          <w:iCs w:val="0"/>
          <w:color w:val="373A3C"/>
          <w:lang w:val="en"/>
        </w:rPr>
        <w:t xml:space="preserve"> St. Augustine refers to the mind as an inner man. In his article </w:t>
      </w:r>
      <w:r w:rsidRPr="1DA28984" w:rsidR="1DA28984">
        <w:rPr>
          <w:rFonts w:ascii="Segoe UI" w:hAnsi="Segoe UI" w:cs="Segoe UI"/>
          <w:i w:val="1"/>
          <w:iCs w:val="1"/>
          <w:color w:val="373A3C"/>
          <w:lang w:val="en"/>
        </w:rPr>
        <w:t xml:space="preserve"> ‘</w:t>
      </w:r>
      <w:r w:rsidRPr="1DA28984" w:rsidR="1DA28984">
        <w:rPr>
          <w:rFonts w:ascii="Segoe UI" w:hAnsi="Segoe UI" w:cs="Segoe UI"/>
          <w:i w:val="0"/>
          <w:iCs w:val="0"/>
          <w:color w:val="373A3C"/>
          <w:lang w:val="en"/>
        </w:rPr>
        <w:t>The Inner Man’ Gareth Matthews posits that for Augustine the intrinsic meaning of inner man connects man’s understanding of mental functions to giving a voice to psychological episodes. The term inner voice relates to our intention to act,  we conceive of doing something and in our heart it is done, the heart and soul of the matter is of all importance, the better part of a man resides in his soul and speaks to him through the heart.</w:t>
      </w:r>
      <w:r w:rsidRPr="1DA28984">
        <w:rPr>
          <w:rStyle w:val="FootnoteReference"/>
          <w:rFonts w:ascii="Segoe UI" w:hAnsi="Segoe UI" w:cs="Segoe UI"/>
          <w:i w:val="0"/>
          <w:iCs w:val="0"/>
          <w:color w:val="373A3C"/>
          <w:lang w:val="en"/>
        </w:rPr>
        <w:footnoteReference w:id="18009"/>
      </w:r>
      <w:r w:rsidRPr="1DA28984" w:rsidR="1DA28984">
        <w:rPr>
          <w:rFonts w:ascii="Segoe UI" w:hAnsi="Segoe UI" w:cs="Segoe UI"/>
          <w:i w:val="0"/>
          <w:iCs w:val="0"/>
          <w:color w:val="373A3C"/>
          <w:lang w:val="en"/>
        </w:rPr>
        <w:t xml:space="preserve"> If we are to think of the mind as a little man inside of ourselves, then he must also be the heart and soul, an immaterial being who can conceive of acts, but is unable to manifest action in the world directly, these acts must be manifested through having an impact on the body.</w:t>
      </w:r>
    </w:p>
    <w:p w:rsidR="76AE5DB0" w:rsidP="1DA28984" w:rsidRDefault="76AE5DB0" w14:paraId="1F707B09" w14:textId="23956F81">
      <w:pPr>
        <w:pStyle w:val="Normal"/>
        <w:rPr>
          <w:rFonts w:ascii="Segoe UI" w:hAnsi="Segoe UI" w:cs="Segoe UI"/>
          <w:i w:val="0"/>
          <w:iCs w:val="0"/>
          <w:color w:val="373A3C"/>
          <w:lang w:val="en"/>
        </w:rPr>
      </w:pPr>
      <w:r w:rsidRPr="1DA28984" w:rsidR="1DA28984">
        <w:rPr>
          <w:rFonts w:ascii="Segoe UI" w:hAnsi="Segoe UI" w:cs="Segoe UI"/>
          <w:i w:val="0"/>
          <w:iCs w:val="0"/>
          <w:color w:val="373A3C"/>
          <w:lang w:val="en"/>
        </w:rPr>
        <w:t>Like some automaton without a will to function then function only becomes possible if the little man wills it. Science fiction relates stories of such beings and it is something we can imagine quite easily. These beings are not symbiotic in Augustine’s picture, for  the inner man rules the body (the outer man). It is the inner man who sees the world, who acts and moves about in the world. In the science fiction image I pertain to, a little creature of flesh, blood and intelligence uses levers to work the outer body which is not a conscious being, but something mechanical. This is the picture Augustine paints for me, however, the use of the word heart and soul in relation to the inner man give the image a softness which is less mechanical and more symbiotic. Matthews goes on to say that both aspects, the inner and the outer, hold the name man even when we term them individually and quotes Augustine: “a man is not just a body, or just a soul, but being made up of both body and soul", and concludes with “if there were two men, although both together are one man”</w:t>
      </w:r>
      <w:r w:rsidRPr="1DA28984">
        <w:rPr>
          <w:rStyle w:val="FootnoteReference"/>
          <w:rFonts w:ascii="Segoe UI" w:hAnsi="Segoe UI" w:cs="Segoe UI"/>
          <w:i w:val="0"/>
          <w:iCs w:val="0"/>
          <w:color w:val="373A3C"/>
          <w:lang w:val="en"/>
        </w:rPr>
        <w:footnoteReference w:id="14134"/>
      </w:r>
      <w:r w:rsidRPr="1DA28984" w:rsidR="1DA28984">
        <w:rPr>
          <w:rFonts w:ascii="Segoe UI" w:hAnsi="Segoe UI" w:cs="Segoe UI"/>
          <w:i w:val="0"/>
          <w:iCs w:val="0"/>
          <w:color w:val="373A3C"/>
          <w:lang w:val="en"/>
        </w:rPr>
        <w:t>. This does appear paradoxical, however, as Augustine’s concerns are with a man’s soul: the inner man, the heart of a man, the place in his being where he conceives and perceives, he does concede that the inner and outer have a connection and one is not a man without the other. Our thoughts cannot manifest as thoughts, only in action can we manifest action.</w:t>
      </w:r>
    </w:p>
    <w:p w:rsidR="76AE5DB0" w:rsidP="1237285F" w:rsidRDefault="76AE5DB0" w14:paraId="786519DB" w14:textId="0043A108">
      <w:pPr>
        <w:pStyle w:val="Normal"/>
        <w:rPr>
          <w:rFonts w:ascii="Segoe UI" w:hAnsi="Segoe UI" w:cs="Segoe UI"/>
          <w:i w:val="0"/>
          <w:iCs w:val="0"/>
          <w:color w:val="373A3C"/>
          <w:lang w:val="en"/>
        </w:rPr>
      </w:pPr>
      <w:r w:rsidRPr="1237285F" w:rsidR="1237285F">
        <w:rPr>
          <w:rFonts w:ascii="Segoe UI" w:hAnsi="Segoe UI" w:cs="Segoe UI"/>
          <w:i w:val="0"/>
          <w:iCs w:val="0"/>
          <w:color w:val="373A3C"/>
          <w:lang w:val="en"/>
        </w:rPr>
        <w:t xml:space="preserve">Cartesian Dualism </w:t>
      </w:r>
      <w:r w:rsidRPr="1237285F" w:rsidR="1237285F">
        <w:rPr>
          <w:rFonts w:ascii="Segoe UI" w:hAnsi="Segoe UI" w:cs="Segoe UI"/>
          <w:i w:val="0"/>
          <w:iCs w:val="0"/>
          <w:color w:val="373A3C"/>
          <w:lang w:val="en"/>
        </w:rPr>
        <w:t>–</w:t>
      </w:r>
      <w:r w:rsidRPr="1237285F" w:rsidR="1237285F">
        <w:rPr>
          <w:rFonts w:ascii="Segoe UI" w:hAnsi="Segoe UI" w:cs="Segoe UI"/>
          <w:i w:val="0"/>
          <w:iCs w:val="0"/>
          <w:color w:val="373A3C"/>
          <w:lang w:val="en"/>
        </w:rPr>
        <w:t xml:space="preserve"> </w:t>
      </w:r>
      <w:r w:rsidRPr="1237285F" w:rsidR="1237285F">
        <w:rPr>
          <w:rFonts w:ascii="Segoe UI" w:hAnsi="Segoe UI" w:cs="Segoe UI"/>
          <w:i w:val="1"/>
          <w:iCs w:val="1"/>
          <w:color w:val="373A3C"/>
          <w:lang w:val="en"/>
        </w:rPr>
        <w:t>Cogito</w:t>
      </w:r>
    </w:p>
    <w:p w:rsidR="76AE5DB0" w:rsidP="1DA28984" w:rsidRDefault="76AE5DB0" w14:paraId="48D03252" w14:textId="18DE9139">
      <w:pPr>
        <w:pStyle w:val="Normal"/>
        <w:rPr>
          <w:rFonts w:ascii="Segoe UI" w:hAnsi="Segoe UI" w:cs="Segoe UI"/>
          <w:i w:val="0"/>
          <w:iCs w:val="0"/>
          <w:color w:val="373A3C"/>
          <w:lang w:val="en"/>
        </w:rPr>
      </w:pPr>
      <w:r w:rsidRPr="1DA28984" w:rsidR="1DA28984">
        <w:rPr>
          <w:rFonts w:ascii="Segoe UI" w:hAnsi="Segoe UI" w:cs="Segoe UI"/>
          <w:i w:val="0"/>
          <w:iCs w:val="0"/>
          <w:color w:val="373A3C"/>
          <w:lang w:val="en"/>
        </w:rPr>
        <w:t>Descartes sixth meditation gives focus to the mind and body distinction. “I am simply a thinking thing......I have a distinct idea of body” Descartes concludes this way of thinking with the statement “I am really distinct from my body , and can exist without it”.</w:t>
      </w:r>
      <w:r w:rsidRPr="1DA28984">
        <w:rPr>
          <w:rStyle w:val="FootnoteReference"/>
          <w:rFonts w:ascii="Segoe UI" w:hAnsi="Segoe UI" w:cs="Segoe UI"/>
          <w:i w:val="0"/>
          <w:iCs w:val="0"/>
          <w:color w:val="373A3C"/>
          <w:lang w:val="en"/>
        </w:rPr>
        <w:footnoteReference w:id="5466"/>
      </w:r>
    </w:p>
    <w:p w:rsidR="76AE5DB0" w:rsidP="1DA28984" w:rsidRDefault="76AE5DB0" w14:paraId="6343037D" w14:textId="1905467F">
      <w:pPr>
        <w:pStyle w:val="Normal"/>
        <w:rPr>
          <w:rFonts w:ascii="Segoe UI" w:hAnsi="Segoe UI" w:cs="Segoe UI"/>
          <w:i w:val="0"/>
          <w:iCs w:val="0"/>
          <w:color w:val="373A3C"/>
          <w:lang w:val="en"/>
        </w:rPr>
      </w:pPr>
      <w:r w:rsidRPr="1DA28984" w:rsidR="1DA28984">
        <w:rPr>
          <w:rFonts w:ascii="Segoe UI" w:hAnsi="Segoe UI" w:cs="Segoe UI"/>
          <w:i w:val="0"/>
          <w:iCs w:val="0"/>
          <w:color w:val="373A3C"/>
          <w:lang w:val="en"/>
        </w:rPr>
        <w:t>The world of material things (bodies) and the word of consciousness (mind/soul) are quite separate in the Cartesian concept as they are with Augustine. The foundation in this idea is the belief in a God and that the soul goes on to exist after death, it is only the body which no longer ceases to be. However, Descartes referring to Nature as a teacher through bodily sensations expresses “that I am not merely present in my body as a pilot in his ship</w:t>
      </w:r>
      <w:r w:rsidRPr="1DA28984" w:rsidR="1DA28984">
        <w:rPr>
          <w:rFonts w:ascii="Segoe UI" w:hAnsi="Segoe UI" w:cs="Segoe UI"/>
          <w:i w:val="0"/>
          <w:iCs w:val="0"/>
          <w:color w:val="373A3C"/>
          <w:lang w:val="en"/>
        </w:rPr>
        <w:t>.</w:t>
      </w:r>
      <w:r w:rsidRPr="1DA28984" w:rsidR="1DA28984">
        <w:rPr>
          <w:rFonts w:ascii="Segoe UI" w:hAnsi="Segoe UI" w:cs="Segoe UI"/>
          <w:i w:val="0"/>
          <w:iCs w:val="0"/>
          <w:color w:val="373A3C"/>
          <w:lang w:val="en"/>
        </w:rPr>
        <w:t>”</w:t>
      </w:r>
      <w:r w:rsidRPr="1DA28984">
        <w:rPr>
          <w:rStyle w:val="FootnoteReference"/>
          <w:rFonts w:ascii="Segoe UI" w:hAnsi="Segoe UI" w:cs="Segoe UI"/>
          <w:i w:val="0"/>
          <w:iCs w:val="0"/>
          <w:color w:val="373A3C"/>
          <w:lang w:val="en"/>
        </w:rPr>
        <w:footnoteReference w:id="3373"/>
      </w:r>
      <w:r w:rsidRPr="1DA28984" w:rsidR="1DA28984">
        <w:rPr>
          <w:rFonts w:ascii="Segoe UI" w:hAnsi="Segoe UI" w:cs="Segoe UI"/>
          <w:i w:val="0"/>
          <w:iCs w:val="0"/>
          <w:color w:val="373A3C"/>
          <w:lang w:val="en"/>
        </w:rPr>
        <w:t xml:space="preserve"> and concedes to some form of conjoining and intermingling of the pilot with his ship through the sensation of pain, that “I and the body form a unit”</w:t>
      </w:r>
      <w:r w:rsidRPr="1DA28984" w:rsidR="1DA28984">
        <w:rPr>
          <w:rFonts w:ascii="Segoe UI" w:hAnsi="Segoe UI" w:cs="Segoe UI"/>
          <w:i w:val="0"/>
          <w:iCs w:val="0"/>
          <w:color w:val="373A3C"/>
          <w:lang w:val="en"/>
        </w:rPr>
        <w:t>.</w:t>
      </w:r>
      <w:r w:rsidRPr="1DA28984">
        <w:rPr>
          <w:rStyle w:val="FootnoteReference"/>
          <w:rFonts w:ascii="Segoe UI" w:hAnsi="Segoe UI" w:cs="Segoe UI"/>
          <w:i w:val="0"/>
          <w:iCs w:val="0"/>
          <w:color w:val="373A3C"/>
          <w:lang w:val="en"/>
        </w:rPr>
        <w:footnoteReference w:id="1784"/>
      </w:r>
    </w:p>
    <w:p w:rsidR="1237285F" w:rsidP="13EA72E2" w:rsidRDefault="1237285F" w14:paraId="40B08119" w14:textId="3CBD524C">
      <w:pPr>
        <w:pStyle w:val="Normal"/>
        <w:rPr>
          <w:rFonts w:ascii="Segoe UI" w:hAnsi="Segoe UI" w:cs="Segoe UI"/>
          <w:i w:val="0"/>
          <w:iCs w:val="0"/>
          <w:color w:val="373A3C"/>
          <w:lang w:val="en"/>
        </w:rPr>
      </w:pPr>
      <w:r w:rsidRPr="13EA72E2" w:rsidR="13EA72E2">
        <w:rPr>
          <w:rFonts w:ascii="Segoe UI" w:hAnsi="Segoe UI" w:cs="Segoe UI"/>
          <w:i w:val="0"/>
          <w:iCs w:val="0"/>
          <w:color w:val="373A3C"/>
          <w:lang w:val="en"/>
        </w:rPr>
        <w:t>The definition of dualism is that the ‘I’ is a thinking thing, and this thinking thing is non material with a clear separation from the material world, including physical bodies, mine and yours</w:t>
      </w:r>
      <w:r w:rsidRPr="13EA72E2" w:rsidR="13EA72E2">
        <w:rPr>
          <w:rFonts w:ascii="Segoe UI" w:hAnsi="Segoe UI" w:cs="Segoe UI"/>
          <w:i w:val="0"/>
          <w:iCs w:val="0"/>
          <w:color w:val="373A3C"/>
          <w:lang w:val="en"/>
        </w:rPr>
        <w:t xml:space="preserve">, </w:t>
      </w:r>
      <w:r w:rsidRPr="13EA72E2" w:rsidR="13EA72E2">
        <w:rPr>
          <w:rFonts w:ascii="Segoe UI" w:hAnsi="Segoe UI" w:cs="Segoe UI"/>
          <w:i w:val="0"/>
          <w:iCs w:val="0"/>
          <w:color w:val="373A3C"/>
          <w:lang w:val="en"/>
        </w:rPr>
        <w:t xml:space="preserve">and from this perspective the ‘I’ is fully aware of itself and the marked boundaries from the body. Descartes does not speak specifically of an inner man, but his distinction of mind and body give rise to the same imagery as Augustine. The little man inside my head working my fingers as I write. </w:t>
      </w:r>
    </w:p>
    <w:p w:rsidR="1237285F" w:rsidP="1237285F" w:rsidRDefault="1237285F" w14:paraId="22D05E3A" w14:textId="1737A0D0">
      <w:pPr>
        <w:pStyle w:val="Normal"/>
        <w:rPr>
          <w:rFonts w:ascii="Segoe UI" w:hAnsi="Segoe UI" w:cs="Segoe UI"/>
          <w:i w:val="0"/>
          <w:iCs w:val="0"/>
          <w:color w:val="373A3C"/>
          <w:lang w:val="en"/>
        </w:rPr>
      </w:pPr>
      <w:r w:rsidRPr="1237285F" w:rsidR="1237285F">
        <w:rPr>
          <w:rFonts w:ascii="Segoe UI" w:hAnsi="Segoe UI" w:cs="Segoe UI"/>
          <w:i w:val="0"/>
          <w:iCs w:val="0"/>
          <w:color w:val="373A3C"/>
          <w:lang w:val="en"/>
        </w:rPr>
        <w:t>Merleau-Ponty – Embodiment</w:t>
      </w:r>
    </w:p>
    <w:p w:rsidR="1237285F" w:rsidP="1DA28984" w:rsidRDefault="1237285F" w14:paraId="6E15394D" w14:textId="2EB92C78">
      <w:pPr>
        <w:pStyle w:val="Normal"/>
        <w:rPr>
          <w:rFonts w:ascii="Segoe UI" w:hAnsi="Segoe UI" w:cs="Segoe UI"/>
          <w:i w:val="0"/>
          <w:iCs w:val="0"/>
          <w:color w:val="373A3C"/>
          <w:lang w:val="en"/>
        </w:rPr>
      </w:pPr>
      <w:r w:rsidRPr="1DA28984" w:rsidR="1DA28984">
        <w:rPr>
          <w:rFonts w:ascii="Segoe UI" w:hAnsi="Segoe UI" w:cs="Segoe UI"/>
          <w:i w:val="0"/>
          <w:iCs w:val="0"/>
          <w:color w:val="373A3C"/>
          <w:lang w:val="en"/>
        </w:rPr>
        <w:t>We are looking at the question of what it is to be human, and from the Augustine and Descartes perspective, it is to be a conscious thinking think who inhabits a physical body in a material world. This holds a problem for Merleau-Ponty,  and it is best explained by Eric Matthews in his book on Merleau-Ponty “my own body ceases to be another object in the world and becomes instead ‘the visible expression of a concrete Ego’”.</w:t>
      </w:r>
      <w:r w:rsidRPr="1DA28984">
        <w:rPr>
          <w:rStyle w:val="FootnoteReference"/>
          <w:rFonts w:ascii="Segoe UI" w:hAnsi="Segoe UI" w:cs="Segoe UI"/>
          <w:i w:val="0"/>
          <w:iCs w:val="0"/>
          <w:color w:val="373A3C"/>
          <w:lang w:val="en"/>
        </w:rPr>
        <w:footnoteReference w:id="4460"/>
      </w:r>
      <w:r w:rsidRPr="1DA28984" w:rsidR="1DA28984">
        <w:rPr>
          <w:rFonts w:ascii="Segoe UI" w:hAnsi="Segoe UI" w:cs="Segoe UI"/>
          <w:i w:val="0"/>
          <w:iCs w:val="0"/>
          <w:color w:val="373A3C"/>
          <w:lang w:val="en"/>
        </w:rPr>
        <w:t xml:space="preserve"> This term ‘concrete Ego’ gives weight and substance to that which has previously been referred to as immaterial, and it is seen in the expression of the body. As the body functions in the world it expresses the Ego/soul/mind, or the consciousness, through action in our relation to others we are aware of both aspects, not in a duality, but in a recognition of united expression, as Matthews puts it - we can define the ‘meanings’ we find in the world, not in empirical intellect (that which we know) by way of causal processes, and the effect the world has upon us through the process we experience through the central nervous system as sensations, like that of pleasure or pain,  the meanings “become part of a reciprocal relationship in which the human body becomes the expression of a certain way of being-in-the-world".9refibid59) This for me is the perfect expression of embodiment, I am a human being embodied in this world. My body and mind are one, I feel my thoughts in my body and think about my bodily sensations in my mind, I cannot feel or see any boundaries between my thoughts and my actions. they flow together through my mind and body simultaneously. Descartes does refer to Nature as a teacher through bodily sensations, “That I am not merely present in my body as a pilot in a ship</w:t>
      </w:r>
      <w:r w:rsidRPr="1DA28984" w:rsidR="1DA28984">
        <w:rPr>
          <w:rFonts w:ascii="Segoe UI" w:hAnsi="Segoe UI" w:cs="Segoe UI"/>
          <w:i w:val="0"/>
          <w:iCs w:val="0"/>
          <w:color w:val="373A3C"/>
          <w:lang w:val="en"/>
        </w:rPr>
        <w:t>,</w:t>
      </w:r>
      <w:r w:rsidRPr="1DA28984" w:rsidR="1DA28984">
        <w:rPr>
          <w:rFonts w:ascii="Segoe UI" w:hAnsi="Segoe UI" w:cs="Segoe UI"/>
          <w:i w:val="0"/>
          <w:iCs w:val="0"/>
          <w:color w:val="373A3C"/>
          <w:lang w:val="en"/>
        </w:rPr>
        <w:t>”</w:t>
      </w:r>
      <w:r w:rsidRPr="1DA28984">
        <w:rPr>
          <w:rStyle w:val="FootnoteReference"/>
          <w:rFonts w:ascii="Segoe UI" w:hAnsi="Segoe UI" w:cs="Segoe UI"/>
          <w:i w:val="0"/>
          <w:iCs w:val="0"/>
          <w:color w:val="373A3C"/>
          <w:lang w:val="en"/>
        </w:rPr>
        <w:footnoteReference w:id="20651"/>
      </w:r>
      <w:r w:rsidRPr="1DA28984" w:rsidR="1DA28984">
        <w:rPr>
          <w:rFonts w:ascii="Segoe UI" w:hAnsi="Segoe UI" w:cs="Segoe UI"/>
          <w:i w:val="0"/>
          <w:iCs w:val="0"/>
          <w:color w:val="373A3C"/>
          <w:lang w:val="en"/>
        </w:rPr>
        <w:t xml:space="preserve"> and concedes to some form of conjoining and intermingling of the pilot and his ship through the sensation of pain, that “</w:t>
      </w:r>
      <w:r w:rsidRPr="1DA28984" w:rsidR="1DA28984">
        <w:rPr>
          <w:rFonts w:ascii="Segoe UI" w:hAnsi="Segoe UI" w:cs="Segoe UI"/>
          <w:i w:val="0"/>
          <w:iCs w:val="0"/>
          <w:color w:val="373A3C"/>
          <w:lang w:val="en"/>
        </w:rPr>
        <w:t>I</w:t>
      </w:r>
      <w:r w:rsidRPr="1DA28984" w:rsidR="1DA28984">
        <w:rPr>
          <w:rFonts w:ascii="Segoe UI" w:hAnsi="Segoe UI" w:cs="Segoe UI"/>
          <w:i w:val="0"/>
          <w:iCs w:val="0"/>
          <w:color w:val="373A3C"/>
          <w:lang w:val="en"/>
        </w:rPr>
        <w:t xml:space="preserve"> and the body form a unit.”</w:t>
      </w:r>
      <w:r w:rsidRPr="1DA28984">
        <w:rPr>
          <w:rStyle w:val="FootnoteReference"/>
          <w:rFonts w:ascii="Segoe UI" w:hAnsi="Segoe UI" w:cs="Segoe UI"/>
          <w:i w:val="0"/>
          <w:iCs w:val="0"/>
          <w:color w:val="373A3C"/>
          <w:lang w:val="en"/>
        </w:rPr>
        <w:footnoteReference w:id="14445"/>
      </w:r>
      <w:r w:rsidRPr="1DA28984" w:rsidR="1DA28984">
        <w:rPr>
          <w:rFonts w:ascii="Segoe UI" w:hAnsi="Segoe UI" w:cs="Segoe UI"/>
          <w:i w:val="0"/>
          <w:iCs w:val="0"/>
          <w:color w:val="373A3C"/>
          <w:lang w:val="en"/>
        </w:rPr>
        <w:t xml:space="preserve"> This language still expresses separation of the mind and body, and this understanding distorts our understanding of perception, as well as bodily sensations like pain. If the inner man is feeling these sensations where is he feeling them? If he is not a body how can he refer to bodily sensations. The whole human being is involved in responses to bodily sensations.   </w:t>
      </w:r>
    </w:p>
    <w:p w:rsidR="1237285F" w:rsidP="1DA28984" w:rsidRDefault="1237285F" w14:paraId="035F5294" w14:textId="7A10510B">
      <w:pPr>
        <w:pStyle w:val="Normal"/>
        <w:rPr>
          <w:rFonts w:ascii="Segoe UI" w:hAnsi="Segoe UI" w:cs="Segoe UI"/>
          <w:i w:val="0"/>
          <w:iCs w:val="0"/>
          <w:color w:val="373A3C"/>
          <w:lang w:val="en"/>
        </w:rPr>
      </w:pPr>
      <w:r w:rsidRPr="1DA28984" w:rsidR="1DA28984">
        <w:rPr>
          <w:rFonts w:ascii="Segoe UI" w:hAnsi="Segoe UI" w:cs="Segoe UI"/>
          <w:i w:val="0"/>
          <w:iCs w:val="0"/>
          <w:color w:val="373A3C"/>
          <w:lang w:val="en"/>
        </w:rPr>
        <w:t xml:space="preserve">The Visible and The Invisible is an unfinished manuscript by </w:t>
      </w:r>
      <w:proofErr w:type="spellStart"/>
      <w:r w:rsidRPr="1DA28984" w:rsidR="1DA28984">
        <w:rPr>
          <w:rFonts w:ascii="Segoe UI" w:hAnsi="Segoe UI" w:cs="Segoe UI"/>
          <w:i w:val="0"/>
          <w:iCs w:val="0"/>
          <w:color w:val="373A3C"/>
          <w:lang w:val="en"/>
        </w:rPr>
        <w:t>Merleau-ponty</w:t>
      </w:r>
      <w:proofErr w:type="spellEnd"/>
      <w:r w:rsidRPr="1DA28984" w:rsidR="1DA28984">
        <w:rPr>
          <w:rFonts w:ascii="Segoe UI" w:hAnsi="Segoe UI" w:cs="Segoe UI"/>
          <w:i w:val="0"/>
          <w:iCs w:val="0"/>
          <w:color w:val="373A3C"/>
          <w:lang w:val="en"/>
        </w:rPr>
        <w:t>, and in it he uses the term ‘Flesh’, not as a thing of substance nor a form of idea, but as an element. A requirement of perception is a body which anticipates, my physical foot feels the earth beneath my feet, my feet know how to stand upon the earth as they are of the same substance</w:t>
      </w:r>
      <w:r w:rsidRPr="1DA28984" w:rsidR="1DA28984">
        <w:rPr>
          <w:rFonts w:ascii="Segoe UI" w:hAnsi="Segoe UI" w:cs="Segoe UI"/>
          <w:i w:val="0"/>
          <w:iCs w:val="0"/>
          <w:color w:val="373A3C"/>
          <w:lang w:val="en"/>
        </w:rPr>
        <w:t xml:space="preserve">, </w:t>
      </w:r>
      <w:r w:rsidRPr="1DA28984" w:rsidR="1DA28984">
        <w:rPr>
          <w:rFonts w:ascii="Segoe UI" w:hAnsi="Segoe UI" w:cs="Segoe UI"/>
          <w:i w:val="0"/>
          <w:iCs w:val="0"/>
          <w:color w:val="373A3C"/>
          <w:lang w:val="en"/>
        </w:rPr>
        <w:t xml:space="preserve"> my feet have an inner knowing of what it is to stand upon the world, I do not require a little man in my head to tell me how to stand upon the earth</w:t>
      </w:r>
      <w:r w:rsidRPr="1DA28984">
        <w:rPr>
          <w:rStyle w:val="FootnoteReference"/>
          <w:rFonts w:ascii="Segoe UI" w:hAnsi="Segoe UI" w:cs="Segoe UI"/>
          <w:i w:val="0"/>
          <w:iCs w:val="0"/>
          <w:color w:val="373A3C"/>
          <w:lang w:val="en"/>
        </w:rPr>
        <w:footnoteReference w:id="4368"/>
      </w:r>
      <w:r w:rsidRPr="1DA28984" w:rsidR="1DA28984">
        <w:rPr>
          <w:rFonts w:ascii="Segoe UI" w:hAnsi="Segoe UI" w:cs="Segoe UI"/>
          <w:i w:val="0"/>
          <w:iCs w:val="0"/>
          <w:color w:val="373A3C"/>
          <w:lang w:val="en"/>
        </w:rPr>
        <w:t>.</w:t>
      </w:r>
      <w:r w:rsidRPr="1DA28984" w:rsidR="1DA28984">
        <w:rPr>
          <w:rFonts w:ascii="Segoe UI" w:hAnsi="Segoe UI" w:cs="Segoe UI"/>
          <w:i w:val="0"/>
          <w:iCs w:val="0"/>
          <w:color w:val="373A3C"/>
          <w:lang w:val="en"/>
        </w:rPr>
        <w:t xml:space="preserve"> </w:t>
      </w:r>
      <w:r w:rsidRPr="1DA28984" w:rsidR="1DA28984">
        <w:rPr>
          <w:rFonts w:ascii="Segoe UI" w:hAnsi="Segoe UI" w:cs="Segoe UI"/>
          <w:i w:val="0"/>
          <w:iCs w:val="0"/>
          <w:color w:val="373A3C"/>
          <w:lang w:val="en"/>
        </w:rPr>
        <w:t>”The transcendental  ego is an intellectual concept..... is sometimes described as the point from which things are seen, which cannot itself figure in experience”.</w:t>
      </w:r>
      <w:r w:rsidRPr="1DA28984">
        <w:rPr>
          <w:rStyle w:val="FootnoteReference"/>
          <w:rFonts w:ascii="Segoe UI" w:hAnsi="Segoe UI" w:cs="Segoe UI"/>
          <w:i w:val="0"/>
          <w:iCs w:val="0"/>
          <w:color w:val="373A3C"/>
          <w:lang w:val="en"/>
        </w:rPr>
        <w:footnoteReference w:id="30219"/>
      </w:r>
      <w:r w:rsidRPr="1DA28984" w:rsidR="1DA28984">
        <w:rPr>
          <w:rFonts w:ascii="Segoe UI" w:hAnsi="Segoe UI" w:cs="Segoe UI"/>
          <w:i w:val="0"/>
          <w:iCs w:val="0"/>
          <w:color w:val="373A3C"/>
          <w:lang w:val="en"/>
        </w:rPr>
        <w:t xml:space="preserve">  </w:t>
      </w:r>
    </w:p>
    <w:p w:rsidR="1237285F" w:rsidP="1237285F" w:rsidRDefault="1237285F" w14:paraId="41F67343" w14:textId="033910EC">
      <w:pPr>
        <w:pStyle w:val="Normal"/>
        <w:rPr>
          <w:rFonts w:ascii="Segoe UI" w:hAnsi="Segoe UI" w:cs="Segoe UI"/>
          <w:i w:val="0"/>
          <w:iCs w:val="0"/>
          <w:color w:val="373A3C"/>
          <w:lang w:val="en"/>
        </w:rPr>
      </w:pPr>
    </w:p>
    <w:p w:rsidR="76AE5DB0" w:rsidP="76AE5DB0" w:rsidRDefault="76AE5DB0" w14:paraId="230F2E1B" w14:textId="23EB5EF9">
      <w:pPr>
        <w:pStyle w:val="Normal"/>
        <w:rPr>
          <w:rFonts w:ascii="Segoe UI" w:hAnsi="Segoe UI" w:cs="Segoe UI"/>
          <w:color w:val="373A3C"/>
          <w:lang w:val="en"/>
        </w:rPr>
      </w:pPr>
    </w:p>
    <w:p w:rsidR="00BB2DF0" w:rsidRDefault="00BB2DF0" w14:paraId="460EF72F" w14:textId="77777777"/>
    <w:p w:rsidR="00BB2DF0" w:rsidRDefault="00BB2DF0" w14:paraId="472DA263" w14:textId="77777777"/>
    <w:p w:rsidR="00BB2DF0" w:rsidRDefault="00BB2DF0" w14:paraId="3CBB816A" w14:textId="77777777"/>
    <w:p w:rsidR="6C9C5E2C" w:rsidP="6C9C5E2C" w:rsidRDefault="6C9C5E2C" w14:paraId="09D5ED30" w14:textId="29EBB7E0">
      <w:pPr>
        <w:pStyle w:val="Normal"/>
        <w:rPr>
          <w:rFonts w:ascii="Segoe UI" w:hAnsi="Segoe UI" w:cs="Segoe UI"/>
          <w:color w:val="373A3C"/>
          <w:lang w:val="en-US"/>
        </w:rPr>
      </w:pPr>
      <w:r w:rsidRPr="6C9C5E2C" w:rsidR="6C9C5E2C">
        <w:rPr>
          <w:rFonts w:ascii="Segoe UI" w:hAnsi="Segoe UI" w:cs="Segoe UI"/>
          <w:color w:val="373A3C"/>
          <w:lang w:val="en-US"/>
        </w:rPr>
        <w:t xml:space="preserve">4. </w:t>
      </w:r>
      <w:r w:rsidRPr="6C9C5E2C" w:rsidR="6C9C5E2C">
        <w:rPr>
          <w:rFonts w:ascii="Segoe UI" w:hAnsi="Segoe UI" w:cs="Segoe UI"/>
          <w:b w:val="1"/>
          <w:bCs w:val="1"/>
          <w:color w:val="373A3C"/>
          <w:u w:val="single"/>
          <w:lang w:val="en-US"/>
        </w:rPr>
        <w:t>What is the confusion (if there is one) in representing the individual’s own body as a tool – an object that he encounters – in his dealings with the world?</w:t>
      </w:r>
    </w:p>
    <w:p w:rsidR="6C9C5E2C" w:rsidP="6C9C5E2C" w:rsidRDefault="6C9C5E2C" w14:paraId="7EC5E9A2" w14:textId="0C8A7235">
      <w:pPr>
        <w:pStyle w:val="Normal"/>
        <w:ind w:left="0"/>
        <w:rPr>
          <w:rFonts w:ascii="Segoe UI" w:hAnsi="Segoe UI" w:cs="Segoe UI"/>
          <w:b w:val="1"/>
          <w:bCs w:val="1"/>
          <w:color w:val="373A3C"/>
          <w:u w:val="single"/>
          <w:lang w:val="en-US"/>
        </w:rPr>
      </w:pPr>
    </w:p>
    <w:p w:rsidR="009B1C6F" w:rsidRDefault="009B1C6F" w14:paraId="6D3DB7A6" w14:textId="5A5CB7F0">
      <w:r w:rsidR="2C5AC5D4">
        <w:rPr/>
        <w:t>Any confusion in this concept lies in the separation of the mind and body, as in dualism, and the belief that the mind has superiority over the body. The image dualism portrays is one of being as a thinking thing which controls the body, as in the theory of a little man inside the body willing the body to action. This theory is problematic as an infinite regression: does that inner man have an inner man and so on and so forth. It is not the purpose of this essay to define this theory, that is for another essay, suffice to say the concept of dualism is popular in philosophy and science</w:t>
      </w:r>
      <w:r w:rsidR="2C5AC5D4">
        <w:rPr/>
        <w:t>,</w:t>
      </w:r>
      <w:r w:rsidR="2C5AC5D4">
        <w:rPr/>
        <w:t xml:space="preserve"> and has stong roots in 17</w:t>
      </w:r>
      <w:r w:rsidR="2C5AC5D4">
        <w:rPr/>
        <w:t>th</w:t>
      </w:r>
      <w:r w:rsidR="2C5AC5D4">
        <w:rPr/>
        <w:t xml:space="preserve"> century philosophy which penetrate back to Plato.</w:t>
      </w:r>
      <w:r w:rsidRPr="2C5AC5D4">
        <w:rPr>
          <w:rStyle w:val="FootnoteReference"/>
        </w:rPr>
        <w:footnoteReference w:id="32364"/>
      </w:r>
    </w:p>
    <w:p w:rsidR="009B1C6F" w:rsidP="6C9C5E2C" w:rsidRDefault="009B1C6F" w14:paraId="2A8AB050" w14:textId="6B406427">
      <w:pPr>
        <w:ind w:left="0" w:firstLine="0"/>
      </w:pPr>
      <w:r w:rsidR="2C5AC5D4">
        <w:rPr/>
        <w:t>“From Plato to Descartes and modern Idealism, the belief that the true self or the real man is somehow within, and that the body is an appendage, or a framework of some sort.”</w:t>
      </w:r>
      <w:r w:rsidRPr="2C5AC5D4">
        <w:rPr>
          <w:rStyle w:val="FootnoteReference"/>
        </w:rPr>
        <w:footnoteReference w:id="5325"/>
      </w:r>
    </w:p>
    <w:p w:rsidR="009B1C6F" w:rsidP="6C9C5E2C" w:rsidRDefault="009B1C6F" w14:paraId="6BA5E25F" w14:textId="542909FD">
      <w:pPr>
        <w:pStyle w:val="Normal"/>
        <w:ind w:left="0" w:firstLine="0"/>
      </w:pPr>
      <w:r w:rsidR="6C9C5E2C">
        <w:rPr/>
        <w:t xml:space="preserve">This essay will explore the concept that to be in this world is to have a body, that there is an interaction through the body to everything which constitutes the world – things and beings; and in turn through the body things and beings of the world interact with </w:t>
      </w:r>
      <w:r w:rsidRPr="6C9C5E2C" w:rsidR="6C9C5E2C">
        <w:rPr>
          <w:i w:val="1"/>
          <w:iCs w:val="1"/>
        </w:rPr>
        <w:t xml:space="preserve">me. </w:t>
      </w:r>
    </w:p>
    <w:p w:rsidR="6C9C5E2C" w:rsidP="2C5AC5D4" w:rsidRDefault="6C9C5E2C" w14:paraId="1AFCB9AC" w14:textId="2851FD81">
      <w:pPr>
        <w:pStyle w:val="Normal"/>
        <w:ind w:left="0" w:firstLine="0"/>
        <w:rPr>
          <w:i w:val="0"/>
          <w:iCs w:val="0"/>
        </w:rPr>
      </w:pPr>
      <w:r w:rsidRPr="2C5AC5D4" w:rsidR="2C5AC5D4">
        <w:rPr>
          <w:i w:val="0"/>
          <w:iCs w:val="0"/>
        </w:rPr>
        <w:t>“We must start with the beings in the world as psychosomatic unity”</w:t>
      </w:r>
      <w:r w:rsidRPr="2C5AC5D4" w:rsidR="2C5AC5D4">
        <w:rPr>
          <w:i w:val="0"/>
          <w:iCs w:val="0"/>
        </w:rPr>
        <w:t>.</w:t>
      </w:r>
      <w:r w:rsidRPr="2C5AC5D4">
        <w:rPr>
          <w:rStyle w:val="FootnoteReference"/>
          <w:i w:val="0"/>
          <w:iCs w:val="0"/>
        </w:rPr>
        <w:footnoteReference w:id="23418"/>
      </w:r>
      <w:r w:rsidRPr="2C5AC5D4" w:rsidR="2C5AC5D4">
        <w:rPr>
          <w:i w:val="0"/>
          <w:iCs w:val="0"/>
        </w:rPr>
        <w:t>Though it is possible that I can objectify my body, I can make it a tool or instrument in the world, I find this unacceptable as I am my body. When I touch a part of my body it is also touched. The French Philosopher Merleau-Ponty points out I can touch my left hand with my right hand and feel my left hand on my right hand, the two are conjoined, the two experiences cannot be separated out.</w:t>
      </w:r>
      <w:r w:rsidRPr="2C5AC5D4">
        <w:rPr>
          <w:rStyle w:val="FootnoteReference"/>
          <w:i w:val="0"/>
          <w:iCs w:val="0"/>
        </w:rPr>
        <w:footnoteReference w:id="22196"/>
      </w:r>
      <w:r w:rsidRPr="2C5AC5D4" w:rsidR="2C5AC5D4">
        <w:rPr>
          <w:i w:val="0"/>
          <w:iCs w:val="0"/>
        </w:rPr>
        <w:t>(REFPOFP)</w:t>
      </w:r>
      <w:r w:rsidRPr="2C5AC5D4" w:rsidR="2C5AC5D4">
        <w:rPr>
          <w:i w:val="0"/>
          <w:iCs w:val="0"/>
        </w:rPr>
        <w:t xml:space="preserve"> Whatever the body experiences, be it pleasure or pain, for instance, the experience is mine. Most of the time I am in relation to the world outside of the body, perceiving that which goes on around me, this gives the experience of </w:t>
      </w:r>
      <w:r w:rsidRPr="2C5AC5D4" w:rsidR="2C5AC5D4">
        <w:rPr>
          <w:i w:val="0"/>
          <w:iCs w:val="0"/>
        </w:rPr>
        <w:t xml:space="preserve">A </w:t>
      </w:r>
      <w:r w:rsidRPr="2C5AC5D4" w:rsidR="2C5AC5D4">
        <w:rPr>
          <w:i w:val="0"/>
          <w:iCs w:val="0"/>
        </w:rPr>
        <w:t xml:space="preserve">transcendence in my perceptions. In one sense I am not constantly aware of my body but only how it interacts with the environment, only when I feel something like a physical sensation does my awareness incorporate the bodily experience. As I write my hand aches, my feet are cold, the seat cushions are soft: these things are constantly there as part of my experience, these sensations are constant in my experience but so intense is my concentration on writing I do </w:t>
      </w:r>
      <w:r w:rsidRPr="2C5AC5D4" w:rsidR="2C5AC5D4">
        <w:rPr>
          <w:i w:val="0"/>
          <w:iCs w:val="0"/>
        </w:rPr>
        <w:t xml:space="preserve">not </w:t>
      </w:r>
      <w:r w:rsidRPr="2C5AC5D4" w:rsidR="2C5AC5D4">
        <w:rPr>
          <w:i w:val="0"/>
          <w:iCs w:val="0"/>
        </w:rPr>
        <w:t xml:space="preserve">have full awareness of what my body is feeling. However, I am constantly aware of my body and the space it occupies. I am not so disconnected with my body as I might be of </w:t>
      </w:r>
      <w:r w:rsidRPr="2C5AC5D4" w:rsidR="2C5AC5D4">
        <w:rPr>
          <w:i w:val="0"/>
          <w:iCs w:val="0"/>
        </w:rPr>
        <w:t xml:space="preserve">a </w:t>
      </w:r>
      <w:r w:rsidRPr="2C5AC5D4" w:rsidR="2C5AC5D4">
        <w:rPr>
          <w:i w:val="0"/>
          <w:iCs w:val="0"/>
        </w:rPr>
        <w:t xml:space="preserve">tool or vehicle I might use, as if I were a pilot in a ship, or chauffer in a car. If the vehicle is getting low on fuel only </w:t>
      </w:r>
      <w:r w:rsidRPr="2C5AC5D4" w:rsidR="2C5AC5D4">
        <w:rPr>
          <w:i w:val="0"/>
          <w:iCs w:val="0"/>
        </w:rPr>
        <w:t xml:space="preserve">in </w:t>
      </w:r>
      <w:r w:rsidRPr="2C5AC5D4" w:rsidR="2C5AC5D4">
        <w:rPr>
          <w:i w:val="0"/>
          <w:iCs w:val="0"/>
        </w:rPr>
        <w:t>my observing the fuel gauge do I become aware of such, If, however, I am getting hungry I am fully aware of the emptiness in my stomach and I know I am hungry without observing any kind of indicator; the knowing is evidence in itself, and of itself evident.  Our understanding and use of tools can give credence to the idea that these tools, or pieces of equipment, appear as if an extension of our bodies, for example an artist’s brush or the white stick of a blind person,</w:t>
      </w:r>
      <w:r w:rsidRPr="2C5AC5D4">
        <w:rPr>
          <w:rStyle w:val="FootnoteReference"/>
          <w:i w:val="0"/>
          <w:iCs w:val="0"/>
        </w:rPr>
        <w:footnoteReference w:id="20204"/>
      </w:r>
      <w:r w:rsidRPr="2C5AC5D4" w:rsidR="2C5AC5D4">
        <w:rPr>
          <w:i w:val="0"/>
          <w:iCs w:val="0"/>
        </w:rPr>
        <w:t xml:space="preserve"> sensations can be felt in the hand through these tools, so familiar is their use to the user, the artists eye sees the result on the canvass, the blind person feels the step indicated by his stick as he takes it. The tool in the hand is the indicator, the hand is itself the holder of the tool and the sensation. Merleau-Ponty informs that “a directly experienced relationship is presented in the natural system of one’s own body”</w:t>
      </w:r>
      <w:r w:rsidRPr="2C5AC5D4">
        <w:rPr>
          <w:rStyle w:val="FootnoteReference"/>
          <w:i w:val="0"/>
          <w:iCs w:val="0"/>
        </w:rPr>
        <w:footnoteReference w:id="18578"/>
      </w:r>
      <w:r w:rsidRPr="2C5AC5D4" w:rsidR="2C5AC5D4">
        <w:rPr>
          <w:i w:val="0"/>
          <w:iCs w:val="0"/>
        </w:rPr>
        <w:t>, if we are stung by an insect on our body and our hand reaches to touch that part of the body the relationship occurs in the “domain of the phenomenal”</w:t>
      </w:r>
      <w:r w:rsidRPr="2C5AC5D4">
        <w:rPr>
          <w:rStyle w:val="FootnoteReference"/>
          <w:i w:val="0"/>
          <w:iCs w:val="0"/>
        </w:rPr>
        <w:footnoteReference w:id="4284"/>
      </w:r>
      <w:r w:rsidRPr="2C5AC5D4" w:rsidR="2C5AC5D4">
        <w:rPr>
          <w:i w:val="0"/>
          <w:iCs w:val="0"/>
        </w:rPr>
        <w:t>it is not a causal event: the sensation causes the hand to rub the body as it is irritated by the sting</w:t>
      </w:r>
      <w:r w:rsidRPr="2C5AC5D4" w:rsidR="2C5AC5D4">
        <w:rPr>
          <w:i w:val="0"/>
          <w:iCs w:val="0"/>
        </w:rPr>
        <w:t>, both parts of the body interact simultaneously</w:t>
      </w:r>
      <w:r w:rsidRPr="2C5AC5D4" w:rsidR="2C5AC5D4">
        <w:rPr>
          <w:i w:val="0"/>
          <w:iCs w:val="0"/>
        </w:rPr>
        <w:t xml:space="preserve">. Merleau-Ponty's </w:t>
      </w:r>
      <w:r w:rsidRPr="2C5AC5D4" w:rsidR="2C5AC5D4">
        <w:rPr>
          <w:i w:val="0"/>
          <w:iCs w:val="0"/>
        </w:rPr>
        <w:t xml:space="preserve">in-sight </w:t>
      </w:r>
      <w:r w:rsidRPr="2C5AC5D4" w:rsidR="2C5AC5D4">
        <w:rPr>
          <w:i w:val="0"/>
          <w:iCs w:val="0"/>
        </w:rPr>
        <w:t>of phantom limbs gives an understanding of our body which, for me, clarifies and supports his theories of how our use of our body as a tool is problematic. “no psychological explanation can overlook the fact that the nerves to the brain abolishes the phantom limb”.</w:t>
      </w:r>
      <w:r w:rsidRPr="2C5AC5D4">
        <w:rPr>
          <w:rStyle w:val="FootnoteReference"/>
          <w:i w:val="0"/>
          <w:iCs w:val="0"/>
        </w:rPr>
        <w:footnoteReference w:id="8610"/>
      </w:r>
      <w:r w:rsidRPr="2C5AC5D4" w:rsidR="2C5AC5D4">
        <w:rPr>
          <w:i w:val="0"/>
          <w:iCs w:val="0"/>
        </w:rPr>
        <w:t xml:space="preserve"> If it is memory or something of the psychic which hold onto the lost limb</w:t>
      </w:r>
      <w:r w:rsidRPr="2C5AC5D4" w:rsidR="2C5AC5D4">
        <w:rPr>
          <w:i w:val="0"/>
          <w:iCs w:val="0"/>
        </w:rPr>
        <w:t>?</w:t>
      </w:r>
      <w:r w:rsidRPr="2C5AC5D4" w:rsidR="2C5AC5D4">
        <w:rPr>
          <w:i w:val="0"/>
          <w:iCs w:val="0"/>
        </w:rPr>
        <w:t xml:space="preserve"> The memory of the leg in the physiology of how it once was: how the leg supported the body when standing, the psychological aspect of not accepting the drastic changes to the body by the loss of the limb, the patient may still imagine the limb to be as it was, in place as before in the form of a phantom limb “anosognosia is the representation of an actual absence”9refibidp93). The patient has awareness of what it is he does not want to face, as he avoids doing so successfully. </w:t>
      </w:r>
      <w:r w:rsidRPr="2C5AC5D4" w:rsidR="2C5AC5D4">
        <w:rPr>
          <w:i w:val="0"/>
          <w:iCs w:val="0"/>
        </w:rPr>
        <w:t>In Merleau-Ponty's writing no answer is to be found in either the psychological or physiological aspects, or a combination of both. For me Merleau-Ponty give an insightful answer in the following “a certain energy in the pulsation of existence, relatively independent of our voluntary thoughts, which prevents us from treating it as an act of consciousness”.</w:t>
      </w:r>
      <w:r w:rsidRPr="2C5AC5D4">
        <w:rPr>
          <w:rStyle w:val="FootnoteReference"/>
          <w:i w:val="0"/>
          <w:iCs w:val="0"/>
        </w:rPr>
        <w:footnoteReference w:id="3239"/>
      </w:r>
      <w:r w:rsidRPr="2C5AC5D4" w:rsidR="2C5AC5D4">
        <w:rPr>
          <w:i w:val="0"/>
          <w:iCs w:val="0"/>
        </w:rPr>
        <w:t xml:space="preserve"> As a being-in-the world we are not a collection of reflexes that is unstimulated by the consistency of our world.</w:t>
      </w:r>
      <w:r w:rsidRPr="2C5AC5D4">
        <w:rPr>
          <w:rStyle w:val="FootnoteReference"/>
          <w:i w:val="0"/>
          <w:iCs w:val="0"/>
        </w:rPr>
        <w:footnoteReference w:id="8067"/>
      </w:r>
      <w:r w:rsidRPr="2C5AC5D4" w:rsidR="2C5AC5D4">
        <w:rPr>
          <w:i w:val="0"/>
          <w:iCs w:val="0"/>
        </w:rPr>
        <w:t xml:space="preserve"> Our body gains knowledge through repetition of acts, we may perform tasks repeatedly without any inference to our mental capacities, musicians, athletes, artists and skilled trades persons do it all the time, relying on muscle memory to add precision and repetition to the tasks they perform. The memory of the task is in the part of the body which performs the task, and this is what enables us to repeat performances and improve performance without constantly referencing any form of instruction manual or taking our actions in a step by step process.</w:t>
      </w:r>
    </w:p>
    <w:p w:rsidR="2C5AC5D4" w:rsidP="2C5AC5D4" w:rsidRDefault="2C5AC5D4" w14:paraId="36272C04" w14:textId="3FB54AE8">
      <w:pPr>
        <w:pStyle w:val="Normal"/>
        <w:ind w:left="0" w:firstLine="0"/>
        <w:rPr>
          <w:i w:val="0"/>
          <w:iCs w:val="0"/>
        </w:rPr>
      </w:pPr>
      <w:r w:rsidRPr="2C5AC5D4" w:rsidR="2C5AC5D4">
        <w:rPr>
          <w:i w:val="0"/>
          <w:iCs w:val="0"/>
        </w:rPr>
        <w:t xml:space="preserve">In conclusion to refer to the body as a tool is to underestimate the processes at play when we perceive and interact with the world in which we live, and for me Merleau-Ponty sums this up in the phrase ‘the pulsation of existence’. The answers to the mind, or brain, and body question are not to be found in the dominance of one over the other, but in the acceptance of the existence of both as intertwined in, and with, my own existence as I pulsate with life. </w:t>
      </w:r>
    </w:p>
    <w:p w:rsidR="2C5AC5D4" w:rsidP="2C5AC5D4" w:rsidRDefault="2C5AC5D4" w14:paraId="7838C302" w14:textId="091E9E39">
      <w:pPr>
        <w:pStyle w:val="Normal"/>
        <w:ind w:left="0" w:firstLine="0"/>
        <w:rPr>
          <w:i w:val="0"/>
          <w:iCs w:val="0"/>
        </w:rPr>
      </w:pPr>
    </w:p>
    <w:p w:rsidR="009B1C6F" w:rsidP="39920C17" w:rsidRDefault="009B1C6F" w14:paraId="6953AC0C" w14:textId="11A35E41">
      <w:pPr>
        <w:pStyle w:val="Normal"/>
      </w:pPr>
    </w:p>
    <w:p w:rsidR="2C5AC5D4" w:rsidP="2C5AC5D4" w:rsidRDefault="2C5AC5D4" w14:paraId="3EE28F4B" w14:textId="19C0D766">
      <w:pPr>
        <w:pStyle w:val="Normal"/>
      </w:pPr>
    </w:p>
    <w:p w:rsidR="1237285F" w:rsidP="1237285F" w:rsidRDefault="1237285F" w14:paraId="110CE037" w14:textId="664FE2CB">
      <w:pPr>
        <w:pStyle w:val="Normal"/>
        <w:shd w:val="clear" w:color="auto" w:fill="FFFFFF" w:themeFill="background1"/>
        <w:spacing w:afterAutospacing="on" w:line="240" w:lineRule="auto"/>
        <w:ind w:left="-135" w:right="225"/>
        <w:rPr>
          <w:rFonts w:ascii="Segoe UI" w:hAnsi="Segoe UI" w:eastAsia="Times New Roman" w:cs="Segoe UI"/>
          <w:b w:val="1"/>
          <w:bCs w:val="1"/>
          <w:color w:val="373A3C"/>
          <w:sz w:val="24"/>
          <w:szCs w:val="24"/>
          <w:lang w:val="en" w:eastAsia="en-GB"/>
        </w:rPr>
      </w:pPr>
    </w:p>
    <w:p w:rsidR="1237285F" w:rsidP="1237285F" w:rsidRDefault="1237285F" w14:paraId="7BD1DAB8" w14:textId="20B59241">
      <w:pPr>
        <w:pStyle w:val="Normal"/>
        <w:shd w:val="clear" w:color="auto" w:fill="FFFFFF" w:themeFill="background1"/>
        <w:spacing w:afterAutospacing="on" w:line="240" w:lineRule="auto"/>
        <w:ind w:left="-135" w:right="225"/>
        <w:rPr>
          <w:rFonts w:ascii="Segoe UI" w:hAnsi="Segoe UI" w:eastAsia="Times New Roman" w:cs="Segoe UI"/>
          <w:b w:val="1"/>
          <w:bCs w:val="1"/>
          <w:color w:val="373A3C"/>
          <w:sz w:val="24"/>
          <w:szCs w:val="24"/>
          <w:lang w:val="en" w:eastAsia="en-GB"/>
        </w:rPr>
      </w:pPr>
    </w:p>
    <w:p w:rsidRPr="009B1C6F" w:rsidR="009B1C6F" w:rsidP="2C5AC5D4" w:rsidRDefault="009B1C6F" w14:paraId="0F927B5D" w14:textId="6813068B">
      <w:pPr>
        <w:pStyle w:val="Normal"/>
        <w:shd w:val="clear" w:color="auto" w:fill="FFFFFF" w:themeFill="background1"/>
        <w:spacing w:after="100" w:afterAutospacing="on" w:line="240" w:lineRule="auto"/>
        <w:ind w:left="-135" w:right="225"/>
        <w:rPr>
          <w:rFonts w:ascii="Segoe UI" w:hAnsi="Segoe UI" w:eastAsia="Times New Roman" w:cs="Segoe UI"/>
          <w:b w:val="1"/>
          <w:bCs w:val="1"/>
          <w:color w:val="373A3C"/>
          <w:sz w:val="24"/>
          <w:szCs w:val="24"/>
          <w:lang w:val="en" w:eastAsia="en-GB"/>
        </w:rPr>
      </w:pPr>
      <w:r w:rsidRPr="2C5AC5D4" w:rsidR="2C5AC5D4">
        <w:rPr>
          <w:rFonts w:ascii="Segoe UI" w:hAnsi="Segoe UI" w:eastAsia="Times New Roman" w:cs="Segoe UI"/>
          <w:b w:val="1"/>
          <w:bCs w:val="1"/>
          <w:color w:val="373A3C"/>
          <w:sz w:val="24"/>
          <w:szCs w:val="24"/>
          <w:lang w:val="en" w:eastAsia="en-GB"/>
        </w:rPr>
        <w:t>Bibliography</w:t>
      </w:r>
    </w:p>
    <w:p w:rsidR="2C5AC5D4" w:rsidP="2C5AC5D4" w:rsidRDefault="2C5AC5D4" w14:paraId="6709B93A" w14:textId="0EF4EB66">
      <w:pPr>
        <w:pStyle w:val="Normal"/>
        <w:shd w:val="clear" w:color="auto" w:fill="FFFFFF" w:themeFill="background1"/>
        <w:spacing w:afterAutospacing="on" w:line="240" w:lineRule="auto"/>
        <w:ind w:left="-135" w:right="225"/>
        <w:rPr>
          <w:rFonts w:ascii="Segoe UI" w:hAnsi="Segoe UI" w:eastAsia="Times New Roman" w:cs="Segoe UI"/>
          <w:b w:val="1"/>
          <w:bCs w:val="1"/>
          <w:color w:val="373A3C"/>
          <w:sz w:val="24"/>
          <w:szCs w:val="24"/>
          <w:lang w:val="en" w:eastAsia="en-GB"/>
        </w:rPr>
      </w:pPr>
    </w:p>
    <w:p w:rsidR="2C5AC5D4" w:rsidP="2C5AC5D4" w:rsidRDefault="2C5AC5D4" w14:paraId="6107F190" w14:textId="3025DA69">
      <w:pPr>
        <w:pStyle w:val="Normal"/>
        <w:shd w:val="clear" w:color="auto" w:fill="FFFFFF" w:themeFill="background1"/>
        <w:spacing w:afterAutospacing="on" w:line="240" w:lineRule="auto"/>
        <w:ind w:left="-135" w:right="225"/>
        <w:rPr>
          <w:rFonts w:ascii="Segoe UI" w:hAnsi="Segoe UI" w:eastAsia="Times New Roman" w:cs="Segoe UI"/>
          <w:b w:val="0"/>
          <w:bCs w:val="0"/>
          <w:i w:val="1"/>
          <w:iCs w:val="1"/>
          <w:color w:val="373A3C"/>
          <w:sz w:val="24"/>
          <w:szCs w:val="24"/>
          <w:lang w:val="en" w:eastAsia="en-GB"/>
        </w:rPr>
      </w:pPr>
      <w:r w:rsidRPr="2C5AC5D4" w:rsidR="2C5AC5D4">
        <w:rPr>
          <w:rFonts w:ascii="Segoe UI" w:hAnsi="Segoe UI" w:eastAsia="Times New Roman" w:cs="Segoe UI"/>
          <w:b w:val="0"/>
          <w:bCs w:val="0"/>
          <w:color w:val="373A3C"/>
          <w:sz w:val="24"/>
          <w:szCs w:val="24"/>
          <w:lang w:val="en" w:eastAsia="en-GB"/>
        </w:rPr>
        <w:t xml:space="preserve">Baldwin, Thomas, </w:t>
      </w:r>
      <w:r w:rsidRPr="2C5AC5D4" w:rsidR="2C5AC5D4">
        <w:rPr>
          <w:rFonts w:ascii="Segoe UI" w:hAnsi="Segoe UI" w:eastAsia="Times New Roman" w:cs="Segoe UI"/>
          <w:b w:val="0"/>
          <w:bCs w:val="0"/>
          <w:i w:val="1"/>
          <w:iCs w:val="1"/>
          <w:color w:val="373A3C"/>
          <w:sz w:val="24"/>
          <w:szCs w:val="24"/>
          <w:lang w:val="en" w:eastAsia="en-GB"/>
        </w:rPr>
        <w:t xml:space="preserve">Reading </w:t>
      </w:r>
      <w:proofErr w:type="spellStart"/>
      <w:r w:rsidRPr="2C5AC5D4" w:rsidR="2C5AC5D4">
        <w:rPr>
          <w:rFonts w:ascii="Segoe UI" w:hAnsi="Segoe UI" w:eastAsia="Times New Roman" w:cs="Segoe UI"/>
          <w:b w:val="0"/>
          <w:bCs w:val="0"/>
          <w:i w:val="1"/>
          <w:iCs w:val="1"/>
          <w:color w:val="373A3C"/>
          <w:sz w:val="24"/>
          <w:szCs w:val="24"/>
          <w:lang w:val="en" w:eastAsia="en-GB"/>
        </w:rPr>
        <w:t>MerleauPonty</w:t>
      </w:r>
      <w:proofErr w:type="spellEnd"/>
      <w:r w:rsidRPr="2C5AC5D4" w:rsidR="2C5AC5D4">
        <w:rPr>
          <w:rFonts w:ascii="Segoe UI" w:hAnsi="Segoe UI" w:eastAsia="Times New Roman" w:cs="Segoe UI"/>
          <w:b w:val="0"/>
          <w:bCs w:val="0"/>
          <w:i w:val="1"/>
          <w:iCs w:val="1"/>
          <w:color w:val="373A3C"/>
          <w:sz w:val="24"/>
          <w:szCs w:val="24"/>
          <w:lang w:val="en" w:eastAsia="en-GB"/>
        </w:rPr>
        <w:t xml:space="preserve">: on Phenomenology and Perception </w:t>
      </w:r>
      <w:r w:rsidRPr="2C5AC5D4" w:rsidR="2C5AC5D4">
        <w:rPr>
          <w:rFonts w:ascii="Segoe UI" w:hAnsi="Segoe UI" w:eastAsia="Times New Roman" w:cs="Segoe UI"/>
          <w:b w:val="0"/>
          <w:bCs w:val="0"/>
          <w:i w:val="0"/>
          <w:iCs w:val="0"/>
          <w:color w:val="373A3C"/>
          <w:sz w:val="24"/>
          <w:szCs w:val="24"/>
          <w:lang w:val="en" w:eastAsia="en-GB"/>
        </w:rPr>
        <w:t>(London: Routledge 2007)</w:t>
      </w:r>
    </w:p>
    <w:p w:rsidR="1237285F" w:rsidP="1237285F" w:rsidRDefault="1237285F" w14:paraId="0B3A682D" w14:textId="1DC45C98">
      <w:pPr>
        <w:pStyle w:val="Normal"/>
        <w:shd w:val="clear" w:color="auto" w:fill="FFFFFF" w:themeFill="background1"/>
        <w:spacing w:afterAutospacing="on" w:line="240" w:lineRule="auto"/>
        <w:ind w:left="-135" w:right="225"/>
        <w:rPr>
          <w:rFonts w:ascii="Segoe UI" w:hAnsi="Segoe UI" w:eastAsia="Times New Roman" w:cs="Segoe UI"/>
          <w:b w:val="1"/>
          <w:bCs w:val="1"/>
          <w:color w:val="373A3C"/>
          <w:sz w:val="24"/>
          <w:szCs w:val="24"/>
          <w:lang w:val="en" w:eastAsia="en-GB"/>
        </w:rPr>
      </w:pPr>
    </w:p>
    <w:p w:rsidR="2C5AC5D4" w:rsidP="2C5AC5D4" w:rsidRDefault="2C5AC5D4" w14:paraId="4B05F7E1" w14:textId="31A3AAE9">
      <w:pPr>
        <w:pStyle w:val="Normal"/>
        <w:shd w:val="clear" w:color="auto" w:fill="FFFFFF" w:themeFill="background1"/>
        <w:spacing w:afterAutospacing="on" w:line="240" w:lineRule="auto"/>
        <w:ind w:left="-135" w:right="225"/>
        <w:rPr>
          <w:rFonts w:ascii="Segoe UI" w:hAnsi="Segoe UI" w:eastAsia="Times New Roman" w:cs="Segoe UI"/>
          <w:b w:val="1"/>
          <w:bCs w:val="1"/>
          <w:color w:val="373A3C"/>
          <w:sz w:val="24"/>
          <w:szCs w:val="24"/>
          <w:lang w:val="en" w:eastAsia="en-GB"/>
        </w:rPr>
      </w:pPr>
      <w:r w:rsidRPr="2C5AC5D4" w:rsidR="2C5AC5D4">
        <w:rPr>
          <w:rFonts w:ascii="Segoe UI" w:hAnsi="Segoe UI" w:eastAsia="Times New Roman" w:cs="Segoe UI"/>
          <w:b w:val="0"/>
          <w:bCs w:val="0"/>
          <w:color w:val="373A3C"/>
          <w:sz w:val="24"/>
          <w:szCs w:val="24"/>
          <w:lang w:val="en" w:eastAsia="en-GB"/>
        </w:rPr>
        <w:t xml:space="preserve">Descartes, Rene, trans by John Cottingham, </w:t>
      </w:r>
      <w:r w:rsidRPr="2C5AC5D4" w:rsidR="2C5AC5D4">
        <w:rPr>
          <w:rFonts w:ascii="Segoe UI" w:hAnsi="Segoe UI" w:eastAsia="Times New Roman" w:cs="Segoe UI"/>
          <w:b w:val="0"/>
          <w:bCs w:val="0"/>
          <w:i w:val="1"/>
          <w:iCs w:val="1"/>
          <w:color w:val="373A3C"/>
          <w:sz w:val="24"/>
          <w:szCs w:val="24"/>
          <w:lang w:val="en" w:eastAsia="en-GB"/>
        </w:rPr>
        <w:t xml:space="preserve">Meditations on First Philosophy </w:t>
      </w:r>
      <w:r w:rsidRPr="2C5AC5D4" w:rsidR="2C5AC5D4">
        <w:rPr>
          <w:rFonts w:ascii="Segoe UI" w:hAnsi="Segoe UI" w:eastAsia="Times New Roman" w:cs="Segoe UI"/>
          <w:b w:val="0"/>
          <w:bCs w:val="0"/>
          <w:i w:val="0"/>
          <w:iCs w:val="0"/>
          <w:color w:val="373A3C"/>
          <w:sz w:val="24"/>
          <w:szCs w:val="24"/>
          <w:lang w:val="en" w:eastAsia="en-GB"/>
        </w:rPr>
        <w:t>(Cambridge University Press 1987).</w:t>
      </w:r>
      <w:r w:rsidRPr="2C5AC5D4" w:rsidR="2C5AC5D4">
        <w:rPr>
          <w:rFonts w:ascii="Segoe UI" w:hAnsi="Segoe UI" w:eastAsia="Times New Roman" w:cs="Segoe UI"/>
          <w:b w:val="0"/>
          <w:bCs w:val="0"/>
          <w:i w:val="0"/>
          <w:iCs w:val="0"/>
          <w:color w:val="373A3C"/>
          <w:sz w:val="24"/>
          <w:szCs w:val="24"/>
          <w:lang w:val="en" w:eastAsia="en-GB"/>
        </w:rPr>
        <w:t xml:space="preserve"> </w:t>
      </w:r>
    </w:p>
    <w:p w:rsidR="16005944" w:rsidP="16005944" w:rsidRDefault="16005944" w14:paraId="276C90EE" w14:textId="6813068B">
      <w:pPr>
        <w:pStyle w:val="Normal"/>
        <w:shd w:val="clear" w:color="auto" w:fill="FFFFFF" w:themeFill="background1"/>
        <w:spacing w:afterAutospacing="on" w:line="240" w:lineRule="auto"/>
        <w:ind w:left="-135" w:right="225"/>
        <w:rPr>
          <w:rFonts w:ascii="Segoe UI" w:hAnsi="Segoe UI" w:eastAsia="Times New Roman" w:cs="Segoe UI"/>
          <w:b w:val="1"/>
          <w:bCs w:val="1"/>
          <w:color w:val="373A3C"/>
          <w:sz w:val="24"/>
          <w:szCs w:val="24"/>
          <w:lang w:val="en" w:eastAsia="en-GB"/>
        </w:rPr>
      </w:pPr>
    </w:p>
    <w:p w:rsidR="2C5AC5D4" w:rsidP="2C5AC5D4" w:rsidRDefault="2C5AC5D4" w14:paraId="237C4EE3" w14:textId="25DEC40D">
      <w:pPr>
        <w:pStyle w:val="Normal"/>
        <w:shd w:val="clear" w:color="auto" w:fill="FFFFFF" w:themeFill="background1"/>
        <w:spacing w:afterAutospacing="on" w:line="240" w:lineRule="auto"/>
        <w:ind w:left="-135" w:right="225"/>
        <w:rPr>
          <w:rFonts w:ascii="Segoe UI" w:hAnsi="Segoe UI" w:eastAsia="Times New Roman" w:cs="Segoe UI"/>
          <w:b w:val="0"/>
          <w:bCs w:val="0"/>
          <w:i w:val="0"/>
          <w:iCs w:val="0"/>
          <w:color w:val="373A3C"/>
          <w:sz w:val="24"/>
          <w:szCs w:val="24"/>
          <w:lang w:val="en" w:eastAsia="en-GB"/>
        </w:rPr>
      </w:pPr>
    </w:p>
    <w:p w:rsidR="2C5AC5D4" w:rsidP="2C5AC5D4" w:rsidRDefault="2C5AC5D4" w14:paraId="11EED000" w14:textId="22A5DBC9">
      <w:pPr>
        <w:pStyle w:val="Normal"/>
        <w:shd w:val="clear" w:color="auto" w:fill="FFFFFF" w:themeFill="background1"/>
        <w:spacing w:afterAutospacing="on" w:line="240" w:lineRule="auto"/>
        <w:ind w:left="-135" w:right="225"/>
        <w:rPr>
          <w:rFonts w:ascii="Segoe UI" w:hAnsi="Segoe UI" w:eastAsia="Times New Roman" w:cs="Segoe UI"/>
          <w:b w:val="0"/>
          <w:bCs w:val="0"/>
          <w:i w:val="0"/>
          <w:iCs w:val="0"/>
          <w:color w:val="373A3C"/>
          <w:sz w:val="24"/>
          <w:szCs w:val="24"/>
          <w:lang w:val="en" w:eastAsia="en-GB"/>
        </w:rPr>
      </w:pPr>
      <w:r w:rsidRPr="2C5AC5D4" w:rsidR="2C5AC5D4">
        <w:rPr>
          <w:rFonts w:ascii="Segoe UI" w:hAnsi="Segoe UI" w:eastAsia="Times New Roman" w:cs="Segoe UI"/>
          <w:b w:val="0"/>
          <w:bCs w:val="0"/>
          <w:i w:val="0"/>
          <w:iCs w:val="0"/>
          <w:color w:val="373A3C"/>
          <w:sz w:val="24"/>
          <w:szCs w:val="24"/>
          <w:lang w:val="en" w:eastAsia="en-GB"/>
        </w:rPr>
        <w:t xml:space="preserve">Hammon, Michael et al. </w:t>
      </w:r>
      <w:r w:rsidRPr="2C5AC5D4" w:rsidR="2C5AC5D4">
        <w:rPr>
          <w:rFonts w:ascii="Segoe UI" w:hAnsi="Segoe UI" w:eastAsia="Times New Roman" w:cs="Segoe UI"/>
          <w:b w:val="0"/>
          <w:bCs w:val="0"/>
          <w:i w:val="1"/>
          <w:iCs w:val="1"/>
          <w:color w:val="373A3C"/>
          <w:sz w:val="24"/>
          <w:szCs w:val="24"/>
          <w:lang w:val="en" w:eastAsia="en-GB"/>
        </w:rPr>
        <w:t>Understanding Phenomenology</w:t>
      </w:r>
      <w:r w:rsidRPr="2C5AC5D4" w:rsidR="2C5AC5D4">
        <w:rPr>
          <w:rFonts w:ascii="Segoe UI" w:hAnsi="Segoe UI" w:eastAsia="Times New Roman" w:cs="Segoe UI"/>
          <w:b w:val="0"/>
          <w:bCs w:val="0"/>
          <w:i w:val="0"/>
          <w:iCs w:val="0"/>
          <w:color w:val="373A3C"/>
          <w:sz w:val="24"/>
          <w:szCs w:val="24"/>
          <w:lang w:val="en" w:eastAsia="en-GB"/>
        </w:rPr>
        <w:t xml:space="preserve"> (Cambridge and Oxford: Basil Blackwell 1991)</w:t>
      </w:r>
    </w:p>
    <w:p w:rsidR="2C5AC5D4" w:rsidP="2C5AC5D4" w:rsidRDefault="2C5AC5D4" w14:paraId="20D42445" w14:textId="41D06B3F">
      <w:pPr>
        <w:pStyle w:val="Normal"/>
        <w:shd w:val="clear" w:color="auto" w:fill="FFFFFF" w:themeFill="background1"/>
        <w:spacing w:afterAutospacing="on" w:line="240" w:lineRule="auto"/>
        <w:ind w:left="-135" w:right="225"/>
        <w:rPr>
          <w:rFonts w:ascii="Segoe UI" w:hAnsi="Segoe UI" w:eastAsia="Times New Roman" w:cs="Segoe UI"/>
          <w:b w:val="0"/>
          <w:bCs w:val="0"/>
          <w:i w:val="0"/>
          <w:iCs w:val="0"/>
          <w:color w:val="373A3C"/>
          <w:sz w:val="24"/>
          <w:szCs w:val="24"/>
          <w:lang w:val="en" w:eastAsia="en-GB"/>
        </w:rPr>
      </w:pPr>
    </w:p>
    <w:p w:rsidR="2C5AC5D4" w:rsidP="2C5AC5D4" w:rsidRDefault="2C5AC5D4" w14:paraId="4379148D" w14:textId="185F28C8">
      <w:pPr>
        <w:pStyle w:val="Normal"/>
        <w:shd w:val="clear" w:color="auto" w:fill="FFFFFF" w:themeFill="background1"/>
        <w:spacing w:afterAutospacing="on" w:line="240" w:lineRule="auto"/>
        <w:ind w:left="-135" w:right="225"/>
        <w:rPr>
          <w:rFonts w:ascii="Segoe UI" w:hAnsi="Segoe UI" w:eastAsia="Times New Roman" w:cs="Segoe UI"/>
          <w:b w:val="1"/>
          <w:bCs w:val="1"/>
          <w:color w:val="373A3C"/>
          <w:sz w:val="24"/>
          <w:szCs w:val="24"/>
          <w:lang w:val="en" w:eastAsia="en-GB"/>
        </w:rPr>
      </w:pPr>
      <w:r w:rsidRPr="2C5AC5D4" w:rsidR="2C5AC5D4">
        <w:rPr>
          <w:rFonts w:ascii="Segoe UI" w:hAnsi="Segoe UI" w:eastAsia="Times New Roman" w:cs="Segoe UI"/>
          <w:b w:val="0"/>
          <w:bCs w:val="0"/>
          <w:color w:val="373A3C"/>
          <w:sz w:val="24"/>
          <w:szCs w:val="24"/>
          <w:lang w:val="en" w:eastAsia="en-GB"/>
        </w:rPr>
        <w:t xml:space="preserve">Leder, Drew, ‘Flesh and Blood: A proposed supplement to Merleau-Ponty', </w:t>
      </w:r>
      <w:r w:rsidRPr="2C5AC5D4" w:rsidR="2C5AC5D4">
        <w:rPr>
          <w:rFonts w:ascii="Segoe UI" w:hAnsi="Segoe UI" w:eastAsia="Times New Roman" w:cs="Segoe UI"/>
          <w:b w:val="0"/>
          <w:bCs w:val="0"/>
          <w:i w:val="1"/>
          <w:iCs w:val="1"/>
          <w:color w:val="373A3C"/>
          <w:sz w:val="24"/>
          <w:szCs w:val="24"/>
          <w:lang w:val="en" w:eastAsia="en-GB"/>
        </w:rPr>
        <w:t xml:space="preserve">Human Studies, </w:t>
      </w:r>
      <w:r w:rsidRPr="2C5AC5D4" w:rsidR="2C5AC5D4">
        <w:rPr>
          <w:rFonts w:ascii="Segoe UI" w:hAnsi="Segoe UI" w:eastAsia="Times New Roman" w:cs="Segoe UI"/>
          <w:b w:val="0"/>
          <w:bCs w:val="0"/>
          <w:i w:val="0"/>
          <w:iCs w:val="0"/>
          <w:color w:val="373A3C"/>
          <w:sz w:val="24"/>
          <w:szCs w:val="24"/>
          <w:lang w:val="en" w:eastAsia="en-GB"/>
        </w:rPr>
        <w:t>13: (1990), 209-219.</w:t>
      </w:r>
    </w:p>
    <w:p w:rsidRPr="009B1C6F" w:rsidR="009B1C6F" w:rsidP="1237285F" w:rsidRDefault="009B1C6F" w14:paraId="2D861639" w14:textId="6948825C">
      <w:pPr>
        <w:pStyle w:val="Normal"/>
        <w:shd w:val="clear" w:color="auto" w:fill="FFFFFF" w:themeFill="background1"/>
        <w:spacing w:after="100" w:afterAutospacing="on" w:line="240" w:lineRule="auto"/>
        <w:ind w:left="-135" w:right="225"/>
        <w:rPr>
          <w:rFonts w:ascii="Segoe UI" w:hAnsi="Segoe UI" w:eastAsia="Times New Roman" w:cs="Segoe UI"/>
          <w:b w:val="1"/>
          <w:bCs w:val="1"/>
          <w:color w:val="373A3C"/>
          <w:sz w:val="24"/>
          <w:szCs w:val="24"/>
          <w:lang w:val="en" w:eastAsia="en-GB"/>
        </w:rPr>
      </w:pPr>
    </w:p>
    <w:p w:rsidR="1237285F" w:rsidP="2C5AC5D4" w:rsidRDefault="1237285F" w14:paraId="3DFA1173" w14:textId="644EAAFC">
      <w:pPr>
        <w:pStyle w:val="Normal"/>
        <w:shd w:val="clear" w:color="auto" w:fill="FFFFFF" w:themeFill="background1"/>
        <w:spacing w:afterAutospacing="on" w:line="240" w:lineRule="auto"/>
        <w:ind w:left="-135" w:right="225"/>
        <w:rPr>
          <w:rFonts w:ascii="Segoe UI" w:hAnsi="Segoe UI" w:eastAsia="Times New Roman" w:cs="Segoe UI"/>
          <w:b w:val="1"/>
          <w:bCs w:val="1"/>
          <w:color w:val="373A3C"/>
          <w:sz w:val="24"/>
          <w:szCs w:val="24"/>
          <w:lang w:val="en" w:eastAsia="en-GB"/>
        </w:rPr>
      </w:pPr>
      <w:proofErr w:type="spellStart"/>
      <w:r w:rsidRPr="2C5AC5D4" w:rsidR="2C5AC5D4">
        <w:rPr>
          <w:rFonts w:ascii="Segoe UI" w:hAnsi="Segoe UI" w:eastAsia="Times New Roman" w:cs="Segoe UI"/>
          <w:b w:val="0"/>
          <w:bCs w:val="0"/>
          <w:color w:val="373A3C"/>
          <w:sz w:val="24"/>
          <w:szCs w:val="24"/>
          <w:lang w:val="en" w:eastAsia="en-GB"/>
        </w:rPr>
        <w:t>Luft</w:t>
      </w:r>
      <w:proofErr w:type="spellEnd"/>
      <w:r w:rsidRPr="2C5AC5D4" w:rsidR="2C5AC5D4">
        <w:rPr>
          <w:rFonts w:ascii="Segoe UI" w:hAnsi="Segoe UI" w:eastAsia="Times New Roman" w:cs="Segoe UI"/>
          <w:b w:val="0"/>
          <w:bCs w:val="0"/>
          <w:color w:val="373A3C"/>
          <w:sz w:val="24"/>
          <w:szCs w:val="24"/>
          <w:lang w:val="en" w:eastAsia="en-GB"/>
        </w:rPr>
        <w:t xml:space="preserve">, Sebastian &amp; Soren Overgaard, eds. </w:t>
      </w:r>
      <w:r w:rsidRPr="2C5AC5D4" w:rsidR="2C5AC5D4">
        <w:rPr>
          <w:rFonts w:ascii="Segoe UI" w:hAnsi="Segoe UI" w:eastAsia="Times New Roman" w:cs="Segoe UI"/>
          <w:b w:val="0"/>
          <w:bCs w:val="0"/>
          <w:i w:val="1"/>
          <w:iCs w:val="1"/>
          <w:color w:val="373A3C"/>
          <w:sz w:val="24"/>
          <w:szCs w:val="24"/>
          <w:lang w:val="en" w:eastAsia="en-GB"/>
        </w:rPr>
        <w:t xml:space="preserve">Routledge Companion to Phenomenology, </w:t>
      </w:r>
      <w:r w:rsidRPr="2C5AC5D4" w:rsidR="2C5AC5D4">
        <w:rPr>
          <w:rFonts w:ascii="Segoe UI" w:hAnsi="Segoe UI" w:eastAsia="Times New Roman" w:cs="Segoe UI"/>
          <w:b w:val="0"/>
          <w:bCs w:val="0"/>
          <w:i w:val="0"/>
          <w:iCs w:val="0"/>
          <w:color w:val="373A3C"/>
          <w:sz w:val="24"/>
          <w:szCs w:val="24"/>
          <w:lang w:val="en" w:eastAsia="en-GB"/>
        </w:rPr>
        <w:t>(London: Routledge 2012).</w:t>
      </w:r>
      <w:r w:rsidRPr="2C5AC5D4" w:rsidR="2C5AC5D4">
        <w:rPr>
          <w:rFonts w:ascii="Segoe UI" w:hAnsi="Segoe UI" w:eastAsia="Times New Roman" w:cs="Segoe UI"/>
          <w:b w:val="0"/>
          <w:bCs w:val="0"/>
          <w:i w:val="0"/>
          <w:iCs w:val="0"/>
          <w:color w:val="373A3C"/>
          <w:sz w:val="24"/>
          <w:szCs w:val="24"/>
          <w:lang w:val="en" w:eastAsia="en-GB"/>
        </w:rPr>
        <w:t xml:space="preserve"> CHAPTERS 9 &amp; 25</w:t>
      </w:r>
    </w:p>
    <w:p w:rsidR="2C5AC5D4" w:rsidP="2C5AC5D4" w:rsidRDefault="2C5AC5D4" w14:paraId="19236649" w14:textId="3E329517">
      <w:pPr>
        <w:pStyle w:val="Normal"/>
        <w:shd w:val="clear" w:color="auto" w:fill="FFFFFF" w:themeFill="background1"/>
        <w:spacing w:afterAutospacing="on" w:line="240" w:lineRule="auto"/>
        <w:ind w:left="-135" w:right="225"/>
        <w:rPr>
          <w:rFonts w:ascii="Segoe UI" w:hAnsi="Segoe UI" w:eastAsia="Times New Roman" w:cs="Segoe UI"/>
          <w:b w:val="0"/>
          <w:bCs w:val="0"/>
          <w:i w:val="0"/>
          <w:iCs w:val="0"/>
          <w:color w:val="373A3C"/>
          <w:sz w:val="24"/>
          <w:szCs w:val="24"/>
          <w:lang w:val="en" w:eastAsia="en-GB"/>
        </w:rPr>
      </w:pPr>
    </w:p>
    <w:p w:rsidR="2C5AC5D4" w:rsidP="2C5AC5D4" w:rsidRDefault="2C5AC5D4" w14:paraId="6E534F42" w14:textId="2C6CD7A0">
      <w:pPr>
        <w:pStyle w:val="Normal"/>
        <w:shd w:val="clear" w:color="auto" w:fill="FFFFFF" w:themeFill="background1"/>
        <w:spacing w:afterAutospacing="on" w:line="240" w:lineRule="auto"/>
        <w:ind w:left="-135" w:right="225"/>
        <w:rPr>
          <w:rFonts w:ascii="Segoe UI" w:hAnsi="Segoe UI" w:eastAsia="Times New Roman" w:cs="Segoe UI"/>
          <w:b w:val="0"/>
          <w:bCs w:val="0"/>
          <w:i w:val="0"/>
          <w:iCs w:val="0"/>
          <w:color w:val="373A3C"/>
          <w:sz w:val="24"/>
          <w:szCs w:val="24"/>
          <w:lang w:val="en" w:eastAsia="en-GB"/>
        </w:rPr>
      </w:pPr>
      <w:r w:rsidRPr="2C5AC5D4" w:rsidR="2C5AC5D4">
        <w:rPr>
          <w:rFonts w:ascii="Segoe UI" w:hAnsi="Segoe UI" w:eastAsia="Times New Roman" w:cs="Segoe UI"/>
          <w:b w:val="0"/>
          <w:bCs w:val="0"/>
          <w:i w:val="0"/>
          <w:iCs w:val="0"/>
          <w:color w:val="373A3C"/>
          <w:sz w:val="24"/>
          <w:szCs w:val="24"/>
          <w:lang w:val="en" w:eastAsia="en-GB"/>
        </w:rPr>
        <w:t xml:space="preserve">Macquarrie, John, </w:t>
      </w:r>
      <w:r w:rsidRPr="2C5AC5D4" w:rsidR="2C5AC5D4">
        <w:rPr>
          <w:rFonts w:ascii="Segoe UI" w:hAnsi="Segoe UI" w:eastAsia="Times New Roman" w:cs="Segoe UI"/>
          <w:b w:val="0"/>
          <w:bCs w:val="0"/>
          <w:i w:val="1"/>
          <w:iCs w:val="1"/>
          <w:color w:val="373A3C"/>
          <w:sz w:val="24"/>
          <w:szCs w:val="24"/>
          <w:lang w:val="en" w:eastAsia="en-GB"/>
        </w:rPr>
        <w:t xml:space="preserve">Existentialism, </w:t>
      </w:r>
      <w:r w:rsidRPr="2C5AC5D4" w:rsidR="2C5AC5D4">
        <w:rPr>
          <w:rFonts w:ascii="Segoe UI" w:hAnsi="Segoe UI" w:eastAsia="Times New Roman" w:cs="Segoe UI"/>
          <w:b w:val="0"/>
          <w:bCs w:val="0"/>
          <w:i w:val="0"/>
          <w:iCs w:val="0"/>
          <w:color w:val="373A3C"/>
          <w:sz w:val="24"/>
          <w:szCs w:val="24"/>
          <w:lang w:val="en" w:eastAsia="en-GB"/>
        </w:rPr>
        <w:t>(Middlesex: Penguin 1976)</w:t>
      </w:r>
    </w:p>
    <w:p w:rsidR="1DA28984" w:rsidP="1DA28984" w:rsidRDefault="1DA28984" w14:paraId="5C34AD35" w14:textId="79A81502">
      <w:pPr>
        <w:pStyle w:val="Normal"/>
        <w:shd w:val="clear" w:color="auto" w:fill="FFFFFF" w:themeFill="background1"/>
        <w:spacing w:afterAutospacing="on" w:line="240" w:lineRule="auto"/>
        <w:ind w:left="-135" w:right="225"/>
        <w:rPr>
          <w:rFonts w:ascii="Segoe UI" w:hAnsi="Segoe UI" w:eastAsia="Times New Roman" w:cs="Segoe UI"/>
          <w:b w:val="0"/>
          <w:bCs w:val="0"/>
          <w:i w:val="0"/>
          <w:iCs w:val="0"/>
          <w:color w:val="373A3C"/>
          <w:sz w:val="24"/>
          <w:szCs w:val="24"/>
          <w:lang w:val="en" w:eastAsia="en-GB"/>
        </w:rPr>
      </w:pPr>
    </w:p>
    <w:p w:rsidR="1DA28984" w:rsidP="1DA28984" w:rsidRDefault="1DA28984" w14:paraId="5EFF3FBA" w14:textId="7D91E015">
      <w:pPr>
        <w:pStyle w:val="Normal"/>
        <w:shd w:val="clear" w:color="auto" w:fill="FFFFFF" w:themeFill="background1"/>
        <w:spacing w:afterAutospacing="on" w:line="240" w:lineRule="auto"/>
        <w:ind w:left="-135" w:right="225"/>
        <w:rPr>
          <w:rFonts w:ascii="Segoe UI" w:hAnsi="Segoe UI" w:eastAsia="Times New Roman" w:cs="Segoe UI"/>
          <w:b w:val="0"/>
          <w:bCs w:val="0"/>
          <w:i w:val="0"/>
          <w:iCs w:val="0"/>
          <w:color w:val="373A3C"/>
          <w:sz w:val="24"/>
          <w:szCs w:val="24"/>
          <w:lang w:val="en" w:eastAsia="en-GB"/>
        </w:rPr>
      </w:pPr>
      <w:r w:rsidRPr="1DA28984" w:rsidR="1DA28984">
        <w:rPr>
          <w:rFonts w:ascii="Segoe UI" w:hAnsi="Segoe UI" w:eastAsia="Times New Roman" w:cs="Segoe UI"/>
          <w:b w:val="0"/>
          <w:bCs w:val="0"/>
          <w:i w:val="0"/>
          <w:iCs w:val="0"/>
          <w:color w:val="373A3C"/>
          <w:sz w:val="24"/>
          <w:szCs w:val="24"/>
          <w:lang w:val="en" w:eastAsia="en-GB"/>
        </w:rPr>
        <w:t xml:space="preserve">Matthew, Eric, </w:t>
      </w:r>
      <w:r w:rsidRPr="1DA28984" w:rsidR="1DA28984">
        <w:rPr>
          <w:rFonts w:ascii="Segoe UI" w:hAnsi="Segoe UI" w:eastAsia="Times New Roman" w:cs="Segoe UI"/>
          <w:b w:val="0"/>
          <w:bCs w:val="0"/>
          <w:i w:val="1"/>
          <w:iCs w:val="1"/>
          <w:color w:val="373A3C"/>
          <w:sz w:val="24"/>
          <w:szCs w:val="24"/>
          <w:lang w:val="en" w:eastAsia="en-GB"/>
        </w:rPr>
        <w:t xml:space="preserve">The Philosophy of Merleau-Ponty, </w:t>
      </w:r>
      <w:r w:rsidRPr="1DA28984" w:rsidR="1DA28984">
        <w:rPr>
          <w:rFonts w:ascii="Segoe UI" w:hAnsi="Segoe UI" w:eastAsia="Times New Roman" w:cs="Segoe UI"/>
          <w:b w:val="0"/>
          <w:bCs w:val="0"/>
          <w:i w:val="0"/>
          <w:iCs w:val="0"/>
          <w:color w:val="373A3C"/>
          <w:sz w:val="24"/>
          <w:szCs w:val="24"/>
          <w:lang w:val="en" w:eastAsia="en-GB"/>
        </w:rPr>
        <w:t>(</w:t>
      </w:r>
      <w:r w:rsidRPr="1DA28984" w:rsidR="1DA28984">
        <w:rPr>
          <w:rFonts w:ascii="Segoe UI" w:hAnsi="Segoe UI" w:eastAsia="Times New Roman" w:cs="Segoe UI"/>
          <w:b w:val="0"/>
          <w:bCs w:val="0"/>
          <w:i w:val="0"/>
          <w:iCs w:val="0"/>
          <w:color w:val="373A3C"/>
          <w:sz w:val="24"/>
          <w:szCs w:val="24"/>
          <w:lang w:val="en" w:eastAsia="en-GB"/>
        </w:rPr>
        <w:t>Buckinghamshire</w:t>
      </w:r>
      <w:r w:rsidRPr="1DA28984" w:rsidR="1DA28984">
        <w:rPr>
          <w:rFonts w:ascii="Segoe UI" w:hAnsi="Segoe UI" w:eastAsia="Times New Roman" w:cs="Segoe UI"/>
          <w:b w:val="0"/>
          <w:bCs w:val="0"/>
          <w:i w:val="0"/>
          <w:iCs w:val="0"/>
          <w:color w:val="373A3C"/>
          <w:sz w:val="24"/>
          <w:szCs w:val="24"/>
          <w:lang w:val="en" w:eastAsia="en-GB"/>
        </w:rPr>
        <w:t>: Acumen 2002).</w:t>
      </w:r>
    </w:p>
    <w:p w:rsidR="1237285F" w:rsidP="1237285F" w:rsidRDefault="1237285F" w14:paraId="1422CCB8" w14:textId="2F0C60C7">
      <w:pPr>
        <w:pStyle w:val="Normal"/>
        <w:shd w:val="clear" w:color="auto" w:fill="FFFFFF" w:themeFill="background1"/>
        <w:spacing w:afterAutospacing="on" w:line="240" w:lineRule="auto"/>
        <w:ind w:left="-135" w:right="225"/>
        <w:rPr>
          <w:rFonts w:ascii="Segoe UI" w:hAnsi="Segoe UI" w:eastAsia="Times New Roman" w:cs="Segoe UI"/>
          <w:b w:val="1"/>
          <w:bCs w:val="1"/>
          <w:color w:val="373A3C"/>
          <w:sz w:val="24"/>
          <w:szCs w:val="24"/>
          <w:lang w:val="en" w:eastAsia="en-GB"/>
        </w:rPr>
      </w:pPr>
      <w:r w:rsidRPr="1237285F" w:rsidR="1237285F">
        <w:rPr>
          <w:rFonts w:ascii="Segoe UI" w:hAnsi="Segoe UI" w:eastAsia="Times New Roman" w:cs="Segoe UI"/>
          <w:b w:val="0"/>
          <w:bCs w:val="0"/>
          <w:i w:val="0"/>
          <w:iCs w:val="0"/>
          <w:color w:val="373A3C"/>
          <w:sz w:val="24"/>
          <w:szCs w:val="24"/>
          <w:lang w:val="en" w:eastAsia="en-GB"/>
        </w:rPr>
        <w:t xml:space="preserve"> </w:t>
      </w:r>
    </w:p>
    <w:p w:rsidR="20CDC6B0" w:rsidP="1DA28984" w:rsidRDefault="20CDC6B0" w14:paraId="1B8E3FB9" w14:textId="3E0EB289">
      <w:pPr>
        <w:pStyle w:val="Normal"/>
        <w:shd w:val="clear" w:color="auto" w:fill="FFFFFF" w:themeFill="background1"/>
        <w:spacing w:afterAutospacing="on" w:line="240" w:lineRule="auto"/>
        <w:ind w:left="-135" w:right="225"/>
        <w:rPr>
          <w:rFonts w:ascii="Segoe UI" w:hAnsi="Segoe UI" w:eastAsia="Times New Roman" w:cs="Segoe UI"/>
          <w:b w:val="0"/>
          <w:bCs w:val="0"/>
          <w:i w:val="0"/>
          <w:iCs w:val="0"/>
          <w:color w:val="373A3C"/>
          <w:sz w:val="24"/>
          <w:szCs w:val="24"/>
          <w:lang w:val="en" w:eastAsia="en-GB"/>
        </w:rPr>
      </w:pPr>
      <w:r w:rsidRPr="1DA28984" w:rsidR="1DA28984">
        <w:rPr>
          <w:rFonts w:ascii="Segoe UI" w:hAnsi="Segoe UI" w:eastAsia="Times New Roman" w:cs="Segoe UI"/>
          <w:b w:val="0"/>
          <w:bCs w:val="0"/>
          <w:color w:val="373A3C"/>
          <w:sz w:val="24"/>
          <w:szCs w:val="24"/>
          <w:lang w:val="en" w:eastAsia="en-GB"/>
        </w:rPr>
        <w:t xml:space="preserve">Matthews, Gareth B. ‘The Inner Man’, </w:t>
      </w:r>
      <w:r w:rsidRPr="1DA28984" w:rsidR="1DA28984">
        <w:rPr>
          <w:rFonts w:ascii="Segoe UI" w:hAnsi="Segoe UI" w:eastAsia="Times New Roman" w:cs="Segoe UI"/>
          <w:b w:val="0"/>
          <w:bCs w:val="0"/>
          <w:i w:val="1"/>
          <w:iCs w:val="1"/>
          <w:color w:val="373A3C"/>
          <w:sz w:val="24"/>
          <w:szCs w:val="24"/>
          <w:lang w:val="en" w:eastAsia="en-GB"/>
        </w:rPr>
        <w:t xml:space="preserve">American Philosophical Quarterly, </w:t>
      </w:r>
      <w:r w:rsidRPr="1DA28984" w:rsidR="1DA28984">
        <w:rPr>
          <w:rFonts w:ascii="Segoe UI" w:hAnsi="Segoe UI" w:eastAsia="Times New Roman" w:cs="Segoe UI"/>
          <w:b w:val="0"/>
          <w:bCs w:val="0"/>
          <w:i w:val="0"/>
          <w:iCs w:val="0"/>
          <w:color w:val="373A3C"/>
          <w:sz w:val="24"/>
          <w:szCs w:val="24"/>
          <w:lang w:val="en" w:eastAsia="en-GB"/>
        </w:rPr>
        <w:t>4:2 (1967) 166-172.</w:t>
      </w:r>
    </w:p>
    <w:p w:rsidR="1DA28984" w:rsidP="1DA28984" w:rsidRDefault="1DA28984" w14:paraId="3C26EFDA" w14:textId="08680563">
      <w:pPr>
        <w:pStyle w:val="Normal"/>
        <w:shd w:val="clear" w:color="auto" w:fill="FFFFFF" w:themeFill="background1"/>
        <w:spacing w:afterAutospacing="on" w:line="240" w:lineRule="auto"/>
        <w:ind w:left="-135" w:right="225"/>
        <w:rPr>
          <w:rFonts w:ascii="Segoe UI" w:hAnsi="Segoe UI" w:eastAsia="Times New Roman" w:cs="Segoe UI"/>
          <w:b w:val="0"/>
          <w:bCs w:val="0"/>
          <w:i w:val="0"/>
          <w:iCs w:val="0"/>
          <w:color w:val="373A3C"/>
          <w:sz w:val="24"/>
          <w:szCs w:val="24"/>
          <w:lang w:val="en" w:eastAsia="en-GB"/>
        </w:rPr>
      </w:pPr>
    </w:p>
    <w:p w:rsidR="76AE5DB0" w:rsidP="76AE5DB0" w:rsidRDefault="76AE5DB0" w14:paraId="7FA7DC9F" w14:textId="4CFA90E3">
      <w:pPr>
        <w:pStyle w:val="Normal"/>
        <w:shd w:val="clear" w:color="auto" w:fill="FFFFFF" w:themeFill="background1"/>
        <w:spacing w:afterAutospacing="on" w:line="240" w:lineRule="auto"/>
        <w:ind w:left="-135" w:right="225"/>
        <w:rPr>
          <w:rFonts w:ascii="Segoe UI" w:hAnsi="Segoe UI" w:eastAsia="Times New Roman" w:cs="Segoe UI"/>
          <w:b w:val="0"/>
          <w:bCs w:val="0"/>
          <w:i w:val="0"/>
          <w:iCs w:val="0"/>
          <w:color w:val="373A3C"/>
          <w:sz w:val="24"/>
          <w:szCs w:val="24"/>
          <w:lang w:val="en" w:eastAsia="en-GB"/>
        </w:rPr>
      </w:pPr>
    </w:p>
    <w:p w:rsidR="76AE5DB0" w:rsidP="1237285F" w:rsidRDefault="76AE5DB0" w14:paraId="233A7F3A" w14:textId="4CAD0620">
      <w:pPr>
        <w:pStyle w:val="Normal"/>
        <w:shd w:val="clear" w:color="auto" w:fill="FFFFFF" w:themeFill="background1"/>
        <w:spacing w:afterAutospacing="on" w:line="240" w:lineRule="auto"/>
        <w:ind w:left="-135" w:right="225"/>
        <w:rPr>
          <w:rFonts w:ascii="Segoe UI" w:hAnsi="Segoe UI" w:eastAsia="Times New Roman" w:cs="Segoe UI"/>
          <w:b w:val="0"/>
          <w:bCs w:val="0"/>
          <w:i w:val="0"/>
          <w:iCs w:val="0"/>
          <w:color w:val="373A3C"/>
          <w:sz w:val="24"/>
          <w:szCs w:val="24"/>
          <w:lang w:val="en" w:eastAsia="en-GB"/>
        </w:rPr>
      </w:pPr>
      <w:r w:rsidRPr="1237285F" w:rsidR="1237285F">
        <w:rPr>
          <w:rFonts w:ascii="Segoe UI" w:hAnsi="Segoe UI" w:eastAsia="Times New Roman" w:cs="Segoe UI"/>
          <w:b w:val="0"/>
          <w:bCs w:val="0"/>
          <w:i w:val="0"/>
          <w:iCs w:val="0"/>
          <w:color w:val="373A3C"/>
          <w:sz w:val="24"/>
          <w:szCs w:val="24"/>
          <w:lang w:val="en" w:eastAsia="en-GB"/>
        </w:rPr>
        <w:t xml:space="preserve">Merleau-Ponty, Maurice, </w:t>
      </w:r>
      <w:r w:rsidRPr="1237285F" w:rsidR="1237285F">
        <w:rPr>
          <w:rFonts w:ascii="Segoe UI" w:hAnsi="Segoe UI" w:eastAsia="Times New Roman" w:cs="Segoe UI"/>
          <w:b w:val="0"/>
          <w:bCs w:val="0"/>
          <w:i w:val="0"/>
          <w:iCs w:val="0"/>
          <w:color w:val="373A3C"/>
          <w:sz w:val="24"/>
          <w:szCs w:val="24"/>
          <w:lang w:val="en" w:eastAsia="en-GB"/>
        </w:rPr>
        <w:t>t</w:t>
      </w:r>
      <w:r w:rsidRPr="1237285F" w:rsidR="1237285F">
        <w:rPr>
          <w:rFonts w:ascii="Segoe UI" w:hAnsi="Segoe UI" w:eastAsia="Times New Roman" w:cs="Segoe UI"/>
          <w:b w:val="0"/>
          <w:bCs w:val="0"/>
          <w:i w:val="0"/>
          <w:iCs w:val="0"/>
          <w:color w:val="373A3C"/>
          <w:sz w:val="24"/>
          <w:szCs w:val="24"/>
          <w:lang w:val="en" w:eastAsia="en-GB"/>
        </w:rPr>
        <w:t xml:space="preserve">rans Colin Smith, </w:t>
      </w:r>
      <w:r w:rsidRPr="1237285F" w:rsidR="1237285F">
        <w:rPr>
          <w:rFonts w:ascii="Segoe UI" w:hAnsi="Segoe UI" w:eastAsia="Times New Roman" w:cs="Segoe UI"/>
          <w:b w:val="0"/>
          <w:bCs w:val="0"/>
          <w:i w:val="1"/>
          <w:iCs w:val="1"/>
          <w:color w:val="373A3C"/>
          <w:sz w:val="24"/>
          <w:szCs w:val="24"/>
          <w:lang w:val="en" w:eastAsia="en-GB"/>
        </w:rPr>
        <w:t xml:space="preserve">Phenomenology of Perception </w:t>
      </w:r>
      <w:r w:rsidRPr="1237285F" w:rsidR="1237285F">
        <w:rPr>
          <w:rFonts w:ascii="Segoe UI" w:hAnsi="Segoe UI" w:eastAsia="Times New Roman" w:cs="Segoe UI"/>
          <w:b w:val="0"/>
          <w:bCs w:val="0"/>
          <w:i w:val="0"/>
          <w:iCs w:val="0"/>
          <w:color w:val="373A3C"/>
          <w:sz w:val="24"/>
          <w:szCs w:val="24"/>
          <w:lang w:val="en" w:eastAsia="en-GB"/>
        </w:rPr>
        <w:t>(London. New York: Routledge 2010).</w:t>
      </w:r>
    </w:p>
    <w:p w:rsidRPr="009B1C6F" w:rsidR="009B1C6F" w:rsidP="6BF4E3E7" w:rsidRDefault="009B1C6F" w14:paraId="0AC09157" w14:textId="4AFDC9E2">
      <w:pPr>
        <w:pStyle w:val="Normal"/>
        <w:shd w:val="clear" w:color="auto" w:fill="FFFFFF" w:themeFill="background1"/>
        <w:spacing w:after="100" w:afterAutospacing="on" w:line="240" w:lineRule="auto"/>
        <w:ind w:left="-135" w:right="225"/>
        <w:rPr>
          <w:rFonts w:ascii="Segoe UI" w:hAnsi="Segoe UI" w:eastAsia="Times New Roman" w:cs="Segoe UI"/>
          <w:b w:val="1"/>
          <w:bCs w:val="1"/>
          <w:color w:val="373A3C"/>
          <w:sz w:val="24"/>
          <w:szCs w:val="24"/>
          <w:lang w:val="en" w:eastAsia="en-GB"/>
        </w:rPr>
      </w:pPr>
    </w:p>
    <w:p w:rsidRPr="009B1C6F" w:rsidR="009B1C6F" w:rsidP="2C5AC5D4" w:rsidRDefault="009B1C6F" w14:paraId="2AC37C1A" w14:textId="6A883B23">
      <w:pPr>
        <w:pStyle w:val="Normal"/>
        <w:shd w:val="clear" w:color="auto" w:fill="FFFFFF" w:themeFill="background1"/>
        <w:spacing w:after="100" w:afterAutospacing="on" w:line="240" w:lineRule="auto"/>
        <w:ind w:left="-135" w:right="225"/>
        <w:rPr>
          <w:rFonts w:ascii="Segoe UI" w:hAnsi="Segoe UI" w:eastAsia="Times New Roman" w:cs="Segoe UI"/>
          <w:b w:val="1"/>
          <w:bCs w:val="1"/>
          <w:color w:val="373A3C"/>
          <w:sz w:val="24"/>
          <w:szCs w:val="24"/>
          <w:lang w:val="en" w:eastAsia="en-GB"/>
        </w:rPr>
      </w:pPr>
      <w:r w:rsidRPr="2C5AC5D4" w:rsidR="2C5AC5D4">
        <w:rPr>
          <w:rFonts w:ascii="Segoe UI" w:hAnsi="Segoe UI" w:eastAsia="Times New Roman" w:cs="Segoe UI"/>
          <w:b w:val="0"/>
          <w:bCs w:val="0"/>
          <w:color w:val="373A3C"/>
          <w:sz w:val="24"/>
          <w:szCs w:val="24"/>
          <w:lang w:val="en" w:eastAsia="en-GB"/>
        </w:rPr>
        <w:t xml:space="preserve">Moran, Richard, ‘Anscombe on Practical Knowledge’, </w:t>
      </w:r>
      <w:r w:rsidRPr="2C5AC5D4" w:rsidR="2C5AC5D4">
        <w:rPr>
          <w:rFonts w:ascii="Segoe UI" w:hAnsi="Segoe UI" w:eastAsia="Times New Roman" w:cs="Segoe UI"/>
          <w:b w:val="0"/>
          <w:bCs w:val="0"/>
          <w:i w:val="1"/>
          <w:iCs w:val="1"/>
          <w:color w:val="373A3C"/>
          <w:sz w:val="24"/>
          <w:szCs w:val="24"/>
          <w:lang w:val="en" w:eastAsia="en-GB"/>
        </w:rPr>
        <w:t xml:space="preserve">Royal Institute of Philosophical supplement, </w:t>
      </w:r>
      <w:r w:rsidRPr="2C5AC5D4" w:rsidR="2C5AC5D4">
        <w:rPr>
          <w:rFonts w:ascii="Segoe UI" w:hAnsi="Segoe UI" w:eastAsia="Times New Roman" w:cs="Segoe UI"/>
          <w:b w:val="0"/>
          <w:bCs w:val="0"/>
          <w:i w:val="0"/>
          <w:iCs w:val="0"/>
          <w:color w:val="373A3C"/>
          <w:sz w:val="24"/>
          <w:szCs w:val="24"/>
          <w:lang w:val="en" w:eastAsia="en-GB"/>
        </w:rPr>
        <w:t>55: Sept. (2004), 43-68.</w:t>
      </w:r>
    </w:p>
    <w:p w:rsidR="2C5AC5D4" w:rsidP="2C5AC5D4" w:rsidRDefault="2C5AC5D4" w14:paraId="0BF52BE3" w14:textId="665A3ADA">
      <w:pPr>
        <w:pStyle w:val="Normal"/>
        <w:shd w:val="clear" w:color="auto" w:fill="FFFFFF" w:themeFill="background1"/>
        <w:spacing w:afterAutospacing="on" w:line="240" w:lineRule="auto"/>
        <w:ind w:left="-135" w:right="225"/>
        <w:rPr>
          <w:rFonts w:ascii="Segoe UI" w:hAnsi="Segoe UI" w:eastAsia="Times New Roman" w:cs="Segoe UI"/>
          <w:b w:val="0"/>
          <w:bCs w:val="0"/>
          <w:i w:val="0"/>
          <w:iCs w:val="0"/>
          <w:color w:val="373A3C"/>
          <w:sz w:val="24"/>
          <w:szCs w:val="24"/>
          <w:lang w:val="en" w:eastAsia="en-GB"/>
        </w:rPr>
      </w:pPr>
    </w:p>
    <w:p w:rsidR="2C5AC5D4" w:rsidP="2C5AC5D4" w:rsidRDefault="2C5AC5D4" w14:paraId="190F2AD3" w14:textId="4FDBB25B">
      <w:pPr>
        <w:pStyle w:val="Normal"/>
        <w:shd w:val="clear" w:color="auto" w:fill="FFFFFF" w:themeFill="background1"/>
        <w:spacing w:afterAutospacing="on" w:line="240" w:lineRule="auto"/>
        <w:ind w:left="-135" w:right="225"/>
        <w:rPr>
          <w:rFonts w:ascii="Segoe UI" w:hAnsi="Segoe UI" w:eastAsia="Times New Roman" w:cs="Segoe UI"/>
          <w:b w:val="0"/>
          <w:bCs w:val="0"/>
          <w:i w:val="0"/>
          <w:iCs w:val="0"/>
          <w:color w:val="373A3C"/>
          <w:sz w:val="24"/>
          <w:szCs w:val="24"/>
          <w:lang w:val="en" w:eastAsia="en-GB"/>
        </w:rPr>
      </w:pPr>
      <w:r w:rsidRPr="2C5AC5D4" w:rsidR="2C5AC5D4">
        <w:rPr>
          <w:rFonts w:ascii="Segoe UI" w:hAnsi="Segoe UI" w:eastAsia="Times New Roman" w:cs="Segoe UI"/>
          <w:b w:val="0"/>
          <w:bCs w:val="0"/>
          <w:i w:val="0"/>
          <w:iCs w:val="0"/>
          <w:color w:val="373A3C"/>
          <w:sz w:val="24"/>
          <w:szCs w:val="24"/>
          <w:lang w:val="en" w:eastAsia="en-GB"/>
        </w:rPr>
        <w:t xml:space="preserve">Warnock, Mary, </w:t>
      </w:r>
      <w:r w:rsidRPr="2C5AC5D4" w:rsidR="2C5AC5D4">
        <w:rPr>
          <w:rFonts w:ascii="Segoe UI" w:hAnsi="Segoe UI" w:eastAsia="Times New Roman" w:cs="Segoe UI"/>
          <w:b w:val="0"/>
          <w:bCs w:val="0"/>
          <w:i w:val="1"/>
          <w:iCs w:val="1"/>
          <w:color w:val="373A3C"/>
          <w:sz w:val="24"/>
          <w:szCs w:val="24"/>
          <w:lang w:val="en" w:eastAsia="en-GB"/>
        </w:rPr>
        <w:t xml:space="preserve">Existentialism, </w:t>
      </w:r>
      <w:r w:rsidRPr="2C5AC5D4" w:rsidR="2C5AC5D4">
        <w:rPr>
          <w:rFonts w:ascii="Segoe UI" w:hAnsi="Segoe UI" w:eastAsia="Times New Roman" w:cs="Segoe UI"/>
          <w:b w:val="0"/>
          <w:bCs w:val="0"/>
          <w:i w:val="0"/>
          <w:iCs w:val="0"/>
          <w:color w:val="373A3C"/>
          <w:sz w:val="24"/>
          <w:szCs w:val="24"/>
          <w:lang w:val="en" w:eastAsia="en-GB"/>
        </w:rPr>
        <w:t>( London: Oxford UP 1975)</w:t>
      </w:r>
    </w:p>
    <w:p w:rsidR="2C5AC5D4" w:rsidP="2C5AC5D4" w:rsidRDefault="2C5AC5D4" w14:paraId="40BEB07E" w14:textId="5D758FA4">
      <w:pPr>
        <w:pStyle w:val="Normal"/>
        <w:shd w:val="clear" w:color="auto" w:fill="FFFFFF" w:themeFill="background1"/>
        <w:spacing w:afterAutospacing="on" w:line="240" w:lineRule="auto"/>
        <w:ind w:left="-135" w:right="225"/>
        <w:rPr>
          <w:rFonts w:ascii="Segoe UI" w:hAnsi="Segoe UI" w:eastAsia="Times New Roman" w:cs="Segoe UI"/>
          <w:b w:val="0"/>
          <w:bCs w:val="0"/>
          <w:i w:val="0"/>
          <w:iCs w:val="0"/>
          <w:color w:val="373A3C"/>
          <w:sz w:val="24"/>
          <w:szCs w:val="24"/>
          <w:lang w:val="en" w:eastAsia="en-GB"/>
        </w:rPr>
      </w:pPr>
    </w:p>
    <w:p w:rsidRPr="009B1C6F" w:rsidR="009B1C6F" w:rsidP="6BF4E3E7" w:rsidRDefault="009B1C6F" w14:paraId="645B2F62" w14:textId="0B93792C">
      <w:pPr>
        <w:shd w:val="clear" w:color="auto" w:fill="FFFFFF" w:themeFill="background1"/>
        <w:spacing w:after="100" w:afterAutospacing="on" w:line="240" w:lineRule="auto"/>
        <w:ind w:left="-135" w:right="225"/>
        <w:rPr>
          <w:rFonts w:ascii="Segoe UI" w:hAnsi="Segoe UI" w:eastAsia="Times New Roman" w:cs="Segoe UI"/>
          <w:b w:val="1"/>
          <w:bCs w:val="1"/>
          <w:color w:val="373A3C"/>
          <w:sz w:val="24"/>
          <w:szCs w:val="24"/>
          <w:lang w:val="en" w:eastAsia="en-GB"/>
        </w:rPr>
      </w:pPr>
    </w:p>
    <w:p w:rsidR="009B1C6F" w:rsidP="20CDC6B0" w:rsidRDefault="009B1C6F" w14:paraId="513F90A6" w14:textId="1BD63889">
      <w:pPr>
        <w:pStyle w:val="Normal"/>
        <w:shd w:val="clear" w:color="auto" w:fill="FFFFFF" w:themeFill="background1"/>
        <w:spacing w:afterAutospacing="on" w:line="240" w:lineRule="auto"/>
        <w:ind w:left="-135" w:right="225"/>
        <w:rPr>
          <w:rFonts w:ascii="Segoe UI" w:hAnsi="Segoe UI" w:eastAsia="Times New Roman" w:cs="Segoe UI"/>
          <w:b w:val="1"/>
          <w:bCs w:val="1"/>
          <w:color w:val="373A3C"/>
          <w:sz w:val="24"/>
          <w:szCs w:val="24"/>
          <w:lang w:val="en" w:eastAsia="en-GB"/>
        </w:rPr>
      </w:pPr>
    </w:p>
    <w:sectPr w:rsidR="009B1C6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14="http://schemas.microsoft.com/office/word/2010/wordml" xmlns:w="http://schemas.openxmlformats.org/wordprocessingml/2006/main">
  <w:footnote w:type="separator" w:id="-1">
    <w:p w:rsidR="1DA28984" w:rsidRDefault="1DA28984" w14:paraId="4B9E5CE1" w14:textId="0F635FDC">
      <w:pPr>
        <w:spacing w:after="0" w:line="240" w:lineRule="auto"/>
      </w:pPr>
      <w:r>
        <w:separator/>
      </w:r>
    </w:p>
  </w:footnote>
  <w:footnote w:type="continuationSeparator" w:id="0">
    <w:p w:rsidR="1DA28984" w:rsidRDefault="1DA28984" w14:paraId="7354C142" w14:textId="0AE97056">
      <w:pPr>
        <w:spacing w:after="0" w:line="240" w:lineRule="auto"/>
      </w:pPr>
      <w:r>
        <w:continuationSeparator/>
      </w:r>
    </w:p>
  </w:footnote>
  <w:footnote w:id="7587">
    <w:p w:rsidR="1DA28984" w:rsidP="1DA28984" w:rsidRDefault="1DA28984" w14:paraId="2DD76680" w14:textId="06C3903A">
      <w:pPr>
        <w:pStyle w:val="FootnoteText"/>
        <w:bidi w:val="0"/>
      </w:pPr>
      <w:r w:rsidRPr="1DA28984">
        <w:rPr>
          <w:rStyle w:val="FootnoteReference"/>
        </w:rPr>
        <w:footnoteRef/>
      </w:r>
      <w:r w:rsidR="1DA28984">
        <w:rPr/>
        <w:t xml:space="preserve"> Maurice Merleau-Ponty, </w:t>
      </w:r>
      <w:r w:rsidRPr="1DA28984" w:rsidR="1DA28984">
        <w:rPr>
          <w:i w:val="1"/>
          <w:iCs w:val="1"/>
        </w:rPr>
        <w:t xml:space="preserve">Phenomenology of Perception </w:t>
      </w:r>
      <w:r w:rsidRPr="1DA28984" w:rsidR="1DA28984">
        <w:rPr>
          <w:i w:val="0"/>
          <w:iCs w:val="0"/>
        </w:rPr>
        <w:t>(London: Routledge, 2010) pxi</w:t>
      </w:r>
    </w:p>
  </w:footnote>
  <w:footnote w:id="18009">
    <w:p w:rsidR="1DA28984" w:rsidP="1DA28984" w:rsidRDefault="1DA28984" w14:paraId="33AD0D9B" w14:textId="38117597">
      <w:pPr>
        <w:pStyle w:val="FootnoteText"/>
        <w:bidi w:val="0"/>
      </w:pPr>
      <w:r w:rsidRPr="1DA28984">
        <w:rPr>
          <w:rStyle w:val="FootnoteReference"/>
        </w:rPr>
        <w:footnoteRef/>
      </w:r>
      <w:r w:rsidR="1DA28984">
        <w:rPr/>
        <w:t xml:space="preserve"> Gareth B. Matthews, ‘The Inner Man’,</w:t>
      </w:r>
      <w:r w:rsidRPr="1DA28984" w:rsidR="1DA28984">
        <w:rPr>
          <w:i w:val="1"/>
          <w:iCs w:val="1"/>
        </w:rPr>
        <w:t xml:space="preserve"> American Philosophy Quarterly 4:2 </w:t>
      </w:r>
      <w:r w:rsidRPr="1DA28984" w:rsidR="1DA28984">
        <w:rPr>
          <w:i w:val="0"/>
          <w:iCs w:val="0"/>
        </w:rPr>
        <w:t>(1967) p 166</w:t>
      </w:r>
    </w:p>
  </w:footnote>
  <w:footnote w:id="14134">
    <w:p w:rsidR="1DA28984" w:rsidP="1DA28984" w:rsidRDefault="1DA28984" w14:paraId="273A9E0A" w14:textId="0DB6F208">
      <w:pPr>
        <w:pStyle w:val="FootnoteText"/>
        <w:bidi w:val="0"/>
      </w:pPr>
      <w:r w:rsidRPr="1DA28984">
        <w:rPr>
          <w:rStyle w:val="FootnoteReference"/>
        </w:rPr>
        <w:footnoteRef/>
      </w:r>
      <w:r w:rsidR="1DA28984">
        <w:rPr/>
        <w:t xml:space="preserve"> ibid</w:t>
      </w:r>
    </w:p>
  </w:footnote>
  <w:footnote w:id="5466">
    <w:p w:rsidR="1DA28984" w:rsidP="1DA28984" w:rsidRDefault="1DA28984" w14:paraId="200C66F3" w14:textId="5EE22A14">
      <w:pPr>
        <w:pStyle w:val="FootnoteText"/>
        <w:bidi w:val="0"/>
      </w:pPr>
      <w:r w:rsidRPr="1DA28984">
        <w:rPr>
          <w:rStyle w:val="FootnoteReference"/>
        </w:rPr>
        <w:footnoteRef/>
      </w:r>
      <w:r w:rsidR="1DA28984">
        <w:rPr/>
        <w:t xml:space="preserve"> Rene Descartes, trans. By John Cottingham, </w:t>
      </w:r>
      <w:r w:rsidRPr="1DA28984" w:rsidR="1DA28984">
        <w:rPr>
          <w:i w:val="1"/>
          <w:iCs w:val="1"/>
        </w:rPr>
        <w:t xml:space="preserve">Meditations on First Philosophy </w:t>
      </w:r>
      <w:r w:rsidRPr="1DA28984" w:rsidR="1DA28984">
        <w:rPr>
          <w:i w:val="0"/>
          <w:iCs w:val="0"/>
        </w:rPr>
        <w:t>(Cambridge University Press 1987) p54</w:t>
      </w:r>
    </w:p>
  </w:footnote>
  <w:footnote w:id="3373">
    <w:p w:rsidR="1DA28984" w:rsidP="1DA28984" w:rsidRDefault="1DA28984" w14:paraId="236AF2D8" w14:textId="66EB100E">
      <w:pPr>
        <w:pStyle w:val="FootnoteText"/>
        <w:bidi w:val="0"/>
      </w:pPr>
      <w:r w:rsidRPr="1DA28984">
        <w:rPr>
          <w:rStyle w:val="FootnoteReference"/>
        </w:rPr>
        <w:footnoteRef/>
      </w:r>
      <w:r w:rsidR="1DA28984">
        <w:rPr/>
        <w:t xml:space="preserve"> ibid p56</w:t>
      </w:r>
    </w:p>
  </w:footnote>
  <w:footnote w:id="1784">
    <w:p w:rsidR="1DA28984" w:rsidP="1DA28984" w:rsidRDefault="1DA28984" w14:paraId="01F2D3FC" w14:textId="3A39CBB6">
      <w:pPr>
        <w:pStyle w:val="FootnoteText"/>
        <w:bidi w:val="0"/>
      </w:pPr>
      <w:r w:rsidRPr="1DA28984">
        <w:rPr>
          <w:rStyle w:val="FootnoteReference"/>
        </w:rPr>
        <w:footnoteRef/>
      </w:r>
      <w:r w:rsidR="1DA28984">
        <w:rPr/>
        <w:t xml:space="preserve"> ibid</w:t>
      </w:r>
    </w:p>
  </w:footnote>
  <w:footnote w:id="4460">
    <w:p w:rsidR="1DA28984" w:rsidP="1DA28984" w:rsidRDefault="1DA28984" w14:paraId="16A65C76" w14:textId="01197C18">
      <w:pPr>
        <w:pStyle w:val="FootnoteText"/>
        <w:bidi w:val="0"/>
      </w:pPr>
      <w:r w:rsidRPr="1DA28984">
        <w:rPr>
          <w:rStyle w:val="FootnoteReference"/>
        </w:rPr>
        <w:footnoteRef/>
      </w:r>
      <w:r w:rsidR="1DA28984">
        <w:rPr/>
        <w:t xml:space="preserve"> Eric Matthews, </w:t>
      </w:r>
      <w:r w:rsidRPr="1DA28984" w:rsidR="1DA28984">
        <w:rPr>
          <w:i w:val="1"/>
          <w:iCs w:val="1"/>
        </w:rPr>
        <w:t xml:space="preserve">The Philosophy of Merleau-Ponty, </w:t>
      </w:r>
      <w:r w:rsidRPr="1DA28984" w:rsidR="1DA28984">
        <w:rPr>
          <w:i w:val="0"/>
          <w:iCs w:val="0"/>
        </w:rPr>
        <w:t>(Buckinghamshire: Acumen 2002) p58</w:t>
      </w:r>
    </w:p>
  </w:footnote>
  <w:footnote w:id="20651">
    <w:p w:rsidR="1DA28984" w:rsidP="1DA28984" w:rsidRDefault="1DA28984" w14:paraId="1251F6C1" w14:textId="5E64076A">
      <w:pPr>
        <w:pStyle w:val="FootnoteText"/>
        <w:bidi w:val="0"/>
        <w:rPr>
          <w:i w:val="1"/>
          <w:iCs w:val="1"/>
        </w:rPr>
      </w:pPr>
      <w:r w:rsidRPr="1DA28984">
        <w:rPr>
          <w:rStyle w:val="FootnoteReference"/>
        </w:rPr>
        <w:footnoteRef/>
      </w:r>
      <w:r w:rsidR="1DA28984">
        <w:rPr/>
        <w:t xml:space="preserve"> Rene Descartes, p56</w:t>
      </w:r>
    </w:p>
  </w:footnote>
  <w:footnote w:id="14445">
    <w:p w:rsidR="1DA28984" w:rsidP="1DA28984" w:rsidRDefault="1DA28984" w14:paraId="2F5C02F6" w14:textId="64FEE1FD">
      <w:pPr>
        <w:pStyle w:val="FootnoteText"/>
        <w:bidi w:val="0"/>
      </w:pPr>
      <w:r w:rsidRPr="1DA28984">
        <w:rPr>
          <w:rStyle w:val="FootnoteReference"/>
        </w:rPr>
        <w:footnoteRef/>
      </w:r>
      <w:r w:rsidR="1DA28984">
        <w:rPr/>
        <w:t xml:space="preserve"> ibid</w:t>
      </w:r>
    </w:p>
  </w:footnote>
  <w:footnote w:id="4368">
    <w:p w:rsidR="1DA28984" w:rsidP="1DA28984" w:rsidRDefault="1DA28984" w14:paraId="7ED66868" w14:textId="4AC45265">
      <w:pPr>
        <w:pStyle w:val="FootnoteText"/>
        <w:bidi w:val="0"/>
      </w:pPr>
      <w:r w:rsidRPr="1DA28984">
        <w:rPr>
          <w:rStyle w:val="FootnoteReference"/>
        </w:rPr>
        <w:footnoteRef/>
      </w:r>
      <w:r w:rsidR="1DA28984">
        <w:rPr/>
        <w:t xml:space="preserve"> Sebastian </w:t>
      </w:r>
      <w:proofErr w:type="spellStart"/>
      <w:r w:rsidR="1DA28984">
        <w:rPr/>
        <w:t>Luft</w:t>
      </w:r>
      <w:proofErr w:type="spellEnd"/>
      <w:r w:rsidR="1DA28984">
        <w:rPr/>
        <w:t xml:space="preserve"> and Soren Overgaard, eds. </w:t>
      </w:r>
      <w:r w:rsidRPr="1DA28984" w:rsidR="1DA28984">
        <w:rPr>
          <w:i w:val="1"/>
          <w:iCs w:val="1"/>
        </w:rPr>
        <w:t xml:space="preserve">Routledge companion to Phenomenology </w:t>
      </w:r>
      <w:r w:rsidRPr="1DA28984" w:rsidR="1DA28984">
        <w:rPr>
          <w:i w:val="0"/>
          <w:iCs w:val="0"/>
        </w:rPr>
        <w:t>(London: Routledge 2012) p111</w:t>
      </w:r>
    </w:p>
  </w:footnote>
  <w:footnote w:id="30219">
    <w:p w:rsidR="1DA28984" w:rsidP="1DA28984" w:rsidRDefault="1DA28984" w14:paraId="181FD4A3" w14:textId="19A24EE0">
      <w:pPr>
        <w:pStyle w:val="FootnoteText"/>
        <w:bidi w:val="0"/>
      </w:pPr>
      <w:r w:rsidRPr="1DA28984">
        <w:rPr>
          <w:rStyle w:val="FootnoteReference"/>
        </w:rPr>
        <w:footnoteRef/>
      </w:r>
      <w:r w:rsidR="1DA28984">
        <w:rPr/>
        <w:t xml:space="preserve"> ibid</w:t>
      </w:r>
    </w:p>
  </w:footnote>
  <w:footnote w:id="32364">
    <w:p w:rsidR="2C5AC5D4" w:rsidP="2C5AC5D4" w:rsidRDefault="2C5AC5D4" w14:paraId="1EC174CB" w14:textId="590EEBC1">
      <w:pPr>
        <w:pStyle w:val="FootnoteText"/>
        <w:bidi w:val="0"/>
      </w:pPr>
      <w:r w:rsidRPr="2C5AC5D4">
        <w:rPr>
          <w:rStyle w:val="FootnoteReference"/>
        </w:rPr>
        <w:footnoteRef/>
      </w:r>
      <w:r w:rsidR="2C5AC5D4">
        <w:rPr/>
        <w:t xml:space="preserve"> DAC Lectures</w:t>
      </w:r>
    </w:p>
  </w:footnote>
  <w:footnote w:id="5325">
    <w:p w:rsidR="2C5AC5D4" w:rsidP="2C5AC5D4" w:rsidRDefault="2C5AC5D4" w14:paraId="4048B26C" w14:textId="48849B59">
      <w:pPr>
        <w:pStyle w:val="FootnoteText"/>
        <w:bidi w:val="0"/>
      </w:pPr>
      <w:r w:rsidRPr="2C5AC5D4">
        <w:rPr>
          <w:rStyle w:val="FootnoteReference"/>
        </w:rPr>
        <w:footnoteRef/>
      </w:r>
      <w:r w:rsidR="2C5AC5D4">
        <w:rPr/>
        <w:t xml:space="preserve"> John Macquarrie, </w:t>
      </w:r>
      <w:r w:rsidRPr="2C5AC5D4" w:rsidR="2C5AC5D4">
        <w:rPr>
          <w:i w:val="1"/>
          <w:iCs w:val="1"/>
        </w:rPr>
        <w:t xml:space="preserve">Existentialism </w:t>
      </w:r>
      <w:r w:rsidRPr="2C5AC5D4" w:rsidR="2C5AC5D4">
        <w:rPr>
          <w:i w:val="0"/>
          <w:iCs w:val="0"/>
        </w:rPr>
        <w:t>(Middlesex: Penguin 1976) p93</w:t>
      </w:r>
    </w:p>
  </w:footnote>
  <w:footnote w:id="23418">
    <w:p w:rsidR="2C5AC5D4" w:rsidP="2C5AC5D4" w:rsidRDefault="2C5AC5D4" w14:paraId="0EE256B1" w14:textId="46917983">
      <w:pPr>
        <w:pStyle w:val="FootnoteText"/>
        <w:bidi w:val="0"/>
      </w:pPr>
      <w:r w:rsidRPr="2C5AC5D4">
        <w:rPr>
          <w:rStyle w:val="FootnoteReference"/>
        </w:rPr>
        <w:footnoteRef/>
      </w:r>
      <w:r w:rsidR="2C5AC5D4">
        <w:rPr/>
        <w:t xml:space="preserve"> ibid</w:t>
      </w:r>
    </w:p>
  </w:footnote>
  <w:footnote w:id="22196">
    <w:p w:rsidR="2C5AC5D4" w:rsidP="2C5AC5D4" w:rsidRDefault="2C5AC5D4" w14:paraId="323D814A" w14:textId="2BE6E22B">
      <w:pPr>
        <w:pStyle w:val="FootnoteText"/>
        <w:bidi w:val="0"/>
      </w:pPr>
      <w:r w:rsidRPr="2C5AC5D4">
        <w:rPr>
          <w:rStyle w:val="FootnoteReference"/>
        </w:rPr>
        <w:footnoteRef/>
      </w:r>
      <w:r w:rsidR="2C5AC5D4">
        <w:rPr/>
        <w:t xml:space="preserve"> Maurice Merleau-Ponty, </w:t>
      </w:r>
      <w:r w:rsidRPr="2C5AC5D4" w:rsidR="2C5AC5D4">
        <w:rPr>
          <w:i w:val="1"/>
          <w:iCs w:val="1"/>
        </w:rPr>
        <w:t>Phenomenology of Perception</w:t>
      </w:r>
      <w:r w:rsidRPr="2C5AC5D4" w:rsidR="2C5AC5D4">
        <w:rPr>
          <w:i w:val="0"/>
          <w:iCs w:val="0"/>
        </w:rPr>
        <w:t xml:space="preserve"> (London and New York: Routledge 2002) p</w:t>
      </w:r>
    </w:p>
  </w:footnote>
  <w:footnote w:id="20204">
    <w:p w:rsidR="2C5AC5D4" w:rsidP="2C5AC5D4" w:rsidRDefault="2C5AC5D4" w14:paraId="1D790CC2" w14:textId="1035B71B">
      <w:pPr>
        <w:pStyle w:val="FootnoteText"/>
        <w:bidi w:val="0"/>
      </w:pPr>
      <w:r w:rsidRPr="2C5AC5D4">
        <w:rPr>
          <w:rStyle w:val="FootnoteReference"/>
        </w:rPr>
        <w:footnoteRef/>
      </w:r>
      <w:r w:rsidR="2C5AC5D4">
        <w:rPr/>
        <w:t xml:space="preserve"> ibid p176</w:t>
      </w:r>
    </w:p>
  </w:footnote>
  <w:footnote w:id="18578">
    <w:p w:rsidR="2C5AC5D4" w:rsidP="2C5AC5D4" w:rsidRDefault="2C5AC5D4" w14:paraId="2397B84F" w14:textId="2DB9581D">
      <w:pPr>
        <w:pStyle w:val="FootnoteText"/>
        <w:bidi w:val="0"/>
      </w:pPr>
      <w:r w:rsidRPr="2C5AC5D4">
        <w:rPr>
          <w:rStyle w:val="FootnoteReference"/>
        </w:rPr>
        <w:footnoteRef/>
      </w:r>
      <w:r w:rsidR="2C5AC5D4">
        <w:rPr/>
        <w:t xml:space="preserve"> ibid p121</w:t>
      </w:r>
    </w:p>
  </w:footnote>
  <w:footnote w:id="4284">
    <w:p w:rsidR="2C5AC5D4" w:rsidP="2C5AC5D4" w:rsidRDefault="2C5AC5D4" w14:paraId="507A63C7" w14:textId="1C22395F">
      <w:pPr>
        <w:pStyle w:val="FootnoteText"/>
        <w:bidi w:val="0"/>
      </w:pPr>
      <w:r w:rsidRPr="2C5AC5D4">
        <w:rPr>
          <w:rStyle w:val="FootnoteReference"/>
        </w:rPr>
        <w:footnoteRef/>
      </w:r>
      <w:r w:rsidR="2C5AC5D4">
        <w:rPr/>
        <w:t xml:space="preserve"> ibid</w:t>
      </w:r>
    </w:p>
  </w:footnote>
  <w:footnote w:id="8610">
    <w:p w:rsidR="2C5AC5D4" w:rsidP="2C5AC5D4" w:rsidRDefault="2C5AC5D4" w14:paraId="45010BAB" w14:textId="40E95B61">
      <w:pPr>
        <w:pStyle w:val="FootnoteText"/>
        <w:bidi w:val="0"/>
      </w:pPr>
      <w:r w:rsidRPr="2C5AC5D4">
        <w:rPr>
          <w:rStyle w:val="FootnoteReference"/>
        </w:rPr>
        <w:footnoteRef/>
      </w:r>
      <w:r w:rsidR="2C5AC5D4">
        <w:rPr/>
        <w:t xml:space="preserve"> ibid p89</w:t>
      </w:r>
    </w:p>
  </w:footnote>
  <w:footnote w:id="3239">
    <w:p w:rsidR="2C5AC5D4" w:rsidP="2C5AC5D4" w:rsidRDefault="2C5AC5D4" w14:paraId="145657C7" w14:textId="37CB1D34">
      <w:pPr>
        <w:pStyle w:val="FootnoteText"/>
        <w:bidi w:val="0"/>
      </w:pPr>
      <w:r w:rsidRPr="2C5AC5D4">
        <w:rPr>
          <w:rStyle w:val="FootnoteReference"/>
        </w:rPr>
        <w:footnoteRef/>
      </w:r>
      <w:r w:rsidR="2C5AC5D4">
        <w:rPr/>
        <w:t xml:space="preserve"> ibid p92</w:t>
      </w:r>
    </w:p>
  </w:footnote>
  <w:footnote w:id="8067">
    <w:p w:rsidR="2C5AC5D4" w:rsidP="2C5AC5D4" w:rsidRDefault="2C5AC5D4" w14:paraId="5260AFF1" w14:textId="70DF8869">
      <w:pPr>
        <w:pStyle w:val="FootnoteText"/>
        <w:bidi w:val="0"/>
      </w:pPr>
      <w:r w:rsidRPr="2C5AC5D4">
        <w:rPr>
          <w:rStyle w:val="FootnoteReference"/>
        </w:rPr>
        <w:footnoteRef/>
      </w:r>
      <w:r w:rsidR="2C5AC5D4">
        <w:rP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C3316FB"/>
    <w:multiLevelType w:val="multilevel"/>
    <w:tmpl w:val="AC9440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DF0"/>
    <w:rsid w:val="001F2C64"/>
    <w:rsid w:val="004969B5"/>
    <w:rsid w:val="009B1C6F"/>
    <w:rsid w:val="00BB2DF0"/>
    <w:rsid w:val="1237285F"/>
    <w:rsid w:val="1318DBE0"/>
    <w:rsid w:val="13EA72E2"/>
    <w:rsid w:val="16005944"/>
    <w:rsid w:val="1DA28984"/>
    <w:rsid w:val="1F37AE6C"/>
    <w:rsid w:val="20CDC6B0"/>
    <w:rsid w:val="2C5AC5D4"/>
    <w:rsid w:val="324AADD7"/>
    <w:rsid w:val="336CD454"/>
    <w:rsid w:val="39920C17"/>
    <w:rsid w:val="6BF4E3E7"/>
    <w:rsid w:val="6C9C5E2C"/>
    <w:rsid w:val="76AE5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EB9BB"/>
  <w15:chartTrackingRefBased/>
  <w15:docId w15:val="{B9385EC5-DCD0-474A-9C47-D3821812A1FE}"/>
  <w:footnotePr>
    <w:footnote w:id="-1"/>
    <w:footnote w:id="0"/>
  </w:footnotePr>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435912">
      <w:bodyDiv w:val="1"/>
      <w:marLeft w:val="0"/>
      <w:marRight w:val="0"/>
      <w:marTop w:val="0"/>
      <w:marBottom w:val="0"/>
      <w:divBdr>
        <w:top w:val="none" w:sz="0" w:space="0" w:color="auto"/>
        <w:left w:val="none" w:sz="0" w:space="0" w:color="auto"/>
        <w:bottom w:val="none" w:sz="0" w:space="0" w:color="auto"/>
        <w:right w:val="none" w:sz="0" w:space="0" w:color="auto"/>
      </w:divBdr>
      <w:divsChild>
        <w:div w:id="1755086476">
          <w:marLeft w:val="0"/>
          <w:marRight w:val="0"/>
          <w:marTop w:val="0"/>
          <w:marBottom w:val="0"/>
          <w:divBdr>
            <w:top w:val="none" w:sz="0" w:space="0" w:color="auto"/>
            <w:left w:val="none" w:sz="0" w:space="0" w:color="auto"/>
            <w:bottom w:val="none" w:sz="0" w:space="0" w:color="auto"/>
            <w:right w:val="none" w:sz="0" w:space="0" w:color="auto"/>
          </w:divBdr>
          <w:divsChild>
            <w:div w:id="1916627438">
              <w:marLeft w:val="0"/>
              <w:marRight w:val="0"/>
              <w:marTop w:val="0"/>
              <w:marBottom w:val="0"/>
              <w:divBdr>
                <w:top w:val="single" w:sz="12" w:space="0" w:color="A71E38"/>
                <w:left w:val="single" w:sz="12" w:space="0" w:color="A71E38"/>
                <w:bottom w:val="single" w:sz="12" w:space="0" w:color="A71E38"/>
                <w:right w:val="single" w:sz="12" w:space="0" w:color="A71E38"/>
              </w:divBdr>
              <w:divsChild>
                <w:div w:id="1213271931">
                  <w:marLeft w:val="0"/>
                  <w:marRight w:val="0"/>
                  <w:marTop w:val="0"/>
                  <w:marBottom w:val="0"/>
                  <w:divBdr>
                    <w:top w:val="none" w:sz="0" w:space="0" w:color="auto"/>
                    <w:left w:val="none" w:sz="0" w:space="0" w:color="auto"/>
                    <w:bottom w:val="none" w:sz="0" w:space="0" w:color="auto"/>
                    <w:right w:val="none" w:sz="0" w:space="0" w:color="auto"/>
                  </w:divBdr>
                  <w:divsChild>
                    <w:div w:id="456534981">
                      <w:marLeft w:val="0"/>
                      <w:marRight w:val="0"/>
                      <w:marTop w:val="0"/>
                      <w:marBottom w:val="0"/>
                      <w:divBdr>
                        <w:top w:val="none" w:sz="0" w:space="0" w:color="auto"/>
                        <w:left w:val="none" w:sz="0" w:space="0" w:color="auto"/>
                        <w:bottom w:val="none" w:sz="0" w:space="0" w:color="auto"/>
                        <w:right w:val="none" w:sz="0" w:space="0" w:color="auto"/>
                      </w:divBdr>
                      <w:divsChild>
                        <w:div w:id="179825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footnotes" Target="/word/footnotes.xml" Id="R57ab95de09ec4fc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CA1ACA69F74E46B2395DAFA60791CD" ma:contentTypeVersion="5" ma:contentTypeDescription="Create a new document." ma:contentTypeScope="" ma:versionID="9c6ba7a25ddb74856828630dc61e3580">
  <xsd:schema xmlns:xsd="http://www.w3.org/2001/XMLSchema" xmlns:xs="http://www.w3.org/2001/XMLSchema" xmlns:p="http://schemas.microsoft.com/office/2006/metadata/properties" xmlns:ns3="692ebde9-5e05-430e-b67b-bc3a8f7a3e19" xmlns:ns4="a95104f4-663d-4fc7-ac48-cf10b77d260b" targetNamespace="http://schemas.microsoft.com/office/2006/metadata/properties" ma:root="true" ma:fieldsID="b6ceb890dd078c8cc590cc2a317a629d" ns3:_="" ns4:_="">
    <xsd:import namespace="692ebde9-5e05-430e-b67b-bc3a8f7a3e19"/>
    <xsd:import namespace="a95104f4-663d-4fc7-ac48-cf10b77d260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2ebde9-5e05-430e-b67b-bc3a8f7a3e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5104f4-663d-4fc7-ac48-cf10b77d260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C04533-6CB9-4B15-A348-C20189609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2ebde9-5e05-430e-b67b-bc3a8f7a3e19"/>
    <ds:schemaRef ds:uri="a95104f4-663d-4fc7-ac48-cf10b77d2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E23C61-71B9-44AF-9BF8-7F3AC3ADEFE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474E435-3EDB-45A2-9F21-D342AE6227E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Wendie Kosek (1710841)</dc:creator>
  <keywords/>
  <dc:description/>
  <lastModifiedBy>Wendie Kosek (1710841)</lastModifiedBy>
  <revision>17</revision>
  <lastPrinted>2019-12-04T14:57:00.0000000Z</lastPrinted>
  <dcterms:created xsi:type="dcterms:W3CDTF">2019-12-04T11:26:00.0000000Z</dcterms:created>
  <dcterms:modified xsi:type="dcterms:W3CDTF">2019-12-16T17:30:31.9278437Z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0x010100D2CA1ACA69F74E46B2395DAFA60791CD</vt:lpwstr>
  </property>
</Properties>
</file>