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B933792" w14:textId="77777777" w:rsidR="00463151" w:rsidRDefault="00463151" w:rsidP="00463151">
      <w:pPr>
        <w:rPr>
          <w:b/>
        </w:rPr>
      </w:pPr>
      <w:r>
        <w:rPr>
          <w:b/>
        </w:rPr>
        <w:t>Bibliography</w:t>
      </w:r>
    </w:p>
    <w:p w14:paraId="19C7AED6" w14:textId="77777777" w:rsidR="00463151" w:rsidRDefault="00463151" w:rsidP="00463151">
      <w:pPr>
        <w:rPr>
          <w:b/>
        </w:rPr>
      </w:pPr>
    </w:p>
    <w:p w14:paraId="1C8B1692" w14:textId="7BCD73E3" w:rsidR="00463151" w:rsidRPr="004B5974" w:rsidRDefault="00463151" w:rsidP="00463151">
      <w:pPr>
        <w:pStyle w:val="NormalWeb"/>
        <w:spacing w:before="0" w:beforeAutospacing="0" w:after="0" w:afterAutospacing="0"/>
        <w:rPr>
          <w:rFonts w:ascii="LucidaBright" w:hAnsi="LucidaBright"/>
          <w:sz w:val="22"/>
          <w:szCs w:val="22"/>
        </w:rPr>
      </w:pPr>
      <w:r>
        <w:rPr>
          <w:rFonts w:ascii="LucidaBright" w:hAnsi="LucidaBright"/>
          <w:sz w:val="22"/>
          <w:szCs w:val="22"/>
        </w:rPr>
        <w:t>Barad, K. 2003 ‘</w:t>
      </w:r>
      <w:r w:rsidR="00132961">
        <w:rPr>
          <w:rFonts w:ascii="LucidaBright" w:hAnsi="LucidaBright"/>
          <w:sz w:val="22"/>
          <w:szCs w:val="22"/>
        </w:rPr>
        <w:t>Post humanist</w:t>
      </w:r>
      <w:r>
        <w:rPr>
          <w:rFonts w:ascii="LucidaBright" w:hAnsi="LucidaBright"/>
          <w:sz w:val="22"/>
          <w:szCs w:val="22"/>
        </w:rPr>
        <w:t xml:space="preserve"> performativity: toward an understanding of how matter comes to matter’, </w:t>
      </w:r>
      <w:r w:rsidR="00DD3B83">
        <w:rPr>
          <w:rFonts w:ascii="LucidaBright" w:hAnsi="LucidaBright"/>
          <w:sz w:val="22"/>
          <w:szCs w:val="22"/>
        </w:rPr>
        <w:t xml:space="preserve">in </w:t>
      </w:r>
      <w:r>
        <w:rPr>
          <w:rFonts w:ascii="LucidaBright" w:hAnsi="LucidaBright"/>
          <w:i/>
          <w:iCs/>
          <w:sz w:val="22"/>
          <w:szCs w:val="22"/>
        </w:rPr>
        <w:t xml:space="preserve">Signs: Journal of Women in Culture and </w:t>
      </w:r>
      <w:proofErr w:type="gramStart"/>
      <w:r>
        <w:rPr>
          <w:rFonts w:ascii="LucidaBright" w:hAnsi="LucidaBright"/>
          <w:i/>
          <w:iCs/>
          <w:sz w:val="22"/>
          <w:szCs w:val="22"/>
        </w:rPr>
        <w:t xml:space="preserve">Society </w:t>
      </w:r>
      <w:r w:rsidR="0090170F">
        <w:rPr>
          <w:rFonts w:ascii="LucidaBright" w:hAnsi="LucidaBright"/>
          <w:sz w:val="22"/>
          <w:szCs w:val="22"/>
        </w:rPr>
        <w:t xml:space="preserve"> 28</w:t>
      </w:r>
      <w:proofErr w:type="gramEnd"/>
      <w:r w:rsidR="00EB24F5">
        <w:rPr>
          <w:rFonts w:ascii="LucidaBright" w:hAnsi="LucidaBright"/>
          <w:sz w:val="22"/>
          <w:szCs w:val="22"/>
        </w:rPr>
        <w:t>(3)</w:t>
      </w:r>
      <w:r w:rsidR="00664F1C">
        <w:rPr>
          <w:rFonts w:ascii="LucidaBright" w:hAnsi="LucidaBright"/>
          <w:sz w:val="22"/>
          <w:szCs w:val="22"/>
        </w:rPr>
        <w:t xml:space="preserve">: </w:t>
      </w:r>
      <w:r w:rsidR="00E86D35">
        <w:rPr>
          <w:rFonts w:ascii="LucidaBright" w:hAnsi="LucidaBright"/>
          <w:sz w:val="22"/>
          <w:szCs w:val="22"/>
        </w:rPr>
        <w:t>801-31</w:t>
      </w:r>
    </w:p>
    <w:p w14:paraId="1EED95D0" w14:textId="77777777" w:rsidR="00463151" w:rsidRDefault="00463151" w:rsidP="00463151">
      <w:pPr>
        <w:pStyle w:val="NormalWeb"/>
        <w:spacing w:before="0" w:beforeAutospacing="0" w:after="0" w:afterAutospacing="0"/>
      </w:pPr>
    </w:p>
    <w:p w14:paraId="1B991DF0" w14:textId="77777777" w:rsidR="00463151" w:rsidRDefault="00463151" w:rsidP="00463151">
      <w:pPr>
        <w:pStyle w:val="NormalWeb"/>
        <w:spacing w:before="0" w:beforeAutospacing="0" w:after="0" w:afterAutospacing="0"/>
      </w:pPr>
      <w:r>
        <w:rPr>
          <w:rFonts w:ascii="LucidaBright" w:hAnsi="LucidaBright"/>
          <w:sz w:val="22"/>
          <w:szCs w:val="22"/>
        </w:rPr>
        <w:t xml:space="preserve">Bennett, J. 2010 </w:t>
      </w:r>
      <w:r>
        <w:rPr>
          <w:rFonts w:ascii="LucidaBright" w:hAnsi="LucidaBright"/>
          <w:i/>
          <w:iCs/>
          <w:sz w:val="22"/>
          <w:szCs w:val="22"/>
        </w:rPr>
        <w:t xml:space="preserve">Vibrant Matter: a political ecology of things, </w:t>
      </w:r>
      <w:r>
        <w:rPr>
          <w:rFonts w:ascii="LucidaBright" w:hAnsi="LucidaBright"/>
          <w:sz w:val="22"/>
          <w:szCs w:val="22"/>
        </w:rPr>
        <w:t xml:space="preserve">Durham and London: Duke </w:t>
      </w:r>
    </w:p>
    <w:p w14:paraId="5C1E3DB4" w14:textId="77777777" w:rsidR="00463151" w:rsidRDefault="00463151" w:rsidP="00463151">
      <w:pPr>
        <w:pStyle w:val="NormalWeb"/>
        <w:spacing w:before="0" w:beforeAutospacing="0" w:after="0" w:afterAutospacing="0"/>
        <w:rPr>
          <w:rFonts w:ascii="LucidaBright" w:hAnsi="LucidaBright"/>
          <w:sz w:val="22"/>
          <w:szCs w:val="22"/>
        </w:rPr>
      </w:pPr>
      <w:r>
        <w:rPr>
          <w:rFonts w:ascii="LucidaBright" w:hAnsi="LucidaBright"/>
          <w:sz w:val="22"/>
          <w:szCs w:val="22"/>
        </w:rPr>
        <w:t xml:space="preserve">University Press. </w:t>
      </w:r>
    </w:p>
    <w:p w14:paraId="0F32011A" w14:textId="77777777" w:rsidR="00463151" w:rsidRDefault="00463151" w:rsidP="00463151">
      <w:pPr>
        <w:pStyle w:val="NormalWeb"/>
        <w:spacing w:before="0" w:beforeAutospacing="0" w:after="0" w:afterAutospacing="0"/>
        <w:rPr>
          <w:rFonts w:ascii="LucidaBright" w:hAnsi="LucidaBright"/>
          <w:sz w:val="22"/>
          <w:szCs w:val="22"/>
        </w:rPr>
      </w:pPr>
    </w:p>
    <w:p w14:paraId="0C610CB4" w14:textId="01C45422" w:rsidR="00463151" w:rsidRPr="00223725" w:rsidRDefault="00463151" w:rsidP="00463151">
      <w:pPr>
        <w:pStyle w:val="NormalWeb"/>
        <w:spacing w:before="0" w:beforeAutospacing="0" w:after="0" w:afterAutospacing="0"/>
        <w:rPr>
          <w:rFonts w:ascii="LucidaBright" w:hAnsi="LucidaBright"/>
          <w:i/>
          <w:sz w:val="22"/>
          <w:szCs w:val="22"/>
        </w:rPr>
      </w:pPr>
      <w:r>
        <w:rPr>
          <w:rFonts w:ascii="LucidaBright" w:hAnsi="LucidaBright"/>
          <w:sz w:val="22"/>
          <w:szCs w:val="22"/>
        </w:rPr>
        <w:t xml:space="preserve">Bennett, J. 2013 </w:t>
      </w:r>
      <w:r w:rsidR="006B7BBA">
        <w:rPr>
          <w:rFonts w:ascii="LucidaBright" w:hAnsi="LucidaBright"/>
          <w:sz w:val="22"/>
          <w:szCs w:val="22"/>
        </w:rPr>
        <w:t>‘</w:t>
      </w:r>
      <w:r w:rsidRPr="00510012">
        <w:rPr>
          <w:rFonts w:ascii="LucidaBright" w:hAnsi="LucidaBright"/>
          <w:iCs/>
          <w:sz w:val="22"/>
          <w:szCs w:val="22"/>
        </w:rPr>
        <w:t>Researching Through Porosity: an animist research methodology</w:t>
      </w:r>
      <w:r w:rsidR="006B7BBA">
        <w:rPr>
          <w:rFonts w:ascii="LucidaBright" w:hAnsi="LucidaBright"/>
          <w:iCs/>
          <w:sz w:val="22"/>
          <w:szCs w:val="22"/>
        </w:rPr>
        <w:t>’</w:t>
      </w:r>
      <w:r w:rsidR="00223725">
        <w:rPr>
          <w:rFonts w:ascii="LucidaBright" w:hAnsi="LucidaBright"/>
          <w:i/>
          <w:sz w:val="22"/>
          <w:szCs w:val="22"/>
        </w:rPr>
        <w:t xml:space="preserve">, </w:t>
      </w:r>
      <w:r w:rsidR="00223725">
        <w:rPr>
          <w:rFonts w:ascii="LucidaBright" w:hAnsi="LucidaBright"/>
          <w:iCs/>
          <w:sz w:val="22"/>
          <w:szCs w:val="22"/>
        </w:rPr>
        <w:t xml:space="preserve">in </w:t>
      </w:r>
      <w:r w:rsidR="00223725">
        <w:rPr>
          <w:rFonts w:ascii="LucidaBright" w:hAnsi="LucidaBright"/>
          <w:i/>
          <w:sz w:val="22"/>
          <w:szCs w:val="22"/>
        </w:rPr>
        <w:t>The Handbook of Contemporary Animism</w:t>
      </w:r>
      <w:r w:rsidR="00B93158">
        <w:rPr>
          <w:rFonts w:ascii="LucidaBright" w:hAnsi="LucidaBright"/>
          <w:i/>
          <w:sz w:val="22"/>
          <w:szCs w:val="22"/>
        </w:rPr>
        <w:t>,</w:t>
      </w:r>
      <w:r w:rsidR="00005F98">
        <w:rPr>
          <w:rFonts w:ascii="LucidaBright" w:hAnsi="LucidaBright"/>
          <w:i/>
          <w:sz w:val="22"/>
          <w:szCs w:val="22"/>
        </w:rPr>
        <w:t xml:space="preserve"> </w:t>
      </w:r>
      <w:r w:rsidR="00AB14D9">
        <w:rPr>
          <w:rFonts w:ascii="LucidaBright" w:hAnsi="LucidaBright"/>
          <w:iCs/>
          <w:sz w:val="22"/>
          <w:szCs w:val="22"/>
        </w:rPr>
        <w:t>Slough</w:t>
      </w:r>
      <w:r w:rsidR="00510012">
        <w:rPr>
          <w:rFonts w:ascii="LucidaBright" w:hAnsi="LucidaBright"/>
          <w:iCs/>
          <w:sz w:val="22"/>
          <w:szCs w:val="22"/>
        </w:rPr>
        <w:t>: Acumen</w:t>
      </w:r>
      <w:r w:rsidR="00223725">
        <w:rPr>
          <w:rFonts w:ascii="LucidaBright" w:hAnsi="LucidaBright"/>
          <w:i/>
          <w:sz w:val="22"/>
          <w:szCs w:val="22"/>
        </w:rPr>
        <w:t xml:space="preserve"> </w:t>
      </w:r>
    </w:p>
    <w:p w14:paraId="02310918" w14:textId="77777777" w:rsidR="00463151" w:rsidRDefault="00463151" w:rsidP="00463151">
      <w:pPr>
        <w:pStyle w:val="NormalWeb"/>
        <w:spacing w:before="0" w:beforeAutospacing="0" w:after="0" w:afterAutospacing="0"/>
        <w:rPr>
          <w:rFonts w:ascii="LucidaBright" w:hAnsi="LucidaBright"/>
          <w:i/>
          <w:sz w:val="22"/>
          <w:szCs w:val="22"/>
        </w:rPr>
      </w:pPr>
    </w:p>
    <w:p w14:paraId="707F74DC" w14:textId="566453CC" w:rsidR="00B335D5" w:rsidRPr="00B335D5" w:rsidRDefault="00463151" w:rsidP="00B335D5">
      <w:pPr>
        <w:rPr>
          <w:rFonts w:ascii="LucidaBright" w:hAnsi="LucidaBright" w:cs="Times New Roman"/>
          <w:sz w:val="22"/>
          <w:szCs w:val="22"/>
        </w:rPr>
      </w:pPr>
      <w:r w:rsidRPr="00B335D5">
        <w:rPr>
          <w:rFonts w:ascii="LucidaBright" w:hAnsi="LucidaBright" w:cs="Times New Roman"/>
          <w:color w:val="000000" w:themeColor="text1"/>
          <w:sz w:val="22"/>
          <w:szCs w:val="22"/>
        </w:rPr>
        <w:t xml:space="preserve">Bennett, J. </w:t>
      </w:r>
      <w:r w:rsidRPr="00414712">
        <w:rPr>
          <w:rFonts w:ascii="LucidaBright" w:hAnsi="LucidaBright" w:cs="Times New Roman"/>
          <w:i/>
          <w:color w:val="000000" w:themeColor="text1"/>
          <w:sz w:val="22"/>
          <w:szCs w:val="22"/>
        </w:rPr>
        <w:t xml:space="preserve"> </w:t>
      </w:r>
      <w:r w:rsidRPr="00414712">
        <w:rPr>
          <w:rFonts w:ascii="LucidaBright" w:hAnsi="LucidaBright"/>
          <w:i/>
          <w:color w:val="000000" w:themeColor="text1"/>
          <w:sz w:val="22"/>
          <w:szCs w:val="22"/>
        </w:rPr>
        <w:t xml:space="preserve">Powers of the Hoard: Artistry and Agency in a World of Vibrant </w:t>
      </w:r>
      <w:proofErr w:type="gramStart"/>
      <w:r w:rsidRPr="00414712">
        <w:rPr>
          <w:rFonts w:ascii="LucidaBright" w:hAnsi="LucidaBright"/>
          <w:i/>
          <w:color w:val="000000" w:themeColor="text1"/>
          <w:sz w:val="22"/>
          <w:szCs w:val="22"/>
        </w:rPr>
        <w:t>Matter</w:t>
      </w:r>
      <w:r w:rsidR="00B335D5" w:rsidRPr="00B335D5">
        <w:rPr>
          <w:rFonts w:ascii="LucidaBright" w:hAnsi="LucidaBright"/>
          <w:color w:val="000000" w:themeColor="text1"/>
          <w:sz w:val="22"/>
          <w:szCs w:val="22"/>
        </w:rPr>
        <w:t xml:space="preserve">  </w:t>
      </w:r>
      <w:r w:rsidR="00B335D5" w:rsidRPr="00B335D5">
        <w:rPr>
          <w:rFonts w:ascii="LucidaBright" w:hAnsi="LucidaBright" w:cs="Times New Roman"/>
          <w:sz w:val="22"/>
          <w:szCs w:val="22"/>
        </w:rPr>
        <w:t>Presented</w:t>
      </w:r>
      <w:proofErr w:type="gramEnd"/>
      <w:r w:rsidR="00B335D5" w:rsidRPr="00B335D5">
        <w:rPr>
          <w:rFonts w:ascii="LucidaBright" w:hAnsi="LucidaBright" w:cs="Times New Roman"/>
          <w:sz w:val="22"/>
          <w:szCs w:val="22"/>
        </w:rPr>
        <w:t xml:space="preserve"> on occasion of the Vera List Center’s 2011-2013 focus theme “Thingness.”</w:t>
      </w:r>
    </w:p>
    <w:p w14:paraId="2E369DEF" w14:textId="64B31707" w:rsidR="00463151" w:rsidRPr="00C60857" w:rsidRDefault="00350C31" w:rsidP="00463151">
      <w:pPr>
        <w:rPr>
          <w:rFonts w:ascii="Times New Roman" w:eastAsia="Times New Roman" w:hAnsi="Times New Roman" w:cs="Times New Roman"/>
          <w:color w:val="000000" w:themeColor="text1"/>
        </w:rPr>
      </w:pPr>
      <w:hyperlink r:id="rId4" w:tgtFrame="_blank" w:tooltip="Original URL: https://vimeo.com/29535247. Click or tap if you trust this link." w:history="1">
        <w:r w:rsidR="00463151" w:rsidRPr="005B01D1">
          <w:rPr>
            <w:rFonts w:ascii="LucidaBright" w:hAnsi="LucidaBright" w:cs="Times New Roman"/>
            <w:sz w:val="22"/>
            <w:szCs w:val="22"/>
          </w:rPr>
          <w:t>https://vimeo.com/29535247</w:t>
        </w:r>
      </w:hyperlink>
      <w:r w:rsidR="00B335D5">
        <w:rPr>
          <w:rFonts w:ascii="LucidaBright" w:hAnsi="LucidaBright" w:cs="Times New Roman"/>
          <w:sz w:val="22"/>
          <w:szCs w:val="22"/>
        </w:rPr>
        <w:t xml:space="preserve"> </w:t>
      </w:r>
    </w:p>
    <w:p w14:paraId="0055A6DB" w14:textId="77777777" w:rsidR="00463151" w:rsidRDefault="00463151" w:rsidP="00463151">
      <w:pPr>
        <w:rPr>
          <w:b/>
        </w:rPr>
      </w:pPr>
    </w:p>
    <w:p w14:paraId="49E8A7DB" w14:textId="7F5B23E1" w:rsidR="00654231" w:rsidRPr="00296BAA" w:rsidRDefault="00463151" w:rsidP="00C074F3">
      <w:pPr>
        <w:spacing w:after="120"/>
        <w:rPr>
          <w:rFonts w:ascii="LucidaBright" w:hAnsi="LucidaBright"/>
          <w:iCs/>
          <w:sz w:val="22"/>
          <w:szCs w:val="22"/>
        </w:rPr>
      </w:pPr>
      <w:proofErr w:type="spellStart"/>
      <w:r>
        <w:rPr>
          <w:rFonts w:ascii="LucidaBright" w:hAnsi="LucidaBright"/>
          <w:sz w:val="22"/>
          <w:szCs w:val="22"/>
        </w:rPr>
        <w:t>Coard</w:t>
      </w:r>
      <w:proofErr w:type="spellEnd"/>
      <w:r>
        <w:rPr>
          <w:rFonts w:ascii="LucidaBright" w:hAnsi="LucidaBright"/>
          <w:sz w:val="22"/>
          <w:szCs w:val="22"/>
        </w:rPr>
        <w:t xml:space="preserve">, R. 2013 </w:t>
      </w:r>
      <w:r w:rsidR="00B92D59">
        <w:rPr>
          <w:rFonts w:ascii="LucidaBright" w:hAnsi="LucidaBright"/>
          <w:sz w:val="22"/>
          <w:szCs w:val="22"/>
        </w:rPr>
        <w:t>‘</w:t>
      </w:r>
      <w:r w:rsidRPr="00B92D59">
        <w:rPr>
          <w:rFonts w:ascii="LucidaBright" w:hAnsi="LucidaBright"/>
          <w:iCs/>
          <w:sz w:val="22"/>
          <w:szCs w:val="22"/>
        </w:rPr>
        <w:t>Dead and dusted: Exploring the mutable boundaries of the bod</w:t>
      </w:r>
      <w:r w:rsidR="00B92D59">
        <w:rPr>
          <w:rFonts w:ascii="LucidaBright" w:hAnsi="LucidaBright"/>
          <w:iCs/>
          <w:sz w:val="22"/>
          <w:szCs w:val="22"/>
        </w:rPr>
        <w:t xml:space="preserve">y’, in </w:t>
      </w:r>
      <w:r w:rsidR="00C074F3">
        <w:rPr>
          <w:rFonts w:ascii="LucidaBright" w:hAnsi="LucidaBright"/>
          <w:i/>
          <w:sz w:val="22"/>
          <w:szCs w:val="22"/>
        </w:rPr>
        <w:t xml:space="preserve">Body Matters: </w:t>
      </w:r>
      <w:r w:rsidR="003456BE">
        <w:rPr>
          <w:rFonts w:ascii="LucidaBright" w:hAnsi="LucidaBright"/>
          <w:i/>
          <w:sz w:val="22"/>
          <w:szCs w:val="22"/>
        </w:rPr>
        <w:t xml:space="preserve">Exploring </w:t>
      </w:r>
      <w:proofErr w:type="gramStart"/>
      <w:r w:rsidR="003456BE">
        <w:rPr>
          <w:rFonts w:ascii="LucidaBright" w:hAnsi="LucidaBright"/>
          <w:i/>
          <w:sz w:val="22"/>
          <w:szCs w:val="22"/>
        </w:rPr>
        <w:t>The</w:t>
      </w:r>
      <w:proofErr w:type="gramEnd"/>
      <w:r w:rsidR="003456BE">
        <w:rPr>
          <w:rFonts w:ascii="LucidaBright" w:hAnsi="LucidaBright"/>
          <w:i/>
          <w:sz w:val="22"/>
          <w:szCs w:val="22"/>
        </w:rPr>
        <w:t xml:space="preserve"> Materiality of The Human Body</w:t>
      </w:r>
      <w:r w:rsidR="002E2ED0">
        <w:rPr>
          <w:rFonts w:ascii="LucidaBright" w:hAnsi="LucidaBright"/>
          <w:iCs/>
          <w:sz w:val="22"/>
          <w:szCs w:val="22"/>
        </w:rPr>
        <w:t>: 157-172</w:t>
      </w:r>
    </w:p>
    <w:p w14:paraId="667C6E30" w14:textId="77777777" w:rsidR="00270974" w:rsidRDefault="00270974" w:rsidP="00463151">
      <w:pPr>
        <w:rPr>
          <w:rFonts w:ascii="LucidaBright" w:hAnsi="LucidaBright"/>
          <w:sz w:val="22"/>
          <w:szCs w:val="22"/>
        </w:rPr>
      </w:pPr>
    </w:p>
    <w:p w14:paraId="1702DC59" w14:textId="0C71B9D1" w:rsidR="00463151" w:rsidRPr="00C657D9" w:rsidRDefault="00463151" w:rsidP="00463151">
      <w:pPr>
        <w:rPr>
          <w:rFonts w:ascii="LucidaBright" w:hAnsi="LucidaBright"/>
          <w:i/>
          <w:sz w:val="22"/>
          <w:szCs w:val="22"/>
        </w:rPr>
      </w:pPr>
      <w:bookmarkStart w:id="0" w:name="_GoBack"/>
      <w:bookmarkEnd w:id="0"/>
      <w:r>
        <w:rPr>
          <w:rFonts w:ascii="LucidaBright" w:hAnsi="LucidaBright"/>
          <w:sz w:val="22"/>
          <w:szCs w:val="22"/>
        </w:rPr>
        <w:t xml:space="preserve">Lamb, S. 2000 </w:t>
      </w:r>
      <w:r w:rsidR="00A90797">
        <w:rPr>
          <w:rFonts w:ascii="LucidaBright" w:hAnsi="LucidaBright"/>
          <w:sz w:val="22"/>
          <w:szCs w:val="22"/>
        </w:rPr>
        <w:t>‘</w:t>
      </w:r>
      <w:r w:rsidRPr="00C657D9">
        <w:rPr>
          <w:rFonts w:ascii="LucidaBright" w:hAnsi="LucidaBright"/>
          <w:iCs/>
          <w:sz w:val="22"/>
          <w:szCs w:val="22"/>
        </w:rPr>
        <w:t>White Saris and Sweet Mango</w:t>
      </w:r>
      <w:r w:rsidR="00C657D9">
        <w:rPr>
          <w:rFonts w:ascii="LucidaBright" w:hAnsi="LucidaBright"/>
          <w:iCs/>
          <w:sz w:val="22"/>
          <w:szCs w:val="22"/>
        </w:rPr>
        <w:t>es</w:t>
      </w:r>
      <w:r w:rsidR="00A90797">
        <w:rPr>
          <w:rFonts w:ascii="LucidaBright" w:hAnsi="LucidaBright"/>
          <w:iCs/>
          <w:sz w:val="22"/>
          <w:szCs w:val="22"/>
        </w:rPr>
        <w:t>’</w:t>
      </w:r>
      <w:r w:rsidR="00C657D9">
        <w:rPr>
          <w:rFonts w:ascii="LucidaBright" w:hAnsi="LucidaBright"/>
          <w:iCs/>
          <w:sz w:val="22"/>
          <w:szCs w:val="22"/>
        </w:rPr>
        <w:t xml:space="preserve">, in </w:t>
      </w:r>
      <w:r w:rsidR="00867D91" w:rsidRPr="00A90797">
        <w:rPr>
          <w:rFonts w:ascii="LucidaBright" w:hAnsi="LucidaBright"/>
          <w:i/>
          <w:sz w:val="22"/>
          <w:szCs w:val="22"/>
        </w:rPr>
        <w:t xml:space="preserve">The Journal of Asian Studies, </w:t>
      </w:r>
      <w:r w:rsidR="00867D91" w:rsidRPr="00867D91">
        <w:rPr>
          <w:rFonts w:ascii="LucidaBright" w:hAnsi="LucidaBright"/>
          <w:iCs/>
          <w:sz w:val="22"/>
          <w:szCs w:val="22"/>
        </w:rPr>
        <w:t>60(4)</w:t>
      </w:r>
      <w:r w:rsidR="002E3036">
        <w:rPr>
          <w:rFonts w:ascii="LucidaBright" w:hAnsi="LucidaBright"/>
          <w:iCs/>
          <w:sz w:val="22"/>
          <w:szCs w:val="22"/>
        </w:rPr>
        <w:t xml:space="preserve">: </w:t>
      </w:r>
      <w:r w:rsidR="00867D91" w:rsidRPr="00867D91">
        <w:rPr>
          <w:rFonts w:ascii="LucidaBright" w:hAnsi="LucidaBright"/>
          <w:iCs/>
          <w:sz w:val="22"/>
          <w:szCs w:val="22"/>
        </w:rPr>
        <w:t>1228-1229</w:t>
      </w:r>
    </w:p>
    <w:p w14:paraId="1DD98B91" w14:textId="77777777" w:rsidR="00463151" w:rsidRDefault="00463151" w:rsidP="00463151">
      <w:pPr>
        <w:rPr>
          <w:rFonts w:ascii="Segoe UI" w:eastAsia="Times New Roman" w:hAnsi="Segoe UI" w:cs="Segoe UI"/>
          <w:color w:val="373A3C"/>
          <w:sz w:val="23"/>
          <w:szCs w:val="23"/>
          <w:shd w:val="clear" w:color="auto" w:fill="FFFFFF"/>
        </w:rPr>
      </w:pPr>
    </w:p>
    <w:p w14:paraId="3DCC0CD9" w14:textId="361BD4F4" w:rsidR="00463151" w:rsidRPr="002F1E89" w:rsidRDefault="00463151" w:rsidP="00463151">
      <w:pPr>
        <w:rPr>
          <w:rFonts w:ascii="LucidaBright" w:hAnsi="LucidaBright"/>
          <w:sz w:val="22"/>
          <w:szCs w:val="22"/>
        </w:rPr>
      </w:pPr>
      <w:r w:rsidRPr="007F1DE4">
        <w:rPr>
          <w:rFonts w:ascii="LucidaBright" w:hAnsi="LucidaBright"/>
          <w:sz w:val="22"/>
          <w:szCs w:val="22"/>
        </w:rPr>
        <w:t>Mann et al 2011,</w:t>
      </w:r>
      <w:r w:rsidR="00FF6792">
        <w:rPr>
          <w:rFonts w:ascii="LucidaBright" w:hAnsi="LucidaBright"/>
          <w:sz w:val="22"/>
          <w:szCs w:val="22"/>
        </w:rPr>
        <w:t xml:space="preserve"> </w:t>
      </w:r>
      <w:r w:rsidR="00640AB1">
        <w:rPr>
          <w:rFonts w:ascii="LucidaBright" w:hAnsi="LucidaBright"/>
          <w:sz w:val="22"/>
          <w:szCs w:val="22"/>
        </w:rPr>
        <w:t>‘Mixing Methods</w:t>
      </w:r>
      <w:r w:rsidR="00A53127">
        <w:rPr>
          <w:rFonts w:ascii="LucidaBright" w:hAnsi="LucidaBright"/>
          <w:sz w:val="22"/>
          <w:szCs w:val="22"/>
        </w:rPr>
        <w:t xml:space="preserve">, Tasting Fingers’, in </w:t>
      </w:r>
      <w:proofErr w:type="spellStart"/>
      <w:r w:rsidR="006A587B">
        <w:rPr>
          <w:rFonts w:ascii="LucidaBright" w:hAnsi="LucidaBright"/>
          <w:i/>
          <w:iCs/>
          <w:sz w:val="22"/>
          <w:szCs w:val="22"/>
        </w:rPr>
        <w:t>Hau</w:t>
      </w:r>
      <w:proofErr w:type="spellEnd"/>
      <w:r w:rsidR="006A587B">
        <w:rPr>
          <w:rFonts w:ascii="LucidaBright" w:hAnsi="LucidaBright"/>
          <w:i/>
          <w:iCs/>
          <w:sz w:val="22"/>
          <w:szCs w:val="22"/>
        </w:rPr>
        <w:t>, Journal of Ethnographic Theory I</w:t>
      </w:r>
      <w:r w:rsidR="002F1E89">
        <w:rPr>
          <w:rFonts w:ascii="LucidaBright" w:hAnsi="LucidaBright"/>
          <w:sz w:val="22"/>
          <w:szCs w:val="22"/>
        </w:rPr>
        <w:t>: (1)</w:t>
      </w:r>
      <w:r w:rsidR="00E934C5">
        <w:rPr>
          <w:rFonts w:ascii="LucidaBright" w:hAnsi="LucidaBright"/>
          <w:sz w:val="22"/>
          <w:szCs w:val="22"/>
        </w:rPr>
        <w:t>: 221-243</w:t>
      </w:r>
    </w:p>
    <w:p w14:paraId="5815AC22" w14:textId="77777777" w:rsidR="00463151" w:rsidRDefault="00463151" w:rsidP="00463151">
      <w:pPr>
        <w:rPr>
          <w:rFonts w:ascii="LucidaBright" w:hAnsi="LucidaBright"/>
          <w:sz w:val="22"/>
          <w:szCs w:val="22"/>
        </w:rPr>
      </w:pPr>
    </w:p>
    <w:p w14:paraId="5279833F" w14:textId="6361A4B1" w:rsidR="00463151" w:rsidRPr="00270974" w:rsidRDefault="00463151" w:rsidP="00463151">
      <w:pPr>
        <w:rPr>
          <w:rFonts w:ascii="LucidaBright" w:hAnsi="LucidaBright"/>
          <w:i/>
          <w:iCs/>
          <w:sz w:val="22"/>
          <w:szCs w:val="22"/>
        </w:rPr>
      </w:pPr>
      <w:proofErr w:type="spellStart"/>
      <w:r w:rsidRPr="00053B71">
        <w:rPr>
          <w:rFonts w:ascii="LucidaBright" w:hAnsi="LucidaBright"/>
          <w:color w:val="000000" w:themeColor="text1"/>
          <w:sz w:val="22"/>
          <w:szCs w:val="22"/>
        </w:rPr>
        <w:t>Sayes</w:t>
      </w:r>
      <w:proofErr w:type="spellEnd"/>
      <w:r w:rsidRPr="00053B71">
        <w:rPr>
          <w:rFonts w:ascii="LucidaBright" w:hAnsi="LucidaBright"/>
          <w:color w:val="000000" w:themeColor="text1"/>
          <w:sz w:val="22"/>
          <w:szCs w:val="22"/>
        </w:rPr>
        <w:t>, E</w:t>
      </w:r>
      <w:r w:rsidR="00053B71" w:rsidRPr="00053B71">
        <w:rPr>
          <w:rFonts w:ascii="LucidaBright" w:hAnsi="LucidaBright"/>
          <w:color w:val="000000" w:themeColor="text1"/>
          <w:sz w:val="22"/>
          <w:szCs w:val="22"/>
        </w:rPr>
        <w:t xml:space="preserve">. 2014 </w:t>
      </w:r>
      <w:r w:rsidRPr="00864802">
        <w:rPr>
          <w:rFonts w:ascii="LucidaBright" w:hAnsi="LucidaBright"/>
          <w:iCs/>
          <w:color w:val="000000" w:themeColor="text1"/>
          <w:sz w:val="22"/>
          <w:szCs w:val="22"/>
        </w:rPr>
        <w:t xml:space="preserve">Actor-Network Theory and methodology:  Just what does it mean to say </w:t>
      </w:r>
      <w:r w:rsidRPr="00864802">
        <w:rPr>
          <w:rFonts w:ascii="LucidaBright" w:hAnsi="LucidaBright"/>
          <w:iCs/>
          <w:sz w:val="22"/>
          <w:szCs w:val="22"/>
        </w:rPr>
        <w:t>nonhumans have agency?</w:t>
      </w:r>
      <w:r w:rsidR="00864802">
        <w:rPr>
          <w:rFonts w:ascii="Segoe UI" w:eastAsia="Times New Roman" w:hAnsi="Segoe UI" w:cs="Segoe UI"/>
          <w:iCs/>
          <w:color w:val="373A3C"/>
          <w:sz w:val="23"/>
          <w:szCs w:val="23"/>
          <w:shd w:val="clear" w:color="auto" w:fill="FFFFFF"/>
        </w:rPr>
        <w:t>’</w:t>
      </w:r>
      <w:r w:rsidR="00864802" w:rsidRPr="00270974">
        <w:rPr>
          <w:rFonts w:ascii="LucidaBright" w:hAnsi="LucidaBright"/>
          <w:i/>
          <w:iCs/>
          <w:sz w:val="22"/>
          <w:szCs w:val="22"/>
        </w:rPr>
        <w:t>, in Methodological Innovations,</w:t>
      </w:r>
      <w:r w:rsidR="00FF6221" w:rsidRPr="00270974">
        <w:rPr>
          <w:rFonts w:ascii="LucidaBright" w:hAnsi="LucidaBright"/>
          <w:i/>
          <w:iCs/>
          <w:sz w:val="22"/>
          <w:szCs w:val="22"/>
        </w:rPr>
        <w:t xml:space="preserve"> </w:t>
      </w:r>
      <w:r w:rsidR="00864802" w:rsidRPr="00270974">
        <w:rPr>
          <w:rFonts w:ascii="LucidaBright" w:hAnsi="LucidaBright"/>
          <w:i/>
          <w:iCs/>
          <w:sz w:val="22"/>
          <w:szCs w:val="22"/>
        </w:rPr>
        <w:t>6(3)</w:t>
      </w:r>
      <w:r w:rsidR="00FF6221" w:rsidRPr="00270974">
        <w:rPr>
          <w:rFonts w:ascii="LucidaBright" w:hAnsi="LucidaBright"/>
          <w:i/>
          <w:iCs/>
          <w:sz w:val="22"/>
          <w:szCs w:val="22"/>
        </w:rPr>
        <w:t xml:space="preserve">: </w:t>
      </w:r>
      <w:r w:rsidR="00864802" w:rsidRPr="00270974">
        <w:rPr>
          <w:rFonts w:ascii="LucidaBright" w:hAnsi="LucidaBright"/>
          <w:i/>
          <w:iCs/>
          <w:sz w:val="22"/>
          <w:szCs w:val="22"/>
        </w:rPr>
        <w:t>108-119</w:t>
      </w:r>
    </w:p>
    <w:p w14:paraId="1AACDB22" w14:textId="77777777" w:rsidR="00C9606E" w:rsidRPr="00864802" w:rsidRDefault="00350C31">
      <w:pPr>
        <w:rPr>
          <w:iCs/>
        </w:rPr>
      </w:pPr>
    </w:p>
    <w:sectPr w:rsidR="00C9606E" w:rsidRPr="00864802" w:rsidSect="00D2325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LucidaBright">
    <w:altName w:val="Lucida Bright"/>
    <w:charset w:val="00"/>
    <w:family w:val="roman"/>
    <w:pitch w:val="variable"/>
    <w:sig w:usb0="00000003" w:usb1="00000000" w:usb2="00000000" w:usb3="00000000" w:csb0="00000001" w:csb1="00000000"/>
  </w:font>
  <w:font w:name="Segoe UI">
    <w:altName w:val="Calibri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3151"/>
    <w:rsid w:val="00005F98"/>
    <w:rsid w:val="00053B71"/>
    <w:rsid w:val="000D2D2E"/>
    <w:rsid w:val="00132961"/>
    <w:rsid w:val="00223725"/>
    <w:rsid w:val="00270974"/>
    <w:rsid w:val="00296BAA"/>
    <w:rsid w:val="002E2ED0"/>
    <w:rsid w:val="002E3036"/>
    <w:rsid w:val="002F1E89"/>
    <w:rsid w:val="003456BE"/>
    <w:rsid w:val="00350C31"/>
    <w:rsid w:val="00414712"/>
    <w:rsid w:val="00463151"/>
    <w:rsid w:val="004B5974"/>
    <w:rsid w:val="00510012"/>
    <w:rsid w:val="00540E71"/>
    <w:rsid w:val="0056744C"/>
    <w:rsid w:val="00640AB1"/>
    <w:rsid w:val="00654231"/>
    <w:rsid w:val="00664F1C"/>
    <w:rsid w:val="00683405"/>
    <w:rsid w:val="006A587B"/>
    <w:rsid w:val="006B7BBA"/>
    <w:rsid w:val="0071154D"/>
    <w:rsid w:val="00864802"/>
    <w:rsid w:val="00867D91"/>
    <w:rsid w:val="0090170F"/>
    <w:rsid w:val="0095652C"/>
    <w:rsid w:val="009A78D0"/>
    <w:rsid w:val="00A53127"/>
    <w:rsid w:val="00A90797"/>
    <w:rsid w:val="00AB14D9"/>
    <w:rsid w:val="00B335D5"/>
    <w:rsid w:val="00B92D59"/>
    <w:rsid w:val="00B93158"/>
    <w:rsid w:val="00C074F3"/>
    <w:rsid w:val="00C657D9"/>
    <w:rsid w:val="00CA76AF"/>
    <w:rsid w:val="00D2325E"/>
    <w:rsid w:val="00DD3B83"/>
    <w:rsid w:val="00E86D35"/>
    <w:rsid w:val="00E934C5"/>
    <w:rsid w:val="00EB24F5"/>
    <w:rsid w:val="00F47155"/>
    <w:rsid w:val="00FF6221"/>
    <w:rsid w:val="00FF6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0D372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631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63151"/>
    <w:pPr>
      <w:spacing w:before="100" w:beforeAutospacing="1" w:after="100" w:afterAutospacing="1"/>
    </w:pPr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6029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eur01.safelinks.protection.outlook.com/?url=https%3A%2F%2Fvimeo.com%2F29535247&amp;data=02%7C01%7C%7Cdbc39b96485743a2797f08d799bd83cb%7C4e0f11f9046e45059cb8db2152311e21%7C0%7C0%7C637146912655929533&amp;sdata=6hI%2FZ6VZc6oCZ8QjjQv65HVMHjSZoMlJUBBEAH5GyA8%3D&amp;reserved=0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1</Pages>
  <Words>244</Words>
  <Characters>1275</Characters>
  <Application>Microsoft Macintosh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Brown</dc:creator>
  <cp:keywords/>
  <dc:description/>
  <cp:lastModifiedBy>Jenny Brown</cp:lastModifiedBy>
  <cp:revision>41</cp:revision>
  <dcterms:created xsi:type="dcterms:W3CDTF">2020-01-26T23:40:00Z</dcterms:created>
  <dcterms:modified xsi:type="dcterms:W3CDTF">2020-01-27T01:03:00Z</dcterms:modified>
</cp:coreProperties>
</file>