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93A5A6" w14:textId="77891EED" w:rsidR="009B6F29" w:rsidRDefault="00000000">
      <w:r>
        <w:br w:type="textWrapping" w:clear="all"/>
      </w:r>
    </w:p>
    <w:p w14:paraId="1446AC45" w14:textId="77777777" w:rsidR="009B6F29" w:rsidRDefault="009B6F29">
      <w:pPr>
        <w:jc w:val="center"/>
        <w:rPr>
          <w:rFonts w:cs="Arial"/>
          <w:b/>
          <w:sz w:val="44"/>
          <w:szCs w:val="44"/>
        </w:rPr>
      </w:pPr>
    </w:p>
    <w:p w14:paraId="7E7235D4" w14:textId="77777777" w:rsidR="009A4955" w:rsidRDefault="009A4955">
      <w:pPr>
        <w:jc w:val="center"/>
        <w:rPr>
          <w:rFonts w:cs="Arial"/>
          <w:b/>
          <w:sz w:val="44"/>
          <w:szCs w:val="44"/>
        </w:rPr>
      </w:pPr>
    </w:p>
    <w:p w14:paraId="43BC8028" w14:textId="77777777" w:rsidR="009A4955" w:rsidRDefault="009A4955">
      <w:pPr>
        <w:jc w:val="center"/>
        <w:rPr>
          <w:rFonts w:cs="Arial"/>
          <w:b/>
          <w:sz w:val="44"/>
          <w:szCs w:val="44"/>
        </w:rPr>
      </w:pPr>
    </w:p>
    <w:p w14:paraId="16A684A2" w14:textId="77777777" w:rsidR="009A4955" w:rsidRDefault="009A4955">
      <w:pPr>
        <w:jc w:val="center"/>
        <w:rPr>
          <w:rFonts w:cs="Arial"/>
          <w:b/>
          <w:sz w:val="44"/>
          <w:szCs w:val="44"/>
        </w:rPr>
      </w:pPr>
    </w:p>
    <w:p w14:paraId="764B9A2C" w14:textId="77777777" w:rsidR="009B6F29" w:rsidRDefault="009B6F29">
      <w:pPr>
        <w:jc w:val="center"/>
        <w:rPr>
          <w:rFonts w:cs="Arial"/>
          <w:b/>
          <w:sz w:val="44"/>
          <w:szCs w:val="44"/>
        </w:rPr>
      </w:pPr>
    </w:p>
    <w:p w14:paraId="4D667249" w14:textId="3A14E4E5" w:rsidR="009B6F29" w:rsidRPr="009A4955" w:rsidRDefault="00000000">
      <w:pPr>
        <w:jc w:val="center"/>
        <w:rPr>
          <w:rFonts w:cs="Arial"/>
          <w:b/>
          <w:sz w:val="48"/>
          <w:szCs w:val="48"/>
        </w:rPr>
      </w:pPr>
      <w:r w:rsidRPr="009A4955">
        <w:rPr>
          <w:rFonts w:cs="Arial"/>
          <w:b/>
          <w:sz w:val="48"/>
          <w:szCs w:val="48"/>
        </w:rPr>
        <w:t>Enterprise and Entrepreneurship</w:t>
      </w:r>
    </w:p>
    <w:p w14:paraId="14877804" w14:textId="1759C159" w:rsidR="009B6F29" w:rsidRDefault="00000000" w:rsidP="009A4955">
      <w:pPr>
        <w:spacing w:before="120" w:after="120"/>
        <w:jc w:val="center"/>
        <w:rPr>
          <w:rFonts w:cs="Arial"/>
          <w:b/>
          <w:sz w:val="48"/>
          <w:szCs w:val="48"/>
        </w:rPr>
      </w:pPr>
      <w:r w:rsidRPr="009A4955">
        <w:rPr>
          <w:rFonts w:cs="Arial"/>
          <w:b/>
          <w:sz w:val="48"/>
          <w:szCs w:val="48"/>
        </w:rPr>
        <w:t>Individual Written Business Plan</w:t>
      </w:r>
    </w:p>
    <w:p w14:paraId="70EC48BB" w14:textId="7EF3B962" w:rsidR="001F7E8C" w:rsidRPr="009A4955" w:rsidRDefault="001F7E8C" w:rsidP="009A4955">
      <w:pPr>
        <w:spacing w:before="120" w:after="120"/>
        <w:jc w:val="center"/>
        <w:rPr>
          <w:rFonts w:cs="Arial"/>
          <w:b/>
          <w:sz w:val="48"/>
          <w:szCs w:val="48"/>
        </w:rPr>
      </w:pPr>
      <w:r w:rsidRPr="001F7E8C">
        <w:rPr>
          <w:rFonts w:cs="Arial"/>
          <w:b/>
          <w:bCs/>
          <w:sz w:val="48"/>
          <w:szCs w:val="48"/>
        </w:rPr>
        <w:t>LCLM4006</w:t>
      </w:r>
    </w:p>
    <w:p w14:paraId="21C1800A" w14:textId="77777777" w:rsidR="009A4955" w:rsidRPr="009A4955" w:rsidRDefault="009A4955">
      <w:pPr>
        <w:spacing w:before="120" w:after="120"/>
        <w:jc w:val="center"/>
        <w:rPr>
          <w:rFonts w:cs="Arial"/>
          <w:b/>
          <w:sz w:val="48"/>
          <w:szCs w:val="48"/>
        </w:rPr>
      </w:pPr>
      <w:proofErr w:type="spellStart"/>
      <w:r w:rsidRPr="009A4955">
        <w:rPr>
          <w:rFonts w:cs="Arial"/>
          <w:b/>
          <w:sz w:val="48"/>
          <w:szCs w:val="48"/>
        </w:rPr>
        <w:t>Fouziya</w:t>
      </w:r>
      <w:proofErr w:type="spellEnd"/>
      <w:r w:rsidRPr="009A4955">
        <w:rPr>
          <w:rFonts w:cs="Arial"/>
          <w:b/>
          <w:sz w:val="48"/>
          <w:szCs w:val="48"/>
        </w:rPr>
        <w:t xml:space="preserve"> Farheen</w:t>
      </w:r>
    </w:p>
    <w:p w14:paraId="164A41B5" w14:textId="695B3245" w:rsidR="009B6F29" w:rsidRPr="009A4955" w:rsidRDefault="00F64D27">
      <w:pPr>
        <w:spacing w:before="120" w:after="120"/>
        <w:jc w:val="center"/>
        <w:rPr>
          <w:rFonts w:cs="Arial"/>
          <w:b/>
          <w:sz w:val="48"/>
          <w:szCs w:val="48"/>
        </w:rPr>
      </w:pPr>
      <w:r w:rsidRPr="009A4955">
        <w:rPr>
          <w:rFonts w:cs="Arial"/>
          <w:b/>
          <w:sz w:val="48"/>
          <w:szCs w:val="48"/>
        </w:rPr>
        <w:t>Elvis Gjini</w:t>
      </w:r>
    </w:p>
    <w:p w14:paraId="419321AC" w14:textId="47CFFB99" w:rsidR="009A4955" w:rsidRPr="009A4955" w:rsidRDefault="009A4955">
      <w:pPr>
        <w:spacing w:before="120" w:after="120"/>
        <w:jc w:val="center"/>
        <w:rPr>
          <w:rFonts w:cs="Arial"/>
          <w:b/>
          <w:sz w:val="48"/>
          <w:szCs w:val="48"/>
        </w:rPr>
      </w:pPr>
      <w:r w:rsidRPr="009A4955">
        <w:rPr>
          <w:rFonts w:cs="Arial"/>
          <w:b/>
          <w:sz w:val="48"/>
          <w:szCs w:val="48"/>
        </w:rPr>
        <w:t>2434008</w:t>
      </w:r>
    </w:p>
    <w:p w14:paraId="4DFBFC79" w14:textId="77777777" w:rsidR="009B6F29" w:rsidRPr="009A4955" w:rsidRDefault="00000000">
      <w:pPr>
        <w:spacing w:before="240" w:after="240"/>
        <w:rPr>
          <w:rFonts w:cs="Arial"/>
          <w:b/>
          <w:sz w:val="48"/>
          <w:szCs w:val="48"/>
        </w:rPr>
      </w:pPr>
      <w:r w:rsidRPr="009A4955">
        <w:rPr>
          <w:rFonts w:cs="Arial"/>
          <w:b/>
          <w:sz w:val="48"/>
          <w:szCs w:val="48"/>
        </w:rPr>
        <w:br w:type="page"/>
      </w:r>
    </w:p>
    <w:p w14:paraId="571180C0" w14:textId="77777777" w:rsidR="009B6F29" w:rsidRDefault="00000000">
      <w:pPr>
        <w:pStyle w:val="Heading1"/>
        <w:rPr>
          <w:rFonts w:eastAsia="Arial"/>
        </w:rPr>
      </w:pPr>
      <w:bookmarkStart w:id="0" w:name="_Toc222428958"/>
      <w:bookmarkStart w:id="1" w:name="_Hlk103896820"/>
      <w:r>
        <w:rPr>
          <w:rFonts w:eastAsia="Arial"/>
        </w:rPr>
        <w:lastRenderedPageBreak/>
        <w:t>Executive Summary</w:t>
      </w:r>
      <w:bookmarkEnd w:id="0"/>
    </w:p>
    <w:p w14:paraId="55853AF0" w14:textId="77777777" w:rsidR="009B6F29" w:rsidRDefault="00000000">
      <w:pPr>
        <w:rPr>
          <w:rFonts w:eastAsia="Arial"/>
          <w:lang w:eastAsia="en-US"/>
        </w:rPr>
      </w:pPr>
      <w:r>
        <w:rPr>
          <w:rFonts w:eastAsia="Arial"/>
          <w:lang w:eastAsia="en-US"/>
        </w:rPr>
        <w:t xml:space="preserve">This is a business proposal of </w:t>
      </w:r>
      <w:proofErr w:type="spellStart"/>
      <w:r>
        <w:rPr>
          <w:rFonts w:eastAsia="Arial"/>
          <w:lang w:eastAsia="en-US"/>
        </w:rPr>
        <w:t>NourishLoop</w:t>
      </w:r>
      <w:proofErr w:type="spellEnd"/>
      <w:r>
        <w:rPr>
          <w:rFonts w:eastAsia="Arial"/>
          <w:lang w:eastAsia="en-US"/>
        </w:rPr>
        <w:t xml:space="preserve"> Ltd, which is a non-existing business based in the United Kingdom and intends to venture into the sustainable food and health industry. The </w:t>
      </w:r>
      <w:proofErr w:type="spellStart"/>
      <w:r>
        <w:rPr>
          <w:rFonts w:eastAsia="Arial"/>
          <w:lang w:eastAsia="en-US"/>
        </w:rPr>
        <w:t>NourishLoop</w:t>
      </w:r>
      <w:proofErr w:type="spellEnd"/>
      <w:r>
        <w:rPr>
          <w:rFonts w:eastAsia="Arial"/>
          <w:lang w:eastAsia="en-US"/>
        </w:rPr>
        <w:t xml:space="preserve"> Ltd will offer a subscriptions-based, nutritionally balanced meal kits that will be targeted at urban professionals and students who aim at healthy-eating options and decreasing food waste and environmental influence. In line with the modern trends of the entrepreneurial and social environment in the UK, the company incorporates the idea of sustainability, digital convenience, and affordability into its value proposition.</w:t>
      </w:r>
    </w:p>
    <w:p w14:paraId="7332E652" w14:textId="77777777" w:rsidR="009B6F29" w:rsidRDefault="00000000">
      <w:pPr>
        <w:rPr>
          <w:rFonts w:eastAsia="Arial"/>
          <w:lang w:eastAsia="en-US"/>
        </w:rPr>
      </w:pPr>
      <w:r>
        <w:rPr>
          <w:rFonts w:eastAsia="Arial"/>
          <w:lang w:eastAsia="en-US"/>
        </w:rPr>
        <w:t>The company will be incorporation of a private limited company and will first launch the business in major UK cities with scalability integrated in its online ordering and logistical system. According to market research, the demand is increasing among consumers who seek convenient, health-conscious, and green food solutions with the help of favourable technological and social conditions within a UK start-up environment (</w:t>
      </w:r>
      <w:proofErr w:type="spellStart"/>
      <w:r>
        <w:rPr>
          <w:rFonts w:eastAsia="Arial"/>
          <w:lang w:eastAsia="en-US"/>
        </w:rPr>
        <w:t>Novakova</w:t>
      </w:r>
      <w:proofErr w:type="spellEnd"/>
      <w:r>
        <w:rPr>
          <w:rFonts w:eastAsia="Arial"/>
          <w:lang w:eastAsia="en-US"/>
        </w:rPr>
        <w:t xml:space="preserve">, 2024). A starting capital of </w:t>
      </w:r>
      <w:r>
        <w:t xml:space="preserve">£80,000 </w:t>
      </w:r>
      <w:r>
        <w:rPr>
          <w:rFonts w:eastAsia="Arial"/>
          <w:lang w:eastAsia="en-US"/>
        </w:rPr>
        <w:t xml:space="preserve">is offered to be provided by the founders and angel investors to cover the </w:t>
      </w:r>
      <w:proofErr w:type="gramStart"/>
      <w:r>
        <w:rPr>
          <w:rFonts w:eastAsia="Arial"/>
          <w:lang w:eastAsia="en-US"/>
        </w:rPr>
        <w:t>set up</w:t>
      </w:r>
      <w:proofErr w:type="gramEnd"/>
      <w:r>
        <w:rPr>
          <w:rFonts w:eastAsia="Arial"/>
          <w:lang w:eastAsia="en-US"/>
        </w:rPr>
        <w:t xml:space="preserve"> expenses and initial marketing and the initial </w:t>
      </w:r>
      <w:proofErr w:type="gramStart"/>
      <w:r>
        <w:rPr>
          <w:rFonts w:eastAsia="Arial"/>
          <w:lang w:eastAsia="en-US"/>
        </w:rPr>
        <w:t>one month</w:t>
      </w:r>
      <w:proofErr w:type="gramEnd"/>
      <w:r>
        <w:rPr>
          <w:rFonts w:eastAsia="Arial"/>
          <w:lang w:eastAsia="en-US"/>
        </w:rPr>
        <w:t xml:space="preserve"> operations. In general, </w:t>
      </w:r>
      <w:proofErr w:type="spellStart"/>
      <w:r>
        <w:rPr>
          <w:rFonts w:eastAsia="Arial"/>
          <w:lang w:eastAsia="en-US"/>
        </w:rPr>
        <w:t>NourishLoop</w:t>
      </w:r>
      <w:proofErr w:type="spellEnd"/>
      <w:r>
        <w:rPr>
          <w:rFonts w:eastAsia="Arial"/>
          <w:lang w:eastAsia="en-US"/>
        </w:rPr>
        <w:t xml:space="preserve"> Ltd is a possible and sustainable business idea with the prospects of future expansion.</w:t>
      </w:r>
    </w:p>
    <w:p w14:paraId="02BACF87" w14:textId="77777777" w:rsidR="009B6F29" w:rsidRDefault="009B6F29">
      <w:pPr>
        <w:widowControl w:val="0"/>
        <w:autoSpaceDE w:val="0"/>
        <w:autoSpaceDN w:val="0"/>
        <w:spacing w:after="160" w:line="240" w:lineRule="auto"/>
        <w:ind w:right="389"/>
        <w:jc w:val="left"/>
        <w:rPr>
          <w:rFonts w:eastAsia="Arial" w:cs="Arial"/>
          <w:sz w:val="22"/>
          <w:lang w:eastAsia="en-US"/>
        </w:rPr>
      </w:pPr>
    </w:p>
    <w:p w14:paraId="53B82BB5" w14:textId="77777777" w:rsidR="009B6F29" w:rsidRDefault="00000000">
      <w:pPr>
        <w:spacing w:before="240" w:after="240"/>
        <w:rPr>
          <w:rFonts w:eastAsia="Arial" w:cs="SimSun"/>
          <w:b/>
          <w:bCs/>
          <w:color w:val="31849B"/>
          <w:sz w:val="32"/>
          <w:szCs w:val="28"/>
          <w:lang w:eastAsia="en-US"/>
        </w:rPr>
      </w:pPr>
      <w:r>
        <w:rPr>
          <w:rFonts w:eastAsia="Arial"/>
        </w:rPr>
        <w:br w:type="page"/>
      </w:r>
    </w:p>
    <w:p w14:paraId="5B71AB67" w14:textId="77777777" w:rsidR="009B6F29" w:rsidRDefault="00000000">
      <w:pPr>
        <w:pStyle w:val="TOCHeading"/>
        <w:jc w:val="center"/>
        <w:rPr>
          <w:rFonts w:ascii="Arial" w:hAnsi="Arial" w:cs="Arial"/>
          <w:b/>
          <w:bCs/>
        </w:rPr>
      </w:pPr>
      <w:r>
        <w:rPr>
          <w:rFonts w:ascii="Arial" w:hAnsi="Arial" w:cs="Arial"/>
          <w:b/>
          <w:bCs/>
        </w:rPr>
        <w:lastRenderedPageBreak/>
        <w:t>Table of Contents</w:t>
      </w:r>
    </w:p>
    <w:p w14:paraId="32C9676F" w14:textId="77777777" w:rsidR="009B6F29" w:rsidRDefault="00000000">
      <w:pPr>
        <w:pStyle w:val="TOC1"/>
        <w:tabs>
          <w:tab w:val="right" w:leader="dot" w:pos="9016"/>
        </w:tabs>
        <w:rPr>
          <w:noProof/>
        </w:rPr>
      </w:pPr>
      <w:r>
        <w:fldChar w:fldCharType="begin"/>
      </w:r>
      <w:r>
        <w:instrText xml:space="preserve"> TOC \o "1-3" \h \z \u </w:instrText>
      </w:r>
      <w:r>
        <w:fldChar w:fldCharType="separate"/>
      </w:r>
      <w:hyperlink w:anchor="_Toc222428958" w:history="1">
        <w:r w:rsidR="009B6F29">
          <w:rPr>
            <w:rStyle w:val="Hyperlink"/>
            <w:rFonts w:eastAsia="Arial"/>
            <w:noProof/>
          </w:rPr>
          <w:t>Executive Summary</w:t>
        </w:r>
        <w:r w:rsidR="009B6F29">
          <w:rPr>
            <w:noProof/>
            <w:webHidden/>
          </w:rPr>
          <w:tab/>
        </w:r>
        <w:r w:rsidR="009B6F29">
          <w:rPr>
            <w:noProof/>
            <w:webHidden/>
          </w:rPr>
          <w:fldChar w:fldCharType="begin"/>
        </w:r>
        <w:r w:rsidR="009B6F29">
          <w:rPr>
            <w:noProof/>
            <w:webHidden/>
          </w:rPr>
          <w:instrText xml:space="preserve"> PAGEREF _Toc222428958 \h </w:instrText>
        </w:r>
        <w:r w:rsidR="009B6F29">
          <w:rPr>
            <w:noProof/>
            <w:webHidden/>
          </w:rPr>
        </w:r>
        <w:r w:rsidR="009B6F29">
          <w:rPr>
            <w:noProof/>
            <w:webHidden/>
          </w:rPr>
          <w:fldChar w:fldCharType="separate"/>
        </w:r>
        <w:r w:rsidR="009B6F29">
          <w:rPr>
            <w:noProof/>
            <w:webHidden/>
          </w:rPr>
          <w:t>2</w:t>
        </w:r>
        <w:r w:rsidR="009B6F29">
          <w:rPr>
            <w:noProof/>
            <w:webHidden/>
          </w:rPr>
          <w:fldChar w:fldCharType="end"/>
        </w:r>
      </w:hyperlink>
    </w:p>
    <w:p w14:paraId="7391DF11" w14:textId="77777777" w:rsidR="009B6F29" w:rsidRDefault="009B6F29">
      <w:pPr>
        <w:pStyle w:val="TOC1"/>
        <w:tabs>
          <w:tab w:val="right" w:leader="dot" w:pos="9016"/>
        </w:tabs>
        <w:rPr>
          <w:noProof/>
        </w:rPr>
      </w:pPr>
      <w:hyperlink w:anchor="_Toc222428959" w:history="1">
        <w:r>
          <w:rPr>
            <w:rStyle w:val="Hyperlink"/>
            <w:rFonts w:eastAsia="Arial"/>
            <w:noProof/>
          </w:rPr>
          <w:t>Overview of Business Idea</w:t>
        </w:r>
        <w:r>
          <w:rPr>
            <w:noProof/>
            <w:webHidden/>
          </w:rPr>
          <w:tab/>
        </w:r>
        <w:r>
          <w:rPr>
            <w:noProof/>
            <w:webHidden/>
          </w:rPr>
          <w:fldChar w:fldCharType="begin"/>
        </w:r>
        <w:r>
          <w:rPr>
            <w:noProof/>
            <w:webHidden/>
          </w:rPr>
          <w:instrText xml:space="preserve"> PAGEREF _Toc222428959 \h </w:instrText>
        </w:r>
        <w:r>
          <w:rPr>
            <w:noProof/>
            <w:webHidden/>
          </w:rPr>
        </w:r>
        <w:r>
          <w:rPr>
            <w:noProof/>
            <w:webHidden/>
          </w:rPr>
          <w:fldChar w:fldCharType="separate"/>
        </w:r>
        <w:r>
          <w:rPr>
            <w:noProof/>
            <w:webHidden/>
          </w:rPr>
          <w:t>4</w:t>
        </w:r>
        <w:r>
          <w:rPr>
            <w:noProof/>
            <w:webHidden/>
          </w:rPr>
          <w:fldChar w:fldCharType="end"/>
        </w:r>
      </w:hyperlink>
    </w:p>
    <w:p w14:paraId="3E2795E6" w14:textId="77777777" w:rsidR="009B6F29" w:rsidRDefault="009B6F29">
      <w:pPr>
        <w:pStyle w:val="TOC2"/>
        <w:tabs>
          <w:tab w:val="right" w:leader="dot" w:pos="9016"/>
        </w:tabs>
        <w:rPr>
          <w:noProof/>
        </w:rPr>
      </w:pPr>
      <w:hyperlink w:anchor="_Toc222428960" w:history="1">
        <w:r>
          <w:rPr>
            <w:rStyle w:val="Hyperlink"/>
            <w:noProof/>
          </w:rPr>
          <w:t>Product and Service Offering</w:t>
        </w:r>
        <w:r>
          <w:rPr>
            <w:noProof/>
            <w:webHidden/>
          </w:rPr>
          <w:tab/>
        </w:r>
        <w:r>
          <w:rPr>
            <w:noProof/>
            <w:webHidden/>
          </w:rPr>
          <w:fldChar w:fldCharType="begin"/>
        </w:r>
        <w:r>
          <w:rPr>
            <w:noProof/>
            <w:webHidden/>
          </w:rPr>
          <w:instrText xml:space="preserve"> PAGEREF _Toc222428960 \h </w:instrText>
        </w:r>
        <w:r>
          <w:rPr>
            <w:noProof/>
            <w:webHidden/>
          </w:rPr>
        </w:r>
        <w:r>
          <w:rPr>
            <w:noProof/>
            <w:webHidden/>
          </w:rPr>
          <w:fldChar w:fldCharType="separate"/>
        </w:r>
        <w:r>
          <w:rPr>
            <w:noProof/>
            <w:webHidden/>
          </w:rPr>
          <w:t>4</w:t>
        </w:r>
        <w:r>
          <w:rPr>
            <w:noProof/>
            <w:webHidden/>
          </w:rPr>
          <w:fldChar w:fldCharType="end"/>
        </w:r>
      </w:hyperlink>
    </w:p>
    <w:p w14:paraId="0FAE62D0" w14:textId="77777777" w:rsidR="009B6F29" w:rsidRDefault="009B6F29">
      <w:pPr>
        <w:pStyle w:val="TOC2"/>
        <w:tabs>
          <w:tab w:val="right" w:leader="dot" w:pos="9016"/>
        </w:tabs>
        <w:rPr>
          <w:noProof/>
        </w:rPr>
      </w:pPr>
      <w:hyperlink w:anchor="_Toc222428961" w:history="1">
        <w:r>
          <w:rPr>
            <w:rStyle w:val="Hyperlink"/>
            <w:noProof/>
          </w:rPr>
          <w:t>Management Structure</w:t>
        </w:r>
        <w:r>
          <w:rPr>
            <w:noProof/>
            <w:webHidden/>
          </w:rPr>
          <w:tab/>
        </w:r>
        <w:r>
          <w:rPr>
            <w:noProof/>
            <w:webHidden/>
          </w:rPr>
          <w:fldChar w:fldCharType="begin"/>
        </w:r>
        <w:r>
          <w:rPr>
            <w:noProof/>
            <w:webHidden/>
          </w:rPr>
          <w:instrText xml:space="preserve"> PAGEREF _Toc222428961 \h </w:instrText>
        </w:r>
        <w:r>
          <w:rPr>
            <w:noProof/>
            <w:webHidden/>
          </w:rPr>
        </w:r>
        <w:r>
          <w:rPr>
            <w:noProof/>
            <w:webHidden/>
          </w:rPr>
          <w:fldChar w:fldCharType="separate"/>
        </w:r>
        <w:r>
          <w:rPr>
            <w:noProof/>
            <w:webHidden/>
          </w:rPr>
          <w:t>4</w:t>
        </w:r>
        <w:r>
          <w:rPr>
            <w:noProof/>
            <w:webHidden/>
          </w:rPr>
          <w:fldChar w:fldCharType="end"/>
        </w:r>
      </w:hyperlink>
    </w:p>
    <w:p w14:paraId="30117944" w14:textId="77777777" w:rsidR="009B6F29" w:rsidRDefault="009B6F29">
      <w:pPr>
        <w:pStyle w:val="TOC2"/>
        <w:tabs>
          <w:tab w:val="right" w:leader="dot" w:pos="9016"/>
        </w:tabs>
        <w:rPr>
          <w:noProof/>
        </w:rPr>
      </w:pPr>
      <w:hyperlink w:anchor="_Toc222428962" w:history="1">
        <w:r>
          <w:rPr>
            <w:rStyle w:val="Hyperlink"/>
            <w:noProof/>
          </w:rPr>
          <w:t>Legal Format</w:t>
        </w:r>
        <w:r>
          <w:rPr>
            <w:noProof/>
            <w:webHidden/>
          </w:rPr>
          <w:tab/>
        </w:r>
        <w:r>
          <w:rPr>
            <w:noProof/>
            <w:webHidden/>
          </w:rPr>
          <w:fldChar w:fldCharType="begin"/>
        </w:r>
        <w:r>
          <w:rPr>
            <w:noProof/>
            <w:webHidden/>
          </w:rPr>
          <w:instrText xml:space="preserve"> PAGEREF _Toc222428962 \h </w:instrText>
        </w:r>
        <w:r>
          <w:rPr>
            <w:noProof/>
            <w:webHidden/>
          </w:rPr>
        </w:r>
        <w:r>
          <w:rPr>
            <w:noProof/>
            <w:webHidden/>
          </w:rPr>
          <w:fldChar w:fldCharType="separate"/>
        </w:r>
        <w:r>
          <w:rPr>
            <w:noProof/>
            <w:webHidden/>
          </w:rPr>
          <w:t>4</w:t>
        </w:r>
        <w:r>
          <w:rPr>
            <w:noProof/>
            <w:webHidden/>
          </w:rPr>
          <w:fldChar w:fldCharType="end"/>
        </w:r>
      </w:hyperlink>
    </w:p>
    <w:p w14:paraId="2965E5EB" w14:textId="77777777" w:rsidR="009B6F29" w:rsidRDefault="009B6F29">
      <w:pPr>
        <w:pStyle w:val="TOC1"/>
        <w:tabs>
          <w:tab w:val="right" w:leader="dot" w:pos="9016"/>
        </w:tabs>
        <w:rPr>
          <w:noProof/>
        </w:rPr>
      </w:pPr>
      <w:hyperlink w:anchor="_Toc222428963" w:history="1">
        <w:r>
          <w:rPr>
            <w:rStyle w:val="Hyperlink"/>
            <w:rFonts w:eastAsia="Arial"/>
            <w:noProof/>
          </w:rPr>
          <w:t>Market Research</w:t>
        </w:r>
        <w:r>
          <w:rPr>
            <w:noProof/>
            <w:webHidden/>
          </w:rPr>
          <w:tab/>
        </w:r>
        <w:r>
          <w:rPr>
            <w:noProof/>
            <w:webHidden/>
          </w:rPr>
          <w:fldChar w:fldCharType="begin"/>
        </w:r>
        <w:r>
          <w:rPr>
            <w:noProof/>
            <w:webHidden/>
          </w:rPr>
          <w:instrText xml:space="preserve"> PAGEREF _Toc222428963 \h </w:instrText>
        </w:r>
        <w:r>
          <w:rPr>
            <w:noProof/>
            <w:webHidden/>
          </w:rPr>
        </w:r>
        <w:r>
          <w:rPr>
            <w:noProof/>
            <w:webHidden/>
          </w:rPr>
          <w:fldChar w:fldCharType="separate"/>
        </w:r>
        <w:r>
          <w:rPr>
            <w:noProof/>
            <w:webHidden/>
          </w:rPr>
          <w:t>6</w:t>
        </w:r>
        <w:r>
          <w:rPr>
            <w:noProof/>
            <w:webHidden/>
          </w:rPr>
          <w:fldChar w:fldCharType="end"/>
        </w:r>
      </w:hyperlink>
    </w:p>
    <w:p w14:paraId="45323566" w14:textId="77777777" w:rsidR="009B6F29" w:rsidRDefault="009B6F29">
      <w:pPr>
        <w:pStyle w:val="TOC2"/>
        <w:tabs>
          <w:tab w:val="right" w:leader="dot" w:pos="9016"/>
        </w:tabs>
        <w:rPr>
          <w:noProof/>
        </w:rPr>
      </w:pPr>
      <w:hyperlink w:anchor="_Toc222428964" w:history="1">
        <w:r>
          <w:rPr>
            <w:rStyle w:val="Hyperlink"/>
            <w:noProof/>
          </w:rPr>
          <w:t>PESTEL Analysis</w:t>
        </w:r>
        <w:r>
          <w:rPr>
            <w:noProof/>
            <w:webHidden/>
          </w:rPr>
          <w:tab/>
        </w:r>
        <w:r>
          <w:rPr>
            <w:noProof/>
            <w:webHidden/>
          </w:rPr>
          <w:fldChar w:fldCharType="begin"/>
        </w:r>
        <w:r>
          <w:rPr>
            <w:noProof/>
            <w:webHidden/>
          </w:rPr>
          <w:instrText xml:space="preserve"> PAGEREF _Toc222428964 \h </w:instrText>
        </w:r>
        <w:r>
          <w:rPr>
            <w:noProof/>
            <w:webHidden/>
          </w:rPr>
        </w:r>
        <w:r>
          <w:rPr>
            <w:noProof/>
            <w:webHidden/>
          </w:rPr>
          <w:fldChar w:fldCharType="separate"/>
        </w:r>
        <w:r>
          <w:rPr>
            <w:noProof/>
            <w:webHidden/>
          </w:rPr>
          <w:t>6</w:t>
        </w:r>
        <w:r>
          <w:rPr>
            <w:noProof/>
            <w:webHidden/>
          </w:rPr>
          <w:fldChar w:fldCharType="end"/>
        </w:r>
      </w:hyperlink>
    </w:p>
    <w:p w14:paraId="32375968" w14:textId="77777777" w:rsidR="009B6F29" w:rsidRDefault="009B6F29">
      <w:pPr>
        <w:pStyle w:val="TOC2"/>
        <w:tabs>
          <w:tab w:val="right" w:leader="dot" w:pos="9016"/>
        </w:tabs>
        <w:rPr>
          <w:noProof/>
        </w:rPr>
      </w:pPr>
      <w:hyperlink w:anchor="_Toc222428965" w:history="1">
        <w:r>
          <w:rPr>
            <w:rStyle w:val="Hyperlink"/>
            <w:noProof/>
          </w:rPr>
          <w:t>Competitive Analysis</w:t>
        </w:r>
        <w:r>
          <w:rPr>
            <w:noProof/>
            <w:webHidden/>
          </w:rPr>
          <w:tab/>
        </w:r>
        <w:r>
          <w:rPr>
            <w:noProof/>
            <w:webHidden/>
          </w:rPr>
          <w:fldChar w:fldCharType="begin"/>
        </w:r>
        <w:r>
          <w:rPr>
            <w:noProof/>
            <w:webHidden/>
          </w:rPr>
          <w:instrText xml:space="preserve"> PAGEREF _Toc222428965 \h </w:instrText>
        </w:r>
        <w:r>
          <w:rPr>
            <w:noProof/>
            <w:webHidden/>
          </w:rPr>
        </w:r>
        <w:r>
          <w:rPr>
            <w:noProof/>
            <w:webHidden/>
          </w:rPr>
          <w:fldChar w:fldCharType="separate"/>
        </w:r>
        <w:r>
          <w:rPr>
            <w:noProof/>
            <w:webHidden/>
          </w:rPr>
          <w:t>7</w:t>
        </w:r>
        <w:r>
          <w:rPr>
            <w:noProof/>
            <w:webHidden/>
          </w:rPr>
          <w:fldChar w:fldCharType="end"/>
        </w:r>
      </w:hyperlink>
    </w:p>
    <w:p w14:paraId="106DABF9" w14:textId="77777777" w:rsidR="009B6F29" w:rsidRDefault="009B6F29">
      <w:pPr>
        <w:pStyle w:val="TOC1"/>
        <w:tabs>
          <w:tab w:val="right" w:leader="dot" w:pos="9016"/>
        </w:tabs>
        <w:rPr>
          <w:noProof/>
        </w:rPr>
      </w:pPr>
      <w:hyperlink w:anchor="_Toc222428966" w:history="1">
        <w:r>
          <w:rPr>
            <w:rStyle w:val="Hyperlink"/>
            <w:rFonts w:eastAsia="Arial"/>
            <w:noProof/>
          </w:rPr>
          <w:t>Marketing Communications</w:t>
        </w:r>
        <w:r>
          <w:rPr>
            <w:noProof/>
            <w:webHidden/>
          </w:rPr>
          <w:tab/>
        </w:r>
        <w:r>
          <w:rPr>
            <w:noProof/>
            <w:webHidden/>
          </w:rPr>
          <w:fldChar w:fldCharType="begin"/>
        </w:r>
        <w:r>
          <w:rPr>
            <w:noProof/>
            <w:webHidden/>
          </w:rPr>
          <w:instrText xml:space="preserve"> PAGEREF _Toc222428966 \h </w:instrText>
        </w:r>
        <w:r>
          <w:rPr>
            <w:noProof/>
            <w:webHidden/>
          </w:rPr>
        </w:r>
        <w:r>
          <w:rPr>
            <w:noProof/>
            <w:webHidden/>
          </w:rPr>
          <w:fldChar w:fldCharType="separate"/>
        </w:r>
        <w:r>
          <w:rPr>
            <w:noProof/>
            <w:webHidden/>
          </w:rPr>
          <w:t>8</w:t>
        </w:r>
        <w:r>
          <w:rPr>
            <w:noProof/>
            <w:webHidden/>
          </w:rPr>
          <w:fldChar w:fldCharType="end"/>
        </w:r>
      </w:hyperlink>
    </w:p>
    <w:p w14:paraId="5A6B23FB" w14:textId="77777777" w:rsidR="009B6F29" w:rsidRDefault="009B6F29">
      <w:pPr>
        <w:pStyle w:val="TOC1"/>
        <w:tabs>
          <w:tab w:val="right" w:leader="dot" w:pos="9016"/>
        </w:tabs>
        <w:rPr>
          <w:noProof/>
        </w:rPr>
      </w:pPr>
      <w:hyperlink w:anchor="_Toc222428967" w:history="1">
        <w:r>
          <w:rPr>
            <w:rStyle w:val="Hyperlink"/>
            <w:rFonts w:eastAsia="Arial"/>
            <w:noProof/>
          </w:rPr>
          <w:t>Financials</w:t>
        </w:r>
        <w:r>
          <w:rPr>
            <w:noProof/>
            <w:webHidden/>
          </w:rPr>
          <w:tab/>
        </w:r>
        <w:r>
          <w:rPr>
            <w:noProof/>
            <w:webHidden/>
          </w:rPr>
          <w:fldChar w:fldCharType="begin"/>
        </w:r>
        <w:r>
          <w:rPr>
            <w:noProof/>
            <w:webHidden/>
          </w:rPr>
          <w:instrText xml:space="preserve"> PAGEREF _Toc222428967 \h </w:instrText>
        </w:r>
        <w:r>
          <w:rPr>
            <w:noProof/>
            <w:webHidden/>
          </w:rPr>
        </w:r>
        <w:r>
          <w:rPr>
            <w:noProof/>
            <w:webHidden/>
          </w:rPr>
          <w:fldChar w:fldCharType="separate"/>
        </w:r>
        <w:r>
          <w:rPr>
            <w:noProof/>
            <w:webHidden/>
          </w:rPr>
          <w:t>10</w:t>
        </w:r>
        <w:r>
          <w:rPr>
            <w:noProof/>
            <w:webHidden/>
          </w:rPr>
          <w:fldChar w:fldCharType="end"/>
        </w:r>
      </w:hyperlink>
    </w:p>
    <w:p w14:paraId="5B503AAF" w14:textId="77777777" w:rsidR="009B6F29" w:rsidRDefault="009B6F29">
      <w:pPr>
        <w:pStyle w:val="TOC2"/>
        <w:tabs>
          <w:tab w:val="right" w:leader="dot" w:pos="9016"/>
        </w:tabs>
        <w:rPr>
          <w:noProof/>
        </w:rPr>
      </w:pPr>
      <w:hyperlink w:anchor="_Toc222428968" w:history="1">
        <w:r>
          <w:rPr>
            <w:rStyle w:val="Hyperlink"/>
            <w:noProof/>
          </w:rPr>
          <w:t>Funding Requirements and Sources</w:t>
        </w:r>
        <w:r>
          <w:rPr>
            <w:noProof/>
            <w:webHidden/>
          </w:rPr>
          <w:tab/>
        </w:r>
        <w:r>
          <w:rPr>
            <w:noProof/>
            <w:webHidden/>
          </w:rPr>
          <w:fldChar w:fldCharType="begin"/>
        </w:r>
        <w:r>
          <w:rPr>
            <w:noProof/>
            <w:webHidden/>
          </w:rPr>
          <w:instrText xml:space="preserve"> PAGEREF _Toc222428968 \h </w:instrText>
        </w:r>
        <w:r>
          <w:rPr>
            <w:noProof/>
            <w:webHidden/>
          </w:rPr>
        </w:r>
        <w:r>
          <w:rPr>
            <w:noProof/>
            <w:webHidden/>
          </w:rPr>
          <w:fldChar w:fldCharType="separate"/>
        </w:r>
        <w:r>
          <w:rPr>
            <w:noProof/>
            <w:webHidden/>
          </w:rPr>
          <w:t>10</w:t>
        </w:r>
        <w:r>
          <w:rPr>
            <w:noProof/>
            <w:webHidden/>
          </w:rPr>
          <w:fldChar w:fldCharType="end"/>
        </w:r>
      </w:hyperlink>
    </w:p>
    <w:p w14:paraId="2FE837FF" w14:textId="77777777" w:rsidR="009B6F29" w:rsidRDefault="009B6F29">
      <w:pPr>
        <w:pStyle w:val="TOC2"/>
        <w:tabs>
          <w:tab w:val="right" w:leader="dot" w:pos="9016"/>
        </w:tabs>
        <w:rPr>
          <w:noProof/>
        </w:rPr>
      </w:pPr>
      <w:hyperlink w:anchor="_Toc222428969" w:history="1">
        <w:r>
          <w:rPr>
            <w:rStyle w:val="Hyperlink"/>
            <w:noProof/>
          </w:rPr>
          <w:t>First-Month Startup Expenses</w:t>
        </w:r>
        <w:r>
          <w:rPr>
            <w:noProof/>
            <w:webHidden/>
          </w:rPr>
          <w:tab/>
        </w:r>
        <w:r>
          <w:rPr>
            <w:noProof/>
            <w:webHidden/>
          </w:rPr>
          <w:fldChar w:fldCharType="begin"/>
        </w:r>
        <w:r>
          <w:rPr>
            <w:noProof/>
            <w:webHidden/>
          </w:rPr>
          <w:instrText xml:space="preserve"> PAGEREF _Toc222428969 \h </w:instrText>
        </w:r>
        <w:r>
          <w:rPr>
            <w:noProof/>
            <w:webHidden/>
          </w:rPr>
        </w:r>
        <w:r>
          <w:rPr>
            <w:noProof/>
            <w:webHidden/>
          </w:rPr>
          <w:fldChar w:fldCharType="separate"/>
        </w:r>
        <w:r>
          <w:rPr>
            <w:noProof/>
            <w:webHidden/>
          </w:rPr>
          <w:t>10</w:t>
        </w:r>
        <w:r>
          <w:rPr>
            <w:noProof/>
            <w:webHidden/>
          </w:rPr>
          <w:fldChar w:fldCharType="end"/>
        </w:r>
      </w:hyperlink>
    </w:p>
    <w:p w14:paraId="7AB9051B" w14:textId="77777777" w:rsidR="009B6F29" w:rsidRDefault="009B6F29">
      <w:pPr>
        <w:pStyle w:val="TOC1"/>
        <w:tabs>
          <w:tab w:val="right" w:leader="dot" w:pos="9016"/>
        </w:tabs>
        <w:rPr>
          <w:noProof/>
        </w:rPr>
      </w:pPr>
      <w:hyperlink w:anchor="_Toc222428970" w:history="1">
        <w:r>
          <w:rPr>
            <w:rStyle w:val="Hyperlink"/>
            <w:rFonts w:eastAsia="Arial"/>
            <w:noProof/>
          </w:rPr>
          <w:t>Reference List</w:t>
        </w:r>
        <w:r>
          <w:rPr>
            <w:noProof/>
            <w:webHidden/>
          </w:rPr>
          <w:tab/>
        </w:r>
        <w:r>
          <w:rPr>
            <w:noProof/>
            <w:webHidden/>
          </w:rPr>
          <w:fldChar w:fldCharType="begin"/>
        </w:r>
        <w:r>
          <w:rPr>
            <w:noProof/>
            <w:webHidden/>
          </w:rPr>
          <w:instrText xml:space="preserve"> PAGEREF _Toc222428970 \h </w:instrText>
        </w:r>
        <w:r>
          <w:rPr>
            <w:noProof/>
            <w:webHidden/>
          </w:rPr>
        </w:r>
        <w:r>
          <w:rPr>
            <w:noProof/>
            <w:webHidden/>
          </w:rPr>
          <w:fldChar w:fldCharType="separate"/>
        </w:r>
        <w:r>
          <w:rPr>
            <w:noProof/>
            <w:webHidden/>
          </w:rPr>
          <w:t>12</w:t>
        </w:r>
        <w:r>
          <w:rPr>
            <w:noProof/>
            <w:webHidden/>
          </w:rPr>
          <w:fldChar w:fldCharType="end"/>
        </w:r>
      </w:hyperlink>
    </w:p>
    <w:p w14:paraId="2705C3FD" w14:textId="77777777" w:rsidR="009B6F29" w:rsidRDefault="00000000">
      <w:r>
        <w:rPr>
          <w:b/>
          <w:bCs/>
          <w:noProof/>
        </w:rPr>
        <w:fldChar w:fldCharType="end"/>
      </w:r>
    </w:p>
    <w:p w14:paraId="233C7909" w14:textId="77777777" w:rsidR="009B6F29" w:rsidRDefault="00000000">
      <w:pPr>
        <w:spacing w:before="240" w:after="240"/>
        <w:rPr>
          <w:rFonts w:eastAsia="Arial" w:cs="SimSun"/>
          <w:b/>
          <w:bCs/>
          <w:color w:val="31849B"/>
          <w:sz w:val="32"/>
          <w:szCs w:val="28"/>
          <w:lang w:eastAsia="en-US"/>
        </w:rPr>
      </w:pPr>
      <w:r>
        <w:rPr>
          <w:rFonts w:eastAsia="Arial"/>
        </w:rPr>
        <w:br w:type="page"/>
      </w:r>
    </w:p>
    <w:p w14:paraId="61FC039E" w14:textId="77777777" w:rsidR="009B6F29" w:rsidRDefault="00000000">
      <w:pPr>
        <w:pStyle w:val="Heading1"/>
        <w:spacing w:before="240" w:after="240"/>
        <w:rPr>
          <w:rFonts w:eastAsia="Arial"/>
        </w:rPr>
      </w:pPr>
      <w:bookmarkStart w:id="2" w:name="_Toc222428959"/>
      <w:r>
        <w:rPr>
          <w:rFonts w:eastAsia="Arial"/>
        </w:rPr>
        <w:lastRenderedPageBreak/>
        <w:t>Overview of Business Idea</w:t>
      </w:r>
      <w:bookmarkEnd w:id="2"/>
    </w:p>
    <w:p w14:paraId="1C23AAD4" w14:textId="77777777" w:rsidR="009B6F29" w:rsidRDefault="00000000">
      <w:pPr>
        <w:pStyle w:val="Heading2"/>
        <w:spacing w:before="240" w:after="240"/>
        <w:rPr>
          <w:rFonts w:ascii="Times New Roman" w:hAnsi="Times New Roman"/>
          <w:sz w:val="27"/>
        </w:rPr>
      </w:pPr>
      <w:bookmarkStart w:id="3" w:name="_Toc222428960"/>
      <w:r>
        <w:t>Product and Service Offering</w:t>
      </w:r>
      <w:bookmarkEnd w:id="3"/>
    </w:p>
    <w:p w14:paraId="1F5D461C" w14:textId="77777777" w:rsidR="009B6F29" w:rsidRDefault="00000000">
      <w:pPr>
        <w:spacing w:before="240" w:after="240"/>
      </w:pPr>
      <w:proofErr w:type="spellStart"/>
      <w:r>
        <w:t>NourishLoop</w:t>
      </w:r>
      <w:proofErr w:type="spellEnd"/>
      <w:r>
        <w:t xml:space="preserve"> Ltd will provide meal-kit subscriptions of pre-portioned ingredients and simple-to-follow recipes that were created by nutritionists and are offered weekly. The dishes will be centred on the concept of plant-based and flexitarian cuisines due to the growing level of health awareness and sustainability issues among people in the UK. The service helps decrease food waste in households by offering the precise amount of ingredients, contributing to the healthy lifestyle. It will be provided on an online platform where customers will be able to tailor the preferences of their meals, subscribe to the service, as well as monitor the levels of nutrition. This is a digital-first model that upholds contemporary entrepreneurship dynamics that uses technology to provide greater customer experience and operational efficiency (Venkat, 2025).</w:t>
      </w:r>
    </w:p>
    <w:p w14:paraId="58575166" w14:textId="77777777" w:rsidR="009B6F29" w:rsidRDefault="00000000">
      <w:pPr>
        <w:pStyle w:val="Heading2"/>
        <w:spacing w:before="240" w:after="240"/>
      </w:pPr>
      <w:bookmarkStart w:id="4" w:name="_Toc222428961"/>
      <w:r>
        <w:t>Management Structure</w:t>
      </w:r>
      <w:bookmarkEnd w:id="4"/>
    </w:p>
    <w:p w14:paraId="28DA9CDC" w14:textId="77777777" w:rsidR="009B6F29" w:rsidRDefault="00000000">
      <w:pPr>
        <w:pStyle w:val="NormalWeb"/>
        <w:spacing w:before="240" w:beforeAutospacing="0" w:after="240" w:afterAutospacing="0" w:line="360" w:lineRule="auto"/>
        <w:jc w:val="both"/>
        <w:rPr>
          <w:rFonts w:ascii="Arial" w:hAnsi="Arial" w:cs="Arial"/>
        </w:rPr>
      </w:pPr>
      <w:r>
        <w:rPr>
          <w:rFonts w:ascii="Arial" w:hAnsi="Arial" w:cs="Arial"/>
        </w:rPr>
        <w:t>The founder will use lean management as the first management framework since it is in line with the best practises in the early-stage entrepreneurship (</w:t>
      </w:r>
      <w:proofErr w:type="spellStart"/>
      <w:r>
        <w:rPr>
          <w:rFonts w:ascii="Arial" w:hAnsi="Arial" w:cs="Arial"/>
        </w:rPr>
        <w:t>Kowalschek</w:t>
      </w:r>
      <w:proofErr w:type="spellEnd"/>
      <w:r>
        <w:rPr>
          <w:rFonts w:ascii="Arial" w:hAnsi="Arial" w:cs="Arial"/>
        </w:rPr>
        <w:t>, 2023). The founding team will be comprised of:</w:t>
      </w:r>
    </w:p>
    <w:p w14:paraId="65C05F7D" w14:textId="77777777" w:rsidR="009B6F29" w:rsidRDefault="00000000">
      <w:pPr>
        <w:pStyle w:val="NormalWeb"/>
        <w:numPr>
          <w:ilvl w:val="0"/>
          <w:numId w:val="1"/>
        </w:numPr>
        <w:spacing w:before="240" w:beforeAutospacing="0" w:after="240" w:afterAutospacing="0" w:line="360" w:lineRule="auto"/>
        <w:jc w:val="both"/>
        <w:rPr>
          <w:rFonts w:ascii="Arial" w:hAnsi="Arial" w:cs="Arial"/>
        </w:rPr>
      </w:pPr>
      <w:r>
        <w:rPr>
          <w:rStyle w:val="Strong"/>
          <w:rFonts w:ascii="Arial" w:hAnsi="Arial" w:cs="Arial"/>
        </w:rPr>
        <w:t>Managing Director</w:t>
      </w:r>
      <w:r>
        <w:rPr>
          <w:rFonts w:ascii="Arial" w:hAnsi="Arial" w:cs="Arial"/>
        </w:rPr>
        <w:t xml:space="preserve"> – In charge of strategic direction, partnerships and investor relations.</w:t>
      </w:r>
    </w:p>
    <w:p w14:paraId="201C27C3" w14:textId="77777777" w:rsidR="009B6F29" w:rsidRDefault="00000000">
      <w:pPr>
        <w:pStyle w:val="NormalWeb"/>
        <w:numPr>
          <w:ilvl w:val="0"/>
          <w:numId w:val="1"/>
        </w:numPr>
        <w:spacing w:before="240" w:beforeAutospacing="0" w:after="240" w:afterAutospacing="0" w:line="360" w:lineRule="auto"/>
        <w:jc w:val="both"/>
        <w:rPr>
          <w:rFonts w:ascii="Arial" w:hAnsi="Arial" w:cs="Arial"/>
        </w:rPr>
      </w:pPr>
      <w:r>
        <w:rPr>
          <w:rStyle w:val="Strong"/>
          <w:rFonts w:ascii="Arial" w:hAnsi="Arial" w:cs="Arial"/>
        </w:rPr>
        <w:t>Operations Manager</w:t>
      </w:r>
      <w:r>
        <w:rPr>
          <w:rFonts w:ascii="Arial" w:hAnsi="Arial" w:cs="Arial"/>
        </w:rPr>
        <w:t xml:space="preserve"> – In charge of sourcing, logistical, supplier relations as well as food safety regulation.</w:t>
      </w:r>
    </w:p>
    <w:p w14:paraId="732E2626" w14:textId="77777777" w:rsidR="009B6F29" w:rsidRDefault="00000000">
      <w:pPr>
        <w:pStyle w:val="NormalWeb"/>
        <w:numPr>
          <w:ilvl w:val="0"/>
          <w:numId w:val="1"/>
        </w:numPr>
        <w:spacing w:before="240" w:beforeAutospacing="0" w:after="240" w:afterAutospacing="0" w:line="360" w:lineRule="auto"/>
        <w:jc w:val="both"/>
        <w:rPr>
          <w:rFonts w:ascii="Arial" w:hAnsi="Arial" w:cs="Arial"/>
        </w:rPr>
      </w:pPr>
      <w:r>
        <w:rPr>
          <w:rStyle w:val="Strong"/>
          <w:rFonts w:ascii="Arial" w:hAnsi="Arial" w:cs="Arial"/>
        </w:rPr>
        <w:t>Marketing and Digital Manager</w:t>
      </w:r>
      <w:r>
        <w:rPr>
          <w:rFonts w:ascii="Arial" w:hAnsi="Arial" w:cs="Arial"/>
        </w:rPr>
        <w:t xml:space="preserve"> – Overseeing branding, digital marketing, customer acquisition and data analytics.</w:t>
      </w:r>
    </w:p>
    <w:p w14:paraId="4C7A767E" w14:textId="77777777" w:rsidR="009B6F29" w:rsidRDefault="00000000">
      <w:pPr>
        <w:pStyle w:val="NormalWeb"/>
        <w:spacing w:before="240" w:beforeAutospacing="0" w:after="240" w:afterAutospacing="0" w:line="360" w:lineRule="auto"/>
        <w:jc w:val="both"/>
        <w:rPr>
          <w:rFonts w:ascii="Arial" w:hAnsi="Arial" w:cs="Arial"/>
        </w:rPr>
      </w:pPr>
      <w:r>
        <w:rPr>
          <w:rFonts w:ascii="Arial" w:hAnsi="Arial" w:cs="Arial"/>
        </w:rPr>
        <w:t>Such an organisation promotes entrepreneurial orientation, agility, and innovation, which are essential to the success of startups (Wales et al., 2020).</w:t>
      </w:r>
    </w:p>
    <w:p w14:paraId="11208ED3" w14:textId="77777777" w:rsidR="009B6F29" w:rsidRDefault="00000000">
      <w:pPr>
        <w:pStyle w:val="Heading2"/>
        <w:spacing w:before="240" w:after="240"/>
      </w:pPr>
      <w:bookmarkStart w:id="5" w:name="_Toc222428962"/>
      <w:r>
        <w:t>Legal Format</w:t>
      </w:r>
      <w:bookmarkEnd w:id="5"/>
    </w:p>
    <w:p w14:paraId="29140055" w14:textId="77777777" w:rsidR="009B6F29" w:rsidRDefault="00000000">
      <w:pPr>
        <w:spacing w:before="240" w:after="240"/>
      </w:pPr>
      <w:proofErr w:type="spellStart"/>
      <w:r>
        <w:t>NourishLoop</w:t>
      </w:r>
      <w:proofErr w:type="spellEnd"/>
      <w:r>
        <w:t xml:space="preserve"> Ltd will be incorporated in the UK as a limited company (Ltd). This legal form restricts the individual responsibility, increases the level of credibility in front of </w:t>
      </w:r>
      <w:r>
        <w:lastRenderedPageBreak/>
        <w:t>investors, and facilitates future equity financing. The selected format is consistent with the general trends of an entrepreneurial venture in the UK that aims at scalability and external financing (Urbano et al., 2022).</w:t>
      </w:r>
    </w:p>
    <w:p w14:paraId="414CC678" w14:textId="77777777" w:rsidR="009B6F29" w:rsidRDefault="00000000">
      <w:pPr>
        <w:pStyle w:val="Heading1"/>
        <w:spacing w:before="240" w:after="240"/>
        <w:rPr>
          <w:rFonts w:eastAsia="Arial"/>
        </w:rPr>
      </w:pPr>
      <w:bookmarkStart w:id="6" w:name="_Toc222428963"/>
      <w:r>
        <w:rPr>
          <w:rFonts w:eastAsia="Arial"/>
        </w:rPr>
        <w:t>Market Research</w:t>
      </w:r>
      <w:bookmarkEnd w:id="6"/>
    </w:p>
    <w:p w14:paraId="3966BDBD" w14:textId="77777777" w:rsidR="009B6F29" w:rsidRDefault="00000000">
      <w:pPr>
        <w:pStyle w:val="Heading2"/>
        <w:spacing w:before="240" w:after="240"/>
        <w:rPr>
          <w:rFonts w:ascii="Times New Roman" w:hAnsi="Times New Roman"/>
          <w:sz w:val="27"/>
        </w:rPr>
      </w:pPr>
      <w:bookmarkStart w:id="7" w:name="_Toc222428964"/>
      <w:r>
        <w:t>PESTEL Analysis</w:t>
      </w:r>
      <w:bookmarkEnd w:id="7"/>
    </w:p>
    <w:p w14:paraId="3589D4D3" w14:textId="77777777" w:rsidR="009B6F29" w:rsidRDefault="00000000">
      <w:pPr>
        <w:pStyle w:val="NormalWeb"/>
        <w:spacing w:before="240" w:beforeAutospacing="0" w:after="240" w:afterAutospacing="0" w:line="360" w:lineRule="auto"/>
        <w:jc w:val="both"/>
        <w:rPr>
          <w:rFonts w:ascii="Arial" w:hAnsi="Arial" w:cs="Arial"/>
        </w:rPr>
      </w:pPr>
      <w:r>
        <w:rPr>
          <w:rStyle w:val="Strong"/>
          <w:rFonts w:ascii="Arial" w:hAnsi="Arial" w:cs="Arial"/>
        </w:rPr>
        <w:t>Political:</w:t>
      </w:r>
      <w:r>
        <w:rPr>
          <w:rFonts w:ascii="Arial" w:hAnsi="Arial" w:cs="Arial"/>
        </w:rPr>
        <w:t xml:space="preserve"> The UK government has been keener in mainstreaming sustainable business practises and healthier lifestyles by policy making on environmental responsibility and the health of the people. Such programmes provide conducive environments to foods companies in line with the sustainability objectives. Nevertheless, food related businesses are required to follow high food hygiene and labelling regulations that add to administrative and compliance expenses. Therefore, strong governance and surveillance mechanisms are preconditions to enter the market and operate.</w:t>
      </w:r>
    </w:p>
    <w:p w14:paraId="03B68257" w14:textId="77777777" w:rsidR="009B6F29" w:rsidRDefault="00000000">
      <w:pPr>
        <w:pStyle w:val="NormalWeb"/>
        <w:spacing w:before="240" w:beforeAutospacing="0" w:after="240" w:afterAutospacing="0" w:line="360" w:lineRule="auto"/>
        <w:jc w:val="both"/>
        <w:rPr>
          <w:rFonts w:ascii="Arial" w:hAnsi="Arial" w:cs="Arial"/>
        </w:rPr>
      </w:pPr>
      <w:r>
        <w:rPr>
          <w:rStyle w:val="Strong"/>
          <w:rFonts w:ascii="Arial" w:hAnsi="Arial" w:cs="Arial"/>
        </w:rPr>
        <w:t>Economic:</w:t>
      </w:r>
      <w:r>
        <w:rPr>
          <w:rFonts w:ascii="Arial" w:hAnsi="Arial" w:cs="Arial"/>
        </w:rPr>
        <w:t xml:space="preserve"> The UK has been facing sustained high levels of inflation where the food price has hit a new 40-year high in 2022 (Nanji, 2022). The increase in the cost of energy and ingredients have impacted the household spending power (BBC News, 2021). Although there are such pressures, there is a high demand among the urban professionals in the solution of convenient food. According to </w:t>
      </w:r>
      <w:proofErr w:type="spellStart"/>
      <w:r>
        <w:rPr>
          <w:rFonts w:ascii="Arial" w:hAnsi="Arial" w:cs="Arial"/>
        </w:rPr>
        <w:t>Novakova</w:t>
      </w:r>
      <w:proofErr w:type="spellEnd"/>
      <w:r>
        <w:rPr>
          <w:rFonts w:ascii="Arial" w:hAnsi="Arial" w:cs="Arial"/>
        </w:rPr>
        <w:t xml:space="preserve"> (2024), consumption of ready-to-cook and subscription-based food services is still motivated by time scarcity: it alleviates most of the adverse economic outcomes.</w:t>
      </w:r>
    </w:p>
    <w:p w14:paraId="0BB2F55D" w14:textId="77777777" w:rsidR="009B6F29" w:rsidRDefault="00000000">
      <w:pPr>
        <w:pStyle w:val="NormalWeb"/>
        <w:spacing w:before="240" w:beforeAutospacing="0" w:after="240" w:afterAutospacing="0" w:line="360" w:lineRule="auto"/>
        <w:jc w:val="both"/>
        <w:rPr>
          <w:rFonts w:ascii="Arial" w:hAnsi="Arial" w:cs="Arial"/>
        </w:rPr>
      </w:pPr>
      <w:r>
        <w:rPr>
          <w:rStyle w:val="Strong"/>
          <w:rFonts w:ascii="Arial" w:hAnsi="Arial" w:cs="Arial"/>
        </w:rPr>
        <w:t>Social:</w:t>
      </w:r>
      <w:r>
        <w:rPr>
          <w:rFonts w:ascii="Arial" w:hAnsi="Arial" w:cs="Arial"/>
        </w:rPr>
        <w:t xml:space="preserve"> Consumer behaviour is increasingly influenced by health awareness, ethical consumption and sustainability concerns. As Dote-Pardo et al. (2025) note, when organisations are responsible and environmentally and socially friendly, they would have a greater chance of gaining consumer support. Another aspect of the social factor is convenience in the UK: 72% of Generation Z and 68% of Millennials want to have fast and ready to cook food (Ozbun, 2025), which directly favours the value-proposal of </w:t>
      </w:r>
      <w:proofErr w:type="spellStart"/>
      <w:r>
        <w:rPr>
          <w:rFonts w:ascii="Arial" w:hAnsi="Arial" w:cs="Arial"/>
        </w:rPr>
        <w:t>NourishLoop</w:t>
      </w:r>
      <w:proofErr w:type="spellEnd"/>
      <w:r>
        <w:rPr>
          <w:rFonts w:ascii="Arial" w:hAnsi="Arial" w:cs="Arial"/>
        </w:rPr>
        <w:t xml:space="preserve"> Ltd.</w:t>
      </w:r>
    </w:p>
    <w:p w14:paraId="6B7B9546" w14:textId="77777777" w:rsidR="009B6F29" w:rsidRDefault="00000000">
      <w:pPr>
        <w:pStyle w:val="NormalWeb"/>
        <w:spacing w:before="240" w:beforeAutospacing="0" w:after="240" w:afterAutospacing="0" w:line="360" w:lineRule="auto"/>
        <w:jc w:val="both"/>
        <w:rPr>
          <w:rFonts w:ascii="Arial" w:hAnsi="Arial" w:cs="Arial"/>
        </w:rPr>
      </w:pPr>
      <w:r>
        <w:rPr>
          <w:rStyle w:val="Strong"/>
          <w:rFonts w:ascii="Arial" w:hAnsi="Arial" w:cs="Arial"/>
        </w:rPr>
        <w:t>Technological:</w:t>
      </w:r>
      <w:r>
        <w:rPr>
          <w:rFonts w:ascii="Arial" w:hAnsi="Arial" w:cs="Arial"/>
        </w:rPr>
        <w:t xml:space="preserve"> The development of e-commerce platforms, data analytics and digital payment systems will help achieve an effective operation and individual customer interaction. New generative AI can also be used to predict demand and plan meals </w:t>
      </w:r>
      <w:r>
        <w:rPr>
          <w:rFonts w:ascii="Arial" w:hAnsi="Arial" w:cs="Arial"/>
        </w:rPr>
        <w:lastRenderedPageBreak/>
        <w:t>tailored to the customer, which will boost efficiency and customer satisfaction (</w:t>
      </w:r>
      <w:proofErr w:type="spellStart"/>
      <w:r>
        <w:rPr>
          <w:rFonts w:ascii="Arial" w:hAnsi="Arial" w:cs="Arial"/>
        </w:rPr>
        <w:t>Kusetogullari</w:t>
      </w:r>
      <w:proofErr w:type="spellEnd"/>
      <w:r>
        <w:rPr>
          <w:rFonts w:ascii="Arial" w:hAnsi="Arial" w:cs="Arial"/>
        </w:rPr>
        <w:t xml:space="preserve"> et al., 2025).</w:t>
      </w:r>
    </w:p>
    <w:p w14:paraId="7F1A89E0" w14:textId="77777777" w:rsidR="009B6F29" w:rsidRDefault="00000000">
      <w:pPr>
        <w:pStyle w:val="NormalWeb"/>
        <w:spacing w:before="240" w:beforeAutospacing="0" w:after="240" w:afterAutospacing="0" w:line="360" w:lineRule="auto"/>
        <w:jc w:val="both"/>
        <w:rPr>
          <w:rFonts w:ascii="Arial" w:hAnsi="Arial" w:cs="Arial"/>
        </w:rPr>
      </w:pPr>
      <w:r>
        <w:rPr>
          <w:rStyle w:val="Strong"/>
          <w:rFonts w:ascii="Arial" w:hAnsi="Arial" w:cs="Arial"/>
        </w:rPr>
        <w:t>Environmental:</w:t>
      </w:r>
      <w:r>
        <w:rPr>
          <w:rFonts w:ascii="Arial" w:hAnsi="Arial" w:cs="Arial"/>
        </w:rPr>
        <w:t xml:space="preserve"> The issue of climate change and food waste are causing an increasing ominous drive towards the search of food solutions that are eco-friendly. Recyclable packaging and sustainable sourcing will give them competitive advantage and help them be environmentally responsible.</w:t>
      </w:r>
    </w:p>
    <w:p w14:paraId="15D778DB" w14:textId="40D0A7F8" w:rsidR="004E5D4F" w:rsidRDefault="00000000">
      <w:pPr>
        <w:rPr>
          <w:rFonts w:ascii="Times New Roman" w:hAnsi="Times New Roman"/>
        </w:rPr>
      </w:pPr>
      <w:r>
        <w:rPr>
          <w:rStyle w:val="Strong"/>
          <w:rFonts w:cs="Arial"/>
        </w:rPr>
        <w:t>Legal:</w:t>
      </w:r>
      <w:r>
        <w:t xml:space="preserve"> </w:t>
      </w:r>
      <w:r w:rsidR="004E5D4F" w:rsidRPr="004E5D4F">
        <w:t xml:space="preserve">The </w:t>
      </w:r>
      <w:proofErr w:type="spellStart"/>
      <w:r w:rsidR="004E5D4F" w:rsidRPr="004E5D4F">
        <w:t>NourishLoop</w:t>
      </w:r>
      <w:proofErr w:type="spellEnd"/>
      <w:r w:rsidR="004E5D4F" w:rsidRPr="004E5D4F">
        <w:t xml:space="preserve"> Ltd. </w:t>
      </w:r>
      <w:proofErr w:type="gramStart"/>
      <w:r w:rsidR="004E5D4F" w:rsidRPr="004E5D4F">
        <w:t>has to</w:t>
      </w:r>
      <w:proofErr w:type="gramEnd"/>
      <w:r w:rsidR="004E5D4F" w:rsidRPr="004E5D4F">
        <w:t xml:space="preserve"> comply with the UK food hygiene regulations, employment law, GDPR, and consumer protection laws, which would also reassure their employees of their rights, reduced business risks, and credibility in the sustainable food market.</w:t>
      </w:r>
    </w:p>
    <w:p w14:paraId="7B8BE02B" w14:textId="77777777" w:rsidR="009B6F29" w:rsidRDefault="00000000">
      <w:pPr>
        <w:pStyle w:val="Heading2"/>
        <w:spacing w:before="240" w:after="240"/>
      </w:pPr>
      <w:bookmarkStart w:id="8" w:name="_Toc222428965"/>
      <w:r>
        <w:t>Competitive Analysis</w:t>
      </w:r>
      <w:bookmarkEnd w:id="8"/>
    </w:p>
    <w:p w14:paraId="4023D040" w14:textId="77777777" w:rsidR="009B6F29" w:rsidRDefault="00000000">
      <w:pPr>
        <w:spacing w:before="240" w:after="240"/>
        <w:rPr>
          <w:rFonts w:ascii="Times New Roman" w:hAnsi="Times New Roman"/>
          <w:szCs w:val="24"/>
        </w:rPr>
      </w:pPr>
      <w:proofErr w:type="spellStart"/>
      <w:r>
        <w:t>NourishLoop</w:t>
      </w:r>
      <w:proofErr w:type="spellEnd"/>
      <w:r>
        <w:t xml:space="preserve"> Ltd stands out as a company that combines sustainability, nutritional transparency and flexible prices. This strategic location will enable the company to operate in a market niche instead of being directly competitive in terms of scale, and that is part of the established entrepreneurial guidelines in new business ventures (Baena Luna and </w:t>
      </w:r>
      <w:proofErr w:type="spellStart"/>
      <w:r>
        <w:t>Garcica</w:t>
      </w:r>
      <w:proofErr w:type="spellEnd"/>
      <w:r>
        <w:t xml:space="preserve"> Rio, 2025).</w:t>
      </w:r>
    </w:p>
    <w:p w14:paraId="43892294" w14:textId="77777777" w:rsidR="009B6F29" w:rsidRDefault="00000000">
      <w:pPr>
        <w:pStyle w:val="Heading1"/>
        <w:spacing w:before="240" w:after="240"/>
        <w:rPr>
          <w:rFonts w:eastAsia="Arial"/>
        </w:rPr>
      </w:pPr>
      <w:bookmarkStart w:id="9" w:name="_Toc222428966"/>
      <w:r>
        <w:rPr>
          <w:rFonts w:eastAsia="Arial"/>
        </w:rPr>
        <w:t>Marketing Communications</w:t>
      </w:r>
      <w:bookmarkEnd w:id="9"/>
    </w:p>
    <w:p w14:paraId="7F006C3E" w14:textId="77777777" w:rsidR="009B6F29" w:rsidRDefault="00000000">
      <w:pPr>
        <w:spacing w:before="240" w:after="240"/>
        <w:rPr>
          <w:rFonts w:eastAsia="Arial"/>
          <w:lang w:eastAsia="en-US"/>
        </w:rPr>
      </w:pPr>
      <w:proofErr w:type="spellStart"/>
      <w:r>
        <w:rPr>
          <w:rFonts w:eastAsia="Arial"/>
          <w:lang w:eastAsia="en-US"/>
        </w:rPr>
        <w:t>NourishLoop</w:t>
      </w:r>
      <w:proofErr w:type="spellEnd"/>
      <w:r>
        <w:rPr>
          <w:rFonts w:eastAsia="Arial"/>
          <w:lang w:eastAsia="en-US"/>
        </w:rPr>
        <w:t xml:space="preserve"> Ltd will employ both online and offline marketing communications strategy with emphasis placed on digital marketing and brand authenticity. Instagram and Tik Tok will be social media platforms where the recipes, sustainability, and customer testimonials will be promoted. Through influencer relations with fitness experts and nutritionists, trust and credibility will be established. In an early 2023 survey, 1.3 percent of the surveyed marketing leaders in the United Kingdom (UK) said that in 2021, digital marketing had a very high contribution to the performance of their companies (Navarro, 2025). Alternatively, close to one third affirmed that it made no contribution whatsoever to the performance of their respective companies.</w:t>
      </w:r>
    </w:p>
    <w:p w14:paraId="4E45769E" w14:textId="77777777" w:rsidR="009B6F29" w:rsidRDefault="00000000">
      <w:pPr>
        <w:spacing w:before="240" w:after="240" w:line="240" w:lineRule="auto"/>
        <w:jc w:val="center"/>
        <w:rPr>
          <w:rFonts w:eastAsia="Arial"/>
          <w:b/>
          <w:bCs/>
          <w:lang w:eastAsia="en-US"/>
        </w:rPr>
      </w:pPr>
      <w:r>
        <w:rPr>
          <w:b/>
          <w:bCs/>
          <w:noProof/>
        </w:rPr>
        <w:lastRenderedPageBreak/>
        <w:drawing>
          <wp:inline distT="0" distB="0" distL="0" distR="0" wp14:anchorId="357976F3" wp14:editId="0FD51335">
            <wp:extent cx="4953000" cy="3293533"/>
            <wp:effectExtent l="0" t="0" r="0" b="2540"/>
            <wp:docPr id="1027" name="Picture 2" descr="Contribution of digital marketing to UK companies success 2022| Statista"/>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8" cstate="print"/>
                    <a:srcRect/>
                    <a:stretch/>
                  </pic:blipFill>
                  <pic:spPr>
                    <a:xfrm>
                      <a:off x="0" y="0"/>
                      <a:ext cx="4953000" cy="3293533"/>
                    </a:xfrm>
                    <a:prstGeom prst="rect">
                      <a:avLst/>
                    </a:prstGeom>
                    <a:ln>
                      <a:noFill/>
                    </a:ln>
                  </pic:spPr>
                </pic:pic>
              </a:graphicData>
            </a:graphic>
          </wp:inline>
        </w:drawing>
      </w:r>
    </w:p>
    <w:p w14:paraId="59E45B0C" w14:textId="77777777" w:rsidR="009B6F29" w:rsidRDefault="00000000">
      <w:pPr>
        <w:spacing w:before="240" w:after="240" w:line="240" w:lineRule="auto"/>
        <w:jc w:val="center"/>
        <w:rPr>
          <w:rFonts w:eastAsia="Arial"/>
          <w:b/>
          <w:bCs/>
          <w:lang w:eastAsia="en-US"/>
        </w:rPr>
      </w:pPr>
      <w:r>
        <w:rPr>
          <w:rFonts w:eastAsia="Arial"/>
          <w:b/>
          <w:bCs/>
          <w:lang w:eastAsia="en-US"/>
        </w:rPr>
        <w:t>Figure:</w:t>
      </w:r>
      <w:r>
        <w:rPr>
          <w:b/>
          <w:bCs/>
        </w:rPr>
        <w:t xml:space="preserve"> </w:t>
      </w:r>
      <w:r>
        <w:rPr>
          <w:rFonts w:eastAsia="Arial"/>
          <w:b/>
          <w:bCs/>
          <w:lang w:eastAsia="en-US"/>
        </w:rPr>
        <w:t>Contribution of Digital Marketing to UK Companies Success 2022</w:t>
      </w:r>
    </w:p>
    <w:p w14:paraId="2885B86C" w14:textId="77777777" w:rsidR="009B6F29" w:rsidRDefault="00000000">
      <w:pPr>
        <w:spacing w:before="240" w:after="240" w:line="240" w:lineRule="auto"/>
        <w:jc w:val="center"/>
        <w:rPr>
          <w:rFonts w:eastAsia="Arial"/>
          <w:b/>
          <w:bCs/>
          <w:lang w:eastAsia="en-US"/>
        </w:rPr>
      </w:pPr>
      <w:r>
        <w:rPr>
          <w:rFonts w:eastAsia="Arial"/>
          <w:b/>
          <w:bCs/>
          <w:lang w:eastAsia="en-US"/>
        </w:rPr>
        <w:t>Source: (Navarro, 2025)</w:t>
      </w:r>
    </w:p>
    <w:p w14:paraId="2D00D1A4" w14:textId="77777777" w:rsidR="009B6F29" w:rsidRDefault="00000000">
      <w:pPr>
        <w:spacing w:before="240" w:after="240"/>
        <w:rPr>
          <w:rFonts w:eastAsia="Arial"/>
          <w:lang w:eastAsia="en-US"/>
        </w:rPr>
      </w:pPr>
      <w:r>
        <w:rPr>
          <w:rFonts w:eastAsia="Arial"/>
          <w:lang w:eastAsia="en-US"/>
        </w:rPr>
        <w:t>The company website will also act as a selling platform and learning centre where information on nutrition, sustainability, and food waste reduction will be created. Customers will be retained by use of email marketing and referral programmes to aid in word-of-mouth development. The strategies are consistent with resilient entrepreneurship practises that focus on flexibility and customer-oriented innovation (Kitanovski, 2024).</w:t>
      </w:r>
      <w:r>
        <w:t xml:space="preserve"> </w:t>
      </w:r>
      <w:r>
        <w:rPr>
          <w:rFonts w:eastAsia="Arial"/>
          <w:lang w:eastAsia="en-US"/>
        </w:rPr>
        <w:t xml:space="preserve">Analysis and forecasts by the Digital Market Outlook of Statista could show that the United Kingdom could generate the greatest revenue in terms of social media ads in 2018. The UK alone earned approximately 2.8 billion dollars in revenues through advertisement in social networks only without factoring in the revenues earned through membership-subscriptions or premium fees </w:t>
      </w:r>
      <w:r>
        <w:rPr>
          <w:rFonts w:cs="Arial"/>
          <w:szCs w:val="24"/>
        </w:rPr>
        <w:t>(Statista Research Department, 2019)</w:t>
      </w:r>
      <w:r>
        <w:rPr>
          <w:rFonts w:eastAsia="Arial"/>
          <w:lang w:eastAsia="en-US"/>
        </w:rPr>
        <w:t>.</w:t>
      </w:r>
    </w:p>
    <w:p w14:paraId="13774238" w14:textId="77777777" w:rsidR="009B6F29" w:rsidRDefault="00000000">
      <w:pPr>
        <w:spacing w:before="240" w:after="240"/>
        <w:rPr>
          <w:rFonts w:eastAsia="Arial"/>
          <w:lang w:eastAsia="en-US"/>
        </w:rPr>
      </w:pPr>
      <w:r>
        <w:rPr>
          <w:rFonts w:eastAsia="Arial"/>
          <w:lang w:eastAsia="en-US"/>
        </w:rPr>
        <w:t xml:space="preserve">Social media network business model is highly dependent on the ad revenue. Other non-advertisement or marketing scandals among others include heightened scrutiny of the social media sites, including Facebook, in whom they sell advertisements to and how they share the data of users with advertisers. The UK managed to import much more revenue than Germany, which won the second position. The sum of the social media advertisement income of Germany and France is not comparable to the </w:t>
      </w:r>
      <w:r>
        <w:rPr>
          <w:rFonts w:eastAsia="Arial"/>
          <w:lang w:eastAsia="en-US"/>
        </w:rPr>
        <w:lastRenderedPageBreak/>
        <w:t xml:space="preserve">capabilities of the UK in terms of advertisement generation </w:t>
      </w:r>
      <w:r>
        <w:rPr>
          <w:rFonts w:cs="Arial"/>
          <w:szCs w:val="24"/>
        </w:rPr>
        <w:t>(Statista Research Department, 2019)</w:t>
      </w:r>
      <w:r>
        <w:rPr>
          <w:rFonts w:eastAsia="Arial"/>
          <w:lang w:eastAsia="en-US"/>
        </w:rPr>
        <w:t xml:space="preserve">. </w:t>
      </w:r>
      <w:proofErr w:type="gramStart"/>
      <w:r>
        <w:rPr>
          <w:rFonts w:eastAsia="Arial"/>
          <w:lang w:eastAsia="en-US"/>
        </w:rPr>
        <w:t>As a whole, mobile</w:t>
      </w:r>
      <w:proofErr w:type="gramEnd"/>
      <w:r>
        <w:rPr>
          <w:rFonts w:eastAsia="Arial"/>
          <w:lang w:eastAsia="en-US"/>
        </w:rPr>
        <w:t xml:space="preserve"> social media advertisement is now more effective than the desktop advertisement and is predicted to be the primary device used by advertisers.</w:t>
      </w:r>
    </w:p>
    <w:p w14:paraId="61341650" w14:textId="77777777" w:rsidR="009B6F29" w:rsidRDefault="00000000">
      <w:pPr>
        <w:spacing w:before="240" w:after="240" w:line="240" w:lineRule="auto"/>
        <w:jc w:val="center"/>
        <w:rPr>
          <w:rFonts w:eastAsia="Arial"/>
          <w:b/>
          <w:bCs/>
        </w:rPr>
      </w:pPr>
      <w:r>
        <w:rPr>
          <w:rFonts w:eastAsia="Arial"/>
          <w:b/>
          <w:bCs/>
          <w:noProof/>
        </w:rPr>
        <w:drawing>
          <wp:inline distT="0" distB="0" distL="0" distR="0" wp14:anchorId="7C4EA44E" wp14:editId="70022C2F">
            <wp:extent cx="4701947" cy="3330228"/>
            <wp:effectExtent l="0" t="0" r="3810" b="3810"/>
            <wp:docPr id="1028"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3"/>
                    <pic:cNvPicPr/>
                  </pic:nvPicPr>
                  <pic:blipFill>
                    <a:blip r:embed="rId9" cstate="print"/>
                    <a:srcRect/>
                    <a:stretch/>
                  </pic:blipFill>
                  <pic:spPr>
                    <a:xfrm>
                      <a:off x="0" y="0"/>
                      <a:ext cx="4701947" cy="3330228"/>
                    </a:xfrm>
                    <a:prstGeom prst="rect">
                      <a:avLst/>
                    </a:prstGeom>
                  </pic:spPr>
                </pic:pic>
              </a:graphicData>
            </a:graphic>
          </wp:inline>
        </w:drawing>
      </w:r>
    </w:p>
    <w:p w14:paraId="2648EF34" w14:textId="77777777" w:rsidR="009B6F29" w:rsidRDefault="00000000">
      <w:pPr>
        <w:spacing w:before="240" w:after="240" w:line="240" w:lineRule="auto"/>
        <w:jc w:val="center"/>
        <w:rPr>
          <w:rFonts w:eastAsia="Arial"/>
          <w:b/>
          <w:bCs/>
        </w:rPr>
      </w:pPr>
      <w:r>
        <w:rPr>
          <w:rFonts w:eastAsia="Arial"/>
          <w:b/>
          <w:bCs/>
        </w:rPr>
        <w:t>Figure:</w:t>
      </w:r>
      <w:r>
        <w:rPr>
          <w:b/>
          <w:bCs/>
        </w:rPr>
        <w:t xml:space="preserve"> </w:t>
      </w:r>
      <w:r>
        <w:rPr>
          <w:rFonts w:eastAsia="Arial"/>
          <w:b/>
          <w:bCs/>
        </w:rPr>
        <w:t>UK leads European ad revenue for social media</w:t>
      </w:r>
    </w:p>
    <w:p w14:paraId="570D6632" w14:textId="77777777" w:rsidR="009B6F29" w:rsidRDefault="00000000">
      <w:pPr>
        <w:spacing w:line="240" w:lineRule="auto"/>
        <w:jc w:val="center"/>
        <w:rPr>
          <w:rFonts w:cs="Arial"/>
          <w:b/>
          <w:bCs/>
          <w:szCs w:val="24"/>
        </w:rPr>
      </w:pPr>
      <w:r>
        <w:rPr>
          <w:rFonts w:eastAsia="Arial" w:cs="Arial"/>
          <w:b/>
          <w:bCs/>
        </w:rPr>
        <w:t xml:space="preserve">Source: </w:t>
      </w:r>
      <w:r>
        <w:rPr>
          <w:rFonts w:cs="Arial"/>
          <w:b/>
          <w:bCs/>
          <w:szCs w:val="24"/>
        </w:rPr>
        <w:t>(Statista Research Department, 2019)</w:t>
      </w:r>
    </w:p>
    <w:p w14:paraId="4FF4D348" w14:textId="77777777" w:rsidR="009B6F29" w:rsidRDefault="00000000">
      <w:pPr>
        <w:pStyle w:val="Heading1"/>
        <w:rPr>
          <w:rFonts w:eastAsia="Arial"/>
        </w:rPr>
      </w:pPr>
      <w:bookmarkStart w:id="10" w:name="_Toc222428967"/>
      <w:r>
        <w:rPr>
          <w:rFonts w:eastAsia="Arial"/>
        </w:rPr>
        <w:t>Financials</w:t>
      </w:r>
      <w:bookmarkEnd w:id="10"/>
    </w:p>
    <w:p w14:paraId="7E5A5ACD" w14:textId="77777777" w:rsidR="009B6F29" w:rsidRDefault="00000000">
      <w:pPr>
        <w:rPr>
          <w:rFonts w:ascii="Times New Roman" w:hAnsi="Times New Roman"/>
        </w:rPr>
      </w:pPr>
      <w:r>
        <w:t xml:space="preserve">New entrepreneurial ventures cannot be launched successfully without proper financial planning to ensure that they thrive. </w:t>
      </w:r>
      <w:proofErr w:type="spellStart"/>
      <w:r>
        <w:t>NourishLoop</w:t>
      </w:r>
      <w:proofErr w:type="spellEnd"/>
      <w:r>
        <w:t xml:space="preserve"> Ltd has prepared a feasible and well-formulated financial plan that considers the available resources against the strategic priorities so that the operations of the business are stable within the first market entry stage.</w:t>
      </w:r>
    </w:p>
    <w:p w14:paraId="6B5A6F05" w14:textId="77777777" w:rsidR="009B6F29" w:rsidRDefault="00000000">
      <w:pPr>
        <w:pStyle w:val="Heading2"/>
      </w:pPr>
      <w:bookmarkStart w:id="11" w:name="_Toc222428968"/>
      <w:r>
        <w:t>Funding Requirements and Sources</w:t>
      </w:r>
      <w:bookmarkEnd w:id="11"/>
    </w:p>
    <w:p w14:paraId="0761F919" w14:textId="77777777" w:rsidR="009B6F29" w:rsidRDefault="00000000">
      <w:pPr>
        <w:spacing w:before="240"/>
      </w:pPr>
      <w:proofErr w:type="spellStart"/>
      <w:r>
        <w:t>NourishLoop</w:t>
      </w:r>
      <w:proofErr w:type="spellEnd"/>
      <w:r>
        <w:t xml:space="preserve"> Ltd </w:t>
      </w:r>
      <w:proofErr w:type="gramStart"/>
      <w:r>
        <w:t>is in need of</w:t>
      </w:r>
      <w:proofErr w:type="gramEnd"/>
      <w:r>
        <w:t xml:space="preserve"> an initial investment of £80,000 to facilitate the initial set up, initial operations and market penetration. The funding structure is a blend of both internal and external financing which is a balanced approach towards the risk and control. Founder investment shows dedication and honesty whereas Angel investment </w:t>
      </w:r>
      <w:r>
        <w:lastRenderedPageBreak/>
        <w:t xml:space="preserve">offers financial resources along with access of outside knowledge, networks and </w:t>
      </w:r>
      <w:proofErr w:type="spellStart"/>
      <w:r>
        <w:t>consultational</w:t>
      </w:r>
      <w:proofErr w:type="spellEnd"/>
      <w:r>
        <w:t xml:space="preserve"> advice. The studies emphasise that the availability of external financing has a considerable impact on the capacity to be innovative and the potential of </w:t>
      </w:r>
      <w:proofErr w:type="gramStart"/>
      <w:r>
        <w:t>early stage</w:t>
      </w:r>
      <w:proofErr w:type="gramEnd"/>
      <w:r>
        <w:t xml:space="preserve"> growth among entrepreneurial companies (Gupta et al., 2024).</w:t>
      </w:r>
    </w:p>
    <w:p w14:paraId="549DE54F" w14:textId="77777777" w:rsidR="009B6F29" w:rsidRDefault="00000000">
      <w:pPr>
        <w:spacing w:before="240"/>
      </w:pPr>
      <w:r>
        <w:rPr>
          <w:rStyle w:val="Strong"/>
        </w:rPr>
        <w:t>Table 1: Funding Requirements and Sources</w:t>
      </w:r>
    </w:p>
    <w:tbl>
      <w:tblPr>
        <w:tblStyle w:val="TableGrid"/>
        <w:tblW w:w="0" w:type="auto"/>
        <w:tblLook w:val="04A0" w:firstRow="1" w:lastRow="0" w:firstColumn="1" w:lastColumn="0" w:noHBand="0" w:noVBand="1"/>
      </w:tblPr>
      <w:tblGrid>
        <w:gridCol w:w="1936"/>
        <w:gridCol w:w="1260"/>
        <w:gridCol w:w="1677"/>
        <w:gridCol w:w="4143"/>
      </w:tblGrid>
      <w:tr w:rsidR="009B6F29" w14:paraId="5FD440F0" w14:textId="77777777">
        <w:tc>
          <w:tcPr>
            <w:tcW w:w="0" w:type="auto"/>
            <w:hideMark/>
          </w:tcPr>
          <w:p w14:paraId="4872EE80" w14:textId="77777777" w:rsidR="009B6F29" w:rsidRDefault="00000000">
            <w:pPr>
              <w:jc w:val="center"/>
              <w:rPr>
                <w:b/>
                <w:bCs/>
              </w:rPr>
            </w:pPr>
            <w:r>
              <w:rPr>
                <w:b/>
                <w:bCs/>
              </w:rPr>
              <w:t>Funding Source</w:t>
            </w:r>
          </w:p>
        </w:tc>
        <w:tc>
          <w:tcPr>
            <w:tcW w:w="0" w:type="auto"/>
            <w:hideMark/>
          </w:tcPr>
          <w:p w14:paraId="7C34866E" w14:textId="77777777" w:rsidR="009B6F29" w:rsidRDefault="00000000">
            <w:pPr>
              <w:jc w:val="center"/>
              <w:rPr>
                <w:b/>
                <w:bCs/>
              </w:rPr>
            </w:pPr>
            <w:r>
              <w:rPr>
                <w:b/>
                <w:bCs/>
              </w:rPr>
              <w:t>Amount (£)</w:t>
            </w:r>
          </w:p>
        </w:tc>
        <w:tc>
          <w:tcPr>
            <w:tcW w:w="0" w:type="auto"/>
            <w:hideMark/>
          </w:tcPr>
          <w:p w14:paraId="06161350" w14:textId="77777777" w:rsidR="009B6F29" w:rsidRDefault="00000000">
            <w:pPr>
              <w:jc w:val="center"/>
              <w:rPr>
                <w:b/>
                <w:bCs/>
              </w:rPr>
            </w:pPr>
            <w:r>
              <w:rPr>
                <w:b/>
                <w:bCs/>
              </w:rPr>
              <w:t>Percentage (%)</w:t>
            </w:r>
          </w:p>
        </w:tc>
        <w:tc>
          <w:tcPr>
            <w:tcW w:w="0" w:type="auto"/>
            <w:hideMark/>
          </w:tcPr>
          <w:p w14:paraId="17EFA687" w14:textId="77777777" w:rsidR="009B6F29" w:rsidRDefault="00000000">
            <w:pPr>
              <w:jc w:val="center"/>
              <w:rPr>
                <w:b/>
                <w:bCs/>
              </w:rPr>
            </w:pPr>
            <w:r>
              <w:rPr>
                <w:b/>
                <w:bCs/>
              </w:rPr>
              <w:t>Purpose</w:t>
            </w:r>
          </w:p>
        </w:tc>
      </w:tr>
      <w:tr w:rsidR="009B6F29" w14:paraId="0843F37D" w14:textId="77777777">
        <w:tc>
          <w:tcPr>
            <w:tcW w:w="0" w:type="auto"/>
            <w:hideMark/>
          </w:tcPr>
          <w:p w14:paraId="6CCC245B" w14:textId="77777777" w:rsidR="009B6F29" w:rsidRDefault="00000000">
            <w:pPr>
              <w:jc w:val="left"/>
            </w:pPr>
            <w:r>
              <w:t>Founder Personal Savings</w:t>
            </w:r>
          </w:p>
        </w:tc>
        <w:tc>
          <w:tcPr>
            <w:tcW w:w="0" w:type="auto"/>
            <w:hideMark/>
          </w:tcPr>
          <w:p w14:paraId="6E9BA9D9" w14:textId="77777777" w:rsidR="009B6F29" w:rsidRDefault="00000000">
            <w:r>
              <w:t>30,000</w:t>
            </w:r>
          </w:p>
        </w:tc>
        <w:tc>
          <w:tcPr>
            <w:tcW w:w="0" w:type="auto"/>
            <w:hideMark/>
          </w:tcPr>
          <w:p w14:paraId="64CFCE29" w14:textId="77777777" w:rsidR="009B6F29" w:rsidRDefault="00000000">
            <w:r>
              <w:t>37.5%</w:t>
            </w:r>
          </w:p>
        </w:tc>
        <w:tc>
          <w:tcPr>
            <w:tcW w:w="0" w:type="auto"/>
            <w:hideMark/>
          </w:tcPr>
          <w:p w14:paraId="1324DD21" w14:textId="77777777" w:rsidR="009B6F29" w:rsidRDefault="00000000">
            <w:r>
              <w:t>Shows commitment by the founder and assists with starting up.</w:t>
            </w:r>
          </w:p>
        </w:tc>
      </w:tr>
      <w:tr w:rsidR="009B6F29" w14:paraId="26049FE8" w14:textId="77777777">
        <w:tc>
          <w:tcPr>
            <w:tcW w:w="0" w:type="auto"/>
            <w:hideMark/>
          </w:tcPr>
          <w:p w14:paraId="31E0B43D" w14:textId="77777777" w:rsidR="009B6F29" w:rsidRDefault="00000000">
            <w:r>
              <w:t>Angel Investors</w:t>
            </w:r>
          </w:p>
        </w:tc>
        <w:tc>
          <w:tcPr>
            <w:tcW w:w="0" w:type="auto"/>
            <w:hideMark/>
          </w:tcPr>
          <w:p w14:paraId="146F59FC" w14:textId="77777777" w:rsidR="009B6F29" w:rsidRDefault="00000000">
            <w:r>
              <w:t>50,000</w:t>
            </w:r>
          </w:p>
        </w:tc>
        <w:tc>
          <w:tcPr>
            <w:tcW w:w="0" w:type="auto"/>
            <w:hideMark/>
          </w:tcPr>
          <w:p w14:paraId="0EDBD983" w14:textId="77777777" w:rsidR="009B6F29" w:rsidRDefault="00000000">
            <w:r>
              <w:t>62.5%</w:t>
            </w:r>
          </w:p>
        </w:tc>
        <w:tc>
          <w:tcPr>
            <w:tcW w:w="0" w:type="auto"/>
            <w:hideMark/>
          </w:tcPr>
          <w:p w14:paraId="23343C93" w14:textId="77777777" w:rsidR="009B6F29" w:rsidRDefault="00000000">
            <w:r>
              <w:t>Facilitates fast market penetration, marketing capital and operational stability.</w:t>
            </w:r>
          </w:p>
        </w:tc>
      </w:tr>
      <w:tr w:rsidR="009B6F29" w14:paraId="25F919CD" w14:textId="77777777">
        <w:tc>
          <w:tcPr>
            <w:tcW w:w="0" w:type="auto"/>
            <w:hideMark/>
          </w:tcPr>
          <w:p w14:paraId="1A774C38" w14:textId="77777777" w:rsidR="009B6F29" w:rsidRDefault="00000000">
            <w:r>
              <w:rPr>
                <w:rStyle w:val="Strong"/>
              </w:rPr>
              <w:t>Total Funding Required</w:t>
            </w:r>
          </w:p>
        </w:tc>
        <w:tc>
          <w:tcPr>
            <w:tcW w:w="0" w:type="auto"/>
            <w:hideMark/>
          </w:tcPr>
          <w:p w14:paraId="6DB3B803" w14:textId="77777777" w:rsidR="009B6F29" w:rsidRDefault="00000000">
            <w:r>
              <w:rPr>
                <w:rStyle w:val="Strong"/>
              </w:rPr>
              <w:t>80,000</w:t>
            </w:r>
          </w:p>
        </w:tc>
        <w:tc>
          <w:tcPr>
            <w:tcW w:w="0" w:type="auto"/>
            <w:hideMark/>
          </w:tcPr>
          <w:p w14:paraId="22A749B9" w14:textId="77777777" w:rsidR="009B6F29" w:rsidRDefault="00000000">
            <w:r>
              <w:rPr>
                <w:rStyle w:val="Strong"/>
              </w:rPr>
              <w:t>100%</w:t>
            </w:r>
          </w:p>
        </w:tc>
        <w:tc>
          <w:tcPr>
            <w:tcW w:w="0" w:type="auto"/>
            <w:hideMark/>
          </w:tcPr>
          <w:p w14:paraId="06C3F0CA" w14:textId="77777777" w:rsidR="009B6F29" w:rsidRDefault="009B6F29"/>
        </w:tc>
      </w:tr>
    </w:tbl>
    <w:p w14:paraId="605F8B96" w14:textId="77777777" w:rsidR="009B6F29" w:rsidRDefault="009B6F29"/>
    <w:p w14:paraId="4C7AE996" w14:textId="77777777" w:rsidR="009B6F29" w:rsidRDefault="00000000">
      <w:r>
        <w:t>The mixture of the sources of funds decreases the use of debt financing, which will limit the financial risk in the initial period of operation. This strategy is consistent with the best practise of resilient entrepreneurship where liquidity and flexibility are valued at the start up stage.</w:t>
      </w:r>
    </w:p>
    <w:p w14:paraId="225FEF25" w14:textId="77777777" w:rsidR="009B6F29" w:rsidRDefault="00000000">
      <w:pPr>
        <w:pStyle w:val="Heading2"/>
      </w:pPr>
      <w:bookmarkStart w:id="12" w:name="_Toc222428969"/>
      <w:r>
        <w:t>First-Month Startup Expenses</w:t>
      </w:r>
      <w:bookmarkEnd w:id="12"/>
    </w:p>
    <w:p w14:paraId="55661523" w14:textId="77777777" w:rsidR="009B6F29" w:rsidRDefault="00000000">
      <w:pPr>
        <w:spacing w:before="240"/>
      </w:pPr>
      <w:r>
        <w:t xml:space="preserve">The initial month of operation is a very crucial time in the life of </w:t>
      </w:r>
      <w:proofErr w:type="spellStart"/>
      <w:r>
        <w:t>NourishLoop</w:t>
      </w:r>
      <w:proofErr w:type="spellEnd"/>
      <w:r>
        <w:t xml:space="preserve"> Ltd and it will need proper use of financial resources. The startup costs are set at a very low level because of the compliance, operational, and market presence. The biggest cost is associated with the kitchen rental and equipment because of the role of food safety, efficiency, and quality of production </w:t>
      </w:r>
      <w:r>
        <w:rPr>
          <w:rFonts w:cs="Arial"/>
        </w:rPr>
        <w:t>(Yoke and Rizal, 2025)</w:t>
      </w:r>
      <w:r>
        <w:t xml:space="preserve">. </w:t>
      </w:r>
    </w:p>
    <w:p w14:paraId="4845D07B" w14:textId="77777777" w:rsidR="009B6F29" w:rsidRDefault="00000000">
      <w:pPr>
        <w:spacing w:before="240"/>
      </w:pPr>
      <w:r>
        <w:rPr>
          <w:rStyle w:val="Strong"/>
        </w:rPr>
        <w:t>Table 2: First-Month Startup Expenses (Estimated)</w:t>
      </w:r>
    </w:p>
    <w:tbl>
      <w:tblPr>
        <w:tblStyle w:val="TableGrid"/>
        <w:tblW w:w="0" w:type="auto"/>
        <w:tblLook w:val="04A0" w:firstRow="1" w:lastRow="0" w:firstColumn="1" w:lastColumn="0" w:noHBand="0" w:noVBand="1"/>
      </w:tblPr>
      <w:tblGrid>
        <w:gridCol w:w="3036"/>
        <w:gridCol w:w="1796"/>
        <w:gridCol w:w="4184"/>
      </w:tblGrid>
      <w:tr w:rsidR="009B6F29" w14:paraId="63EA5C8A" w14:textId="77777777">
        <w:tc>
          <w:tcPr>
            <w:tcW w:w="0" w:type="auto"/>
            <w:hideMark/>
          </w:tcPr>
          <w:p w14:paraId="395BE6AF" w14:textId="77777777" w:rsidR="009B6F29" w:rsidRDefault="00000000">
            <w:pPr>
              <w:spacing w:line="360" w:lineRule="auto"/>
              <w:jc w:val="center"/>
              <w:rPr>
                <w:rFonts w:cs="Arial"/>
                <w:b/>
                <w:bCs/>
              </w:rPr>
            </w:pPr>
            <w:r>
              <w:rPr>
                <w:rFonts w:cs="Arial"/>
                <w:b/>
                <w:bCs/>
              </w:rPr>
              <w:t>Expense Category</w:t>
            </w:r>
          </w:p>
        </w:tc>
        <w:tc>
          <w:tcPr>
            <w:tcW w:w="0" w:type="auto"/>
            <w:hideMark/>
          </w:tcPr>
          <w:p w14:paraId="15ADA5E9" w14:textId="77777777" w:rsidR="009B6F29" w:rsidRDefault="00000000">
            <w:pPr>
              <w:spacing w:line="360" w:lineRule="auto"/>
              <w:jc w:val="center"/>
              <w:rPr>
                <w:rFonts w:cs="Arial"/>
                <w:b/>
                <w:bCs/>
              </w:rPr>
            </w:pPr>
            <w:r>
              <w:rPr>
                <w:rFonts w:cs="Arial"/>
                <w:b/>
                <w:bCs/>
              </w:rPr>
              <w:t>Estimated Cost (£)</w:t>
            </w:r>
          </w:p>
        </w:tc>
        <w:tc>
          <w:tcPr>
            <w:tcW w:w="0" w:type="auto"/>
            <w:hideMark/>
          </w:tcPr>
          <w:p w14:paraId="41C2A96C" w14:textId="77777777" w:rsidR="009B6F29" w:rsidRDefault="00000000">
            <w:pPr>
              <w:spacing w:line="360" w:lineRule="auto"/>
              <w:jc w:val="center"/>
              <w:rPr>
                <w:rFonts w:cs="Arial"/>
                <w:b/>
                <w:bCs/>
              </w:rPr>
            </w:pPr>
            <w:r>
              <w:rPr>
                <w:rFonts w:cs="Arial"/>
                <w:b/>
                <w:bCs/>
              </w:rPr>
              <w:t>Justification</w:t>
            </w:r>
          </w:p>
        </w:tc>
      </w:tr>
      <w:tr w:rsidR="009B6F29" w14:paraId="09DCF4DE" w14:textId="77777777">
        <w:tc>
          <w:tcPr>
            <w:tcW w:w="0" w:type="auto"/>
            <w:hideMark/>
          </w:tcPr>
          <w:p w14:paraId="30ECFED6" w14:textId="77777777" w:rsidR="009B6F29" w:rsidRDefault="00000000">
            <w:pPr>
              <w:spacing w:line="360" w:lineRule="auto"/>
              <w:jc w:val="left"/>
              <w:rPr>
                <w:rFonts w:cs="Arial"/>
              </w:rPr>
            </w:pPr>
            <w:r>
              <w:rPr>
                <w:rFonts w:cs="Arial"/>
              </w:rPr>
              <w:t>Kitchen rental and equipment</w:t>
            </w:r>
          </w:p>
        </w:tc>
        <w:tc>
          <w:tcPr>
            <w:tcW w:w="0" w:type="auto"/>
            <w:hideMark/>
          </w:tcPr>
          <w:p w14:paraId="0EF93661" w14:textId="77777777" w:rsidR="009B6F29" w:rsidRDefault="00000000">
            <w:pPr>
              <w:spacing w:line="360" w:lineRule="auto"/>
              <w:rPr>
                <w:rFonts w:cs="Arial"/>
              </w:rPr>
            </w:pPr>
            <w:r>
              <w:rPr>
                <w:rFonts w:cs="Arial"/>
              </w:rPr>
              <w:t>28,000</w:t>
            </w:r>
          </w:p>
        </w:tc>
        <w:tc>
          <w:tcPr>
            <w:tcW w:w="0" w:type="auto"/>
            <w:hideMark/>
          </w:tcPr>
          <w:p w14:paraId="09A7EA87" w14:textId="77777777" w:rsidR="009B6F29" w:rsidRDefault="00000000">
            <w:pPr>
              <w:spacing w:line="360" w:lineRule="auto"/>
              <w:rPr>
                <w:rFonts w:cs="Arial"/>
              </w:rPr>
            </w:pPr>
            <w:r>
              <w:rPr>
                <w:rFonts w:cs="Arial"/>
              </w:rPr>
              <w:t>Gives assurance that food safety and production are at par.</w:t>
            </w:r>
          </w:p>
        </w:tc>
      </w:tr>
      <w:tr w:rsidR="009B6F29" w14:paraId="5E0DD98D" w14:textId="77777777">
        <w:tc>
          <w:tcPr>
            <w:tcW w:w="0" w:type="auto"/>
            <w:hideMark/>
          </w:tcPr>
          <w:p w14:paraId="7CAAA87C" w14:textId="77777777" w:rsidR="009B6F29" w:rsidRDefault="00000000">
            <w:pPr>
              <w:spacing w:line="360" w:lineRule="auto"/>
              <w:rPr>
                <w:rFonts w:cs="Arial"/>
              </w:rPr>
            </w:pPr>
            <w:r>
              <w:rPr>
                <w:rFonts w:cs="Arial"/>
              </w:rPr>
              <w:t>Licences, insurance, and legal costs</w:t>
            </w:r>
          </w:p>
        </w:tc>
        <w:tc>
          <w:tcPr>
            <w:tcW w:w="0" w:type="auto"/>
            <w:hideMark/>
          </w:tcPr>
          <w:p w14:paraId="3A0E93F5" w14:textId="77777777" w:rsidR="009B6F29" w:rsidRDefault="00000000">
            <w:pPr>
              <w:spacing w:line="360" w:lineRule="auto"/>
              <w:rPr>
                <w:rFonts w:cs="Arial"/>
              </w:rPr>
            </w:pPr>
            <w:r>
              <w:rPr>
                <w:rFonts w:cs="Arial"/>
              </w:rPr>
              <w:t>4,000</w:t>
            </w:r>
          </w:p>
        </w:tc>
        <w:tc>
          <w:tcPr>
            <w:tcW w:w="0" w:type="auto"/>
            <w:hideMark/>
          </w:tcPr>
          <w:p w14:paraId="5C4F0208" w14:textId="77777777" w:rsidR="009B6F29" w:rsidRDefault="00000000">
            <w:pPr>
              <w:spacing w:line="360" w:lineRule="auto"/>
              <w:rPr>
                <w:rFonts w:cs="Arial"/>
              </w:rPr>
            </w:pPr>
            <w:r>
              <w:rPr>
                <w:rFonts w:cs="Arial"/>
              </w:rPr>
              <w:t>Compliance with regulatory and protection of risks.</w:t>
            </w:r>
          </w:p>
        </w:tc>
      </w:tr>
      <w:tr w:rsidR="009B6F29" w14:paraId="139D9354" w14:textId="77777777">
        <w:tc>
          <w:tcPr>
            <w:tcW w:w="0" w:type="auto"/>
            <w:hideMark/>
          </w:tcPr>
          <w:p w14:paraId="545FDE99" w14:textId="77777777" w:rsidR="009B6F29" w:rsidRDefault="00000000">
            <w:pPr>
              <w:spacing w:line="360" w:lineRule="auto"/>
              <w:rPr>
                <w:rFonts w:cs="Arial"/>
              </w:rPr>
            </w:pPr>
            <w:r>
              <w:rPr>
                <w:rFonts w:cs="Arial"/>
              </w:rPr>
              <w:lastRenderedPageBreak/>
              <w:t>Initial ingredients and packaging</w:t>
            </w:r>
          </w:p>
        </w:tc>
        <w:tc>
          <w:tcPr>
            <w:tcW w:w="0" w:type="auto"/>
            <w:hideMark/>
          </w:tcPr>
          <w:p w14:paraId="7CEB6E64" w14:textId="77777777" w:rsidR="009B6F29" w:rsidRDefault="00000000">
            <w:pPr>
              <w:spacing w:line="360" w:lineRule="auto"/>
              <w:rPr>
                <w:rFonts w:cs="Arial"/>
              </w:rPr>
            </w:pPr>
            <w:r>
              <w:rPr>
                <w:rFonts w:cs="Arial"/>
              </w:rPr>
              <w:t>12,000</w:t>
            </w:r>
          </w:p>
        </w:tc>
        <w:tc>
          <w:tcPr>
            <w:tcW w:w="0" w:type="auto"/>
            <w:hideMark/>
          </w:tcPr>
          <w:p w14:paraId="6EF6F839" w14:textId="77777777" w:rsidR="009B6F29" w:rsidRDefault="00000000">
            <w:pPr>
              <w:spacing w:line="360" w:lineRule="auto"/>
              <w:rPr>
                <w:rFonts w:cs="Arial"/>
              </w:rPr>
            </w:pPr>
            <w:r>
              <w:rPr>
                <w:rFonts w:cs="Arial"/>
              </w:rPr>
              <w:t>Promotes sustainable sourcing and preliminary fulfilment of orders.</w:t>
            </w:r>
          </w:p>
        </w:tc>
      </w:tr>
      <w:tr w:rsidR="009B6F29" w14:paraId="5ACF615F" w14:textId="77777777">
        <w:tc>
          <w:tcPr>
            <w:tcW w:w="0" w:type="auto"/>
            <w:hideMark/>
          </w:tcPr>
          <w:p w14:paraId="1F29B14B" w14:textId="77777777" w:rsidR="009B6F29" w:rsidRDefault="00000000">
            <w:pPr>
              <w:spacing w:line="360" w:lineRule="auto"/>
              <w:rPr>
                <w:rFonts w:cs="Arial"/>
              </w:rPr>
            </w:pPr>
            <w:r>
              <w:rPr>
                <w:rFonts w:cs="Arial"/>
              </w:rPr>
              <w:t>Website development and digital marketing</w:t>
            </w:r>
          </w:p>
        </w:tc>
        <w:tc>
          <w:tcPr>
            <w:tcW w:w="0" w:type="auto"/>
            <w:hideMark/>
          </w:tcPr>
          <w:p w14:paraId="1D83516E" w14:textId="77777777" w:rsidR="009B6F29" w:rsidRDefault="00000000">
            <w:pPr>
              <w:spacing w:line="360" w:lineRule="auto"/>
              <w:rPr>
                <w:rFonts w:cs="Arial"/>
              </w:rPr>
            </w:pPr>
            <w:r>
              <w:rPr>
                <w:rFonts w:cs="Arial"/>
              </w:rPr>
              <w:t>15,000</w:t>
            </w:r>
          </w:p>
        </w:tc>
        <w:tc>
          <w:tcPr>
            <w:tcW w:w="0" w:type="auto"/>
            <w:hideMark/>
          </w:tcPr>
          <w:p w14:paraId="51D7B1DE" w14:textId="77777777" w:rsidR="009B6F29" w:rsidRDefault="00000000">
            <w:pPr>
              <w:spacing w:line="360" w:lineRule="auto"/>
              <w:rPr>
                <w:rFonts w:cs="Arial"/>
              </w:rPr>
            </w:pPr>
            <w:r>
              <w:rPr>
                <w:rFonts w:cs="Arial"/>
              </w:rPr>
              <w:t>Motivates brand recognition and customer acquisition.</w:t>
            </w:r>
          </w:p>
        </w:tc>
      </w:tr>
      <w:tr w:rsidR="009B6F29" w14:paraId="1F38C7F0" w14:textId="77777777">
        <w:tc>
          <w:tcPr>
            <w:tcW w:w="0" w:type="auto"/>
            <w:hideMark/>
          </w:tcPr>
          <w:p w14:paraId="60D75D8A" w14:textId="77777777" w:rsidR="009B6F29" w:rsidRDefault="00000000">
            <w:pPr>
              <w:spacing w:line="360" w:lineRule="auto"/>
              <w:rPr>
                <w:rFonts w:cs="Arial"/>
              </w:rPr>
            </w:pPr>
            <w:r>
              <w:rPr>
                <w:rFonts w:cs="Arial"/>
              </w:rPr>
              <w:t>Staff wages</w:t>
            </w:r>
          </w:p>
        </w:tc>
        <w:tc>
          <w:tcPr>
            <w:tcW w:w="0" w:type="auto"/>
            <w:hideMark/>
          </w:tcPr>
          <w:p w14:paraId="412C63C7" w14:textId="77777777" w:rsidR="009B6F29" w:rsidRDefault="00000000">
            <w:pPr>
              <w:spacing w:line="360" w:lineRule="auto"/>
              <w:rPr>
                <w:rFonts w:cs="Arial"/>
              </w:rPr>
            </w:pPr>
            <w:r>
              <w:rPr>
                <w:rFonts w:cs="Arial"/>
              </w:rPr>
              <w:t>16,000</w:t>
            </w:r>
          </w:p>
        </w:tc>
        <w:tc>
          <w:tcPr>
            <w:tcW w:w="0" w:type="auto"/>
            <w:hideMark/>
          </w:tcPr>
          <w:p w14:paraId="5EFCB1AB" w14:textId="77777777" w:rsidR="009B6F29" w:rsidRDefault="00000000">
            <w:pPr>
              <w:spacing w:line="360" w:lineRule="auto"/>
              <w:rPr>
                <w:rFonts w:cs="Arial"/>
              </w:rPr>
            </w:pPr>
            <w:r>
              <w:rPr>
                <w:rFonts w:cs="Arial"/>
              </w:rPr>
              <w:t>Includes both the operational and management personnel.</w:t>
            </w:r>
          </w:p>
        </w:tc>
      </w:tr>
      <w:tr w:rsidR="009B6F29" w14:paraId="35A6A755" w14:textId="77777777">
        <w:tc>
          <w:tcPr>
            <w:tcW w:w="0" w:type="auto"/>
            <w:hideMark/>
          </w:tcPr>
          <w:p w14:paraId="605AFB5B" w14:textId="77777777" w:rsidR="009B6F29" w:rsidRDefault="00000000">
            <w:pPr>
              <w:spacing w:line="360" w:lineRule="auto"/>
              <w:rPr>
                <w:rFonts w:cs="Arial"/>
              </w:rPr>
            </w:pPr>
            <w:r>
              <w:rPr>
                <w:rFonts w:cs="Arial"/>
              </w:rPr>
              <w:t>Utilities and contingency</w:t>
            </w:r>
          </w:p>
        </w:tc>
        <w:tc>
          <w:tcPr>
            <w:tcW w:w="0" w:type="auto"/>
            <w:hideMark/>
          </w:tcPr>
          <w:p w14:paraId="1D69C29A" w14:textId="77777777" w:rsidR="009B6F29" w:rsidRDefault="00000000">
            <w:pPr>
              <w:spacing w:line="360" w:lineRule="auto"/>
              <w:rPr>
                <w:rFonts w:cs="Arial"/>
              </w:rPr>
            </w:pPr>
            <w:r>
              <w:rPr>
                <w:rFonts w:cs="Arial"/>
              </w:rPr>
              <w:t>5,000</w:t>
            </w:r>
          </w:p>
        </w:tc>
        <w:tc>
          <w:tcPr>
            <w:tcW w:w="0" w:type="auto"/>
            <w:hideMark/>
          </w:tcPr>
          <w:p w14:paraId="7D5B610A" w14:textId="77777777" w:rsidR="009B6F29" w:rsidRDefault="00000000">
            <w:pPr>
              <w:spacing w:line="360" w:lineRule="auto"/>
              <w:rPr>
                <w:rFonts w:cs="Arial"/>
              </w:rPr>
            </w:pPr>
            <w:r>
              <w:rPr>
                <w:rFonts w:cs="Arial"/>
              </w:rPr>
              <w:t>Expenses on unexpected operation expenses.</w:t>
            </w:r>
          </w:p>
        </w:tc>
      </w:tr>
      <w:tr w:rsidR="009B6F29" w14:paraId="2ADD2095" w14:textId="77777777">
        <w:tc>
          <w:tcPr>
            <w:tcW w:w="0" w:type="auto"/>
            <w:hideMark/>
          </w:tcPr>
          <w:p w14:paraId="556E3488" w14:textId="77777777" w:rsidR="009B6F29" w:rsidRDefault="00000000">
            <w:pPr>
              <w:spacing w:line="360" w:lineRule="auto"/>
              <w:rPr>
                <w:rFonts w:cs="Arial"/>
              </w:rPr>
            </w:pPr>
            <w:r>
              <w:rPr>
                <w:rStyle w:val="Strong"/>
                <w:rFonts w:cs="Arial"/>
              </w:rPr>
              <w:t>Total Estimated Costs</w:t>
            </w:r>
          </w:p>
        </w:tc>
        <w:tc>
          <w:tcPr>
            <w:tcW w:w="0" w:type="auto"/>
            <w:hideMark/>
          </w:tcPr>
          <w:p w14:paraId="7FE21846" w14:textId="77777777" w:rsidR="009B6F29" w:rsidRDefault="00000000">
            <w:pPr>
              <w:spacing w:line="360" w:lineRule="auto"/>
              <w:rPr>
                <w:rFonts w:cs="Arial"/>
              </w:rPr>
            </w:pPr>
            <w:r>
              <w:rPr>
                <w:rStyle w:val="Strong"/>
                <w:rFonts w:cs="Arial"/>
              </w:rPr>
              <w:t>80,000</w:t>
            </w:r>
          </w:p>
        </w:tc>
        <w:tc>
          <w:tcPr>
            <w:tcW w:w="0" w:type="auto"/>
            <w:hideMark/>
          </w:tcPr>
          <w:p w14:paraId="1FCA3197" w14:textId="77777777" w:rsidR="009B6F29" w:rsidRDefault="009B6F29">
            <w:pPr>
              <w:spacing w:line="360" w:lineRule="auto"/>
              <w:rPr>
                <w:rFonts w:cs="Arial"/>
              </w:rPr>
            </w:pPr>
          </w:p>
        </w:tc>
      </w:tr>
    </w:tbl>
    <w:p w14:paraId="0037CCD9" w14:textId="77777777" w:rsidR="009B6F29" w:rsidRDefault="00000000">
      <w:pPr>
        <w:spacing w:before="240" w:after="240"/>
        <w:rPr>
          <w:rFonts w:eastAsia="Arial" w:cs="SimSun"/>
          <w:b/>
          <w:bCs/>
          <w:color w:val="31849B"/>
          <w:sz w:val="32"/>
          <w:szCs w:val="28"/>
          <w:lang w:eastAsia="en-US"/>
        </w:rPr>
      </w:pPr>
      <w:r>
        <w:rPr>
          <w:rFonts w:eastAsia="Arial"/>
        </w:rPr>
        <w:br w:type="page"/>
      </w:r>
    </w:p>
    <w:p w14:paraId="77BA56B4" w14:textId="77777777" w:rsidR="009B6F29" w:rsidRDefault="00000000">
      <w:pPr>
        <w:pStyle w:val="Heading1"/>
        <w:rPr>
          <w:rFonts w:eastAsia="Arial"/>
        </w:rPr>
      </w:pPr>
      <w:bookmarkStart w:id="13" w:name="_Toc222428970"/>
      <w:r>
        <w:rPr>
          <w:rFonts w:eastAsia="Arial"/>
        </w:rPr>
        <w:lastRenderedPageBreak/>
        <w:t>Reference List</w:t>
      </w:r>
      <w:bookmarkEnd w:id="1"/>
      <w:bookmarkEnd w:id="13"/>
    </w:p>
    <w:p w14:paraId="429D283C" w14:textId="77777777" w:rsidR="009B6F29" w:rsidRDefault="00000000">
      <w:pPr>
        <w:pStyle w:val="NormalWeb"/>
        <w:spacing w:before="240" w:beforeAutospacing="0" w:after="240" w:afterAutospacing="0" w:line="360" w:lineRule="auto"/>
        <w:jc w:val="both"/>
        <w:rPr>
          <w:rFonts w:ascii="Arial" w:hAnsi="Arial" w:cs="Arial"/>
        </w:rPr>
      </w:pPr>
      <w:r>
        <w:rPr>
          <w:rFonts w:ascii="Arial" w:hAnsi="Arial" w:cs="Arial"/>
        </w:rPr>
        <w:t xml:space="preserve">Baena-Luna, P. and García-Río, E. (2025). Corporate entrepreneurship strategy: measuring and mapping an impact model. </w:t>
      </w:r>
      <w:r>
        <w:rPr>
          <w:rFonts w:ascii="Arial" w:hAnsi="Arial" w:cs="Arial"/>
          <w:i/>
          <w:iCs/>
        </w:rPr>
        <w:t>Journal of Innovation and Entrepreneurship</w:t>
      </w:r>
      <w:r>
        <w:rPr>
          <w:rFonts w:ascii="Arial" w:hAnsi="Arial" w:cs="Arial"/>
        </w:rPr>
        <w:t xml:space="preserve">, 14(1). </w:t>
      </w:r>
      <w:proofErr w:type="spellStart"/>
      <w:proofErr w:type="gramStart"/>
      <w:r>
        <w:rPr>
          <w:rFonts w:ascii="Arial" w:hAnsi="Arial" w:cs="Arial"/>
        </w:rPr>
        <w:t>doi:https</w:t>
      </w:r>
      <w:proofErr w:type="spellEnd"/>
      <w:r>
        <w:rPr>
          <w:rFonts w:ascii="Arial" w:hAnsi="Arial" w:cs="Arial"/>
        </w:rPr>
        <w:t>://doi.org/10.1186/s13731-025-00516-6</w:t>
      </w:r>
      <w:proofErr w:type="gramEnd"/>
      <w:r>
        <w:rPr>
          <w:rFonts w:ascii="Arial" w:hAnsi="Arial" w:cs="Arial"/>
        </w:rPr>
        <w:t>.</w:t>
      </w:r>
    </w:p>
    <w:p w14:paraId="221D5CCA" w14:textId="77777777" w:rsidR="009B6F29" w:rsidRDefault="00000000">
      <w:pPr>
        <w:pStyle w:val="NormalWeb"/>
        <w:spacing w:before="0" w:beforeAutospacing="0" w:after="240" w:afterAutospacing="0" w:line="360" w:lineRule="auto"/>
        <w:jc w:val="both"/>
        <w:rPr>
          <w:rFonts w:ascii="Arial" w:hAnsi="Arial" w:cs="Arial"/>
        </w:rPr>
      </w:pPr>
      <w:r>
        <w:rPr>
          <w:rFonts w:ascii="Arial" w:hAnsi="Arial" w:cs="Arial"/>
        </w:rPr>
        <w:t xml:space="preserve">BBC News (2021). Inflation: Cost of living up despite Covid Christmas curbs. </w:t>
      </w:r>
      <w:r>
        <w:rPr>
          <w:rFonts w:ascii="Arial" w:hAnsi="Arial" w:cs="Arial"/>
          <w:i/>
          <w:iCs/>
        </w:rPr>
        <w:t>BBC News</w:t>
      </w:r>
      <w:r>
        <w:rPr>
          <w:rFonts w:ascii="Arial" w:hAnsi="Arial" w:cs="Arial"/>
        </w:rPr>
        <w:t>. [online] 20 Jan. Available at: https://www.bbc.com/news/business-55729988 [Accessed 19 Feb. 2026].</w:t>
      </w:r>
    </w:p>
    <w:p w14:paraId="5B7D86CD" w14:textId="77777777" w:rsidR="009B6F29" w:rsidRDefault="00000000">
      <w:pPr>
        <w:pStyle w:val="NormalWeb"/>
        <w:spacing w:before="240" w:beforeAutospacing="0" w:after="240" w:afterAutospacing="0" w:line="360" w:lineRule="auto"/>
        <w:jc w:val="both"/>
        <w:rPr>
          <w:rFonts w:ascii="Arial" w:hAnsi="Arial" w:cs="Arial"/>
        </w:rPr>
      </w:pPr>
      <w:r>
        <w:rPr>
          <w:rFonts w:ascii="Arial" w:hAnsi="Arial" w:cs="Arial"/>
        </w:rPr>
        <w:t xml:space="preserve">Dote-Pardo, J., Ortiz-Cea, V., Peña-Acuña, V., Severino-González, P., Contreras-Henríquez, J.M. and Ramírez-Molina, R.I. (2025). Innovative Entrepreneurship and Sustainability: A Bibliometric Analysis in Emerging Countries. </w:t>
      </w:r>
      <w:r>
        <w:rPr>
          <w:rFonts w:ascii="Arial" w:hAnsi="Arial" w:cs="Arial"/>
          <w:i/>
          <w:iCs/>
        </w:rPr>
        <w:t>Sustainability</w:t>
      </w:r>
      <w:r>
        <w:rPr>
          <w:rFonts w:ascii="Arial" w:hAnsi="Arial" w:cs="Arial"/>
        </w:rPr>
        <w:t xml:space="preserve">, 17(2), p.658. </w:t>
      </w:r>
      <w:proofErr w:type="spellStart"/>
      <w:proofErr w:type="gramStart"/>
      <w:r>
        <w:rPr>
          <w:rFonts w:ascii="Arial" w:hAnsi="Arial" w:cs="Arial"/>
        </w:rPr>
        <w:t>doi:https</w:t>
      </w:r>
      <w:proofErr w:type="spellEnd"/>
      <w:r>
        <w:rPr>
          <w:rFonts w:ascii="Arial" w:hAnsi="Arial" w:cs="Arial"/>
        </w:rPr>
        <w:t>://doi.org/10.3390/su17020658</w:t>
      </w:r>
      <w:proofErr w:type="gramEnd"/>
      <w:r>
        <w:rPr>
          <w:rFonts w:ascii="Arial" w:hAnsi="Arial" w:cs="Arial"/>
        </w:rPr>
        <w:t>.</w:t>
      </w:r>
    </w:p>
    <w:p w14:paraId="79A94302" w14:textId="77777777" w:rsidR="009B6F29" w:rsidRDefault="00000000">
      <w:pPr>
        <w:pStyle w:val="NormalWeb"/>
        <w:spacing w:before="240" w:beforeAutospacing="0" w:after="240" w:afterAutospacing="0" w:line="360" w:lineRule="auto"/>
        <w:jc w:val="both"/>
        <w:rPr>
          <w:rFonts w:ascii="Arial" w:hAnsi="Arial" w:cs="Arial"/>
        </w:rPr>
      </w:pPr>
      <w:r>
        <w:rPr>
          <w:rFonts w:ascii="Arial" w:hAnsi="Arial" w:cs="Arial"/>
        </w:rPr>
        <w:t xml:space="preserve">Gupta, A., George, G. and Fewer, T. (2024). </w:t>
      </w:r>
      <w:r>
        <w:rPr>
          <w:rFonts w:ascii="Arial" w:hAnsi="Arial" w:cs="Arial"/>
          <w:i/>
          <w:iCs/>
        </w:rPr>
        <w:t>Venture Meets Mission</w:t>
      </w:r>
      <w:r>
        <w:rPr>
          <w:rFonts w:ascii="Arial" w:hAnsi="Arial" w:cs="Arial"/>
        </w:rPr>
        <w:t>. 1st ed. Stanford University Press.</w:t>
      </w:r>
    </w:p>
    <w:p w14:paraId="6D7C8A14" w14:textId="77777777" w:rsidR="009B6F29" w:rsidRDefault="00000000">
      <w:pPr>
        <w:pStyle w:val="NormalWeb"/>
        <w:spacing w:before="240" w:beforeAutospacing="0" w:after="240" w:afterAutospacing="0" w:line="360" w:lineRule="auto"/>
        <w:jc w:val="both"/>
        <w:rPr>
          <w:rFonts w:ascii="Arial" w:hAnsi="Arial" w:cs="Arial"/>
        </w:rPr>
      </w:pPr>
      <w:r>
        <w:rPr>
          <w:rFonts w:ascii="Arial" w:hAnsi="Arial" w:cs="Arial"/>
        </w:rPr>
        <w:t xml:space="preserve">Kitanovski, C.C. (2024). </w:t>
      </w:r>
      <w:r>
        <w:rPr>
          <w:rFonts w:ascii="Arial" w:hAnsi="Arial" w:cs="Arial"/>
          <w:i/>
          <w:iCs/>
        </w:rPr>
        <w:t>Resilient Entrepreneurship: Proven Strategies to Launch and Grow a Profitable Startup Business, Overcome Fear of Failure, and Build Resilience for Success</w:t>
      </w:r>
      <w:r>
        <w:rPr>
          <w:rFonts w:ascii="Arial" w:hAnsi="Arial" w:cs="Arial"/>
        </w:rPr>
        <w:t>. 1st ed. The Bold Business Co.</w:t>
      </w:r>
    </w:p>
    <w:p w14:paraId="5DC9FFE6" w14:textId="77777777" w:rsidR="009B6F29" w:rsidRDefault="00000000">
      <w:pPr>
        <w:pStyle w:val="NormalWeb"/>
        <w:spacing w:before="240" w:beforeAutospacing="0" w:after="240" w:afterAutospacing="0" w:line="360" w:lineRule="auto"/>
        <w:jc w:val="both"/>
        <w:rPr>
          <w:rFonts w:ascii="Arial" w:hAnsi="Arial" w:cs="Arial"/>
        </w:rPr>
      </w:pPr>
      <w:proofErr w:type="spellStart"/>
      <w:proofErr w:type="gramStart"/>
      <w:r>
        <w:rPr>
          <w:rFonts w:ascii="Arial" w:hAnsi="Arial" w:cs="Arial"/>
        </w:rPr>
        <w:t>Kowalschek</w:t>
      </w:r>
      <w:proofErr w:type="spellEnd"/>
      <w:r>
        <w:rPr>
          <w:rFonts w:ascii="Arial" w:hAnsi="Arial" w:cs="Arial"/>
        </w:rPr>
        <w:t xml:space="preserve"> ,</w:t>
      </w:r>
      <w:proofErr w:type="gramEnd"/>
      <w:r>
        <w:rPr>
          <w:rFonts w:ascii="Arial" w:hAnsi="Arial" w:cs="Arial"/>
        </w:rPr>
        <w:t xml:space="preserve"> R. (2023). </w:t>
      </w:r>
      <w:r>
        <w:rPr>
          <w:rFonts w:ascii="Arial" w:hAnsi="Arial" w:cs="Arial"/>
          <w:i/>
          <w:iCs/>
        </w:rPr>
        <w:t xml:space="preserve">Basics of </w:t>
      </w:r>
      <w:proofErr w:type="gramStart"/>
      <w:r>
        <w:rPr>
          <w:rFonts w:ascii="Arial" w:hAnsi="Arial" w:cs="Arial"/>
          <w:i/>
          <w:iCs/>
        </w:rPr>
        <w:t xml:space="preserve">Entrepreneurship </w:t>
      </w:r>
      <w:r>
        <w:rPr>
          <w:rFonts w:ascii="Arial" w:hAnsi="Arial" w:cs="Arial"/>
        </w:rPr>
        <w:t>.</w:t>
      </w:r>
      <w:proofErr w:type="gramEnd"/>
      <w:r>
        <w:rPr>
          <w:rFonts w:ascii="Arial" w:hAnsi="Arial" w:cs="Arial"/>
        </w:rPr>
        <w:t xml:space="preserve"> 1st ed. ‎ Independently published.</w:t>
      </w:r>
    </w:p>
    <w:p w14:paraId="296B0448" w14:textId="77777777" w:rsidR="009B6F29" w:rsidRDefault="00000000">
      <w:pPr>
        <w:pStyle w:val="NormalWeb"/>
        <w:spacing w:before="240" w:beforeAutospacing="0" w:after="240" w:afterAutospacing="0" w:line="360" w:lineRule="auto"/>
        <w:jc w:val="both"/>
        <w:rPr>
          <w:rFonts w:ascii="Arial" w:hAnsi="Arial" w:cs="Arial"/>
        </w:rPr>
      </w:pPr>
      <w:proofErr w:type="spellStart"/>
      <w:r>
        <w:rPr>
          <w:rFonts w:ascii="Arial" w:hAnsi="Arial" w:cs="Arial"/>
        </w:rPr>
        <w:t>Kusetogullari</w:t>
      </w:r>
      <w:proofErr w:type="spellEnd"/>
      <w:r>
        <w:rPr>
          <w:rFonts w:ascii="Arial" w:hAnsi="Arial" w:cs="Arial"/>
        </w:rPr>
        <w:t xml:space="preserve">, A., </w:t>
      </w:r>
      <w:proofErr w:type="spellStart"/>
      <w:r>
        <w:rPr>
          <w:rFonts w:ascii="Arial" w:hAnsi="Arial" w:cs="Arial"/>
        </w:rPr>
        <w:t>Kusetogullari</w:t>
      </w:r>
      <w:proofErr w:type="spellEnd"/>
      <w:r>
        <w:rPr>
          <w:rFonts w:ascii="Arial" w:hAnsi="Arial" w:cs="Arial"/>
        </w:rPr>
        <w:t xml:space="preserve">, H., Andersson, M. and </w:t>
      </w:r>
      <w:proofErr w:type="spellStart"/>
      <w:r>
        <w:rPr>
          <w:rFonts w:ascii="Arial" w:hAnsi="Arial" w:cs="Arial"/>
        </w:rPr>
        <w:t>Gorschek</w:t>
      </w:r>
      <w:proofErr w:type="spellEnd"/>
      <w:r>
        <w:rPr>
          <w:rFonts w:ascii="Arial" w:hAnsi="Arial" w:cs="Arial"/>
        </w:rPr>
        <w:t xml:space="preserve">, T. (2025). </w:t>
      </w:r>
      <w:r>
        <w:rPr>
          <w:rFonts w:ascii="Arial" w:hAnsi="Arial" w:cs="Arial"/>
          <w:i/>
          <w:iCs/>
        </w:rPr>
        <w:t>GenAI in Entrepreneurship: a systematic review of generative artificial intelligence in entrepreneurship research: current issues and future directions</w:t>
      </w:r>
      <w:r>
        <w:rPr>
          <w:rFonts w:ascii="Arial" w:hAnsi="Arial" w:cs="Arial"/>
        </w:rPr>
        <w:t>. [online] arXiv.org. Available at: https://arxiv.org/abs/2505.05523?utm [Accessed 19 Feb. 2026].</w:t>
      </w:r>
    </w:p>
    <w:p w14:paraId="098FFCF3" w14:textId="77777777" w:rsidR="009B6F29" w:rsidRDefault="00000000">
      <w:pPr>
        <w:pStyle w:val="NormalWeb"/>
        <w:spacing w:before="0" w:beforeAutospacing="0" w:after="240" w:afterAutospacing="0" w:line="360" w:lineRule="auto"/>
        <w:jc w:val="both"/>
        <w:rPr>
          <w:rFonts w:ascii="Arial" w:hAnsi="Arial" w:cs="Arial"/>
        </w:rPr>
      </w:pPr>
      <w:r>
        <w:rPr>
          <w:rFonts w:ascii="Arial" w:hAnsi="Arial" w:cs="Arial"/>
        </w:rPr>
        <w:t xml:space="preserve">Nanji, N. (2022). UK inflation: Food costs push price rises to new 40-year high. </w:t>
      </w:r>
      <w:r>
        <w:rPr>
          <w:rFonts w:ascii="Arial" w:hAnsi="Arial" w:cs="Arial"/>
          <w:i/>
          <w:iCs/>
        </w:rPr>
        <w:t>BBC News</w:t>
      </w:r>
      <w:r>
        <w:rPr>
          <w:rFonts w:ascii="Arial" w:hAnsi="Arial" w:cs="Arial"/>
        </w:rPr>
        <w:t>. [online] 17 Aug. Available at: https://www.bbc.com/news/business-62562025 [Accessed 19 Feb. 2026].</w:t>
      </w:r>
    </w:p>
    <w:p w14:paraId="73E7B1FE" w14:textId="77777777" w:rsidR="009B6F29" w:rsidRDefault="00000000">
      <w:pPr>
        <w:pStyle w:val="NormalWeb"/>
        <w:spacing w:before="0" w:beforeAutospacing="0" w:after="240" w:afterAutospacing="0" w:line="360" w:lineRule="auto"/>
        <w:jc w:val="both"/>
        <w:rPr>
          <w:rFonts w:ascii="Arial" w:hAnsi="Arial" w:cs="Arial"/>
        </w:rPr>
      </w:pPr>
      <w:r>
        <w:rPr>
          <w:rFonts w:ascii="Arial" w:hAnsi="Arial" w:cs="Arial"/>
        </w:rPr>
        <w:t xml:space="preserve">Navarro, J.G. (2025). </w:t>
      </w:r>
      <w:r>
        <w:rPr>
          <w:rFonts w:ascii="Arial" w:hAnsi="Arial" w:cs="Arial"/>
          <w:i/>
          <w:iCs/>
        </w:rPr>
        <w:t>Contribution of digital marketing to companies’ performance in the UK 2022</w:t>
      </w:r>
      <w:r>
        <w:rPr>
          <w:rFonts w:ascii="Arial" w:hAnsi="Arial" w:cs="Arial"/>
        </w:rPr>
        <w:t>. [online] Statista. Available at: https://www.statista.com/statistics/283091/digital-marketing-performance-uk/ [Accessed 19 Feb. 2026].</w:t>
      </w:r>
    </w:p>
    <w:p w14:paraId="1AA45490" w14:textId="77777777" w:rsidR="009B6F29" w:rsidRDefault="00000000">
      <w:pPr>
        <w:pStyle w:val="NormalWeb"/>
        <w:spacing w:before="240" w:beforeAutospacing="0" w:after="240" w:afterAutospacing="0" w:line="360" w:lineRule="auto"/>
        <w:jc w:val="both"/>
        <w:rPr>
          <w:rFonts w:ascii="Arial" w:hAnsi="Arial" w:cs="Arial"/>
        </w:rPr>
      </w:pPr>
      <w:proofErr w:type="spellStart"/>
      <w:r>
        <w:rPr>
          <w:rFonts w:ascii="Arial" w:hAnsi="Arial" w:cs="Arial"/>
        </w:rPr>
        <w:lastRenderedPageBreak/>
        <w:t>Novakova</w:t>
      </w:r>
      <w:proofErr w:type="spellEnd"/>
      <w:r>
        <w:rPr>
          <w:rFonts w:ascii="Arial" w:hAnsi="Arial" w:cs="Arial"/>
        </w:rPr>
        <w:t xml:space="preserve">, M. (2024). The UK start-up ecosystem: Opportunities and Challenges. </w:t>
      </w:r>
      <w:r>
        <w:rPr>
          <w:rFonts w:ascii="Arial" w:hAnsi="Arial" w:cs="Arial"/>
          <w:i/>
          <w:iCs/>
        </w:rPr>
        <w:t>International Journal of Science and Research Archive</w:t>
      </w:r>
      <w:r>
        <w:rPr>
          <w:rFonts w:ascii="Arial" w:hAnsi="Arial" w:cs="Arial"/>
        </w:rPr>
        <w:t xml:space="preserve">, 12(2), pp.1445–1451. </w:t>
      </w:r>
      <w:proofErr w:type="spellStart"/>
      <w:proofErr w:type="gramStart"/>
      <w:r>
        <w:rPr>
          <w:rFonts w:ascii="Arial" w:hAnsi="Arial" w:cs="Arial"/>
        </w:rPr>
        <w:t>doi:https</w:t>
      </w:r>
      <w:proofErr w:type="spellEnd"/>
      <w:r>
        <w:rPr>
          <w:rFonts w:ascii="Arial" w:hAnsi="Arial" w:cs="Arial"/>
        </w:rPr>
        <w:t>://doi.org/10.30574/ijsra.2024.12.2.1403</w:t>
      </w:r>
      <w:proofErr w:type="gramEnd"/>
      <w:r>
        <w:rPr>
          <w:rFonts w:ascii="Arial" w:hAnsi="Arial" w:cs="Arial"/>
        </w:rPr>
        <w:t>.</w:t>
      </w:r>
    </w:p>
    <w:p w14:paraId="2D4CD262" w14:textId="77777777" w:rsidR="009B6F29" w:rsidRDefault="00000000">
      <w:pPr>
        <w:pStyle w:val="NormalWeb"/>
        <w:spacing w:before="0" w:beforeAutospacing="0" w:after="240" w:afterAutospacing="0" w:line="360" w:lineRule="auto"/>
        <w:jc w:val="both"/>
        <w:rPr>
          <w:rFonts w:ascii="Arial" w:hAnsi="Arial" w:cs="Arial"/>
        </w:rPr>
      </w:pPr>
      <w:r>
        <w:rPr>
          <w:rFonts w:ascii="Arial" w:hAnsi="Arial" w:cs="Arial"/>
        </w:rPr>
        <w:t xml:space="preserve">Ozbun, T. (2025). </w:t>
      </w:r>
      <w:r>
        <w:rPr>
          <w:rFonts w:ascii="Arial" w:hAnsi="Arial" w:cs="Arial"/>
          <w:i/>
          <w:iCs/>
        </w:rPr>
        <w:t>Share of consumers who prefer food to be convenient in the UK 2023/24, by generation</w:t>
      </w:r>
      <w:r>
        <w:rPr>
          <w:rFonts w:ascii="Arial" w:hAnsi="Arial" w:cs="Arial"/>
        </w:rPr>
        <w:t>. [online] Statista. Available at: https://www.statista.com/forecasts/1388038/consumers-who-think-food-should-be-convenient-uk-by-generation/?srsltid=AfmBOoozQHEoMfmz0KPB23oESBjaKOxEnMsFjvii34iHDMlOX_OyRBTc [Accessed 19 Feb. 2026].</w:t>
      </w:r>
    </w:p>
    <w:p w14:paraId="772FCAAC" w14:textId="77777777" w:rsidR="009B6F29" w:rsidRDefault="00000000">
      <w:pPr>
        <w:pStyle w:val="NormalWeb"/>
        <w:spacing w:before="0" w:beforeAutospacing="0" w:after="240" w:afterAutospacing="0" w:line="360" w:lineRule="auto"/>
        <w:jc w:val="both"/>
        <w:rPr>
          <w:rFonts w:ascii="Arial" w:hAnsi="Arial" w:cs="Arial"/>
        </w:rPr>
      </w:pPr>
      <w:r>
        <w:rPr>
          <w:rFonts w:ascii="Arial" w:hAnsi="Arial" w:cs="Arial"/>
        </w:rPr>
        <w:t xml:space="preserve">Statista Research Department (2019). </w:t>
      </w:r>
      <w:r>
        <w:rPr>
          <w:rFonts w:ascii="Arial" w:hAnsi="Arial" w:cs="Arial"/>
          <w:i/>
          <w:iCs/>
        </w:rPr>
        <w:t>Infographic: UK leads European ad revenue for social media</w:t>
      </w:r>
      <w:r>
        <w:rPr>
          <w:rFonts w:ascii="Arial" w:hAnsi="Arial" w:cs="Arial"/>
        </w:rPr>
        <w:t>. [online] Statista Daily Data. Available at: https://www.statista.com/chart/16899/social-media-advertising/?srsltid=AfmBOoqHGn6fUdsYAOpdJhaHRQaqRpSExIha6R0FPJQceGe9ytmWfmOp [Accessed 19 Feb. 2026].</w:t>
      </w:r>
    </w:p>
    <w:p w14:paraId="7F7F16DA" w14:textId="77777777" w:rsidR="009B6F29" w:rsidRDefault="00000000">
      <w:pPr>
        <w:pStyle w:val="NormalWeb"/>
        <w:spacing w:before="240" w:beforeAutospacing="0" w:after="240" w:afterAutospacing="0" w:line="360" w:lineRule="auto"/>
        <w:jc w:val="both"/>
        <w:rPr>
          <w:rFonts w:ascii="Arial" w:hAnsi="Arial" w:cs="Arial"/>
        </w:rPr>
      </w:pPr>
      <w:r>
        <w:rPr>
          <w:rFonts w:ascii="Arial" w:hAnsi="Arial" w:cs="Arial"/>
        </w:rPr>
        <w:t xml:space="preserve">Urbano, D., Turro, A., Wright, M. and Zahra, S. (2022). Corporate entrepreneurship: a systematic literature review and future research agenda. </w:t>
      </w:r>
      <w:r>
        <w:rPr>
          <w:rFonts w:ascii="Arial" w:hAnsi="Arial" w:cs="Arial"/>
          <w:i/>
          <w:iCs/>
        </w:rPr>
        <w:t>Small Business Economics</w:t>
      </w:r>
      <w:r>
        <w:rPr>
          <w:rFonts w:ascii="Arial" w:hAnsi="Arial" w:cs="Arial"/>
        </w:rPr>
        <w:t xml:space="preserve">, [online] 59. </w:t>
      </w:r>
      <w:proofErr w:type="spellStart"/>
      <w:proofErr w:type="gramStart"/>
      <w:r>
        <w:rPr>
          <w:rFonts w:ascii="Arial" w:hAnsi="Arial" w:cs="Arial"/>
        </w:rPr>
        <w:t>doi:https</w:t>
      </w:r>
      <w:proofErr w:type="spellEnd"/>
      <w:r>
        <w:rPr>
          <w:rFonts w:ascii="Arial" w:hAnsi="Arial" w:cs="Arial"/>
        </w:rPr>
        <w:t>://doi.org/10.1007/s11187-021-00590-6</w:t>
      </w:r>
      <w:proofErr w:type="gramEnd"/>
      <w:r>
        <w:rPr>
          <w:rFonts w:ascii="Arial" w:hAnsi="Arial" w:cs="Arial"/>
        </w:rPr>
        <w:t>.</w:t>
      </w:r>
    </w:p>
    <w:p w14:paraId="499C9877" w14:textId="77777777" w:rsidR="009B6F29" w:rsidRDefault="00000000">
      <w:pPr>
        <w:pStyle w:val="NormalWeb"/>
        <w:spacing w:before="240" w:beforeAutospacing="0" w:after="240" w:afterAutospacing="0" w:line="360" w:lineRule="auto"/>
        <w:jc w:val="both"/>
        <w:rPr>
          <w:rFonts w:ascii="Arial" w:hAnsi="Arial" w:cs="Arial"/>
        </w:rPr>
      </w:pPr>
      <w:r>
        <w:rPr>
          <w:rFonts w:ascii="Arial" w:hAnsi="Arial" w:cs="Arial"/>
        </w:rPr>
        <w:t xml:space="preserve">Venkat, G. (2025). </w:t>
      </w:r>
      <w:r>
        <w:rPr>
          <w:rFonts w:ascii="Arial" w:hAnsi="Arial" w:cs="Arial"/>
          <w:i/>
          <w:iCs/>
        </w:rPr>
        <w:t>The Solo Revolution: A Theory of AI-Enabled Individual Entrepreneurship</w:t>
      </w:r>
      <w:r>
        <w:rPr>
          <w:rFonts w:ascii="Arial" w:hAnsi="Arial" w:cs="Arial"/>
        </w:rPr>
        <w:t>. [online] arXiv.org. Available at: https://arxiv.org/abs/2502.00009?utm [Accessed 19 Feb. 2026].</w:t>
      </w:r>
    </w:p>
    <w:p w14:paraId="1791DD08" w14:textId="77777777" w:rsidR="009B6F29" w:rsidRDefault="00000000">
      <w:pPr>
        <w:pStyle w:val="NormalWeb"/>
        <w:spacing w:before="240" w:beforeAutospacing="0" w:after="240" w:afterAutospacing="0" w:line="360" w:lineRule="auto"/>
        <w:jc w:val="both"/>
        <w:rPr>
          <w:rFonts w:ascii="Arial" w:hAnsi="Arial" w:cs="Arial"/>
        </w:rPr>
      </w:pPr>
      <w:r>
        <w:rPr>
          <w:rFonts w:ascii="Arial" w:hAnsi="Arial" w:cs="Arial"/>
        </w:rPr>
        <w:t xml:space="preserve">Wales, W.J., Covin, J.G. and Monsen, E. (2020). Entrepreneurial orientation: The necessity of a multilevel conceptualization. </w:t>
      </w:r>
      <w:r>
        <w:rPr>
          <w:rFonts w:ascii="Arial" w:hAnsi="Arial" w:cs="Arial"/>
          <w:i/>
          <w:iCs/>
        </w:rPr>
        <w:t>Strategic Entrepreneurship Journal</w:t>
      </w:r>
      <w:r>
        <w:rPr>
          <w:rFonts w:ascii="Arial" w:hAnsi="Arial" w:cs="Arial"/>
        </w:rPr>
        <w:t xml:space="preserve">, 14(4), pp.639–660. </w:t>
      </w:r>
      <w:proofErr w:type="spellStart"/>
      <w:proofErr w:type="gramStart"/>
      <w:r>
        <w:rPr>
          <w:rFonts w:ascii="Arial" w:hAnsi="Arial" w:cs="Arial"/>
        </w:rPr>
        <w:t>doi:https</w:t>
      </w:r>
      <w:proofErr w:type="spellEnd"/>
      <w:r>
        <w:rPr>
          <w:rFonts w:ascii="Arial" w:hAnsi="Arial" w:cs="Arial"/>
        </w:rPr>
        <w:t>://doi.org/10.1002/sej.1344</w:t>
      </w:r>
      <w:proofErr w:type="gramEnd"/>
      <w:r>
        <w:rPr>
          <w:rFonts w:ascii="Arial" w:hAnsi="Arial" w:cs="Arial"/>
        </w:rPr>
        <w:t>.</w:t>
      </w:r>
    </w:p>
    <w:p w14:paraId="35A31C36" w14:textId="2B95BF15" w:rsidR="000C4A0D" w:rsidRDefault="00000000">
      <w:pPr>
        <w:pStyle w:val="NormalWeb"/>
        <w:spacing w:before="240" w:beforeAutospacing="0" w:after="240" w:afterAutospacing="0" w:line="360" w:lineRule="auto"/>
        <w:jc w:val="both"/>
        <w:rPr>
          <w:rFonts w:ascii="Arial" w:hAnsi="Arial" w:cs="Arial"/>
        </w:rPr>
      </w:pPr>
      <w:r>
        <w:rPr>
          <w:rFonts w:ascii="Arial" w:hAnsi="Arial" w:cs="Arial"/>
        </w:rPr>
        <w:t xml:space="preserve">Yoke, L.C. and Rizal, A.M. (2025). Addressing Startup Failure through Market Research, Business Planning, and Commercialization in an Elderly Caregiving Training </w:t>
      </w:r>
      <w:proofErr w:type="spellStart"/>
      <w:r>
        <w:rPr>
          <w:rFonts w:ascii="Arial" w:hAnsi="Arial" w:cs="Arial"/>
        </w:rPr>
        <w:t>Center</w:t>
      </w:r>
      <w:proofErr w:type="spellEnd"/>
      <w:r>
        <w:rPr>
          <w:rFonts w:ascii="Arial" w:hAnsi="Arial" w:cs="Arial"/>
        </w:rPr>
        <w:t xml:space="preserve">. </w:t>
      </w:r>
      <w:r>
        <w:rPr>
          <w:rFonts w:ascii="Arial" w:hAnsi="Arial" w:cs="Arial"/>
          <w:i/>
          <w:iCs/>
        </w:rPr>
        <w:t>International Journal of Academic Research in Business and Social Sciences</w:t>
      </w:r>
      <w:r>
        <w:rPr>
          <w:rFonts w:ascii="Arial" w:hAnsi="Arial" w:cs="Arial"/>
        </w:rPr>
        <w:t>, [online] 15(11), pp.587–594. Available at: https://kwpublications.com/papers/detail/IJARBSS/19378/Addressing-Startup-Failure-through-Market-Research-Business-Planning-and-Commercialization-in-an-Elderly-Caregiving-Training-Center?utm [Accessed 19 Feb. 2026].</w:t>
      </w:r>
    </w:p>
    <w:sectPr w:rsidR="000C4A0D">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D25ED7" w14:textId="77777777" w:rsidR="001B0C22" w:rsidRDefault="001B0C22">
      <w:pPr>
        <w:spacing w:line="240" w:lineRule="auto"/>
      </w:pPr>
      <w:r>
        <w:separator/>
      </w:r>
    </w:p>
  </w:endnote>
  <w:endnote w:type="continuationSeparator" w:id="0">
    <w:p w14:paraId="119063A9" w14:textId="77777777" w:rsidR="001B0C22" w:rsidRDefault="001B0C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B052EB" w14:textId="77777777" w:rsidR="009B6F29"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p w14:paraId="3869F669" w14:textId="77777777" w:rsidR="009B6F29" w:rsidRDefault="009B6F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D2E173" w14:textId="77777777" w:rsidR="001B0C22" w:rsidRDefault="001B0C22">
      <w:pPr>
        <w:spacing w:line="240" w:lineRule="auto"/>
      </w:pPr>
      <w:r>
        <w:separator/>
      </w:r>
    </w:p>
  </w:footnote>
  <w:footnote w:type="continuationSeparator" w:id="0">
    <w:p w14:paraId="1B38E510" w14:textId="77777777" w:rsidR="001B0C22" w:rsidRDefault="001B0C2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AC8F0D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00000002"/>
    <w:multiLevelType w:val="hybridMultilevel"/>
    <w:tmpl w:val="492EC30C"/>
    <w:lvl w:ilvl="0" w:tplc="0809000F">
      <w:start w:val="1"/>
      <w:numFmt w:val="decimal"/>
      <w:lvlText w:val="%1."/>
      <w:lvlJc w:val="left"/>
      <w:pPr>
        <w:ind w:left="786" w:hanging="360"/>
      </w:pPr>
    </w:lvl>
    <w:lvl w:ilvl="1" w:tplc="4864B654">
      <w:start w:val="1"/>
      <w:numFmt w:val="bullet"/>
      <w:lvlText w:val="o"/>
      <w:lvlJc w:val="left"/>
      <w:pPr>
        <w:ind w:left="1506" w:hanging="360"/>
      </w:pPr>
      <w:rPr>
        <w:rFonts w:ascii="Courier New" w:hAnsi="Courier New" w:cs="Courier New" w:hint="default"/>
      </w:rPr>
    </w:lvl>
    <w:lvl w:ilvl="2" w:tplc="4A8A2212">
      <w:start w:val="1"/>
      <w:numFmt w:val="bullet"/>
      <w:lvlText w:val=""/>
      <w:lvlJc w:val="left"/>
      <w:pPr>
        <w:ind w:left="2226" w:hanging="360"/>
      </w:pPr>
      <w:rPr>
        <w:rFonts w:ascii="Wingdings" w:hAnsi="Wingdings" w:hint="default"/>
      </w:rPr>
    </w:lvl>
    <w:lvl w:ilvl="3" w:tplc="6B064856">
      <w:start w:val="1"/>
      <w:numFmt w:val="bullet"/>
      <w:lvlText w:val=""/>
      <w:lvlJc w:val="left"/>
      <w:pPr>
        <w:ind w:left="2946" w:hanging="360"/>
      </w:pPr>
      <w:rPr>
        <w:rFonts w:ascii="Symbol" w:hAnsi="Symbol" w:hint="default"/>
      </w:rPr>
    </w:lvl>
    <w:lvl w:ilvl="4" w:tplc="77C8B81C">
      <w:start w:val="1"/>
      <w:numFmt w:val="bullet"/>
      <w:lvlText w:val="o"/>
      <w:lvlJc w:val="left"/>
      <w:pPr>
        <w:ind w:left="3666" w:hanging="360"/>
      </w:pPr>
      <w:rPr>
        <w:rFonts w:ascii="Courier New" w:hAnsi="Courier New" w:cs="Courier New" w:hint="default"/>
      </w:rPr>
    </w:lvl>
    <w:lvl w:ilvl="5" w:tplc="A8FA0B42">
      <w:start w:val="1"/>
      <w:numFmt w:val="bullet"/>
      <w:lvlText w:val=""/>
      <w:lvlJc w:val="left"/>
      <w:pPr>
        <w:ind w:left="4386" w:hanging="360"/>
      </w:pPr>
      <w:rPr>
        <w:rFonts w:ascii="Wingdings" w:hAnsi="Wingdings" w:hint="default"/>
      </w:rPr>
    </w:lvl>
    <w:lvl w:ilvl="6" w:tplc="5CB287BA">
      <w:start w:val="1"/>
      <w:numFmt w:val="bullet"/>
      <w:lvlText w:val=""/>
      <w:lvlJc w:val="left"/>
      <w:pPr>
        <w:ind w:left="5106" w:hanging="360"/>
      </w:pPr>
      <w:rPr>
        <w:rFonts w:ascii="Symbol" w:hAnsi="Symbol" w:hint="default"/>
      </w:rPr>
    </w:lvl>
    <w:lvl w:ilvl="7" w:tplc="4E16106E">
      <w:start w:val="1"/>
      <w:numFmt w:val="bullet"/>
      <w:lvlText w:val="o"/>
      <w:lvlJc w:val="left"/>
      <w:pPr>
        <w:ind w:left="5826" w:hanging="360"/>
      </w:pPr>
      <w:rPr>
        <w:rFonts w:ascii="Courier New" w:hAnsi="Courier New" w:cs="Courier New" w:hint="default"/>
      </w:rPr>
    </w:lvl>
    <w:lvl w:ilvl="8" w:tplc="B2C0182E">
      <w:start w:val="1"/>
      <w:numFmt w:val="bullet"/>
      <w:lvlText w:val=""/>
      <w:lvlJc w:val="left"/>
      <w:pPr>
        <w:ind w:left="6546" w:hanging="360"/>
      </w:pPr>
      <w:rPr>
        <w:rFonts w:ascii="Wingdings" w:hAnsi="Wingdings" w:hint="default"/>
      </w:rPr>
    </w:lvl>
  </w:abstractNum>
  <w:abstractNum w:abstractNumId="2" w15:restartNumberingAfterBreak="0">
    <w:nsid w:val="12D11359"/>
    <w:multiLevelType w:val="hybridMultilevel"/>
    <w:tmpl w:val="794023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501857">
    <w:abstractNumId w:val="0"/>
  </w:num>
  <w:num w:numId="2" w16cid:durableId="912348644">
    <w:abstractNumId w:val="1"/>
    <w:lvlOverride w:ilvl="0">
      <w:startOverride w:val="1"/>
    </w:lvlOverride>
    <w:lvlOverride w:ilvl="1"/>
    <w:lvlOverride w:ilvl="2"/>
    <w:lvlOverride w:ilvl="3"/>
    <w:lvlOverride w:ilvl="4"/>
    <w:lvlOverride w:ilvl="5"/>
    <w:lvlOverride w:ilvl="6"/>
    <w:lvlOverride w:ilvl="7"/>
    <w:lvlOverride w:ilvl="8"/>
  </w:num>
  <w:num w:numId="3" w16cid:durableId="1749964238">
    <w:abstractNumId w:val="1"/>
  </w:num>
  <w:num w:numId="4" w16cid:durableId="4814279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F29"/>
    <w:rsid w:val="000C4A0D"/>
    <w:rsid w:val="001B0C22"/>
    <w:rsid w:val="001F7E8C"/>
    <w:rsid w:val="004E5D4F"/>
    <w:rsid w:val="00595FDF"/>
    <w:rsid w:val="006F5658"/>
    <w:rsid w:val="00762D5F"/>
    <w:rsid w:val="00882885"/>
    <w:rsid w:val="0089723D"/>
    <w:rsid w:val="009A4955"/>
    <w:rsid w:val="009B6F29"/>
    <w:rsid w:val="00DF70D3"/>
    <w:rsid w:val="00F64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462BB"/>
  <w15:docId w15:val="{E240A548-EB9F-4C6C-9C47-ED0140C41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imes New Roman" w:hAnsi="Calibri" w:cs="SimSun"/>
        <w:sz w:val="22"/>
        <w:szCs w:val="22"/>
        <w:lang w:val="en-GB"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0" w:after="0"/>
    </w:pPr>
    <w:rPr>
      <w:rFonts w:ascii="Arial" w:hAnsi="Arial" w:cs="Times New Roman"/>
      <w:sz w:val="24"/>
      <w:lang w:eastAsia="en-GB"/>
    </w:rPr>
  </w:style>
  <w:style w:type="paragraph" w:styleId="Heading1">
    <w:name w:val="heading 1"/>
    <w:basedOn w:val="Normal"/>
    <w:next w:val="Normal"/>
    <w:link w:val="Heading1Char"/>
    <w:uiPriority w:val="9"/>
    <w:qFormat/>
    <w:pPr>
      <w:keepNext/>
      <w:keepLines/>
      <w:spacing w:before="480"/>
      <w:outlineLvl w:val="0"/>
    </w:pPr>
    <w:rPr>
      <w:rFonts w:eastAsia="SimSun" w:cs="SimSun"/>
      <w:b/>
      <w:bCs/>
      <w:color w:val="31849B"/>
      <w:sz w:val="32"/>
      <w:szCs w:val="28"/>
      <w:lang w:eastAsia="en-US"/>
    </w:rPr>
  </w:style>
  <w:style w:type="paragraph" w:styleId="Heading2">
    <w:name w:val="heading 2"/>
    <w:basedOn w:val="Normal"/>
    <w:next w:val="Normal"/>
    <w:link w:val="Heading2Char"/>
    <w:uiPriority w:val="9"/>
    <w:unhideWhenUsed/>
    <w:qFormat/>
    <w:pPr>
      <w:keepNext/>
      <w:keepLines/>
      <w:spacing w:before="160" w:after="80"/>
      <w:outlineLvl w:val="1"/>
    </w:pPr>
    <w:rPr>
      <w:rFonts w:eastAsia="SimSun" w:cs="SimSun"/>
      <w:b/>
      <w:color w:val="BF8F00"/>
      <w:sz w:val="28"/>
      <w:szCs w:val="32"/>
      <w:lang w:eastAsia="en-US"/>
    </w:rPr>
  </w:style>
  <w:style w:type="paragraph" w:styleId="Heading3">
    <w:name w:val="heading 3"/>
    <w:basedOn w:val="Normal"/>
    <w:next w:val="Normal"/>
    <w:link w:val="Heading3Char"/>
    <w:uiPriority w:val="9"/>
    <w:semiHidden/>
    <w:unhideWhenUsed/>
    <w:qFormat/>
    <w:pPr>
      <w:keepNext/>
      <w:keepLines/>
      <w:spacing w:before="40"/>
      <w:outlineLvl w:val="2"/>
    </w:pPr>
    <w:rPr>
      <w:rFonts w:eastAsia="SimSun" w:cs="SimSun"/>
      <w:b/>
      <w:color w:val="00B0F0"/>
      <w:sz w:val="26"/>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SimSun"/>
      <w:b/>
      <w:bCs/>
      <w:color w:val="31849B"/>
      <w:sz w:val="32"/>
      <w:szCs w:val="28"/>
    </w:rPr>
  </w:style>
  <w:style w:type="character" w:customStyle="1" w:styleId="Heading2Char">
    <w:name w:val="Heading 2 Char"/>
    <w:basedOn w:val="DefaultParagraphFont"/>
    <w:link w:val="Heading2"/>
    <w:uiPriority w:val="9"/>
    <w:rPr>
      <w:rFonts w:ascii="Times New Roman" w:eastAsia="SimSun" w:hAnsi="Times New Roman" w:cs="SimSun"/>
      <w:b/>
      <w:color w:val="BF8F00"/>
      <w:sz w:val="28"/>
      <w:szCs w:val="32"/>
    </w:rPr>
  </w:style>
  <w:style w:type="character" w:customStyle="1" w:styleId="Heading3Char">
    <w:name w:val="Heading 3 Char"/>
    <w:basedOn w:val="DefaultParagraphFont"/>
    <w:link w:val="Heading3"/>
    <w:uiPriority w:val="9"/>
    <w:rPr>
      <w:rFonts w:ascii="Times New Roman" w:eastAsia="SimSun" w:hAnsi="Times New Roman" w:cs="SimSun"/>
      <w:b/>
      <w:color w:val="00B0F0"/>
      <w:sz w:val="26"/>
    </w:rPr>
  </w:style>
  <w:style w:type="paragraph" w:styleId="NoSpacing">
    <w:name w:val="No Spacing"/>
    <w:uiPriority w:val="1"/>
    <w:qFormat/>
    <w:pPr>
      <w:spacing w:before="0" w:after="0" w:line="240" w:lineRule="auto"/>
    </w:pPr>
    <w:rPr>
      <w:rFonts w:ascii="Times New Roman" w:hAnsi="Times New Roman"/>
      <w:sz w:val="24"/>
      <w:lang w:val="en-US"/>
    </w:rPr>
  </w:style>
  <w:style w:type="paragraph" w:styleId="NormalWeb">
    <w:name w:val="Normal (Web)"/>
    <w:basedOn w:val="Normal"/>
    <w:uiPriority w:val="99"/>
    <w:pPr>
      <w:spacing w:before="100" w:beforeAutospacing="1" w:after="100" w:afterAutospacing="1" w:line="240" w:lineRule="auto"/>
      <w:jc w:val="left"/>
    </w:pPr>
    <w:rPr>
      <w:rFonts w:ascii="Times New Roman" w:hAnsi="Times New Roman"/>
      <w:szCs w:val="24"/>
    </w:rPr>
  </w:style>
  <w:style w:type="character" w:styleId="Strong">
    <w:name w:val="Strong"/>
    <w:basedOn w:val="DefaultParagraphFont"/>
    <w:uiPriority w:val="22"/>
    <w:qFormat/>
    <w:rPr>
      <w:b/>
      <w:bCs/>
    </w:rPr>
  </w:style>
  <w:style w:type="table" w:styleId="TableGrid">
    <w:name w:val="Table Grid"/>
    <w:basedOn w:val="TableNormal"/>
    <w:uiPriority w:val="3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pPr>
      <w:tabs>
        <w:tab w:val="center" w:pos="4513"/>
        <w:tab w:val="right" w:pos="9026"/>
      </w:tabs>
      <w:spacing w:line="240" w:lineRule="auto"/>
    </w:pPr>
  </w:style>
  <w:style w:type="character" w:customStyle="1" w:styleId="HeaderChar">
    <w:name w:val="Header Char"/>
    <w:basedOn w:val="DefaultParagraphFont"/>
    <w:link w:val="Header"/>
    <w:uiPriority w:val="99"/>
    <w:rPr>
      <w:rFonts w:ascii="Arial" w:hAnsi="Arial" w:cs="Times New Roman"/>
      <w:sz w:val="24"/>
      <w:lang w:eastAsia="en-GB"/>
    </w:rPr>
  </w:style>
  <w:style w:type="paragraph" w:styleId="Footer">
    <w:name w:val="footer"/>
    <w:basedOn w:val="Normal"/>
    <w:link w:val="FooterChar"/>
    <w:uiPriority w:val="99"/>
    <w:pPr>
      <w:tabs>
        <w:tab w:val="center" w:pos="4513"/>
        <w:tab w:val="right" w:pos="9026"/>
      </w:tabs>
      <w:spacing w:line="240" w:lineRule="auto"/>
    </w:pPr>
  </w:style>
  <w:style w:type="character" w:customStyle="1" w:styleId="FooterChar">
    <w:name w:val="Footer Char"/>
    <w:basedOn w:val="DefaultParagraphFont"/>
    <w:link w:val="Footer"/>
    <w:uiPriority w:val="99"/>
    <w:rPr>
      <w:rFonts w:ascii="Arial" w:hAnsi="Arial" w:cs="Times New Roman"/>
      <w:sz w:val="24"/>
      <w:lang w:eastAsia="en-GB"/>
    </w:rPr>
  </w:style>
  <w:style w:type="paragraph" w:styleId="TOCHeading">
    <w:name w:val="TOC Heading"/>
    <w:basedOn w:val="Heading1"/>
    <w:next w:val="Normal"/>
    <w:uiPriority w:val="39"/>
    <w:qFormat/>
    <w:pPr>
      <w:spacing w:before="240" w:line="259" w:lineRule="auto"/>
      <w:jc w:val="left"/>
      <w:outlineLvl w:val="9"/>
    </w:pPr>
    <w:rPr>
      <w:rFonts w:ascii="Calibri Light" w:hAnsi="Calibri Light"/>
      <w:b w:val="0"/>
      <w:bCs w:val="0"/>
      <w:color w:val="2F5496"/>
      <w:szCs w:val="32"/>
      <w:lang w:val="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character" w:styleId="Hyperlink">
    <w:name w:val="Hyperlink"/>
    <w:basedOn w:val="DefaultParagraphFont"/>
    <w:uiPriority w:val="99"/>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18961558">
      <w:bodyDiv w:val="1"/>
      <w:marLeft w:val="0"/>
      <w:marRight w:val="0"/>
      <w:marTop w:val="0"/>
      <w:marBottom w:val="0"/>
      <w:divBdr>
        <w:top w:val="none" w:sz="0" w:space="0" w:color="auto"/>
        <w:left w:val="none" w:sz="0" w:space="0" w:color="auto"/>
        <w:bottom w:val="none" w:sz="0" w:space="0" w:color="auto"/>
        <w:right w:val="none" w:sz="0" w:space="0" w:color="auto"/>
      </w:divBdr>
    </w:div>
    <w:div w:id="18630824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A76457-0888-49AD-906A-6F3700822B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12</Pages>
  <Words>2520</Words>
  <Characters>14370</Characters>
  <Application>Microsoft Office Word</Application>
  <DocSecurity>0</DocSecurity>
  <Lines>119</Lines>
  <Paragraphs>33</Paragraphs>
  <ScaleCrop>false</ScaleCrop>
  <Company/>
  <LinksUpToDate>false</LinksUpToDate>
  <CharactersWithSpaces>16857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Dragos Nedelcu (2323249)</cp:lastModifiedBy>
  <cp:revision>3</cp:revision>
  <dcterms:created xsi:type="dcterms:W3CDTF">2026-02-19T14:30:00Z</dcterms:created>
  <dcterms:modified xsi:type="dcterms:W3CDTF">2026-03-01T02:41:00Z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bea517b84665464893309ccd165dde90</vt:lpwstr>
  </property>
</Properties>
</file>