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AE92C" w14:textId="037F4DCB" w:rsidR="00F31D4C" w:rsidRPr="002E0377" w:rsidRDefault="001324BC" w:rsidP="000009F2">
      <w:pPr>
        <w:spacing w:after="120"/>
        <w:rPr>
          <w:rFonts w:cstheme="minorHAnsi"/>
          <w:sz w:val="24"/>
          <w:szCs w:val="24"/>
        </w:rPr>
      </w:pPr>
      <w:r w:rsidRPr="002E0377">
        <w:rPr>
          <w:rFonts w:cstheme="minorHAnsi"/>
          <w:sz w:val="24"/>
          <w:szCs w:val="24"/>
        </w:rPr>
        <w:t>Katie Burdett 23/02/2024</w:t>
      </w:r>
    </w:p>
    <w:p w14:paraId="7B368A9D" w14:textId="77777777" w:rsidR="00781724" w:rsidRDefault="00781724" w:rsidP="000009F2">
      <w:pPr>
        <w:spacing w:after="120"/>
        <w:rPr>
          <w:rFonts w:cstheme="minorHAnsi"/>
          <w:sz w:val="24"/>
          <w:szCs w:val="24"/>
        </w:rPr>
      </w:pPr>
    </w:p>
    <w:p w14:paraId="0B2976C8" w14:textId="6DA8AE60" w:rsidR="001324BC" w:rsidRPr="00781724" w:rsidRDefault="001324BC" w:rsidP="000009F2">
      <w:pPr>
        <w:spacing w:after="120"/>
        <w:rPr>
          <w:rFonts w:cstheme="minorHAnsi"/>
          <w:b/>
          <w:bCs/>
          <w:sz w:val="28"/>
          <w:szCs w:val="28"/>
          <w:u w:val="single"/>
        </w:rPr>
      </w:pPr>
      <w:r w:rsidRPr="00781724">
        <w:rPr>
          <w:rFonts w:cstheme="minorHAnsi"/>
          <w:b/>
          <w:bCs/>
          <w:sz w:val="28"/>
          <w:szCs w:val="28"/>
          <w:u w:val="single"/>
        </w:rPr>
        <w:t xml:space="preserve">Commentary on </w:t>
      </w:r>
      <w:r w:rsidR="0048233D" w:rsidRPr="00781724">
        <w:rPr>
          <w:rFonts w:cstheme="minorHAnsi"/>
          <w:b/>
          <w:bCs/>
          <w:sz w:val="28"/>
          <w:szCs w:val="28"/>
          <w:u w:val="single"/>
        </w:rPr>
        <w:t xml:space="preserve">Petronius’ </w:t>
      </w:r>
      <w:r w:rsidRPr="00781724">
        <w:rPr>
          <w:rFonts w:cstheme="minorHAnsi"/>
          <w:b/>
          <w:bCs/>
          <w:sz w:val="28"/>
          <w:szCs w:val="28"/>
          <w:u w:val="single"/>
        </w:rPr>
        <w:t>Satyricon 33-34</w:t>
      </w:r>
    </w:p>
    <w:p w14:paraId="396AE8F5" w14:textId="77777777" w:rsidR="001324BC" w:rsidRPr="002E0377" w:rsidRDefault="001324BC" w:rsidP="000009F2">
      <w:pPr>
        <w:spacing w:after="120"/>
        <w:rPr>
          <w:rFonts w:cstheme="minorHAnsi"/>
          <w:sz w:val="24"/>
          <w:szCs w:val="24"/>
        </w:rPr>
      </w:pPr>
    </w:p>
    <w:p w14:paraId="2DDD3C8B" w14:textId="77777777" w:rsidR="00F82CDF" w:rsidRDefault="001324BC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Passages 33-34 occur within the larger narrative framework of the Satyricon, a fragmented </w:t>
      </w:r>
    </w:p>
    <w:p w14:paraId="12102815" w14:textId="77777777" w:rsidR="00F82CDF" w:rsidRDefault="001324BC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tale of the adventures of Encolpius and his companions. Set against the backdrop of the </w:t>
      </w:r>
    </w:p>
    <w:p w14:paraId="3DFDFD75" w14:textId="77777777" w:rsidR="00F82CDF" w:rsidRDefault="001324BC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Roman Empire, Petronius paints a vivid picture of the excesses and moral decay prevalent in </w:t>
      </w:r>
    </w:p>
    <w:p w14:paraId="67C80476" w14:textId="77777777" w:rsidR="00F82CDF" w:rsidRDefault="001324BC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Nero's Rome. In this particular section, Encolpius finds himself embroiled in a series of </w:t>
      </w:r>
    </w:p>
    <w:p w14:paraId="24B5AC28" w14:textId="77777777" w:rsidR="00F82CDF" w:rsidRDefault="001324BC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bizarre and debauched events at the villa of Trimalchio, a wealthy freedman. The section </w:t>
      </w:r>
    </w:p>
    <w:p w14:paraId="7E3FD042" w14:textId="77777777" w:rsidR="00F82CDF" w:rsidRDefault="001324BC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provides insight into Petronius’ use of genre such as satire, </w:t>
      </w:r>
      <w:r w:rsidR="009B4287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theatre, </w:t>
      </w: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social status and </w:t>
      </w:r>
    </w:p>
    <w:p w14:paraId="77B90778" w14:textId="689A3067" w:rsidR="001324BC" w:rsidRPr="002E0377" w:rsidRDefault="001324BC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continues the theme of death.</w:t>
      </w:r>
    </w:p>
    <w:p w14:paraId="4251B834" w14:textId="77777777" w:rsidR="00F82CDF" w:rsidRDefault="00F82CD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</w:p>
    <w:p w14:paraId="304FABA0" w14:textId="77777777" w:rsidR="00F82CDF" w:rsidRDefault="001324BC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The genre of Satyricon is far from clear. It contains elements of an epic with illusions to The </w:t>
      </w:r>
    </w:p>
    <w:p w14:paraId="41AB56AE" w14:textId="77777777" w:rsidR="00F82CDF" w:rsidRDefault="001324BC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Iliad, Odyssey and Aeneid throughout the text. There are parallels with Achiles through the </w:t>
      </w:r>
    </w:p>
    <w:p w14:paraId="79484DAA" w14:textId="77777777" w:rsidR="00F82CDF" w:rsidRDefault="001324BC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echoes of the shipwreck. Encolpius full of grief on the seashore, </w:t>
      </w:r>
      <w:r w:rsidR="00242ADA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‘locumque secretum et </w:t>
      </w:r>
    </w:p>
    <w:p w14:paraId="3B68DCFF" w14:textId="77777777" w:rsidR="00F82CDF" w:rsidRDefault="00242ADA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proximum litori maestus conduxi’ (Petr. Sat. 81) echoes Achiles in tears on the seashore </w:t>
      </w:r>
    </w:p>
    <w:p w14:paraId="414EAE36" w14:textId="77777777" w:rsidR="00F82CDF" w:rsidRDefault="00242ADA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(Hom. Iliad 1.348-50). However, it is satire which dominates sections 33-34, especially the </w:t>
      </w:r>
    </w:p>
    <w:p w14:paraId="3F040AEC" w14:textId="77777777" w:rsidR="00F82CDF" w:rsidRDefault="00242ADA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sub-genre of mime. Satire is omnipresent and has already been seen through Trimalchio, </w:t>
      </w:r>
    </w:p>
    <w:p w14:paraId="106A190E" w14:textId="77777777" w:rsidR="00F82CDF" w:rsidRDefault="00242ADA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‘pallio…coccineo’ (Petr. Sat. 32) mimicking the appearance of Nero, who wore a silk dressing </w:t>
      </w:r>
    </w:p>
    <w:p w14:paraId="7F2E72C2" w14:textId="77777777" w:rsidR="00F82CDF" w:rsidRDefault="00242ADA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gown, slippers and scarf (Suetonius Nero 52). The role of the Roman genre of satire was to </w:t>
      </w:r>
    </w:p>
    <w:p w14:paraId="6C46EABF" w14:textId="77777777" w:rsidR="00F82CDF" w:rsidRDefault="00242ADA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censure the vices of men and Petronius focuses on this with Trimalchio’s obsession with </w:t>
      </w:r>
    </w:p>
    <w:p w14:paraId="1B600EC6" w14:textId="77777777" w:rsidR="00F82CDF" w:rsidRDefault="00242ADA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fortune and blatant displays of wealth, especially evident in the banquet with the </w:t>
      </w:r>
    </w:p>
    <w:p w14:paraId="21D1409F" w14:textId="77777777" w:rsidR="00F82CDF" w:rsidRDefault="00242ADA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ostentatious food and wine, ‘Falernum Opimianum annorum centum’, falernian wine of </w:t>
      </w:r>
    </w:p>
    <w:p w14:paraId="32204516" w14:textId="77777777" w:rsidR="00F82CDF" w:rsidRDefault="00242ADA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Opimius vintage, one hundred years old. (Petr. Sat. 34).</w:t>
      </w:r>
      <w:r w:rsidR="00805AB2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  <w:r w:rsidR="00831CF2" w:rsidRPr="002E0377">
        <w:rPr>
          <w:rFonts w:cstheme="minorHAnsi"/>
          <w:color w:val="0D0D0D"/>
          <w:sz w:val="24"/>
          <w:szCs w:val="24"/>
          <w:shd w:val="clear" w:color="auto" w:fill="FFFFFF"/>
        </w:rPr>
        <w:t>‘</w:t>
      </w:r>
      <w:r w:rsidR="00805AB2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Walsh believes that by the use of </w:t>
      </w:r>
    </w:p>
    <w:p w14:paraId="7B208577" w14:textId="77777777" w:rsidR="00F82CDF" w:rsidRDefault="00805AB2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the prosimetric form (where the work uses both prose and verse), Petronius wished his </w:t>
      </w:r>
    </w:p>
    <w:p w14:paraId="73EFF353" w14:textId="77777777" w:rsidR="00F82CDF" w:rsidRDefault="00805AB2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readers to associate him with Menippean satire.</w:t>
      </w:r>
      <w:r w:rsidR="00831CF2" w:rsidRPr="002E0377">
        <w:rPr>
          <w:rFonts w:cstheme="minorHAnsi"/>
          <w:color w:val="0D0D0D"/>
          <w:sz w:val="24"/>
          <w:szCs w:val="24"/>
          <w:shd w:val="clear" w:color="auto" w:fill="FFFFFF"/>
        </w:rPr>
        <w:t>’ (Rowell, Walsh Review pp. 703)</w:t>
      </w:r>
      <w:r w:rsidR="009B4287" w:rsidRPr="002E0377">
        <w:rPr>
          <w:rFonts w:cstheme="minorHAnsi"/>
          <w:color w:val="0D0D0D"/>
          <w:sz w:val="24"/>
          <w:szCs w:val="24"/>
          <w:shd w:val="clear" w:color="auto" w:fill="FFFFFF"/>
        </w:rPr>
        <w:t>.</w:t>
      </w:r>
      <w:r w:rsidR="002C67B8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</w:p>
    <w:p w14:paraId="3454D4C6" w14:textId="77777777" w:rsidR="00F82CDF" w:rsidRDefault="002C67B8" w:rsidP="000009F2">
      <w:pPr>
        <w:spacing w:after="120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Menippean satire is, according to the Oxford Reference “</w:t>
      </w:r>
      <w:r w:rsidRPr="002E0377">
        <w:rPr>
          <w:rFonts w:cstheme="minorHAnsi"/>
          <w:color w:val="000000"/>
          <w:sz w:val="24"/>
          <w:szCs w:val="24"/>
          <w:shd w:val="clear" w:color="auto" w:fill="FFFFFF"/>
        </w:rPr>
        <w:t xml:space="preserve">A form of intellectually humorous </w:t>
      </w:r>
    </w:p>
    <w:p w14:paraId="2D7EB079" w14:textId="77777777" w:rsidR="00F82CDF" w:rsidRDefault="002C67B8" w:rsidP="000009F2">
      <w:pPr>
        <w:spacing w:after="120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00000"/>
          <w:sz w:val="24"/>
          <w:szCs w:val="24"/>
          <w:shd w:val="clear" w:color="auto" w:fill="FFFFFF"/>
        </w:rPr>
        <w:t xml:space="preserve">work characterized by miscellaneous contents, displays of curious erudition, and comical </w:t>
      </w:r>
    </w:p>
    <w:p w14:paraId="17C1D4BE" w14:textId="77777777" w:rsidR="00F82CDF" w:rsidRDefault="002C67B8" w:rsidP="000009F2">
      <w:pPr>
        <w:spacing w:after="120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00000"/>
          <w:sz w:val="24"/>
          <w:szCs w:val="24"/>
          <w:shd w:val="clear" w:color="auto" w:fill="FFFFFF"/>
        </w:rPr>
        <w:t xml:space="preserve">discussions on philosophical topics. The name comes from the Greek Cynic philosopher </w:t>
      </w:r>
    </w:p>
    <w:p w14:paraId="05149B09" w14:textId="77777777" w:rsidR="00F82CDF" w:rsidRDefault="002C67B8" w:rsidP="000009F2">
      <w:pPr>
        <w:spacing w:after="120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00000"/>
          <w:sz w:val="24"/>
          <w:szCs w:val="24"/>
          <w:shd w:val="clear" w:color="auto" w:fill="FFFFFF"/>
        </w:rPr>
        <w:t xml:space="preserve">Menippus (3rd century </w:t>
      </w:r>
      <w:r w:rsidR="00F82CDF" w:rsidRPr="002E0377">
        <w:rPr>
          <w:rFonts w:cstheme="minorHAnsi"/>
          <w:color w:val="000000"/>
          <w:sz w:val="24"/>
          <w:szCs w:val="24"/>
          <w:shd w:val="clear" w:color="auto" w:fill="FFFFFF"/>
        </w:rPr>
        <w:t>BCE</w:t>
      </w:r>
      <w:r w:rsidRPr="002E0377">
        <w:rPr>
          <w:rFonts w:cstheme="minorHAnsi"/>
          <w:color w:val="000000"/>
          <w:sz w:val="24"/>
          <w:szCs w:val="24"/>
          <w:shd w:val="clear" w:color="auto" w:fill="FFFFFF"/>
        </w:rPr>
        <w:t xml:space="preserve">), whose works are lost, but who was imitated by the Roman </w:t>
      </w:r>
    </w:p>
    <w:p w14:paraId="5B415BBC" w14:textId="77777777" w:rsidR="00F82CDF" w:rsidRDefault="002C67B8" w:rsidP="000009F2">
      <w:pPr>
        <w:spacing w:after="120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00000"/>
          <w:sz w:val="24"/>
          <w:szCs w:val="24"/>
          <w:shd w:val="clear" w:color="auto" w:fill="FFFFFF"/>
        </w:rPr>
        <w:t xml:space="preserve">writer Varro (1st century </w:t>
      </w:r>
      <w:r w:rsidR="00F82CDF" w:rsidRPr="002E0377">
        <w:rPr>
          <w:rFonts w:cstheme="minorHAnsi"/>
          <w:color w:val="000000"/>
          <w:sz w:val="24"/>
          <w:szCs w:val="24"/>
          <w:shd w:val="clear" w:color="auto" w:fill="FFFFFF"/>
        </w:rPr>
        <w:t>BCE</w:t>
      </w:r>
      <w:r w:rsidRPr="002E0377">
        <w:rPr>
          <w:rFonts w:cstheme="minorHAnsi"/>
          <w:color w:val="000000"/>
          <w:sz w:val="24"/>
          <w:szCs w:val="24"/>
          <w:shd w:val="clear" w:color="auto" w:fill="FFFFFF"/>
        </w:rPr>
        <w:t>) among others.”</w:t>
      </w:r>
      <w:r w:rsidR="0048233D" w:rsidRPr="002E0377">
        <w:rPr>
          <w:rFonts w:cstheme="minorHAnsi"/>
          <w:color w:val="000000"/>
          <w:sz w:val="24"/>
          <w:szCs w:val="24"/>
          <w:shd w:val="clear" w:color="auto" w:fill="FFFFFF"/>
        </w:rPr>
        <w:t xml:space="preserve"> It was a harsher form of satire, containing </w:t>
      </w:r>
    </w:p>
    <w:p w14:paraId="31CAC248" w14:textId="028C4BB7" w:rsidR="00DC7F00" w:rsidRPr="002E0377" w:rsidRDefault="0048233D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00000"/>
          <w:sz w:val="24"/>
          <w:szCs w:val="24"/>
          <w:shd w:val="clear" w:color="auto" w:fill="FFFFFF"/>
        </w:rPr>
        <w:t>both prose and verse, the comic and the serious.</w:t>
      </w:r>
    </w:p>
    <w:p w14:paraId="5B3A49F1" w14:textId="77777777" w:rsidR="00F82CDF" w:rsidRDefault="00F82CD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</w:p>
    <w:p w14:paraId="60771727" w14:textId="77777777" w:rsidR="00F82CDF" w:rsidRDefault="00DC7F00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The Cena section of the text resembles the sub-genre of mime</w:t>
      </w:r>
      <w:r w:rsidR="00242ADA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whose main role was comic </w:t>
      </w:r>
    </w:p>
    <w:p w14:paraId="0D57AE04" w14:textId="77777777" w:rsidR="00F82CDF" w:rsidRDefault="00DC7F00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entertainment and was based around three main characters, </w:t>
      </w:r>
      <w:r w:rsidR="00805AB2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homosexual elements, </w:t>
      </w:r>
    </w:p>
    <w:p w14:paraId="73214D86" w14:textId="77777777" w:rsidR="00F82CDF" w:rsidRDefault="00805AB2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colloquial language and slapstick. </w:t>
      </w:r>
      <w:r w:rsidR="001236F7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Trimalchio, as if director of a play, uses food as theatre, </w:t>
      </w:r>
    </w:p>
    <w:p w14:paraId="48E519FE" w14:textId="77777777" w:rsidR="00F82CDF" w:rsidRDefault="001236F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exhibiting his bizarre ideas around culinary choices to reinforce the theatrical aspect. This </w:t>
      </w:r>
    </w:p>
    <w:p w14:paraId="11936DDB" w14:textId="77777777" w:rsidR="00F82CDF" w:rsidRDefault="001236F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began in section 31 with a donkey carrying olives ‘asellum…qui habebat olivas’ (Petr. Sat. 31) </w:t>
      </w:r>
    </w:p>
    <w:p w14:paraId="36944E27" w14:textId="77777777" w:rsidR="00F82CDF" w:rsidRDefault="001236F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being served to the guests, who are acting as the audience to this spectacle. Culinary illusion </w:t>
      </w:r>
    </w:p>
    <w:p w14:paraId="41D22052" w14:textId="77777777" w:rsidR="00F82CDF" w:rsidRDefault="001236F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predominates in this section. The hen is wooden, ‘gallina erat ignea’ (Petr. Sat. 33), the </w:t>
      </w:r>
    </w:p>
    <w:p w14:paraId="5DBD8D0A" w14:textId="77777777" w:rsidR="00F82CDF" w:rsidRDefault="001236F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supposed eggs are not chicken eggs but peahen, ‘pavonus ova’ (Petr. Sat. 33), and then not </w:t>
      </w:r>
    </w:p>
    <w:p w14:paraId="4FAE6FA9" w14:textId="77777777" w:rsidR="00F82CDF" w:rsidRDefault="001236F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even real eggs but fig peckers coated in peppered egg yolk, ‘pinguissimam ficedulam inveni </w:t>
      </w:r>
    </w:p>
    <w:p w14:paraId="4DC375DD" w14:textId="77777777" w:rsidR="00F82CDF" w:rsidRDefault="001236F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piperato vitello circumdatum.’ (Petr. Sat. 33). The idea of theatre is supported by the music </w:t>
      </w:r>
    </w:p>
    <w:p w14:paraId="72CEA4EB" w14:textId="77777777" w:rsidR="00F82CDF" w:rsidRDefault="001236F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‘symphonia strepente’ (Petr. Sat. 33), accompanying the delivery of this course and the </w:t>
      </w:r>
    </w:p>
    <w:p w14:paraId="30047C1A" w14:textId="77777777" w:rsidR="00F82CDF" w:rsidRDefault="001236F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singing of the servants as they removed the course, ‘choro cantante’ (Petr. Sat. 34)</w:t>
      </w:r>
      <w:r w:rsidR="009B4287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. This </w:t>
      </w:r>
    </w:p>
    <w:p w14:paraId="73CC3EDC" w14:textId="77777777" w:rsidR="00F82CDF" w:rsidRDefault="009B428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theatricality supported by the use of the word stage, ‘scaenam’ (Petr. Sat. 33). The idea of </w:t>
      </w:r>
    </w:p>
    <w:p w14:paraId="4507DFC0" w14:textId="77777777" w:rsidR="00F82CDF" w:rsidRDefault="009B428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theatre is expanded with reference to sand in the amphitheatre, ‘harenam in amphitheatro’ </w:t>
      </w:r>
    </w:p>
    <w:p w14:paraId="7B50B194" w14:textId="77777777" w:rsidR="00F82CDF" w:rsidRDefault="009B428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(Petr. Sat. 34). Thus, in this section of Petronius’ Satyricon we have a blatantly staged Cena </w:t>
      </w:r>
    </w:p>
    <w:p w14:paraId="53863043" w14:textId="64786F3F" w:rsidR="0048233D" w:rsidRPr="002E0377" w:rsidRDefault="009B428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by Trimalchio using music to separate the different scenes.  </w:t>
      </w:r>
      <w:r w:rsidR="001236F7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  </w:t>
      </w:r>
    </w:p>
    <w:p w14:paraId="233C5304" w14:textId="77777777" w:rsidR="00F82CDF" w:rsidRDefault="00F82CD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</w:p>
    <w:p w14:paraId="0BA0443A" w14:textId="77777777" w:rsidR="00F82CDF" w:rsidRDefault="0048233D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The role of the Roman genre of satire was to censure the vices of men and Petronius focuses </w:t>
      </w:r>
    </w:p>
    <w:p w14:paraId="4F974FB6" w14:textId="77777777" w:rsidR="00F82CDF" w:rsidRDefault="0048233D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on this using Trimalchio’s obsession with fortune and blatant displays of wealth, evident in </w:t>
      </w:r>
    </w:p>
    <w:p w14:paraId="0FBB86FC" w14:textId="77777777" w:rsidR="00F82CDF" w:rsidRDefault="0048233D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the banquet with the ostentatious food and wine, Falernian wine of Opimius vintage, one </w:t>
      </w:r>
    </w:p>
    <w:p w14:paraId="3F62726C" w14:textId="77777777" w:rsidR="00F82CDF" w:rsidRDefault="0048233D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hundred years old, ‘Falernum </w:t>
      </w:r>
      <w:r w:rsidR="00FC34B0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Opimianum annorum centum,’ (Petr. Sat. 34). These vulgar </w:t>
      </w:r>
    </w:p>
    <w:p w14:paraId="440B75B6" w14:textId="77777777" w:rsidR="00F82CDF" w:rsidRDefault="00FC34B0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displays of wealth began earlier with Trimalchio’s use of clothing and jewellery as vehicles to </w:t>
      </w:r>
    </w:p>
    <w:p w14:paraId="22461497" w14:textId="77777777" w:rsidR="00F82CDF" w:rsidRDefault="00FC34B0" w:rsidP="000009F2">
      <w:pPr>
        <w:spacing w:after="120"/>
        <w:rPr>
          <w:sz w:val="24"/>
          <w:szCs w:val="24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display his riches. </w:t>
      </w:r>
      <w:r w:rsidRPr="002E0377">
        <w:rPr>
          <w:sz w:val="24"/>
          <w:szCs w:val="24"/>
        </w:rPr>
        <w:t xml:space="preserve">As a slave, Trimalchio would not have had any possessions, so now freed </w:t>
      </w:r>
    </w:p>
    <w:p w14:paraId="4AC2DD6D" w14:textId="77777777" w:rsidR="00F82CDF" w:rsidRDefault="00FC34B0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and wealthy he enjoys the ostentatious displays, s</w:t>
      </w:r>
      <w:r w:rsidR="00F82CDF">
        <w:rPr>
          <w:sz w:val="24"/>
          <w:szCs w:val="24"/>
        </w:rPr>
        <w:t>u</w:t>
      </w:r>
      <w:r w:rsidRPr="002E0377">
        <w:rPr>
          <w:sz w:val="24"/>
          <w:szCs w:val="24"/>
        </w:rPr>
        <w:t xml:space="preserve">ch as using purple, the most expensive </w:t>
      </w:r>
    </w:p>
    <w:p w14:paraId="3BDD3DBE" w14:textId="77777777" w:rsidR="00F82CDF" w:rsidRDefault="00FC34B0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dye used at this time. It was known as ‘Tyrian Purple’ (from Tyre in Lebanon) and the purple </w:t>
      </w:r>
    </w:p>
    <w:p w14:paraId="71E483F1" w14:textId="77777777" w:rsidR="00F82CDF" w:rsidRDefault="00FC34B0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was made from the mucus of three species of Mediterranean sea snails and a pound in the </w:t>
      </w:r>
    </w:p>
    <w:p w14:paraId="22C7B501" w14:textId="77777777" w:rsidR="00F82CDF" w:rsidRDefault="00FC34B0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1</w:t>
      </w:r>
      <w:r w:rsidRPr="002E0377">
        <w:rPr>
          <w:sz w:val="24"/>
          <w:szCs w:val="24"/>
          <w:vertAlign w:val="superscript"/>
        </w:rPr>
        <w:t>st</w:t>
      </w:r>
      <w:r w:rsidRPr="002E0377">
        <w:rPr>
          <w:sz w:val="24"/>
          <w:szCs w:val="24"/>
        </w:rPr>
        <w:t xml:space="preserve"> Century C.E. would have cost half a Roman soldier’s annual sala</w:t>
      </w:r>
      <w:r w:rsidR="00C22D91" w:rsidRPr="002E0377">
        <w:rPr>
          <w:sz w:val="24"/>
          <w:szCs w:val="24"/>
        </w:rPr>
        <w:t>r</w:t>
      </w:r>
      <w:r w:rsidRPr="002E0377">
        <w:rPr>
          <w:sz w:val="24"/>
          <w:szCs w:val="24"/>
        </w:rPr>
        <w:t xml:space="preserve">y. Pliny the Elder in his </w:t>
      </w:r>
    </w:p>
    <w:p w14:paraId="21E09741" w14:textId="77777777" w:rsidR="00F82CDF" w:rsidRDefault="00FC34B0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Natural History Book IX Chapter 60 describes how the dye is made and that over a thousand </w:t>
      </w:r>
    </w:p>
    <w:p w14:paraId="5A1F30E5" w14:textId="77777777" w:rsidR="00F82CDF" w:rsidRDefault="00FC34B0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snails are required to make an ounce of the dye. Red was representative of the cloaks </w:t>
      </w:r>
    </w:p>
    <w:p w14:paraId="16E957C7" w14:textId="77777777" w:rsidR="00F82CDF" w:rsidRDefault="00FC34B0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generals wore and so is incongruous when worn by Trimalchio, ‘pallio…coccidneo’. Again, </w:t>
      </w:r>
    </w:p>
    <w:p w14:paraId="742FBE38" w14:textId="77777777" w:rsidR="00F82CDF" w:rsidRDefault="00FC34B0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adopting the practices of those who he can never hope to be. (Pray Bober 1999:163).</w:t>
      </w:r>
      <w:r w:rsidR="0048233D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  <w:r w:rsidRPr="002E0377">
        <w:rPr>
          <w:sz w:val="24"/>
          <w:szCs w:val="24"/>
        </w:rPr>
        <w:t xml:space="preserve">Gold </w:t>
      </w:r>
    </w:p>
    <w:p w14:paraId="584ADC92" w14:textId="77777777" w:rsidR="00F82CDF" w:rsidRDefault="00FC34B0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rings were only allowed to be worn by Roman knights, ‘equites’ and this was imitated by </w:t>
      </w:r>
    </w:p>
    <w:p w14:paraId="5E0A4453" w14:textId="77777777" w:rsidR="00F82CDF" w:rsidRDefault="00FC34B0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sz w:val="24"/>
          <w:szCs w:val="24"/>
        </w:rPr>
        <w:t>Trimalchio’s gilt ring, ‘anulum grandem subauratum.’</w:t>
      </w:r>
      <w:r w:rsidR="0048233D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Jewellery as a sign of wealth is </w:t>
      </w:r>
    </w:p>
    <w:p w14:paraId="5DAF0616" w14:textId="77777777" w:rsidR="00F82CDF" w:rsidRDefault="00FC34B0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continued through his wife Fortunata, with her bracelets, anklets and a gold hairnet and </w:t>
      </w:r>
    </w:p>
    <w:p w14:paraId="1786EB5A" w14:textId="77777777" w:rsidR="00F82CDF" w:rsidRDefault="00FC34B0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Trimalchio stating that it must all weigh six and a half pounds, ‘sex pondo et selibram debet </w:t>
      </w:r>
    </w:p>
    <w:p w14:paraId="42D91D7D" w14:textId="77777777" w:rsidR="00F82CDF" w:rsidRDefault="00FC34B0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habere.’ (Petr. Sat. 67). Within section 33-34 the ostentatious displays of wealth continue </w:t>
      </w:r>
    </w:p>
    <w:p w14:paraId="1020E854" w14:textId="77777777" w:rsidR="00F82CDF" w:rsidRDefault="00FC34B0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with the use of money, ‘aureos’ and ‘denarios’ for counters. (petr. Sat. 33), and the spoons </w:t>
      </w:r>
    </w:p>
    <w:p w14:paraId="4444CD31" w14:textId="77777777" w:rsidR="00F82CDF" w:rsidRDefault="00FC34B0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for eating weighing not less than half a pound, ‘</w:t>
      </w:r>
      <w:r w:rsidR="00B947E4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accipimus nos Cochlearia non minus selibras’ </w:t>
      </w:r>
    </w:p>
    <w:p w14:paraId="48D74A7C" w14:textId="77777777" w:rsidR="00F82CDF" w:rsidRDefault="00B947E4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(Petr. Sat. 33). Trimalchio’s ‘Cena’ reflects the opulence and ostentation characteristic of the </w:t>
      </w:r>
    </w:p>
    <w:p w14:paraId="76B8DBBB" w14:textId="77777777" w:rsidR="00F82CDF" w:rsidRDefault="00B947E4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Roman elite, (Dunbabin K. The Roman Banquet pg.2), something Tramalchio aspired to as </w:t>
      </w:r>
    </w:p>
    <w:p w14:paraId="0AFB2956" w14:textId="06514460" w:rsidR="00CA0DE9" w:rsidRPr="002E0377" w:rsidRDefault="00B947E4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already shown by the purple stripe and imitation gold ring. </w:t>
      </w:r>
    </w:p>
    <w:p w14:paraId="2545D653" w14:textId="77777777" w:rsidR="00F82CDF" w:rsidRDefault="00F82CD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</w:p>
    <w:p w14:paraId="2D2BB990" w14:textId="77777777" w:rsidR="00F82CDF" w:rsidRDefault="00CA0DE9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Petronius’ portrayal of Trimalchio and his guests sheds light on the complexities of Roman </w:t>
      </w:r>
    </w:p>
    <w:p w14:paraId="5919D49C" w14:textId="77777777" w:rsidR="00F82CDF" w:rsidRDefault="00CA0DE9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identity and social hierarchy. Trimalchio’s ascent from slavery to wealth as shown by the </w:t>
      </w:r>
    </w:p>
    <w:p w14:paraId="0B12C055" w14:textId="77777777" w:rsidR="00F82CDF" w:rsidRDefault="00CA0DE9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mural in section 29 underscores the fluidity of identity in Roman society. </w:t>
      </w:r>
      <w:r w:rsidR="00A50C8F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Trimalchio </w:t>
      </w:r>
    </w:p>
    <w:p w14:paraId="042BBC54" w14:textId="77777777" w:rsidR="00F82CDF" w:rsidRDefault="00A50C8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continues to show his pretentiousness and vulgarity through arriving late to the cena. </w:t>
      </w:r>
    </w:p>
    <w:p w14:paraId="0863A290" w14:textId="77777777" w:rsidR="00F82CDF" w:rsidRDefault="00A50C8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Section 33 starts with this event, a way for Petronius to show Trimalchio’s belief in his own </w:t>
      </w:r>
    </w:p>
    <w:p w14:paraId="0E118A2C" w14:textId="77777777" w:rsidR="00F82CDF" w:rsidRDefault="00A50C8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importance, as if by not being there to welcome them, his guests were being deprived of </w:t>
      </w:r>
    </w:p>
    <w:p w14:paraId="44FB01BE" w14:textId="77777777" w:rsidR="00F82CDF" w:rsidRDefault="00A50C8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something worthwhile, ‘sed ne diutius absens morae vobis essem,’ (Petr. Sat. 33). </w:t>
      </w:r>
      <w:r w:rsidR="006D6C6E" w:rsidRPr="002E0377">
        <w:rPr>
          <w:rFonts w:cstheme="minorHAnsi"/>
          <w:color w:val="0D0D0D"/>
          <w:sz w:val="24"/>
          <w:szCs w:val="24"/>
          <w:shd w:val="clear" w:color="auto" w:fill="FFFFFF"/>
        </w:rPr>
        <w:t>Vulgarity</w:t>
      </w: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</w:p>
    <w:p w14:paraId="54753437" w14:textId="77777777" w:rsidR="00F82CDF" w:rsidRDefault="00A50C8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and a lack of refinement is made clear with Trimalchio using up all the common swear </w:t>
      </w:r>
    </w:p>
    <w:p w14:paraId="352E0A08" w14:textId="77777777" w:rsidR="00F82CDF" w:rsidRDefault="00A50C8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words, ‘omnium textora dicta,’ (Petr. Sat. 33) whilst playing the game. (Schmeling G. A </w:t>
      </w:r>
    </w:p>
    <w:p w14:paraId="3A8ADBF0" w14:textId="77777777" w:rsidR="00F82CDF" w:rsidRDefault="00A50C8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Commentary on the Satyrica of Petronius). His attempts to emulate the manners and </w:t>
      </w:r>
    </w:p>
    <w:p w14:paraId="1914CEC5" w14:textId="77777777" w:rsidR="00F82CDF" w:rsidRDefault="00A50C8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customs of the aristocracy are both comical and pitiful. This highlights Petronius’ </w:t>
      </w:r>
    </w:p>
    <w:p w14:paraId="04061466" w14:textId="7C24566F" w:rsidR="00C22D91" w:rsidRPr="002E0377" w:rsidRDefault="00A50C8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commentary on the superficiality of Roman social hierarchy.</w:t>
      </w:r>
    </w:p>
    <w:p w14:paraId="1C0F07EE" w14:textId="77777777" w:rsidR="00781724" w:rsidRDefault="00781724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</w:p>
    <w:p w14:paraId="60C72BDE" w14:textId="3B072479" w:rsidR="00F82CDF" w:rsidRDefault="00A50C8F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  <w:r w:rsidR="00C22D91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A key theme of the Cena is death and we have seen from earlier sections how obsessed </w:t>
      </w:r>
    </w:p>
    <w:p w14:paraId="6FBC12D9" w14:textId="6ED3495D" w:rsidR="00F82CDF" w:rsidRDefault="00C22D91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>Trimalchio is with his mortality</w:t>
      </w:r>
      <w:r w:rsidR="00605B81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: the water clock in his dining room, ‘horologium in triclinio’, </w:t>
      </w:r>
    </w:p>
    <w:p w14:paraId="3A476C43" w14:textId="6AAF261F" w:rsidR="00F82CDF" w:rsidRDefault="00605B81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(Petr. Sat. 26) a clear reference to the passing of time; the wall painting of the large dog, </w:t>
      </w:r>
    </w:p>
    <w:p w14:paraId="67548A2B" w14:textId="3A2651E8" w:rsidR="00F82CDF" w:rsidRDefault="00605B81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‘canis ingens’ (Petr. Sat. 29) reminiscent of the dog mosaics found on the floors of </w:t>
      </w:r>
      <w:r w:rsidR="0099159E" w:rsidRPr="002E0377">
        <w:rPr>
          <w:rFonts w:cstheme="minorHAnsi"/>
          <w:color w:val="0D0D0D"/>
          <w:sz w:val="24"/>
          <w:szCs w:val="24"/>
          <w:shd w:val="clear" w:color="auto" w:fill="FFFFFF"/>
        </w:rPr>
        <w:t>Pompeian</w:t>
      </w: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</w:p>
    <w:p w14:paraId="51F4DD79" w14:textId="6619D56C" w:rsidR="00F82CDF" w:rsidRDefault="00605B81" w:rsidP="000009F2">
      <w:pPr>
        <w:spacing w:after="120"/>
        <w:rPr>
          <w:sz w:val="24"/>
          <w:szCs w:val="24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houses that could be linked to Cerberus guarding the entrance to Hades. </w:t>
      </w:r>
      <w:r w:rsidRPr="002E0377">
        <w:rPr>
          <w:sz w:val="24"/>
          <w:szCs w:val="24"/>
        </w:rPr>
        <w:t xml:space="preserve">The mural scene </w:t>
      </w:r>
    </w:p>
    <w:p w14:paraId="15FE8AE8" w14:textId="6EBFA6F0" w:rsidR="00F82CDF" w:rsidRDefault="00605B81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also invites comparison with funerary monuments and practices. The whole could be seen as </w:t>
      </w:r>
    </w:p>
    <w:p w14:paraId="31E7A9F2" w14:textId="0B0750FB" w:rsidR="00F82CDF" w:rsidRDefault="00605B81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a tomb with the life of Trimalchio being clearly depicted from being bought as a slave </w:t>
      </w:r>
    </w:p>
    <w:p w14:paraId="12B32667" w14:textId="32A52A5F" w:rsidR="00F82CDF" w:rsidRDefault="00605B81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‘venalicium’, entering Rome with Minerva. Dunbabin's analysis underscores the meticulous </w:t>
      </w:r>
    </w:p>
    <w:p w14:paraId="6DE52A74" w14:textId="68F173D6" w:rsidR="00F82CDF" w:rsidRDefault="000009F2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>a</w:t>
      </w:r>
      <w:r w:rsidR="00605B81" w:rsidRPr="002E0377">
        <w:rPr>
          <w:sz w:val="24"/>
          <w:szCs w:val="24"/>
        </w:rPr>
        <w:t xml:space="preserve">ttention to detail in Petronius' description of Trimalchio's banquet, revealing the author's </w:t>
      </w:r>
    </w:p>
    <w:p w14:paraId="46AB1533" w14:textId="3660D673" w:rsidR="00F82CDF" w:rsidRDefault="00605B81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keen awareness of contemporary artistic practices. These types of images can be linked to </w:t>
      </w:r>
    </w:p>
    <w:p w14:paraId="7096DC05" w14:textId="43986434" w:rsidR="00F82CDF" w:rsidRDefault="00605B81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late Augustan sculptures on funerary monuments. Amy Richlin, in her essay "Petronius as </w:t>
      </w:r>
    </w:p>
    <w:p w14:paraId="60409D77" w14:textId="3294CE71" w:rsidR="00F82CDF" w:rsidRDefault="00605B81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Paradox," explores how the murals contribute to the portrayal of Trimalchio's personality </w:t>
      </w:r>
    </w:p>
    <w:p w14:paraId="71AA4478" w14:textId="25BC0114" w:rsidR="00F82CDF" w:rsidRDefault="00605B81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and ambitions. C</w:t>
      </w:r>
      <w:r w:rsidR="00C22D91" w:rsidRPr="002E0377">
        <w:rPr>
          <w:sz w:val="24"/>
          <w:szCs w:val="24"/>
        </w:rPr>
        <w:t xml:space="preserve">ombined </w:t>
      </w:r>
      <w:r w:rsidRPr="002E0377">
        <w:rPr>
          <w:sz w:val="24"/>
          <w:szCs w:val="24"/>
        </w:rPr>
        <w:t xml:space="preserve">the image of the dog </w:t>
      </w:r>
      <w:r w:rsidR="00C22D91" w:rsidRPr="002E0377">
        <w:rPr>
          <w:sz w:val="24"/>
          <w:szCs w:val="24"/>
        </w:rPr>
        <w:t xml:space="preserve">with the mural tracing the rise of Trimalchio </w:t>
      </w:r>
    </w:p>
    <w:p w14:paraId="3BC8EB58" w14:textId="7545E848" w:rsidR="00F82CDF" w:rsidRDefault="00C22D91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from slave to social prominence could be likened to entering the house of the dead. Another </w:t>
      </w:r>
    </w:p>
    <w:p w14:paraId="6C9B3A58" w14:textId="40BB5E34" w:rsidR="00F82CDF" w:rsidRDefault="00C22D91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reference to the afterlife can be seen with the mention of the Fates, ‘tres Parcae’ who </w:t>
      </w:r>
    </w:p>
    <w:p w14:paraId="77F9F6BD" w14:textId="4BFED40B" w:rsidR="00F82CDF" w:rsidRDefault="00C22D91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represent the transition from life to the afterlife, an apotheosis. </w:t>
      </w:r>
      <w:r w:rsidR="006D6C6E" w:rsidRPr="002E0377">
        <w:rPr>
          <w:sz w:val="24"/>
          <w:szCs w:val="24"/>
        </w:rPr>
        <w:t xml:space="preserve">The Cena itself is </w:t>
      </w:r>
    </w:p>
    <w:p w14:paraId="0453E2AC" w14:textId="77777777" w:rsidR="00A457CC" w:rsidRDefault="006D6C6E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interpreted by Bodel </w:t>
      </w:r>
      <w:r w:rsidR="00D12BC6" w:rsidRPr="002E0377">
        <w:rPr>
          <w:sz w:val="24"/>
          <w:szCs w:val="24"/>
        </w:rPr>
        <w:t xml:space="preserve">in his work ‘Trimalchio’s Underworld’ </w:t>
      </w:r>
      <w:r w:rsidRPr="002E0377">
        <w:rPr>
          <w:sz w:val="24"/>
          <w:szCs w:val="24"/>
        </w:rPr>
        <w:t xml:space="preserve">as a funeral feast with </w:t>
      </w:r>
    </w:p>
    <w:p w14:paraId="5FE72684" w14:textId="7AF1FFC1" w:rsidR="00F82CDF" w:rsidRDefault="006D6C6E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Trimalchio’s house as the underworld. </w:t>
      </w:r>
      <w:r w:rsidR="00D12BC6" w:rsidRPr="002E0377">
        <w:rPr>
          <w:sz w:val="24"/>
          <w:szCs w:val="24"/>
        </w:rPr>
        <w:t xml:space="preserve">The silver skeleton, ‘larvam argenteam’ (Petr. Sat. 34) </w:t>
      </w:r>
    </w:p>
    <w:p w14:paraId="1CEF1F7B" w14:textId="215A014D" w:rsidR="00F82CDF" w:rsidRDefault="00D12BC6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was an affectation used at cenas to show how quickly life passes, in a similar fashion to the </w:t>
      </w:r>
    </w:p>
    <w:p w14:paraId="76950D20" w14:textId="77777777" w:rsidR="00F82CDF" w:rsidRDefault="00D12BC6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water clock. This was also linked by Gagliardi (1980) in ‘Il Comico In Petronio’ to the sub-</w:t>
      </w:r>
    </w:p>
    <w:p w14:paraId="6B23C4D4" w14:textId="77777777" w:rsidR="00F82CDF" w:rsidRDefault="00D12BC6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genre of mine, an element of the text mentioned earlier. At the end of section 34, Trimalchio </w:t>
      </w:r>
    </w:p>
    <w:p w14:paraId="620C4EEA" w14:textId="77777777" w:rsidR="00F82CDF" w:rsidRDefault="00D12BC6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recites an epigram ‘eheu nos miseros…licit esse bene’</w:t>
      </w:r>
      <w:r w:rsidR="004A3EBA" w:rsidRPr="002E0377">
        <w:rPr>
          <w:sz w:val="24"/>
          <w:szCs w:val="24"/>
        </w:rPr>
        <w:t xml:space="preserve">, reflecting that life needs to be lived </w:t>
      </w:r>
    </w:p>
    <w:p w14:paraId="5E3F9798" w14:textId="77777777" w:rsidR="00F82CDF" w:rsidRDefault="004A3EBA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well, whilst you have the chance. Epigrams were a common pattern for epitaphs. The </w:t>
      </w:r>
    </w:p>
    <w:p w14:paraId="5E1DE84C" w14:textId="77777777" w:rsidR="00F82CDF" w:rsidRDefault="004A3EBA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quotation also includes reference to Orcus</w:t>
      </w:r>
      <w:r w:rsidR="00C74608" w:rsidRPr="002E0377">
        <w:rPr>
          <w:sz w:val="24"/>
          <w:szCs w:val="24"/>
        </w:rPr>
        <w:t xml:space="preserve">, the connection between the living and the dead </w:t>
      </w:r>
    </w:p>
    <w:p w14:paraId="21B9D08A" w14:textId="77777777" w:rsidR="00F82CDF" w:rsidRDefault="00C74608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worlds. The importance of Orcus can be seen on gold tablets found placed on the dead with </w:t>
      </w:r>
    </w:p>
    <w:p w14:paraId="4906E6D4" w14:textId="77777777" w:rsidR="00F82CDF" w:rsidRDefault="00C74608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instructions on how to navigate though Orcus, the transition from life to death, the living </w:t>
      </w:r>
    </w:p>
    <w:p w14:paraId="22549C21" w14:textId="77777777" w:rsidR="00F82CDF" w:rsidRDefault="00C74608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world to Hades. Whilst these lamellae have mainly been found on Greek bodies ‘one lamina, </w:t>
      </w:r>
    </w:p>
    <w:p w14:paraId="60FBB8BE" w14:textId="77777777" w:rsidR="00F82CDF" w:rsidRDefault="00C74608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now in the British Museum and dated to the second century CE, was found in Rome, in the </w:t>
      </w:r>
    </w:p>
    <w:p w14:paraId="1974CA4F" w14:textId="77777777" w:rsidR="00F82CDF" w:rsidRDefault="00C74608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burial of Cecilia Secundina on the Via Ostiense’ (Casagrande-Kim, 2012, pp 88-89).</w:t>
      </w:r>
      <w:r w:rsidR="00F82CDF">
        <w:rPr>
          <w:sz w:val="24"/>
          <w:szCs w:val="24"/>
        </w:rPr>
        <w:t xml:space="preserve">The </w:t>
      </w:r>
    </w:p>
    <w:p w14:paraId="04F1F924" w14:textId="77777777" w:rsidR="00F82CDF" w:rsidRDefault="00F82CDF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>inscription on the t</w:t>
      </w:r>
      <w:r w:rsidR="00C74608" w:rsidRPr="002E0377">
        <w:rPr>
          <w:sz w:val="24"/>
          <w:szCs w:val="24"/>
        </w:rPr>
        <w:t>ablet from Rome</w:t>
      </w:r>
      <w:r>
        <w:rPr>
          <w:sz w:val="24"/>
          <w:szCs w:val="24"/>
        </w:rPr>
        <w:t xml:space="preserve"> reads</w:t>
      </w:r>
      <w:r w:rsidR="00C74608" w:rsidRPr="002E0377">
        <w:rPr>
          <w:sz w:val="24"/>
          <w:szCs w:val="24"/>
        </w:rPr>
        <w:t xml:space="preserve">: </w:t>
      </w:r>
      <w:r>
        <w:rPr>
          <w:sz w:val="24"/>
          <w:szCs w:val="24"/>
        </w:rPr>
        <w:t>‘</w:t>
      </w:r>
      <w:r w:rsidR="00C74608" w:rsidRPr="002E0377">
        <w:rPr>
          <w:sz w:val="24"/>
          <w:szCs w:val="24"/>
        </w:rPr>
        <w:t xml:space="preserve">She comes from among the pure, pure, queen of </w:t>
      </w:r>
    </w:p>
    <w:p w14:paraId="6FD6BE15" w14:textId="77777777" w:rsidR="00F82CDF" w:rsidRDefault="00C74608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the subterranean beings, Eucles and Eubouleus, son of Zeus. Accept, therefore, this gift of </w:t>
      </w:r>
    </w:p>
    <w:p w14:paraId="6CFCCF14" w14:textId="77777777" w:rsidR="00F82CDF" w:rsidRDefault="00C74608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 xml:space="preserve">Mnemosyne, celebrated by men. “Come, Caecilia Secundina, legitimately transformed into a </w:t>
      </w:r>
    </w:p>
    <w:p w14:paraId="35020B92" w14:textId="1C470E50" w:rsidR="00C22D91" w:rsidRDefault="00C74608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goddess”</w:t>
      </w:r>
      <w:r w:rsidR="00F82CDF">
        <w:rPr>
          <w:sz w:val="24"/>
          <w:szCs w:val="24"/>
        </w:rPr>
        <w:t>’</w:t>
      </w:r>
      <w:r w:rsidRPr="002E0377">
        <w:rPr>
          <w:sz w:val="24"/>
          <w:szCs w:val="24"/>
        </w:rPr>
        <w:t xml:space="preserve"> (Bernabe, 2008, 133).</w:t>
      </w:r>
      <w:r w:rsidR="004A3EBA" w:rsidRPr="002E0377">
        <w:rPr>
          <w:sz w:val="24"/>
          <w:szCs w:val="24"/>
        </w:rPr>
        <w:t xml:space="preserve"> </w:t>
      </w:r>
    </w:p>
    <w:p w14:paraId="52FC2ABC" w14:textId="77777777" w:rsidR="00F82CDF" w:rsidRDefault="00F82CDF" w:rsidP="000009F2">
      <w:pPr>
        <w:spacing w:after="120"/>
        <w:rPr>
          <w:sz w:val="24"/>
          <w:szCs w:val="24"/>
        </w:rPr>
      </w:pPr>
    </w:p>
    <w:p w14:paraId="1BED377D" w14:textId="77777777" w:rsidR="000009F2" w:rsidRDefault="00A457CC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In conclusion, this section of Petronius’ ‘Satyrica’ is a microcosm of the decadence and </w:t>
      </w:r>
    </w:p>
    <w:p w14:paraId="3C5806A2" w14:textId="77777777" w:rsidR="000009F2" w:rsidRDefault="00A457CC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superficiality of Roman society at that time, with Trimalchio being a caricature of the </w:t>
      </w:r>
    </w:p>
    <w:p w14:paraId="4E56D75B" w14:textId="77777777" w:rsidR="000009F2" w:rsidRDefault="00A457CC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nouveau riche. Trimalchio’s ostentatious display of wealth shown through both he and his </w:t>
      </w:r>
    </w:p>
    <w:p w14:paraId="6C36CC2B" w14:textId="77777777" w:rsidR="000009F2" w:rsidRDefault="00A457CC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wife Fortunata’s jewellery, extravagant culinary offerings, and pretentious behaviour </w:t>
      </w:r>
    </w:p>
    <w:p w14:paraId="73B028E1" w14:textId="77777777" w:rsidR="000009F2" w:rsidRDefault="00A457CC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highlight the emptiness and absurdity of materialism. We also see the theatricality of the </w:t>
      </w:r>
    </w:p>
    <w:p w14:paraId="23AC8393" w14:textId="77777777" w:rsidR="000009F2" w:rsidRDefault="00A457CC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piece through the use of Trimalchio as director and the triclinium being his stage. Death as </w:t>
      </w:r>
    </w:p>
    <w:p w14:paraId="3E3DEC1F" w14:textId="77777777" w:rsidR="000009F2" w:rsidRDefault="00A457CC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ever is present as a theme continuing previous references, showing Roman awareness of the </w:t>
      </w:r>
    </w:p>
    <w:p w14:paraId="32540F4D" w14:textId="77777777" w:rsidR="000009F2" w:rsidRDefault="00A457CC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brevity of time spent in the world of the living and the desire to exert control beyond death. </w:t>
      </w:r>
    </w:p>
    <w:p w14:paraId="539674B6" w14:textId="77777777" w:rsidR="000009F2" w:rsidRDefault="00A457CC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Therefore ‘Death’ has an important contribution to make to the structure, characterisation </w:t>
      </w:r>
    </w:p>
    <w:p w14:paraId="3BCA76A2" w14:textId="5DDBC80D" w:rsidR="00F82CDF" w:rsidRPr="002E0377" w:rsidRDefault="00A457CC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and artistic wit of ‘Satyricon’.     </w:t>
      </w:r>
    </w:p>
    <w:p w14:paraId="50F4365A" w14:textId="2A82BBFA" w:rsidR="001324BC" w:rsidRPr="002E0377" w:rsidRDefault="00CA0DE9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  <w:r w:rsidR="004A1F7E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  <w:r w:rsidR="00B947E4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  <w:r w:rsidR="00FC34B0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  <w:r w:rsidR="00DC7F00"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 </w:t>
      </w:r>
    </w:p>
    <w:p w14:paraId="5F0A3211" w14:textId="591F3E0C" w:rsidR="00831CF2" w:rsidRPr="002E0377" w:rsidRDefault="000009F2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>
        <w:rPr>
          <w:rFonts w:cstheme="minorHAnsi"/>
          <w:color w:val="0D0D0D"/>
          <w:sz w:val="24"/>
          <w:szCs w:val="24"/>
          <w:shd w:val="clear" w:color="auto" w:fill="FFFFFF"/>
        </w:rPr>
        <w:t>Word count - 1722</w:t>
      </w:r>
    </w:p>
    <w:p w14:paraId="06A42188" w14:textId="77777777" w:rsidR="00781724" w:rsidRDefault="00781724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</w:p>
    <w:p w14:paraId="2EABC47F" w14:textId="07B0045D" w:rsidR="00831CF2" w:rsidRPr="00781724" w:rsidRDefault="00831CF2" w:rsidP="000009F2">
      <w:pPr>
        <w:spacing w:after="120"/>
        <w:rPr>
          <w:rFonts w:cstheme="minorHAnsi"/>
          <w:b/>
          <w:bCs/>
          <w:color w:val="0D0D0D"/>
          <w:sz w:val="24"/>
          <w:szCs w:val="24"/>
          <w:shd w:val="clear" w:color="auto" w:fill="FFFFFF"/>
        </w:rPr>
      </w:pPr>
      <w:r w:rsidRPr="00781724">
        <w:rPr>
          <w:rFonts w:cstheme="minorHAnsi"/>
          <w:b/>
          <w:bCs/>
          <w:color w:val="0D0D0D"/>
          <w:sz w:val="24"/>
          <w:szCs w:val="24"/>
          <w:shd w:val="clear" w:color="auto" w:fill="FFFFFF"/>
        </w:rPr>
        <w:t>Bibliography</w:t>
      </w:r>
    </w:p>
    <w:p w14:paraId="7B4EF11C" w14:textId="5B5E4D1E" w:rsidR="00F82CDF" w:rsidRDefault="00F82CDF" w:rsidP="000009F2">
      <w:pPr>
        <w:spacing w:after="120"/>
        <w:rPr>
          <w:sz w:val="24"/>
          <w:szCs w:val="24"/>
        </w:rPr>
      </w:pPr>
      <w:r>
        <w:rPr>
          <w:rFonts w:ascii="Segoe UI" w:hAnsi="Segoe UI" w:cs="Segoe UI"/>
          <w:color w:val="0D0D0D"/>
          <w:shd w:val="clear" w:color="auto" w:fill="FFFFFF"/>
        </w:rPr>
        <w:t>Beard, Mary. "The Roman Triumph." Harvard University Press, 2009.</w:t>
      </w:r>
    </w:p>
    <w:p w14:paraId="7D4825B4" w14:textId="1E88A5D7" w:rsidR="002E0377" w:rsidRPr="002E0377" w:rsidRDefault="002E0377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Bernabe A. Jiminez San Cristobal A.I. eds. ‘Instructions for the Netherworld: The |Orphic Gold Tablets.’ Boston 2008, pg133.</w:t>
      </w:r>
    </w:p>
    <w:p w14:paraId="785EAAC2" w14:textId="30F68B3B" w:rsidR="00D12BC6" w:rsidRPr="002E0377" w:rsidRDefault="00D12BC6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Bodel, John. ‘Trimalchio’s Underworld’, in James Tatum (ed.), The Search for the Ancient Novel (Baltimore and London: The John Hopkins University Press), 1994.</w:t>
      </w:r>
    </w:p>
    <w:p w14:paraId="694BA90F" w14:textId="344EB916" w:rsidR="002E0377" w:rsidRPr="002E0377" w:rsidRDefault="002E0377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Casagrande, Kim R. ‘The Journey to the Underworld: Topography, Landscape and Divine Inhabitants of the Roman Hades.’ Columbia University, 2012, pp 88-89.</w:t>
      </w:r>
    </w:p>
    <w:p w14:paraId="48A8A5DD" w14:textId="2D3F1D16" w:rsidR="002E0377" w:rsidRPr="002E0377" w:rsidRDefault="002E0377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Dalby, Andrew. ‘Food in the Ancient World from A to Z’. Routledge, 2005.</w:t>
      </w:r>
    </w:p>
    <w:p w14:paraId="7F24CB87" w14:textId="266FFAD5" w:rsidR="002E0377" w:rsidRPr="002E0377" w:rsidRDefault="002E0377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Dobbins, John J. and Peder W. Foss. ‘The World of Pompeii’. Routledge, 2007.</w:t>
      </w:r>
    </w:p>
    <w:p w14:paraId="24E8B8AF" w14:textId="4BEA8608" w:rsidR="002E0377" w:rsidRPr="002E0377" w:rsidRDefault="002E0377" w:rsidP="000009F2">
      <w:pPr>
        <w:spacing w:after="120"/>
        <w:rPr>
          <w:rFonts w:cstheme="minorHAnsi"/>
          <w:sz w:val="24"/>
          <w:szCs w:val="24"/>
        </w:rPr>
      </w:pPr>
      <w:r w:rsidRPr="002E0377">
        <w:rPr>
          <w:sz w:val="24"/>
          <w:szCs w:val="24"/>
        </w:rPr>
        <w:t>Dunbabin, Katherine "The Roman Banquet: Images of Conviviality.’ Cambridge University Press, 2003.</w:t>
      </w:r>
    </w:p>
    <w:p w14:paraId="16F02182" w14:textId="77777777" w:rsidR="002E0377" w:rsidRPr="002E0377" w:rsidRDefault="002E0377" w:rsidP="000009F2">
      <w:pPr>
        <w:spacing w:after="120"/>
        <w:rPr>
          <w:rFonts w:cstheme="minorHAnsi"/>
          <w:color w:val="0D0D0D"/>
          <w:sz w:val="24"/>
          <w:szCs w:val="24"/>
          <w:shd w:val="clear" w:color="auto" w:fill="FFFFFF"/>
        </w:rPr>
      </w:pPr>
      <w:r w:rsidRPr="002E0377">
        <w:rPr>
          <w:rFonts w:cstheme="minorHAnsi"/>
          <w:color w:val="0D0D0D"/>
          <w:sz w:val="24"/>
          <w:szCs w:val="24"/>
          <w:shd w:val="clear" w:color="auto" w:fill="FFFFFF"/>
        </w:rPr>
        <w:t xml:space="preserve">Oxford reference </w:t>
      </w:r>
      <w:hyperlink r:id="rId4" w:history="1">
        <w:r w:rsidRPr="002E0377">
          <w:rPr>
            <w:rStyle w:val="Hyperlink"/>
            <w:rFonts w:cstheme="minorHAnsi"/>
            <w:sz w:val="24"/>
            <w:szCs w:val="24"/>
            <w:shd w:val="clear" w:color="auto" w:fill="FFFFFF"/>
          </w:rPr>
          <w:t>https://www.oxfordreference.com/display/10.1093/oi/authority.20110803100150176</w:t>
        </w:r>
      </w:hyperlink>
    </w:p>
    <w:p w14:paraId="4B315941" w14:textId="77777777" w:rsidR="00F82CDF" w:rsidRDefault="00F82CDF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>Pray Bober, P. ‘Art, culture and cuisine: Ancient and medieval gastronomy.’ Chicago Press, 1999.</w:t>
      </w:r>
    </w:p>
    <w:p w14:paraId="6E4E9CDB" w14:textId="24580241" w:rsidR="002E0377" w:rsidRPr="002E0377" w:rsidRDefault="002E0377" w:rsidP="000009F2">
      <w:pPr>
        <w:spacing w:after="120"/>
        <w:rPr>
          <w:rFonts w:cstheme="minorHAnsi"/>
          <w:sz w:val="24"/>
          <w:szCs w:val="24"/>
        </w:rPr>
      </w:pPr>
      <w:r w:rsidRPr="002E0377">
        <w:rPr>
          <w:rFonts w:cstheme="minorHAnsi"/>
          <w:sz w:val="24"/>
          <w:szCs w:val="24"/>
        </w:rPr>
        <w:t>Petronius. ‘Satyricon’ translated by William Arrowsmith. Penguin Classics, 2009.</w:t>
      </w:r>
    </w:p>
    <w:p w14:paraId="350F1EBC" w14:textId="77777777" w:rsidR="00A54647" w:rsidRDefault="00A54647" w:rsidP="00A54647">
      <w:pPr>
        <w:rPr>
          <w:sz w:val="24"/>
          <w:szCs w:val="24"/>
        </w:rPr>
      </w:pPr>
      <w:r>
        <w:rPr>
          <w:sz w:val="24"/>
          <w:szCs w:val="24"/>
        </w:rPr>
        <w:t>Rackham, H. Translation ‘Natural History’ by Pliny. Harvard University Press, 1961.</w:t>
      </w:r>
    </w:p>
    <w:p w14:paraId="4873D394" w14:textId="196F322D" w:rsidR="00F82CDF" w:rsidRPr="007368A6" w:rsidRDefault="00F82CDF" w:rsidP="000009F2">
      <w:pPr>
        <w:spacing w:after="120"/>
        <w:rPr>
          <w:sz w:val="24"/>
          <w:szCs w:val="24"/>
        </w:rPr>
      </w:pPr>
      <w:r w:rsidRPr="007368A6">
        <w:rPr>
          <w:sz w:val="24"/>
          <w:szCs w:val="24"/>
        </w:rPr>
        <w:t>Richlin, Amy. "Petronius as Paradox." In "Roman Sexualities." Princeton University Press, 1997.</w:t>
      </w:r>
    </w:p>
    <w:p w14:paraId="436911D2" w14:textId="3996FEE6" w:rsidR="00A54647" w:rsidRDefault="00A54647" w:rsidP="000009F2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Rowell, Henry T. The American Journal of Philology, Volume 92, No. 1. John </w:t>
      </w:r>
      <w:r w:rsidR="006258E6">
        <w:rPr>
          <w:sz w:val="24"/>
          <w:szCs w:val="24"/>
        </w:rPr>
        <w:t>Hopkins University Press, January 1971, pp.100-103.</w:t>
      </w:r>
    </w:p>
    <w:p w14:paraId="413315AC" w14:textId="201AE8FE" w:rsidR="002E0377" w:rsidRPr="002E0377" w:rsidRDefault="002E0377" w:rsidP="000009F2">
      <w:pPr>
        <w:spacing w:after="120"/>
        <w:rPr>
          <w:sz w:val="24"/>
          <w:szCs w:val="24"/>
        </w:rPr>
      </w:pPr>
      <w:r w:rsidRPr="002E0377">
        <w:rPr>
          <w:sz w:val="24"/>
          <w:szCs w:val="24"/>
        </w:rPr>
        <w:t>Schmeling, Gareth. ‘A Commentary on the Satyrica of Petronius.’ University of North Carolina Press, 2011.</w:t>
      </w:r>
    </w:p>
    <w:p w14:paraId="3CD4B192" w14:textId="0B0DB2E5" w:rsidR="00831CF2" w:rsidRPr="002E0377" w:rsidRDefault="00D12BC6" w:rsidP="000009F2">
      <w:pPr>
        <w:spacing w:after="120"/>
        <w:rPr>
          <w:rFonts w:cstheme="minorHAnsi"/>
          <w:sz w:val="24"/>
          <w:szCs w:val="24"/>
        </w:rPr>
      </w:pPr>
      <w:r w:rsidRPr="002E0377">
        <w:rPr>
          <w:rFonts w:cstheme="minorHAnsi"/>
          <w:sz w:val="24"/>
          <w:szCs w:val="24"/>
        </w:rPr>
        <w:t>Walsh, P.G.</w:t>
      </w:r>
      <w:r w:rsidR="00A54647">
        <w:rPr>
          <w:rFonts w:cstheme="minorHAnsi"/>
          <w:sz w:val="24"/>
          <w:szCs w:val="24"/>
        </w:rPr>
        <w:t xml:space="preserve"> </w:t>
      </w:r>
      <w:r w:rsidR="00831CF2" w:rsidRPr="002E0377">
        <w:rPr>
          <w:rFonts w:cstheme="minorHAnsi"/>
          <w:sz w:val="24"/>
          <w:szCs w:val="24"/>
        </w:rPr>
        <w:t>Reviewed Work(s): The Roman Novel: The 'Satyricon' of Petronius and the 'Metamorphoses' of Apuleiu</w:t>
      </w:r>
      <w:r w:rsidRPr="002E0377">
        <w:rPr>
          <w:rFonts w:cstheme="minorHAnsi"/>
          <w:sz w:val="24"/>
          <w:szCs w:val="24"/>
        </w:rPr>
        <w:t>.</w:t>
      </w:r>
      <w:r w:rsidR="00831CF2" w:rsidRPr="002E0377">
        <w:rPr>
          <w:rFonts w:cstheme="minorHAnsi"/>
          <w:sz w:val="24"/>
          <w:szCs w:val="24"/>
        </w:rPr>
        <w:t xml:space="preserve"> Review by: Henry T. Rowell Source: The American Journal of Philology , Oct., 1971, Vol. 92, No. 4, pp. 701-706</w:t>
      </w:r>
    </w:p>
    <w:p w14:paraId="0AE2A5AC" w14:textId="77777777" w:rsidR="002C67B8" w:rsidRPr="002E0377" w:rsidRDefault="002C67B8" w:rsidP="000009F2">
      <w:pPr>
        <w:spacing w:after="120"/>
        <w:rPr>
          <w:rFonts w:ascii="Segoe UI" w:hAnsi="Segoe UI" w:cs="Segoe UI"/>
          <w:color w:val="0D0D0D"/>
          <w:sz w:val="24"/>
          <w:szCs w:val="24"/>
          <w:shd w:val="clear" w:color="auto" w:fill="FFFFFF"/>
        </w:rPr>
      </w:pPr>
    </w:p>
    <w:p w14:paraId="00C2BAF7" w14:textId="77777777" w:rsidR="001324BC" w:rsidRPr="002E0377" w:rsidRDefault="001324BC" w:rsidP="000009F2">
      <w:pPr>
        <w:spacing w:after="120"/>
        <w:rPr>
          <w:rFonts w:ascii="Segoe UI" w:hAnsi="Segoe UI" w:cs="Segoe UI"/>
          <w:color w:val="0D0D0D"/>
          <w:sz w:val="24"/>
          <w:szCs w:val="24"/>
          <w:shd w:val="clear" w:color="auto" w:fill="FFFFFF"/>
        </w:rPr>
      </w:pPr>
    </w:p>
    <w:p w14:paraId="4BE1969E" w14:textId="2E3726A4" w:rsidR="001324BC" w:rsidRDefault="001324BC" w:rsidP="000009F2">
      <w:pPr>
        <w:spacing w:after="120"/>
      </w:pPr>
    </w:p>
    <w:sectPr w:rsidR="001324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4BC"/>
    <w:rsid w:val="000009F2"/>
    <w:rsid w:val="001236F7"/>
    <w:rsid w:val="001324BC"/>
    <w:rsid w:val="00242ADA"/>
    <w:rsid w:val="002C67B8"/>
    <w:rsid w:val="002E0377"/>
    <w:rsid w:val="0048233D"/>
    <w:rsid w:val="004A1F7E"/>
    <w:rsid w:val="004A3EBA"/>
    <w:rsid w:val="00605B81"/>
    <w:rsid w:val="006258E6"/>
    <w:rsid w:val="006D6C6E"/>
    <w:rsid w:val="00781724"/>
    <w:rsid w:val="00805AB2"/>
    <w:rsid w:val="00831CF2"/>
    <w:rsid w:val="0099159E"/>
    <w:rsid w:val="009B4287"/>
    <w:rsid w:val="00A457CC"/>
    <w:rsid w:val="00A50C8F"/>
    <w:rsid w:val="00A54647"/>
    <w:rsid w:val="00B947E4"/>
    <w:rsid w:val="00C22D91"/>
    <w:rsid w:val="00C74608"/>
    <w:rsid w:val="00CA0DE9"/>
    <w:rsid w:val="00D12BC6"/>
    <w:rsid w:val="00DC7F00"/>
    <w:rsid w:val="00F31D4C"/>
    <w:rsid w:val="00F82CDF"/>
    <w:rsid w:val="00FC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31F5C"/>
  <w15:chartTrackingRefBased/>
  <w15:docId w15:val="{4B40BBCE-6BA0-4DD6-92D5-5945FEAD5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67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67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oxfordreference.com/display/10.1093/oi/authority.201108031001501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1889</Words>
  <Characters>10772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Burdett</dc:creator>
  <cp:keywords/>
  <dc:description/>
  <cp:lastModifiedBy>Katie Burdett</cp:lastModifiedBy>
  <cp:revision>8</cp:revision>
  <dcterms:created xsi:type="dcterms:W3CDTF">2024-02-18T12:28:00Z</dcterms:created>
  <dcterms:modified xsi:type="dcterms:W3CDTF">2024-02-21T18:12:00Z</dcterms:modified>
</cp:coreProperties>
</file>