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A8500" w14:textId="1F919587" w:rsidR="00284B36" w:rsidRPr="00284B36" w:rsidRDefault="00284B36" w:rsidP="00284B36">
      <w:pPr>
        <w:spacing w:after="0" w:line="240" w:lineRule="auto"/>
        <w:rPr>
          <w:rFonts w:ascii="Times New Roman" w:eastAsia="Times New Roman" w:hAnsi="Times New Roman" w:cs="Times New Roman"/>
          <w:kern w:val="0"/>
          <w:sz w:val="20"/>
          <w:szCs w:val="20"/>
          <w:lang w:val="en-GB" w:eastAsia="en-GB"/>
          <w14:ligatures w14:val="none"/>
        </w:rPr>
      </w:pPr>
      <w:r w:rsidRPr="00284B36">
        <w:rPr>
          <w:rFonts w:ascii="Arial" w:eastAsia="Times New Roman" w:hAnsi="Arial" w:cs="Arial"/>
          <w:noProof/>
          <w:kern w:val="0"/>
          <w:sz w:val="20"/>
          <w:szCs w:val="20"/>
          <w:lang w:val="en-GB" w:eastAsia="en-GB"/>
          <w14:ligatures w14:val="none"/>
        </w:rPr>
        <w:drawing>
          <wp:anchor distT="0" distB="0" distL="114300" distR="114300" simplePos="0" relativeHeight="251659264" behindDoc="0" locked="0" layoutInCell="1" allowOverlap="1" wp14:anchorId="198FB7BF" wp14:editId="21AF9504">
            <wp:simplePos x="0" y="0"/>
            <wp:positionH relativeFrom="column">
              <wp:posOffset>234950</wp:posOffset>
            </wp:positionH>
            <wp:positionV relativeFrom="paragraph">
              <wp:posOffset>0</wp:posOffset>
            </wp:positionV>
            <wp:extent cx="1517650" cy="5715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517650" cy="57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0D87D7" w14:textId="77777777" w:rsidR="00284B36" w:rsidRDefault="00284B36" w:rsidP="00284B36">
      <w:pPr>
        <w:spacing w:after="0" w:line="240" w:lineRule="auto"/>
        <w:jc w:val="right"/>
        <w:rPr>
          <w:rFonts w:ascii="Arial" w:eastAsia="Times New Roman" w:hAnsi="Arial" w:cs="Arial"/>
          <w:kern w:val="0"/>
          <w:sz w:val="20"/>
          <w:szCs w:val="20"/>
          <w:lang w:val="en-GB" w:eastAsia="en-GB"/>
          <w14:ligatures w14:val="none"/>
        </w:rPr>
      </w:pPr>
      <w:r w:rsidRPr="00284B36">
        <w:rPr>
          <w:rFonts w:ascii="Arial" w:eastAsia="Times New Roman" w:hAnsi="Arial" w:cs="Arial"/>
          <w:kern w:val="0"/>
          <w:sz w:val="20"/>
          <w:szCs w:val="20"/>
          <w:lang w:val="en-GB" w:eastAsia="en-GB"/>
          <w14:ligatures w14:val="none"/>
        </w:rPr>
        <w:t xml:space="preserve"> </w:t>
      </w:r>
    </w:p>
    <w:p w14:paraId="03EE9471" w14:textId="77777777" w:rsidR="00284B36" w:rsidRDefault="00284B36" w:rsidP="00284B36">
      <w:pPr>
        <w:spacing w:after="0" w:line="240" w:lineRule="auto"/>
        <w:jc w:val="center"/>
        <w:rPr>
          <w:rFonts w:ascii="Arial" w:eastAsia="Times New Roman" w:hAnsi="Arial" w:cs="Arial"/>
          <w:b/>
          <w:kern w:val="0"/>
          <w:sz w:val="28"/>
          <w:szCs w:val="28"/>
          <w:lang w:val="en-GB" w:eastAsia="en-GB"/>
          <w14:ligatures w14:val="none"/>
        </w:rPr>
      </w:pPr>
    </w:p>
    <w:p w14:paraId="7F33E9F9" w14:textId="77777777" w:rsidR="00284B36" w:rsidRDefault="00284B36" w:rsidP="00284B36">
      <w:pPr>
        <w:spacing w:after="0" w:line="240" w:lineRule="auto"/>
        <w:jc w:val="center"/>
        <w:rPr>
          <w:rFonts w:ascii="Arial" w:eastAsia="Times New Roman" w:hAnsi="Arial" w:cs="Arial"/>
          <w:b/>
          <w:kern w:val="0"/>
          <w:sz w:val="28"/>
          <w:szCs w:val="28"/>
          <w:lang w:val="en-GB" w:eastAsia="en-GB"/>
          <w14:ligatures w14:val="none"/>
        </w:rPr>
      </w:pPr>
    </w:p>
    <w:p w14:paraId="2E6D4D9B" w14:textId="14FF8778" w:rsidR="00284B36" w:rsidRPr="00284B36" w:rsidRDefault="00284B36" w:rsidP="00284B36">
      <w:pPr>
        <w:spacing w:after="0" w:line="240" w:lineRule="auto"/>
        <w:jc w:val="center"/>
        <w:rPr>
          <w:rFonts w:ascii="Arial" w:eastAsia="Times New Roman" w:hAnsi="Arial" w:cs="Arial"/>
          <w:b/>
          <w:kern w:val="0"/>
          <w:sz w:val="28"/>
          <w:szCs w:val="28"/>
          <w:lang w:val="en-GB" w:eastAsia="en-GB"/>
          <w14:ligatures w14:val="none"/>
        </w:rPr>
      </w:pPr>
      <w:r>
        <w:rPr>
          <w:rFonts w:ascii="Arial" w:eastAsia="Times New Roman" w:hAnsi="Arial" w:cs="Arial"/>
          <w:b/>
          <w:kern w:val="0"/>
          <w:sz w:val="28"/>
          <w:szCs w:val="28"/>
          <w:lang w:val="en-GB" w:eastAsia="en-GB"/>
          <w14:ligatures w14:val="none"/>
        </w:rPr>
        <w:t xml:space="preserve">                                                                                            </w:t>
      </w:r>
      <w:r w:rsidRPr="00284B36">
        <w:rPr>
          <w:rFonts w:ascii="Arial" w:eastAsia="Times New Roman" w:hAnsi="Arial" w:cs="Arial"/>
          <w:b/>
          <w:kern w:val="0"/>
          <w:sz w:val="28"/>
          <w:szCs w:val="28"/>
          <w:lang w:val="en-GB" w:eastAsia="en-GB"/>
          <w14:ligatures w14:val="none"/>
        </w:rPr>
        <w:t>APPENDIX GA36a</w:t>
      </w:r>
    </w:p>
    <w:tbl>
      <w:tblPr>
        <w:tblpPr w:leftFromText="180" w:rightFromText="180" w:vertAnchor="text" w:horzAnchor="margin" w:tblpXSpec="center" w:tblpY="5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84B36" w:rsidRPr="00284B36" w14:paraId="64A9C3B9" w14:textId="77777777" w:rsidTr="00284B36">
        <w:tc>
          <w:tcPr>
            <w:tcW w:w="9922" w:type="dxa"/>
            <w:shd w:val="clear" w:color="auto" w:fill="C0C0C0"/>
          </w:tcPr>
          <w:p w14:paraId="65AACDE5" w14:textId="77777777" w:rsidR="00284B36" w:rsidRPr="00284B36" w:rsidRDefault="00284B36" w:rsidP="00284B36">
            <w:pPr>
              <w:keepNext/>
              <w:spacing w:before="120" w:after="120" w:line="240" w:lineRule="auto"/>
              <w:jc w:val="center"/>
              <w:outlineLvl w:val="3"/>
              <w:rPr>
                <w:rFonts w:ascii="Arial" w:eastAsia="Times New Roman" w:hAnsi="Arial" w:cs="Arial"/>
                <w:b/>
                <w:kern w:val="0"/>
                <w:sz w:val="40"/>
                <w:szCs w:val="20"/>
                <w:lang w:val="en-GB" w:eastAsia="en-GB"/>
                <w14:ligatures w14:val="none"/>
              </w:rPr>
            </w:pPr>
            <w:r w:rsidRPr="00284B36">
              <w:rPr>
                <w:rFonts w:ascii="Arial" w:eastAsia="Times New Roman" w:hAnsi="Arial" w:cs="Arial"/>
                <w:b/>
                <w:kern w:val="0"/>
                <w:sz w:val="40"/>
                <w:szCs w:val="20"/>
                <w:lang w:val="en-GB" w:eastAsia="en-GB"/>
                <w14:ligatures w14:val="none"/>
              </w:rPr>
              <w:t xml:space="preserve">LEVEL 4 ASSESSMENT SPECIFICATION </w:t>
            </w:r>
          </w:p>
        </w:tc>
      </w:tr>
    </w:tbl>
    <w:p w14:paraId="32470FC5" w14:textId="77777777" w:rsidR="00284B36" w:rsidRDefault="00284B36" w:rsidP="00284B36">
      <w:pPr>
        <w:spacing w:after="0" w:line="240" w:lineRule="auto"/>
        <w:rPr>
          <w:rFonts w:ascii="Arial" w:eastAsia="Times New Roman" w:hAnsi="Arial" w:cs="Arial"/>
          <w:kern w:val="0"/>
          <w:sz w:val="20"/>
          <w:szCs w:val="20"/>
          <w:lang w:val="en-GB" w:eastAsia="en-GB"/>
          <w14:ligatures w14:val="none"/>
        </w:rPr>
      </w:pPr>
    </w:p>
    <w:tbl>
      <w:tblPr>
        <w:tblpPr w:leftFromText="180" w:rightFromText="180" w:vertAnchor="text" w:horzAnchor="margin" w:tblpXSpec="center" w:tblpY="10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84B36" w:rsidRPr="00284B36" w14:paraId="135D6CBE" w14:textId="77777777" w:rsidTr="00284B36">
        <w:tc>
          <w:tcPr>
            <w:tcW w:w="2093" w:type="dxa"/>
            <w:shd w:val="pct15" w:color="auto" w:fill="auto"/>
          </w:tcPr>
          <w:p w14:paraId="2E12385E"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Student name:</w:t>
            </w:r>
          </w:p>
        </w:tc>
        <w:tc>
          <w:tcPr>
            <w:tcW w:w="3293" w:type="dxa"/>
          </w:tcPr>
          <w:p w14:paraId="0C094285" w14:textId="6A7A133A"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Kirsty Garrett </w:t>
            </w:r>
          </w:p>
        </w:tc>
        <w:tc>
          <w:tcPr>
            <w:tcW w:w="2268" w:type="dxa"/>
            <w:shd w:val="clear" w:color="auto" w:fill="D9D9D9"/>
          </w:tcPr>
          <w:p w14:paraId="5A49B006"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Student ID number:</w:t>
            </w:r>
          </w:p>
        </w:tc>
        <w:tc>
          <w:tcPr>
            <w:tcW w:w="2268" w:type="dxa"/>
          </w:tcPr>
          <w:p w14:paraId="57F2A980" w14:textId="7E740CB1"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0950962</w:t>
            </w:r>
          </w:p>
        </w:tc>
      </w:tr>
      <w:tr w:rsidR="00284B36" w:rsidRPr="00284B36" w14:paraId="4CBED4AE" w14:textId="77777777" w:rsidTr="00284B36">
        <w:tc>
          <w:tcPr>
            <w:tcW w:w="2093" w:type="dxa"/>
            <w:shd w:val="pct15" w:color="auto" w:fill="auto"/>
          </w:tcPr>
          <w:p w14:paraId="02217551"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Programme:</w:t>
            </w:r>
          </w:p>
        </w:tc>
        <w:tc>
          <w:tcPr>
            <w:tcW w:w="7829" w:type="dxa"/>
            <w:gridSpan w:val="3"/>
          </w:tcPr>
          <w:p w14:paraId="589E520E"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 xml:space="preserve">DA Program - BSC in Supply Chain and Logistics </w:t>
            </w:r>
          </w:p>
        </w:tc>
      </w:tr>
      <w:tr w:rsidR="00284B36" w:rsidRPr="00284B36" w14:paraId="00C760F2" w14:textId="77777777" w:rsidTr="00284B36">
        <w:tc>
          <w:tcPr>
            <w:tcW w:w="2093" w:type="dxa"/>
            <w:shd w:val="pct15" w:color="auto" w:fill="auto"/>
          </w:tcPr>
          <w:p w14:paraId="4FF1EFC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Module:</w:t>
            </w:r>
          </w:p>
        </w:tc>
        <w:tc>
          <w:tcPr>
            <w:tcW w:w="7829" w:type="dxa"/>
            <w:gridSpan w:val="3"/>
          </w:tcPr>
          <w:p w14:paraId="0F887399"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Data Analytics Principles</w:t>
            </w:r>
          </w:p>
        </w:tc>
      </w:tr>
      <w:tr w:rsidR="00284B36" w:rsidRPr="00284B36" w14:paraId="07FD2DF2" w14:textId="77777777" w:rsidTr="00284B36">
        <w:tc>
          <w:tcPr>
            <w:tcW w:w="2093" w:type="dxa"/>
            <w:shd w:val="pct15" w:color="auto" w:fill="auto"/>
          </w:tcPr>
          <w:p w14:paraId="7BDEC56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Module code:</w:t>
            </w:r>
          </w:p>
        </w:tc>
        <w:tc>
          <w:tcPr>
            <w:tcW w:w="3293" w:type="dxa"/>
          </w:tcPr>
          <w:p w14:paraId="2C48080A"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ACMA 4016</w:t>
            </w:r>
          </w:p>
        </w:tc>
        <w:tc>
          <w:tcPr>
            <w:tcW w:w="2268" w:type="dxa"/>
            <w:shd w:val="clear" w:color="auto" w:fill="D9D9D9"/>
          </w:tcPr>
          <w:p w14:paraId="6269442B" w14:textId="77777777" w:rsidR="00284B36" w:rsidRPr="00284B36" w:rsidRDefault="00284B36" w:rsidP="00284B36">
            <w:pPr>
              <w:keepNext/>
              <w:spacing w:after="0" w:line="240" w:lineRule="auto"/>
              <w:jc w:val="both"/>
              <w:outlineLvl w:val="1"/>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Contribution to Overall Module Assessment (%):</w:t>
            </w:r>
          </w:p>
        </w:tc>
        <w:tc>
          <w:tcPr>
            <w:tcW w:w="2268" w:type="dxa"/>
          </w:tcPr>
          <w:p w14:paraId="7B690BF8"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100%</w:t>
            </w:r>
          </w:p>
        </w:tc>
      </w:tr>
      <w:tr w:rsidR="00284B36" w:rsidRPr="00284B36" w14:paraId="1A1C0BEF" w14:textId="77777777" w:rsidTr="00284B36">
        <w:tc>
          <w:tcPr>
            <w:tcW w:w="2093" w:type="dxa"/>
            <w:shd w:val="pct15" w:color="auto" w:fill="auto"/>
          </w:tcPr>
          <w:p w14:paraId="16D8525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Lecturer:</w:t>
            </w:r>
          </w:p>
        </w:tc>
        <w:tc>
          <w:tcPr>
            <w:tcW w:w="3293" w:type="dxa"/>
          </w:tcPr>
          <w:p w14:paraId="03DB9AA4"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Dr Moutushi Tanha</w:t>
            </w:r>
          </w:p>
        </w:tc>
        <w:tc>
          <w:tcPr>
            <w:tcW w:w="2268" w:type="dxa"/>
            <w:shd w:val="clear" w:color="auto" w:fill="D9D9D9"/>
          </w:tcPr>
          <w:p w14:paraId="1AC8408D"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Internal Verifier:</w:t>
            </w:r>
          </w:p>
        </w:tc>
        <w:tc>
          <w:tcPr>
            <w:tcW w:w="2268" w:type="dxa"/>
          </w:tcPr>
          <w:p w14:paraId="0F6112D4"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 xml:space="preserve">Dr Irina </w:t>
            </w:r>
            <w:proofErr w:type="spellStart"/>
            <w:r w:rsidRPr="00284B36">
              <w:rPr>
                <w:rFonts w:ascii="Arial" w:eastAsia="Times New Roman" w:hAnsi="Arial" w:cs="Arial"/>
                <w:b/>
                <w:kern w:val="0"/>
                <w:lang w:val="en-GB" w:eastAsia="en-GB"/>
                <w14:ligatures w14:val="none"/>
              </w:rPr>
              <w:t>Neaga</w:t>
            </w:r>
            <w:proofErr w:type="spellEnd"/>
          </w:p>
        </w:tc>
      </w:tr>
      <w:tr w:rsidR="00284B36" w:rsidRPr="00284B36" w14:paraId="6D17B9DD" w14:textId="77777777" w:rsidTr="00284B36">
        <w:tc>
          <w:tcPr>
            <w:tcW w:w="2093" w:type="dxa"/>
            <w:shd w:val="pct15" w:color="auto" w:fill="auto"/>
          </w:tcPr>
          <w:p w14:paraId="41029D2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Assignment Title:</w:t>
            </w:r>
          </w:p>
        </w:tc>
        <w:tc>
          <w:tcPr>
            <w:tcW w:w="3293" w:type="dxa"/>
          </w:tcPr>
          <w:p w14:paraId="1C53A608"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bCs/>
                <w:kern w:val="0"/>
                <w:sz w:val="24"/>
                <w:szCs w:val="24"/>
                <w:lang w:val="en-GB" w:eastAsia="en-GB"/>
                <w14:ligatures w14:val="none"/>
              </w:rPr>
              <w:t>Developing a Data-Based Report</w:t>
            </w:r>
          </w:p>
        </w:tc>
        <w:tc>
          <w:tcPr>
            <w:tcW w:w="2268" w:type="dxa"/>
            <w:shd w:val="pct15" w:color="auto" w:fill="auto"/>
          </w:tcPr>
          <w:p w14:paraId="5015319C"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Word count (or equivalent):</w:t>
            </w:r>
          </w:p>
        </w:tc>
        <w:tc>
          <w:tcPr>
            <w:tcW w:w="2268" w:type="dxa"/>
          </w:tcPr>
          <w:p w14:paraId="581D0A0F" w14:textId="16892F2B"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p>
        </w:tc>
      </w:tr>
      <w:tr w:rsidR="00284B36" w:rsidRPr="00284B36" w14:paraId="03E02080" w14:textId="77777777" w:rsidTr="00284B36">
        <w:tc>
          <w:tcPr>
            <w:tcW w:w="2093" w:type="dxa"/>
            <w:shd w:val="pct15" w:color="auto" w:fill="auto"/>
          </w:tcPr>
          <w:p w14:paraId="42423A03"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Submission deadline:</w:t>
            </w:r>
          </w:p>
        </w:tc>
        <w:tc>
          <w:tcPr>
            <w:tcW w:w="3293" w:type="dxa"/>
          </w:tcPr>
          <w:p w14:paraId="01B86022" w14:textId="64B889BE"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0</w:t>
            </w:r>
            <w:r>
              <w:rPr>
                <w:rFonts w:ascii="Arial" w:eastAsia="Times New Roman" w:hAnsi="Arial" w:cs="Arial"/>
                <w:b/>
                <w:kern w:val="0"/>
                <w:lang w:val="en-GB" w:eastAsia="en-GB"/>
                <w14:ligatures w14:val="none"/>
              </w:rPr>
              <w:t>4</w:t>
            </w:r>
            <w:r w:rsidRPr="00284B36">
              <w:rPr>
                <w:rFonts w:ascii="Arial" w:eastAsia="Times New Roman" w:hAnsi="Arial" w:cs="Arial"/>
                <w:b/>
                <w:kern w:val="0"/>
                <w:lang w:val="en-GB" w:eastAsia="en-GB"/>
                <w14:ligatures w14:val="none"/>
              </w:rPr>
              <w:t>/03/2026</w:t>
            </w:r>
          </w:p>
        </w:tc>
        <w:tc>
          <w:tcPr>
            <w:tcW w:w="2268" w:type="dxa"/>
            <w:shd w:val="pct15" w:color="auto" w:fill="auto"/>
          </w:tcPr>
          <w:p w14:paraId="194CA011"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Return date of provisional marks &amp; written feedback:</w:t>
            </w:r>
          </w:p>
        </w:tc>
        <w:tc>
          <w:tcPr>
            <w:tcW w:w="2268" w:type="dxa"/>
          </w:tcPr>
          <w:p w14:paraId="2BA569FF"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20 working days after submission</w:t>
            </w:r>
          </w:p>
        </w:tc>
      </w:tr>
      <w:tr w:rsidR="00284B36" w:rsidRPr="00284B36" w14:paraId="09B013F3" w14:textId="77777777" w:rsidTr="00284B36">
        <w:tc>
          <w:tcPr>
            <w:tcW w:w="2093" w:type="dxa"/>
            <w:shd w:val="pct15" w:color="auto" w:fill="auto"/>
          </w:tcPr>
          <w:p w14:paraId="484B7F34"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Submission method:</w:t>
            </w:r>
          </w:p>
        </w:tc>
        <w:tc>
          <w:tcPr>
            <w:tcW w:w="7829" w:type="dxa"/>
            <w:gridSpan w:val="3"/>
          </w:tcPr>
          <w:p w14:paraId="135BCA48" w14:textId="77777777" w:rsidR="00284B36" w:rsidRPr="00284B36" w:rsidRDefault="00284B36" w:rsidP="00284B36">
            <w:pPr>
              <w:spacing w:after="0" w:line="240" w:lineRule="auto"/>
              <w:rPr>
                <w:rFonts w:ascii="Arial" w:eastAsia="Times New Roman" w:hAnsi="Arial" w:cs="Arial"/>
                <w:kern w:val="0"/>
                <w:lang w:val="en-GB" w:eastAsia="en-GB"/>
                <w14:ligatures w14:val="none"/>
              </w:rPr>
            </w:pPr>
            <w:r w:rsidRPr="00284B36">
              <w:rPr>
                <w:rFonts w:ascii="Arial" w:eastAsia="Times New Roman" w:hAnsi="Arial" w:cs="Arial"/>
                <w:kern w:val="0"/>
                <w:lang w:val="en-GB"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6BDE35"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 xml:space="preserve">Alternative submission method (if applicable): </w:t>
            </w:r>
          </w:p>
          <w:p w14:paraId="1C387DFC"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Late submission of the assessment will result in a late penalty mark:</w:t>
            </w:r>
          </w:p>
          <w:p w14:paraId="3E45E126" w14:textId="77777777" w:rsidR="00284B36" w:rsidRPr="00284B36" w:rsidRDefault="00284B36" w:rsidP="00284B36">
            <w:pPr>
              <w:spacing w:before="120" w:after="120" w:line="240" w:lineRule="auto"/>
              <w:jc w:val="both"/>
              <w:rPr>
                <w:rFonts w:ascii="Arial" w:eastAsia="Times New Roman" w:hAnsi="Arial" w:cs="Arial"/>
                <w:kern w:val="0"/>
                <w:lang w:val="en-GB" w:eastAsia="en-GB"/>
                <w14:ligatures w14:val="none"/>
              </w:rPr>
            </w:pPr>
            <w:r w:rsidRPr="00284B36">
              <w:rPr>
                <w:rFonts w:ascii="Arial" w:eastAsia="Times New Roman" w:hAnsi="Arial" w:cs="Arial"/>
                <w:kern w:val="0"/>
                <w:lang w:val="en-GB" w:eastAsia="en-GB"/>
                <w14:ligatures w14:val="none"/>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9DB35EA"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kern w:val="0"/>
                <w:lang w:val="en-GB" w:eastAsia="en-GB"/>
                <w14:ligatures w14:val="none"/>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284B36" w:rsidRPr="00284B36" w14:paraId="5CA2AE28" w14:textId="77777777" w:rsidTr="00284B36">
        <w:tc>
          <w:tcPr>
            <w:tcW w:w="2093" w:type="dxa"/>
            <w:shd w:val="pct15" w:color="auto" w:fill="auto"/>
          </w:tcPr>
          <w:p w14:paraId="42F9FEC2" w14:textId="77777777" w:rsidR="00284B36" w:rsidRPr="00284B36" w:rsidRDefault="00284B36" w:rsidP="00284B36">
            <w:pPr>
              <w:spacing w:before="120" w:after="120" w:line="240" w:lineRule="auto"/>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Academic honesty / referencing:</w:t>
            </w:r>
          </w:p>
        </w:tc>
        <w:tc>
          <w:tcPr>
            <w:tcW w:w="7829" w:type="dxa"/>
            <w:gridSpan w:val="3"/>
          </w:tcPr>
          <w:p w14:paraId="0BAF3C22" w14:textId="77777777" w:rsidR="00284B36" w:rsidRPr="00284B36" w:rsidRDefault="00284B36" w:rsidP="00284B36">
            <w:pPr>
              <w:spacing w:before="120" w:after="120" w:line="240" w:lineRule="auto"/>
              <w:jc w:val="both"/>
              <w:rPr>
                <w:rFonts w:ascii="Arial" w:eastAsia="Times New Roman" w:hAnsi="Arial" w:cs="Arial"/>
                <w:kern w:val="0"/>
                <w:lang w:val="en-GB" w:eastAsia="en-GB"/>
                <w14:ligatures w14:val="none"/>
              </w:rPr>
            </w:pPr>
            <w:r w:rsidRPr="00284B36">
              <w:rPr>
                <w:rFonts w:ascii="Arial" w:eastAsia="Times New Roman" w:hAnsi="Arial" w:cs="Arial"/>
                <w:kern w:val="0"/>
                <w:lang w:val="en-GB" w:eastAsia="en-GB"/>
                <w14:ligatures w14:val="none"/>
              </w:rPr>
              <w:t xml:space="preserve">Academic honesty is required. In the main body of your </w:t>
            </w:r>
            <w:proofErr w:type="gramStart"/>
            <w:r w:rsidRPr="00284B36">
              <w:rPr>
                <w:rFonts w:ascii="Arial" w:eastAsia="Times New Roman" w:hAnsi="Arial" w:cs="Arial"/>
                <w:kern w:val="0"/>
                <w:lang w:val="en-GB" w:eastAsia="en-GB"/>
                <w14:ligatures w14:val="none"/>
              </w:rPr>
              <w:t>submission</w:t>
            </w:r>
            <w:proofErr w:type="gramEnd"/>
            <w:r w:rsidRPr="00284B36">
              <w:rPr>
                <w:rFonts w:ascii="Arial" w:eastAsia="Times New Roman" w:hAnsi="Arial" w:cs="Arial"/>
                <w:kern w:val="0"/>
                <w:lang w:val="en-GB" w:eastAsia="en-GB"/>
                <w14:ligatures w14:val="none"/>
              </w:rPr>
              <w:t xml:space="preserve"> you must give credit to authors on whose research and ideas your work is based. Append to your submission a reference list that indicates the books, articles, etc. that you have used, </w:t>
            </w:r>
            <w:proofErr w:type="gramStart"/>
            <w:r w:rsidRPr="00284B36">
              <w:rPr>
                <w:rFonts w:ascii="Arial" w:eastAsia="Times New Roman" w:hAnsi="Arial" w:cs="Arial"/>
                <w:kern w:val="0"/>
                <w:lang w:val="en-GB" w:eastAsia="en-GB"/>
                <w14:ligatures w14:val="none"/>
              </w:rPr>
              <w:t>cited</w:t>
            </w:r>
            <w:proofErr w:type="gramEnd"/>
            <w:r w:rsidRPr="00284B36">
              <w:rPr>
                <w:rFonts w:ascii="Arial" w:eastAsia="Times New Roman" w:hAnsi="Arial" w:cs="Arial"/>
                <w:kern w:val="0"/>
                <w:lang w:val="en-GB" w:eastAsia="en-GB"/>
                <w14:ligatures w14:val="none"/>
              </w:rPr>
              <w:t xml:space="preserve"> or quoted in order to complete this assessment.  </w:t>
            </w:r>
          </w:p>
        </w:tc>
      </w:tr>
    </w:tbl>
    <w:p w14:paraId="0B837F80" w14:textId="77777777" w:rsidR="00284B36" w:rsidRDefault="00284B36" w:rsidP="00284B36">
      <w:pPr>
        <w:spacing w:after="0" w:line="240" w:lineRule="auto"/>
        <w:rPr>
          <w:rFonts w:ascii="Arial" w:eastAsia="Times New Roman" w:hAnsi="Arial" w:cs="Arial"/>
          <w:kern w:val="0"/>
          <w:sz w:val="20"/>
          <w:szCs w:val="20"/>
          <w:lang w:val="en-GB" w:eastAsia="en-GB"/>
          <w14:ligatures w14:val="none"/>
        </w:rPr>
      </w:pPr>
    </w:p>
    <w:p w14:paraId="13C6BE9F" w14:textId="77777777" w:rsidR="00284B36" w:rsidRDefault="00284B36" w:rsidP="00284B36">
      <w:pPr>
        <w:spacing w:after="0" w:line="240" w:lineRule="auto"/>
        <w:rPr>
          <w:rFonts w:ascii="Arial" w:eastAsia="Times New Roman" w:hAnsi="Arial" w:cs="Arial"/>
          <w:kern w:val="0"/>
          <w:sz w:val="20"/>
          <w:szCs w:val="20"/>
          <w:lang w:val="en-GB" w:eastAsia="en-GB"/>
          <w14:ligatures w14:val="none"/>
        </w:rPr>
      </w:pPr>
    </w:p>
    <w:p w14:paraId="67B60352" w14:textId="77777777" w:rsidR="00284B36" w:rsidRPr="00284B36" w:rsidRDefault="00284B36" w:rsidP="00284B36">
      <w:pPr>
        <w:spacing w:after="0" w:line="240" w:lineRule="auto"/>
        <w:rPr>
          <w:rFonts w:ascii="Arial" w:eastAsia="Times New Roman" w:hAnsi="Arial" w:cs="Arial"/>
          <w:kern w:val="0"/>
          <w:sz w:val="20"/>
          <w:szCs w:val="20"/>
          <w:lang w:val="en-GB" w:eastAsia="en-GB"/>
          <w14:ligatures w14:val="none"/>
        </w:rPr>
      </w:pPr>
    </w:p>
    <w:p w14:paraId="65972470" w14:textId="77777777" w:rsidR="00284B36" w:rsidRPr="00284B36" w:rsidRDefault="00284B36" w:rsidP="00284B36">
      <w:pPr>
        <w:spacing w:after="0" w:line="240" w:lineRule="auto"/>
        <w:jc w:val="center"/>
        <w:rPr>
          <w:rFonts w:ascii="Arial" w:eastAsia="Times New Roman" w:hAnsi="Arial" w:cs="Arial"/>
          <w:b/>
          <w:i/>
          <w:kern w:val="0"/>
          <w:sz w:val="32"/>
          <w:szCs w:val="20"/>
          <w:lang w:val="en-GB" w:eastAsia="en-GB"/>
          <w14:ligatures w14:val="none"/>
        </w:rPr>
      </w:pPr>
    </w:p>
    <w:tbl>
      <w:tblPr>
        <w:tblpPr w:leftFromText="180" w:rightFromText="180" w:vertAnchor="text" w:horzAnchor="margin" w:tblpXSpec="center" w:tblpY="-43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4B36" w:rsidRPr="00284B36" w14:paraId="21A773E6" w14:textId="77777777" w:rsidTr="00284B36">
        <w:tc>
          <w:tcPr>
            <w:tcW w:w="9747" w:type="dxa"/>
            <w:shd w:val="pct10" w:color="auto" w:fill="auto"/>
          </w:tcPr>
          <w:p w14:paraId="58A8108D" w14:textId="77777777" w:rsidR="00284B36" w:rsidRPr="00284B36" w:rsidRDefault="00284B36" w:rsidP="00284B36">
            <w:pPr>
              <w:spacing w:after="0" w:line="240" w:lineRule="auto"/>
              <w:rPr>
                <w:rFonts w:ascii="Arial" w:eastAsia="Times New Roman" w:hAnsi="Arial" w:cs="Arial"/>
                <w:b/>
                <w:kern w:val="0"/>
                <w:lang w:val="en-GB" w:eastAsia="en-GB"/>
                <w14:ligatures w14:val="none"/>
              </w:rPr>
            </w:pPr>
            <w:bookmarkStart w:id="0" w:name="_Hlk222324404"/>
            <w:r w:rsidRPr="00284B36">
              <w:rPr>
                <w:rFonts w:ascii="Arial" w:eastAsia="Times New Roman" w:hAnsi="Arial" w:cs="Arial"/>
                <w:b/>
                <w:kern w:val="0"/>
                <w:lang w:val="en-GB" w:eastAsia="en-GB"/>
                <w14:ligatures w14:val="none"/>
              </w:rPr>
              <w:lastRenderedPageBreak/>
              <w:t xml:space="preserve">Module Learning Outcomes </w:t>
            </w:r>
          </w:p>
          <w:p w14:paraId="428FCC8F" w14:textId="77777777" w:rsidR="00284B36" w:rsidRPr="00284B36" w:rsidRDefault="00284B36" w:rsidP="00284B36">
            <w:pPr>
              <w:spacing w:after="0" w:line="240" w:lineRule="auto"/>
              <w:rPr>
                <w:rFonts w:ascii="Arial" w:eastAsia="Times New Roman" w:hAnsi="Arial" w:cs="Arial"/>
                <w:kern w:val="0"/>
                <w:lang w:val="en-GB" w:eastAsia="en-GB"/>
                <w14:ligatures w14:val="none"/>
              </w:rPr>
            </w:pPr>
            <w:r w:rsidRPr="00284B36">
              <w:rPr>
                <w:rFonts w:ascii="Arial" w:eastAsia="Times New Roman" w:hAnsi="Arial" w:cs="Arial"/>
                <w:b/>
                <w:kern w:val="0"/>
                <w:lang w:val="en-GB" w:eastAsia="en-GB"/>
                <w14:ligatures w14:val="none"/>
              </w:rPr>
              <w:t>(from module syllabus)</w:t>
            </w:r>
          </w:p>
        </w:tc>
      </w:tr>
      <w:tr w:rsidR="00284B36" w:rsidRPr="00284B36" w14:paraId="40FD5A24" w14:textId="77777777" w:rsidTr="00284B36">
        <w:tc>
          <w:tcPr>
            <w:tcW w:w="9747" w:type="dxa"/>
            <w:shd w:val="pct10" w:color="auto" w:fill="auto"/>
          </w:tcPr>
          <w:p w14:paraId="30161240" w14:textId="77777777" w:rsidR="00284B36" w:rsidRPr="00284B36" w:rsidRDefault="00284B36" w:rsidP="00284B36">
            <w:pPr>
              <w:spacing w:after="0" w:line="240" w:lineRule="auto"/>
              <w:rPr>
                <w:rFonts w:ascii="Arial" w:eastAsia="Times New Roman" w:hAnsi="Arial" w:cs="Arial"/>
                <w:b/>
                <w:kern w:val="0"/>
                <w:lang w:val="en-GB" w:eastAsia="en-GB"/>
                <w14:ligatures w14:val="none"/>
              </w:rPr>
            </w:pPr>
          </w:p>
          <w:p w14:paraId="59C6F6F7" w14:textId="77777777" w:rsidR="00284B36" w:rsidRPr="00284B36" w:rsidRDefault="00284B36" w:rsidP="00284B36">
            <w:pPr>
              <w:spacing w:after="0" w:line="240" w:lineRule="auto"/>
              <w:rPr>
                <w:rFonts w:ascii="Arial" w:eastAsia="Times New Roman" w:hAnsi="Arial" w:cs="Arial"/>
                <w:b/>
                <w:kern w:val="0"/>
                <w:lang w:val="en-GB" w:eastAsia="en-GB"/>
                <w14:ligatures w14:val="none"/>
              </w:rPr>
            </w:pPr>
          </w:p>
        </w:tc>
      </w:tr>
      <w:tr w:rsidR="00284B36" w:rsidRPr="00284B36" w14:paraId="249F482F" w14:textId="77777777" w:rsidTr="00284B36">
        <w:tc>
          <w:tcPr>
            <w:tcW w:w="9747" w:type="dxa"/>
          </w:tcPr>
          <w:p w14:paraId="5277ECF2" w14:textId="77777777" w:rsidR="00284B36" w:rsidRPr="00284B36" w:rsidRDefault="00284B36" w:rsidP="00284B36">
            <w:pPr>
              <w:overflowPunct w:val="0"/>
              <w:autoSpaceDE w:val="0"/>
              <w:autoSpaceDN w:val="0"/>
              <w:adjustRightInd w:val="0"/>
              <w:spacing w:after="0" w:line="240" w:lineRule="auto"/>
              <w:jc w:val="both"/>
              <w:textAlignment w:val="baseline"/>
              <w:rPr>
                <w:rFonts w:ascii="Arial" w:eastAsia="Times New Roman" w:hAnsi="Arial" w:cs="Arial"/>
                <w:kern w:val="0"/>
                <w:sz w:val="20"/>
                <w:szCs w:val="20"/>
                <w:lang w:val="en-GB" w:eastAsia="en-GB"/>
                <w14:ligatures w14:val="none"/>
              </w:rPr>
            </w:pPr>
            <w:r w:rsidRPr="00284B36">
              <w:rPr>
                <w:rFonts w:ascii="Arial" w:eastAsia="Times New Roman" w:hAnsi="Arial" w:cs="Arial"/>
                <w:kern w:val="0"/>
                <w:sz w:val="20"/>
                <w:szCs w:val="20"/>
                <w:lang w:val="en-GB" w:eastAsia="en-GB"/>
                <w14:ligatures w14:val="none"/>
              </w:rPr>
              <w:t>Upon the successful completion of this module, the student should be able to:</w:t>
            </w:r>
          </w:p>
          <w:p w14:paraId="5DC9DFE5" w14:textId="77777777" w:rsidR="00284B36" w:rsidRPr="00284B36" w:rsidRDefault="00284B36" w:rsidP="00284B36">
            <w:pPr>
              <w:numPr>
                <w:ilvl w:val="0"/>
                <w:numId w:val="4"/>
              </w:numPr>
              <w:autoSpaceDN w:val="0"/>
              <w:spacing w:before="240" w:after="0" w:line="240" w:lineRule="auto"/>
              <w:ind w:left="851" w:hanging="567"/>
              <w:jc w:val="both"/>
              <w:rPr>
                <w:rFonts w:ascii="Arial" w:eastAsia="Times New Roman" w:hAnsi="Arial" w:cs="Arial"/>
                <w:lang w:val="en-GB" w:eastAsia="en-GB"/>
              </w:rPr>
            </w:pPr>
            <w:r w:rsidRPr="00284B36">
              <w:rPr>
                <w:rFonts w:ascii="Arial" w:eastAsia="Times New Roman" w:hAnsi="Arial" w:cs="Arial"/>
                <w:lang w:val="en-GB" w:eastAsia="zh-CN"/>
              </w:rPr>
              <w:t>understand the fundamental concepts and principles of data analysis, management systems and will be developing practical skills in using data analysis tools and systems in logistics and supply chains.</w:t>
            </w:r>
          </w:p>
        </w:tc>
      </w:tr>
      <w:bookmarkEnd w:id="0"/>
    </w:tbl>
    <w:p w14:paraId="76828023" w14:textId="77777777" w:rsidR="00284B36" w:rsidRPr="00284B36" w:rsidRDefault="00284B36" w:rsidP="00284B36">
      <w:pPr>
        <w:spacing w:after="0" w:line="240" w:lineRule="auto"/>
        <w:rPr>
          <w:rFonts w:ascii="Arial" w:eastAsia="Times New Roman" w:hAnsi="Arial" w:cs="Arial"/>
          <w:kern w:val="0"/>
          <w:sz w:val="32"/>
          <w:szCs w:val="20"/>
          <w:lang w:val="en-GB" w:eastAsia="en-GB"/>
          <w14:ligatures w14:val="none"/>
        </w:rPr>
      </w:pPr>
    </w:p>
    <w:p w14:paraId="077AAA2A" w14:textId="77777777" w:rsidR="00284B36" w:rsidRPr="00284B36" w:rsidRDefault="00284B36" w:rsidP="00284B36">
      <w:pPr>
        <w:spacing w:after="0" w:line="240" w:lineRule="auto"/>
        <w:rPr>
          <w:rFonts w:ascii="Arial" w:eastAsia="Times New Roman" w:hAnsi="Arial" w:cs="Arial"/>
          <w:kern w:val="0"/>
          <w:sz w:val="32"/>
          <w:szCs w:val="20"/>
          <w:lang w:val="en-GB" w:eastAsia="en-GB"/>
          <w14:ligatures w14:val="none"/>
        </w:rPr>
      </w:pPr>
    </w:p>
    <w:tbl>
      <w:tblPr>
        <w:tblpPr w:leftFromText="180" w:rightFromText="180" w:vertAnchor="text" w:horzAnchor="margin" w:tblpXSpec="center" w:tblpY="1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84B36" w:rsidRPr="00284B36" w14:paraId="32A4D9CB" w14:textId="77777777" w:rsidTr="00284B36">
        <w:tc>
          <w:tcPr>
            <w:tcW w:w="9781" w:type="dxa"/>
            <w:shd w:val="clear" w:color="auto" w:fill="C0C0C0"/>
          </w:tcPr>
          <w:p w14:paraId="2CE39A57" w14:textId="77777777" w:rsidR="00284B36" w:rsidRPr="00284B36" w:rsidRDefault="00284B36" w:rsidP="00284B36">
            <w:pPr>
              <w:spacing w:after="0" w:line="240" w:lineRule="auto"/>
              <w:jc w:val="center"/>
              <w:rPr>
                <w:rFonts w:ascii="Arial" w:eastAsia="Times New Roman" w:hAnsi="Arial" w:cs="Arial"/>
                <w:b/>
                <w:kern w:val="0"/>
                <w:sz w:val="40"/>
                <w:szCs w:val="40"/>
                <w:lang w:val="en-GB" w:eastAsia="en-GB"/>
                <w14:ligatures w14:val="none"/>
              </w:rPr>
            </w:pPr>
            <w:r w:rsidRPr="00284B36">
              <w:rPr>
                <w:rFonts w:ascii="Arial" w:eastAsia="Times New Roman" w:hAnsi="Arial" w:cs="Arial"/>
                <w:kern w:val="0"/>
                <w:sz w:val="32"/>
                <w:szCs w:val="20"/>
                <w:lang w:val="en-GB" w:eastAsia="en-GB"/>
                <w14:ligatures w14:val="none"/>
              </w:rPr>
              <w:br w:type="page"/>
            </w:r>
            <w:r w:rsidRPr="00284B36">
              <w:rPr>
                <w:rFonts w:ascii="Arial" w:eastAsia="Times New Roman" w:hAnsi="Arial" w:cs="Arial"/>
                <w:b/>
                <w:kern w:val="0"/>
                <w:sz w:val="40"/>
                <w:szCs w:val="40"/>
                <w:lang w:val="en-GB" w:eastAsia="en-GB"/>
                <w14:ligatures w14:val="none"/>
              </w:rPr>
              <w:t>TASK DESCRIPTION</w:t>
            </w:r>
          </w:p>
        </w:tc>
      </w:tr>
    </w:tbl>
    <w:p w14:paraId="390F9DC2" w14:textId="77777777" w:rsidR="00284B36" w:rsidRDefault="00284B36" w:rsidP="00284B36">
      <w:pPr>
        <w:keepNext/>
        <w:spacing w:after="0" w:line="240" w:lineRule="auto"/>
        <w:jc w:val="both"/>
        <w:outlineLvl w:val="1"/>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            </w:t>
      </w:r>
    </w:p>
    <w:p w14:paraId="7D124084" w14:textId="373D8EA0" w:rsidR="00284B36" w:rsidRPr="00284B36" w:rsidRDefault="00284B36" w:rsidP="00284B36">
      <w:pPr>
        <w:keepNext/>
        <w:spacing w:after="0" w:line="240" w:lineRule="auto"/>
        <w:jc w:val="both"/>
        <w:outlineLvl w:val="1"/>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            </w:t>
      </w:r>
      <w:r w:rsidRPr="00284B36">
        <w:rPr>
          <w:rFonts w:ascii="Arial" w:eastAsia="Times New Roman" w:hAnsi="Arial" w:cs="Arial"/>
          <w:b/>
          <w:kern w:val="0"/>
          <w:lang w:val="en-GB" w:eastAsia="en-GB"/>
          <w14:ligatures w14:val="none"/>
        </w:rPr>
        <w:t>Use of Generative AI in Assessment</w:t>
      </w:r>
    </w:p>
    <w:p w14:paraId="4041F93F" w14:textId="77777777" w:rsidR="00284B36" w:rsidRPr="00284B36" w:rsidRDefault="00284B36" w:rsidP="00284B36">
      <w:pPr>
        <w:spacing w:after="0" w:line="240" w:lineRule="auto"/>
        <w:rPr>
          <w:rFonts w:ascii="Arial" w:eastAsia="Times New Roman" w:hAnsi="Arial" w:cs="Arial"/>
          <w:kern w:val="0"/>
          <w:lang w:val="en-GB" w:eastAsia="en-GB"/>
          <w14:ligatures w14:val="none"/>
        </w:rPr>
      </w:pPr>
      <w:r w:rsidRPr="00284B36">
        <w:rPr>
          <w:rFonts w:ascii="Times New Roman" w:eastAsia="Times New Roman" w:hAnsi="Times New Roman" w:cs="Times New Roman"/>
          <w:kern w:val="0"/>
          <w:sz w:val="20"/>
          <w:szCs w:val="20"/>
          <w:lang w:val="en-GB" w:eastAsia="en-GB"/>
          <w14:ligatures w14:val="none"/>
        </w:rPr>
        <w:tab/>
      </w:r>
      <w:r w:rsidRPr="00284B36">
        <w:rPr>
          <w:rFonts w:ascii="Arial" w:eastAsia="Times New Roman" w:hAnsi="Arial" w:cs="Arial"/>
          <w:kern w:val="0"/>
          <w:lang w:val="en-GB" w:eastAsia="en-GB"/>
          <w14:ligatures w14:val="none"/>
        </w:rPr>
        <w:t>(Lecturer to indicate Yes or Not against each element)</w:t>
      </w:r>
    </w:p>
    <w:tbl>
      <w:tblPr>
        <w:tblpPr w:leftFromText="180" w:rightFromText="180" w:vertAnchor="text" w:horzAnchor="margin" w:tblpXSpec="center" w:tblpY="111"/>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00284B36" w:rsidRPr="00284B36" w14:paraId="15C88120" w14:textId="77777777" w:rsidTr="00284B36">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Pr>
          <w:p w14:paraId="2B482D5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RESEARCH </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Pr>
          <w:p w14:paraId="0AFF95CF"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000000" w:themeColor="text1"/>
              <w:bottom w:val="single" w:sz="6" w:space="0" w:color="000000" w:themeColor="text1"/>
              <w:right w:val="single" w:sz="6" w:space="0" w:color="auto"/>
            </w:tcBorders>
          </w:tcPr>
          <w:p w14:paraId="0A22D2B6"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74FA3F8B"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3F64B6E0"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6CB70DEF"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480E629F"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STRUCTURE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AEA37DD"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support you in structuring your submission, including creating a draft argument structure, identifying parts and headings, etc.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366E0BC7"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36C699C0"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7C052706"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5909EDFC"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459E744C"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PROOFREADING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AE065CB"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3DAE02F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57B3F4D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2DC4269C"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2561FD92"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6CFBC90A"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WRITING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25C8570"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create text for submission.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277D675"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4A6B05E5"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06CDEF4C"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0715EC8F"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3B497E0A"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CREATIVE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D7521B9"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create creative materials, such as images.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619B72BF"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238E009A"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19B9C70D"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58B5E3DB"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6F20CB37"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PROGRAMMING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820EFB2"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create and check code.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2985D1B"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2A387554"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52F9EAEA"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6D0A66E6" w14:textId="77777777" w:rsidTr="00284B36">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Pr>
          <w:p w14:paraId="54F32206"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NONE </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Pr>
          <w:p w14:paraId="0E6D1560"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For this assessment, you are not allowed to use </w:t>
            </w:r>
            <w:r w:rsidRPr="00284B36">
              <w:rPr>
                <w:rFonts w:ascii="Arial" w:eastAsia="Arial" w:hAnsi="Arial" w:cs="Arial"/>
                <w:b/>
                <w:bCs/>
                <w:kern w:val="0"/>
                <w:lang w:val="en-GB" w:eastAsia="en-GB"/>
                <w14:ligatures w14:val="none"/>
              </w:rPr>
              <w:t>any</w:t>
            </w:r>
            <w:r w:rsidRPr="00284B36">
              <w:rPr>
                <w:rFonts w:ascii="Arial" w:eastAsia="Arial" w:hAnsi="Arial" w:cs="Arial"/>
                <w:kern w:val="0"/>
                <w:lang w:val="en-GB" w:eastAsia="en-GB"/>
                <w14:ligatures w14:val="none"/>
              </w:rPr>
              <w:t xml:space="preserve"> type of Generative AI support. This includes research support, structure support, writing/proofreading support and creative support. </w:t>
            </w:r>
          </w:p>
        </w:tc>
        <w:tc>
          <w:tcPr>
            <w:tcW w:w="1695" w:type="dxa"/>
            <w:tcBorders>
              <w:top w:val="single" w:sz="6" w:space="0" w:color="000000" w:themeColor="text1"/>
              <w:left w:val="single" w:sz="6" w:space="0" w:color="000000" w:themeColor="text1"/>
              <w:bottom w:val="single" w:sz="6" w:space="0" w:color="auto"/>
              <w:right w:val="single" w:sz="6" w:space="0" w:color="auto"/>
            </w:tcBorders>
          </w:tcPr>
          <w:p w14:paraId="09D9CB8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03610695"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3C463920"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bl>
    <w:p w14:paraId="3E03B1F0" w14:textId="77777777" w:rsidR="00284B36" w:rsidRPr="00284B36" w:rsidRDefault="00284B36" w:rsidP="00284B36">
      <w:pPr>
        <w:spacing w:after="0" w:line="240" w:lineRule="auto"/>
        <w:rPr>
          <w:rFonts w:ascii="Times New Roman" w:eastAsia="Calibri" w:hAnsi="Times New Roman" w:cs="Times New Roman"/>
          <w:kern w:val="0"/>
          <w:sz w:val="20"/>
          <w:szCs w:val="20"/>
          <w:lang w:val="en-GB" w:eastAsia="en-GB"/>
          <w14:ligatures w14:val="none"/>
        </w:rPr>
      </w:pP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p>
    <w:p w14:paraId="6B056E49" w14:textId="1F5B30B2" w:rsidR="00284B36" w:rsidRPr="00284B36" w:rsidRDefault="00284B36"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r w:rsidRPr="00284B36">
        <w:rPr>
          <w:rFonts w:ascii="Times New Roman" w:eastAsia="Times New Roman" w:hAnsi="Times New Roman" w:cs="Times New Roman"/>
          <w:color w:val="000000" w:themeColor="text1"/>
          <w:kern w:val="0"/>
          <w:sz w:val="20"/>
          <w:szCs w:val="20"/>
          <w:lang w:val="en-GB" w:eastAsia="en-GB"/>
          <w14:ligatures w14:val="none"/>
        </w:rPr>
        <w:t> </w:t>
      </w:r>
      <w:r>
        <w:rPr>
          <w:rFonts w:ascii="Times New Roman" w:eastAsia="Times New Roman" w:hAnsi="Times New Roman" w:cs="Times New Roman"/>
          <w:color w:val="000000" w:themeColor="text1"/>
          <w:kern w:val="0"/>
          <w:sz w:val="20"/>
          <w:szCs w:val="20"/>
          <w:lang w:val="en-GB" w:eastAsia="en-GB"/>
          <w14:ligatures w14:val="none"/>
        </w:rPr>
        <w:t xml:space="preserve">                                        </w:t>
      </w:r>
      <w:r w:rsidRPr="00284B36">
        <w:rPr>
          <w:rFonts w:ascii="Arial" w:eastAsia="Times New Roman" w:hAnsi="Arial" w:cs="Arial"/>
          <w:b/>
          <w:bCs/>
          <w:kern w:val="0"/>
          <w:sz w:val="24"/>
          <w:szCs w:val="24"/>
          <w:u w:val="single"/>
          <w:lang w:val="en-GB" w:eastAsia="zh-CN"/>
          <w14:ligatures w14:val="none"/>
        </w:rPr>
        <w:t>AI Acknowledgement </w:t>
      </w:r>
    </w:p>
    <w:p w14:paraId="2797F5D5" w14:textId="77777777" w:rsidR="00284B36" w:rsidRPr="00284B36" w:rsidRDefault="00284B36" w:rsidP="00284B36">
      <w:pPr>
        <w:spacing w:after="0" w:line="240" w:lineRule="auto"/>
        <w:textAlignment w:val="baseline"/>
        <w:rPr>
          <w:rFonts w:ascii="Segoe UI" w:eastAsia="Times New Roman" w:hAnsi="Segoe UI" w:cs="Segoe UI"/>
          <w:kern w:val="0"/>
          <w:sz w:val="18"/>
          <w:szCs w:val="18"/>
          <w:lang w:val="en-GB" w:eastAsia="zh-CN"/>
          <w14:ligatures w14:val="none"/>
        </w:rPr>
      </w:pPr>
    </w:p>
    <w:p w14:paraId="4A64D0C4" w14:textId="77777777" w:rsidR="00284B36" w:rsidRPr="00284B36" w:rsidRDefault="00284B36" w:rsidP="00284B36">
      <w:pPr>
        <w:spacing w:after="0" w:line="360" w:lineRule="auto"/>
        <w:jc w:val="both"/>
        <w:textAlignment w:val="baseline"/>
        <w:rPr>
          <w:rFonts w:ascii="Segoe UI" w:eastAsia="Times New Roman" w:hAnsi="Segoe UI" w:cs="Segoe UI"/>
          <w:kern w:val="0"/>
          <w:sz w:val="18"/>
          <w:szCs w:val="18"/>
          <w:lang w:val="en-GB" w:eastAsia="zh-CN"/>
          <w14:ligatures w14:val="none"/>
        </w:rPr>
      </w:pPr>
      <w:r w:rsidRPr="00284B36">
        <w:rPr>
          <w:rFonts w:ascii="Arial" w:eastAsia="Times New Roman" w:hAnsi="Arial" w:cs="Arial"/>
          <w:kern w:val="0"/>
          <w:sz w:val="24"/>
          <w:szCs w:val="24"/>
          <w:lang w:val="en-GB" w:eastAsia="zh-CN"/>
          <w14:ligatures w14:val="none"/>
        </w:rPr>
        <w:t>I confirm that I have not present any AI-generated materials as my own work in this portfolio. </w:t>
      </w:r>
    </w:p>
    <w:p w14:paraId="18A9DEED" w14:textId="77777777" w:rsidR="00284B36" w:rsidRDefault="00284B36" w:rsidP="00284B36">
      <w:pPr>
        <w:spacing w:after="0" w:line="360" w:lineRule="auto"/>
        <w:jc w:val="both"/>
        <w:textAlignment w:val="baseline"/>
        <w:rPr>
          <w:rFonts w:ascii="Arial" w:eastAsia="Times New Roman" w:hAnsi="Arial" w:cs="Arial"/>
          <w:kern w:val="0"/>
          <w:sz w:val="24"/>
          <w:szCs w:val="24"/>
          <w:lang w:val="en-GB" w:eastAsia="zh-CN"/>
          <w14:ligatures w14:val="none"/>
        </w:rPr>
      </w:pPr>
      <w:r w:rsidRPr="00284B36">
        <w:rPr>
          <w:rFonts w:ascii="Arial" w:eastAsia="Times New Roman" w:hAnsi="Arial" w:cs="Arial"/>
          <w:kern w:val="0"/>
          <w:sz w:val="24"/>
          <w:szCs w:val="24"/>
          <w:lang w:val="en-GB" w:eastAsia="zh-CN"/>
          <w14:ligatures w14:val="none"/>
        </w:rPr>
        <w:t>However, I acknowledge that I have used or may have used the AI in the research and proofreading of my portfolio.</w:t>
      </w:r>
    </w:p>
    <w:p w14:paraId="5534F16F" w14:textId="77777777" w:rsidR="00284B36" w:rsidRDefault="00284B36" w:rsidP="00284B36">
      <w:pPr>
        <w:spacing w:after="0" w:line="240" w:lineRule="auto"/>
        <w:textAlignment w:val="baseline"/>
        <w:rPr>
          <w:rFonts w:ascii="Segoe UI" w:eastAsia="Times New Roman" w:hAnsi="Segoe UI" w:cs="Segoe UI"/>
          <w:kern w:val="0"/>
          <w:sz w:val="18"/>
          <w:szCs w:val="18"/>
          <w:lang w:val="en-GB" w:eastAsia="zh-CN"/>
          <w14:ligatures w14:val="none"/>
        </w:rPr>
      </w:pPr>
      <w:r w:rsidRPr="00284B36">
        <w:rPr>
          <w:rFonts w:ascii="Arial" w:eastAsia="Times New Roman" w:hAnsi="Arial" w:cs="Arial"/>
          <w:b/>
          <w:bCs/>
          <w:kern w:val="0"/>
          <w:sz w:val="24"/>
          <w:szCs w:val="24"/>
          <w:lang w:val="en-GB" w:eastAsia="zh-CN"/>
          <w14:ligatures w14:val="none"/>
        </w:rPr>
        <w:t>Name:</w:t>
      </w:r>
      <w:r w:rsidRPr="00284B36">
        <w:rPr>
          <w:rFonts w:ascii="Arial" w:eastAsia="Times New Roman" w:hAnsi="Arial" w:cs="Arial"/>
          <w:kern w:val="0"/>
          <w:sz w:val="24"/>
          <w:szCs w:val="24"/>
          <w:lang w:val="en-GB" w:eastAsia="zh-CN"/>
          <w14:ligatures w14:val="none"/>
        </w:rPr>
        <w:t xml:space="preserve"> Kirsty Garrett</w:t>
      </w:r>
      <w:r w:rsidRPr="00284B36">
        <w:rPr>
          <w:rFonts w:ascii="Arial" w:eastAsia="Times New Roman" w:hAnsi="Arial" w:cs="Arial"/>
          <w:kern w:val="0"/>
          <w:sz w:val="24"/>
          <w:szCs w:val="24"/>
          <w:lang w:val="en-GB" w:eastAsia="zh-CN"/>
          <w14:ligatures w14:val="none"/>
        </w:rPr>
        <w:t> </w:t>
      </w:r>
    </w:p>
    <w:p w14:paraId="71AB3C05" w14:textId="0F629D30" w:rsidR="00284B36" w:rsidRPr="00284B36" w:rsidRDefault="00284B36" w:rsidP="00284B36">
      <w:pPr>
        <w:spacing w:after="0" w:line="240" w:lineRule="auto"/>
        <w:textAlignment w:val="baseline"/>
        <w:rPr>
          <w:rFonts w:ascii="Segoe UI" w:eastAsia="Times New Roman" w:hAnsi="Segoe UI" w:cs="Segoe UI"/>
          <w:kern w:val="0"/>
          <w:sz w:val="18"/>
          <w:szCs w:val="18"/>
          <w:lang w:val="en-GB" w:eastAsia="zh-CN"/>
          <w14:ligatures w14:val="none"/>
        </w:rPr>
      </w:pPr>
      <w:r w:rsidRPr="00284B36">
        <w:rPr>
          <w:rFonts w:ascii="Arial" w:eastAsia="Times New Roman" w:hAnsi="Arial" w:cs="Arial"/>
          <w:b/>
          <w:bCs/>
          <w:kern w:val="0"/>
          <w:sz w:val="24"/>
          <w:szCs w:val="24"/>
          <w:lang w:val="en-GB" w:eastAsia="zh-CN"/>
          <w14:ligatures w14:val="none"/>
        </w:rPr>
        <w:t>Student ID</w:t>
      </w:r>
      <w:r w:rsidRPr="00284B36">
        <w:rPr>
          <w:rFonts w:ascii="Arial" w:eastAsia="Times New Roman" w:hAnsi="Arial" w:cs="Arial"/>
          <w:b/>
          <w:bCs/>
          <w:kern w:val="0"/>
          <w:sz w:val="24"/>
          <w:szCs w:val="24"/>
          <w:lang w:val="en-GB" w:eastAsia="zh-CN"/>
          <w14:ligatures w14:val="none"/>
        </w:rPr>
        <w:t>:</w:t>
      </w:r>
      <w:r w:rsidRPr="00284B36">
        <w:rPr>
          <w:rFonts w:ascii="Arial" w:eastAsia="Times New Roman" w:hAnsi="Arial" w:cs="Arial"/>
          <w:b/>
          <w:kern w:val="0"/>
          <w:sz w:val="24"/>
          <w:szCs w:val="24"/>
          <w:lang w:val="en-GB" w:eastAsia="en-GB"/>
          <w14:ligatures w14:val="none"/>
        </w:rPr>
        <w:t xml:space="preserve"> </w:t>
      </w:r>
      <w:r w:rsidRPr="00284B36">
        <w:rPr>
          <w:rFonts w:ascii="Arial" w:eastAsia="Times New Roman" w:hAnsi="Arial" w:cs="Arial"/>
          <w:bCs/>
          <w:kern w:val="0"/>
          <w:sz w:val="24"/>
          <w:szCs w:val="24"/>
          <w:lang w:val="en-GB" w:eastAsia="en-GB"/>
          <w14:ligatures w14:val="none"/>
        </w:rPr>
        <w:t>0950962</w:t>
      </w:r>
    </w:p>
    <w:p w14:paraId="512A856D" w14:textId="77777777" w:rsidR="00284B36" w:rsidRPr="00284B36" w:rsidRDefault="00284B36" w:rsidP="00284B36">
      <w:pPr>
        <w:spacing w:after="0" w:line="240" w:lineRule="auto"/>
        <w:ind w:left="720"/>
        <w:rPr>
          <w:rFonts w:ascii="Arial" w:eastAsia="Times New Roman" w:hAnsi="Arial" w:cs="Arial"/>
          <w:kern w:val="0"/>
          <w:sz w:val="24"/>
          <w:szCs w:val="24"/>
          <w:lang w:val="en-GB" w:eastAsia="en-GB"/>
          <w14:ligatures w14:val="none"/>
        </w:rPr>
      </w:pPr>
    </w:p>
    <w:p w14:paraId="674D78F1" w14:textId="77777777" w:rsidR="00284B36" w:rsidRPr="00284B36" w:rsidRDefault="00284B36" w:rsidP="00284B36">
      <w:pPr>
        <w:spacing w:after="0" w:line="240" w:lineRule="auto"/>
        <w:ind w:left="720"/>
        <w:rPr>
          <w:rFonts w:ascii="Arial" w:eastAsia="Times New Roman" w:hAnsi="Arial" w:cs="Arial"/>
          <w:kern w:val="0"/>
          <w:sz w:val="24"/>
          <w:szCs w:val="24"/>
          <w:lang w:val="en-GB" w:eastAsia="en-GB"/>
          <w14:ligatures w14:val="none"/>
        </w:rPr>
      </w:pPr>
    </w:p>
    <w:p w14:paraId="2225A74B" w14:textId="60D4EB07" w:rsidR="00284B36" w:rsidRDefault="003963C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r w:rsidRPr="003963C8">
        <w:rPr>
          <w:rFonts w:ascii="Arial" w:eastAsia="Times New Roman" w:hAnsi="Arial" w:cs="Arial"/>
          <w:b/>
          <w:bCs/>
          <w:kern w:val="0"/>
          <w:sz w:val="24"/>
          <w:szCs w:val="24"/>
          <w:u w:val="single"/>
          <w:lang w:val="en-GB" w:eastAsia="en-GB"/>
          <w14:ligatures w14:val="none"/>
        </w:rPr>
        <w:t>Table of Contents</w:t>
      </w:r>
    </w:p>
    <w:p w14:paraId="7B190695" w14:textId="77777777" w:rsidR="00DC1445" w:rsidRDefault="00DC1445"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50B9DA58" w14:textId="62217405" w:rsidR="00DC1445" w:rsidRPr="00284B36" w:rsidRDefault="00DC1445" w:rsidP="00DC1445">
      <w:pPr>
        <w:spacing w:after="0" w:line="240" w:lineRule="auto"/>
        <w:ind w:left="720"/>
        <w:rPr>
          <w:rFonts w:ascii="Arial" w:eastAsia="Times New Roman" w:hAnsi="Arial" w:cs="Arial"/>
          <w:b/>
          <w:bCs/>
          <w:kern w:val="0"/>
          <w:sz w:val="24"/>
          <w:szCs w:val="24"/>
          <w:u w:val="single"/>
          <w:lang w:val="en-GB" w:eastAsia="en-GB"/>
          <w14:ligatures w14:val="none"/>
        </w:rPr>
      </w:pPr>
      <w:r>
        <w:rPr>
          <w:rFonts w:ascii="Arial" w:eastAsia="Times New Roman" w:hAnsi="Arial" w:cs="Arial"/>
          <w:b/>
          <w:bCs/>
          <w:kern w:val="0"/>
          <w:sz w:val="24"/>
          <w:szCs w:val="24"/>
          <w:u w:val="single"/>
          <w:lang w:val="en-GB" w:eastAsia="en-GB"/>
          <w14:ligatures w14:val="none"/>
        </w:rPr>
        <w:t>Part A</w:t>
      </w:r>
    </w:p>
    <w:p w14:paraId="544D9C66" w14:textId="471E8788" w:rsidR="00DC1445" w:rsidRPr="00742398"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742398">
        <w:rPr>
          <w:rFonts w:ascii="Arial" w:eastAsia="Times New Roman" w:hAnsi="Arial" w:cs="Arial"/>
          <w:b/>
          <w:bCs/>
          <w:kern w:val="0"/>
          <w:sz w:val="24"/>
          <w:szCs w:val="24"/>
          <w14:ligatures w14:val="none"/>
        </w:rPr>
        <w:t>Introduction</w:t>
      </w:r>
      <w:r w:rsidRPr="00742398">
        <w:rPr>
          <w:rFonts w:ascii="Arial" w:eastAsia="Times New Roman" w:hAnsi="Arial" w:cs="Arial"/>
          <w:kern w:val="0"/>
          <w:sz w:val="24"/>
          <w:szCs w:val="24"/>
          <w14:ligatures w14:val="none"/>
        </w:rPr>
        <w:t xml:space="preserve"> ........................................................................................................ </w:t>
      </w:r>
      <w:r w:rsidRPr="00742398">
        <w:rPr>
          <w:rFonts w:ascii="Arial" w:eastAsia="Times New Roman" w:hAnsi="Arial" w:cs="Arial"/>
          <w:kern w:val="0"/>
          <w:sz w:val="24"/>
          <w:szCs w:val="24"/>
          <w14:ligatures w14:val="none"/>
        </w:rPr>
        <w:br/>
        <w:t xml:space="preserve">1.1 Background ........................................................................................................ </w:t>
      </w:r>
      <w:r w:rsidRPr="00742398">
        <w:rPr>
          <w:rFonts w:ascii="Arial" w:eastAsia="Times New Roman" w:hAnsi="Arial" w:cs="Arial"/>
          <w:kern w:val="0"/>
          <w:sz w:val="24"/>
          <w:szCs w:val="24"/>
          <w14:ligatures w14:val="none"/>
        </w:rPr>
        <w:br/>
        <w:t>1.2 Overview of Global COVID</w:t>
      </w:r>
      <w:r w:rsidRPr="00742398">
        <w:rPr>
          <w:rFonts w:ascii="Arial" w:eastAsia="Times New Roman" w:hAnsi="Arial" w:cs="Arial"/>
          <w:kern w:val="0"/>
          <w:sz w:val="24"/>
          <w:szCs w:val="24"/>
          <w14:ligatures w14:val="none"/>
        </w:rPr>
        <w:noBreakHyphen/>
        <w:t xml:space="preserve">19 Disruption ..................................................... </w:t>
      </w:r>
    </w:p>
    <w:p w14:paraId="4075E91E" w14:textId="7EC45B8A"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Problem Identification</w:t>
      </w:r>
      <w:r w:rsidRPr="00DC1445">
        <w:rPr>
          <w:rFonts w:ascii="Arial" w:eastAsia="Times New Roman" w:hAnsi="Arial" w:cs="Arial"/>
          <w:kern w:val="0"/>
          <w:sz w:val="24"/>
          <w:szCs w:val="24"/>
          <w14:ligatures w14:val="none"/>
        </w:rPr>
        <w:t xml:space="preserve"> ..................................................................................... </w:t>
      </w:r>
      <w:r w:rsidRPr="00DC1445">
        <w:rPr>
          <w:rFonts w:ascii="Arial" w:eastAsia="Times New Roman" w:hAnsi="Arial" w:cs="Arial"/>
          <w:kern w:val="0"/>
          <w:sz w:val="24"/>
          <w:szCs w:val="24"/>
          <w14:ligatures w14:val="none"/>
        </w:rPr>
        <w:br/>
        <w:t xml:space="preserve">2.1 Key Issues Affecting Continental Ebbw Vale .................................................. </w:t>
      </w:r>
      <w:r w:rsidRPr="00DC1445">
        <w:rPr>
          <w:rFonts w:ascii="Arial" w:eastAsia="Times New Roman" w:hAnsi="Arial" w:cs="Arial"/>
          <w:kern w:val="0"/>
          <w:sz w:val="24"/>
          <w:szCs w:val="24"/>
          <w14:ligatures w14:val="none"/>
        </w:rPr>
        <w:br/>
        <w:t xml:space="preserve">2.2 Impact of Global and National Supply Chain Disruptions ............................ </w:t>
      </w:r>
      <w:r w:rsidRPr="00DC1445">
        <w:rPr>
          <w:rFonts w:ascii="Arial" w:eastAsia="Times New Roman" w:hAnsi="Arial" w:cs="Arial"/>
          <w:kern w:val="0"/>
          <w:sz w:val="24"/>
          <w:szCs w:val="24"/>
          <w14:ligatures w14:val="none"/>
        </w:rPr>
        <w:br/>
        <w:t xml:space="preserve">2.3 Understanding Data for Addressing the Problem/Opportunity .................... </w:t>
      </w:r>
      <w:r w:rsidRPr="00DC1445">
        <w:rPr>
          <w:rFonts w:ascii="Arial" w:eastAsia="Times New Roman" w:hAnsi="Arial" w:cs="Arial"/>
          <w:kern w:val="0"/>
          <w:sz w:val="24"/>
          <w:szCs w:val="24"/>
          <w14:ligatures w14:val="none"/>
        </w:rPr>
        <w:br/>
        <w:t xml:space="preserve">2.4 Variable Identification ..................................................................................... </w:t>
      </w:r>
    </w:p>
    <w:p w14:paraId="067D0B9A" w14:textId="27E87386"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Data Collection</w:t>
      </w:r>
      <w:r w:rsidRPr="00DC1445">
        <w:rPr>
          <w:rFonts w:ascii="Arial" w:eastAsia="Times New Roman" w:hAnsi="Arial" w:cs="Arial"/>
          <w:kern w:val="0"/>
          <w:sz w:val="24"/>
          <w:szCs w:val="24"/>
          <w14:ligatures w14:val="none"/>
        </w:rPr>
        <w:t xml:space="preserve"> .................................................................................................. </w:t>
      </w:r>
      <w:r w:rsidRPr="00DC1445">
        <w:rPr>
          <w:rFonts w:ascii="Arial" w:eastAsia="Times New Roman" w:hAnsi="Arial" w:cs="Arial"/>
          <w:kern w:val="0"/>
          <w:sz w:val="24"/>
          <w:szCs w:val="24"/>
          <w14:ligatures w14:val="none"/>
        </w:rPr>
        <w:br/>
        <w:t xml:space="preserve">Quantitative Data ............................................................................................. </w:t>
      </w:r>
      <w:r w:rsidRPr="00DC1445">
        <w:rPr>
          <w:rFonts w:ascii="Arial" w:eastAsia="Times New Roman" w:hAnsi="Arial" w:cs="Arial"/>
          <w:kern w:val="0"/>
          <w:sz w:val="24"/>
          <w:szCs w:val="24"/>
          <w14:ligatures w14:val="none"/>
        </w:rPr>
        <w:br/>
        <w:t xml:space="preserve">Qualitative Data ............................................................................................... </w:t>
      </w:r>
      <w:r w:rsidRPr="00DC1445">
        <w:rPr>
          <w:rFonts w:ascii="Arial" w:eastAsia="Times New Roman" w:hAnsi="Arial" w:cs="Arial"/>
          <w:kern w:val="0"/>
          <w:sz w:val="24"/>
          <w:szCs w:val="24"/>
          <w14:ligatures w14:val="none"/>
        </w:rPr>
        <w:br/>
        <w:t xml:space="preserve">Structured and Unstructured Data ................................................................ </w:t>
      </w:r>
      <w:r w:rsidRPr="00DC1445">
        <w:rPr>
          <w:rFonts w:ascii="Arial" w:eastAsia="Times New Roman" w:hAnsi="Arial" w:cs="Arial"/>
          <w:kern w:val="0"/>
          <w:sz w:val="24"/>
          <w:szCs w:val="24"/>
          <w14:ligatures w14:val="none"/>
        </w:rPr>
        <w:br/>
        <w:t xml:space="preserve">Data Preparation &amp; Validation ........................................................................ </w:t>
      </w:r>
    </w:p>
    <w:p w14:paraId="0632D569" w14:textId="60060955"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Data Analysis</w:t>
      </w:r>
      <w:r w:rsidRPr="00DC1445">
        <w:rPr>
          <w:rFonts w:ascii="Arial" w:eastAsia="Times New Roman" w:hAnsi="Arial" w:cs="Arial"/>
          <w:kern w:val="0"/>
          <w:sz w:val="24"/>
          <w:szCs w:val="24"/>
          <w14:ligatures w14:val="none"/>
        </w:rPr>
        <w:t xml:space="preserve"> .................................................................................................... </w:t>
      </w:r>
      <w:r w:rsidRPr="00DC1445">
        <w:rPr>
          <w:rFonts w:ascii="Arial" w:eastAsia="Times New Roman" w:hAnsi="Arial" w:cs="Arial"/>
          <w:kern w:val="0"/>
          <w:sz w:val="24"/>
          <w:szCs w:val="24"/>
          <w14:ligatures w14:val="none"/>
        </w:rPr>
        <w:br/>
        <w:t xml:space="preserve">Descriptive Statistics ....................................................................................... </w:t>
      </w:r>
      <w:r w:rsidRPr="00DC1445">
        <w:rPr>
          <w:rFonts w:ascii="Arial" w:eastAsia="Times New Roman" w:hAnsi="Arial" w:cs="Arial"/>
          <w:kern w:val="0"/>
          <w:sz w:val="24"/>
          <w:szCs w:val="24"/>
          <w14:ligatures w14:val="none"/>
        </w:rPr>
        <w:br/>
        <w:t xml:space="preserve">Inferential Statistics ......................................................................................... </w:t>
      </w:r>
      <w:r w:rsidRPr="00DC1445">
        <w:rPr>
          <w:rFonts w:ascii="Arial" w:eastAsia="Times New Roman" w:hAnsi="Arial" w:cs="Arial"/>
          <w:kern w:val="0"/>
          <w:sz w:val="24"/>
          <w:szCs w:val="24"/>
          <w14:ligatures w14:val="none"/>
        </w:rPr>
        <w:br/>
        <w:t xml:space="preserve">Visual Data Insights (Charts &amp; Graphs) ........................................................ </w:t>
      </w:r>
      <w:r w:rsidRPr="00DC1445">
        <w:rPr>
          <w:rFonts w:ascii="Arial" w:eastAsia="Times New Roman" w:hAnsi="Arial" w:cs="Arial"/>
          <w:kern w:val="0"/>
          <w:sz w:val="24"/>
          <w:szCs w:val="24"/>
          <w14:ligatures w14:val="none"/>
        </w:rPr>
        <w:br/>
        <w:t xml:space="preserve">Interpretation of Trends ................................................................................. </w:t>
      </w:r>
    </w:p>
    <w:p w14:paraId="702BE2CF" w14:textId="77777777" w:rsidR="00DC1445" w:rsidRPr="00742398"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Literature Review</w:t>
      </w:r>
      <w:r w:rsidRPr="00DC1445">
        <w:rPr>
          <w:rFonts w:ascii="Arial" w:eastAsia="Times New Roman" w:hAnsi="Arial" w:cs="Arial"/>
          <w:kern w:val="0"/>
          <w:sz w:val="24"/>
          <w:szCs w:val="24"/>
          <w14:ligatures w14:val="none"/>
        </w:rPr>
        <w:t xml:space="preserve"> ............................................................................................ </w:t>
      </w:r>
    </w:p>
    <w:p w14:paraId="7DC6CDCD" w14:textId="7A82A954"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Discussion</w:t>
      </w:r>
      <w:r w:rsidRPr="00DC1445">
        <w:rPr>
          <w:rFonts w:ascii="Arial" w:eastAsia="Times New Roman" w:hAnsi="Arial" w:cs="Arial"/>
          <w:kern w:val="0"/>
          <w:sz w:val="24"/>
          <w:szCs w:val="24"/>
          <w14:ligatures w14:val="none"/>
        </w:rPr>
        <w:t xml:space="preserve"> .......................................................................................................... </w:t>
      </w:r>
      <w:r w:rsidRPr="00DC1445">
        <w:rPr>
          <w:rFonts w:ascii="Arial" w:eastAsia="Times New Roman" w:hAnsi="Arial" w:cs="Arial"/>
          <w:kern w:val="0"/>
          <w:sz w:val="24"/>
          <w:szCs w:val="24"/>
          <w14:ligatures w14:val="none"/>
        </w:rPr>
        <w:br/>
        <w:t xml:space="preserve">Integration of Findings .................................................................................... </w:t>
      </w:r>
      <w:r w:rsidRPr="00DC1445">
        <w:rPr>
          <w:rFonts w:ascii="Arial" w:eastAsia="Times New Roman" w:hAnsi="Arial" w:cs="Arial"/>
          <w:kern w:val="0"/>
          <w:sz w:val="24"/>
          <w:szCs w:val="24"/>
          <w14:ligatures w14:val="none"/>
        </w:rPr>
        <w:br/>
        <w:t xml:space="preserve">Alignment with Industry Trends ..................................................................... </w:t>
      </w:r>
      <w:r w:rsidRPr="00DC1445">
        <w:rPr>
          <w:rFonts w:ascii="Arial" w:eastAsia="Times New Roman" w:hAnsi="Arial" w:cs="Arial"/>
          <w:kern w:val="0"/>
          <w:sz w:val="24"/>
          <w:szCs w:val="24"/>
          <w14:ligatures w14:val="none"/>
        </w:rPr>
        <w:br/>
        <w:t xml:space="preserve">Identified Vulnerabilities ................................................................................ </w:t>
      </w:r>
      <w:r w:rsidRPr="00DC1445">
        <w:rPr>
          <w:rFonts w:ascii="Arial" w:eastAsia="Times New Roman" w:hAnsi="Arial" w:cs="Arial"/>
          <w:kern w:val="0"/>
          <w:sz w:val="24"/>
          <w:szCs w:val="24"/>
          <w14:ligatures w14:val="none"/>
        </w:rPr>
        <w:br/>
        <w:t xml:space="preserve">Implications for Future Operations ................................................................ </w:t>
      </w:r>
    </w:p>
    <w:p w14:paraId="4ED22443" w14:textId="7926881D"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Conclusion</w:t>
      </w:r>
      <w:r w:rsidRPr="00DC1445">
        <w:rPr>
          <w:rFonts w:ascii="Arial" w:eastAsia="Times New Roman" w:hAnsi="Arial" w:cs="Arial"/>
          <w:kern w:val="0"/>
          <w:sz w:val="24"/>
          <w:szCs w:val="24"/>
          <w14:ligatures w14:val="none"/>
        </w:rPr>
        <w:t xml:space="preserve"> ........................................................................................................ </w:t>
      </w:r>
    </w:p>
    <w:p w14:paraId="231963F5" w14:textId="77777777" w:rsidR="00DC1445" w:rsidRPr="00742398"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References</w:t>
      </w:r>
      <w:r w:rsidRPr="00DC1445">
        <w:rPr>
          <w:rFonts w:ascii="Arial" w:eastAsia="Times New Roman" w:hAnsi="Arial" w:cs="Arial"/>
          <w:kern w:val="0"/>
          <w:sz w:val="24"/>
          <w:szCs w:val="24"/>
          <w14:ligatures w14:val="none"/>
        </w:rPr>
        <w:t xml:space="preserve"> ........................................................................................................ </w:t>
      </w:r>
    </w:p>
    <w:p w14:paraId="7FDF4ECB" w14:textId="77777777" w:rsidR="00DC1445" w:rsidRDefault="00DC1445" w:rsidP="00DC1445">
      <w:pPr>
        <w:spacing w:before="100" w:beforeAutospacing="1" w:after="100" w:afterAutospacing="1" w:line="300" w:lineRule="atLeast"/>
        <w:rPr>
          <w:rFonts w:ascii="Segoe UI" w:eastAsia="Times New Roman" w:hAnsi="Segoe UI" w:cs="Segoe UI"/>
          <w:kern w:val="0"/>
          <w:sz w:val="21"/>
          <w:szCs w:val="21"/>
          <w14:ligatures w14:val="none"/>
        </w:rPr>
      </w:pPr>
    </w:p>
    <w:p w14:paraId="62950412" w14:textId="77777777" w:rsidR="00DC1445" w:rsidRDefault="00DC1445" w:rsidP="00DC1445">
      <w:pPr>
        <w:spacing w:before="100" w:beforeAutospacing="1" w:after="100" w:afterAutospacing="1" w:line="300" w:lineRule="atLeast"/>
        <w:rPr>
          <w:rFonts w:ascii="Segoe UI" w:eastAsia="Times New Roman" w:hAnsi="Segoe UI" w:cs="Segoe UI"/>
          <w:kern w:val="0"/>
          <w:sz w:val="21"/>
          <w:szCs w:val="21"/>
          <w14:ligatures w14:val="none"/>
        </w:rPr>
      </w:pPr>
    </w:p>
    <w:p w14:paraId="29E70816" w14:textId="77777777" w:rsidR="00DC1445" w:rsidRDefault="00DC1445" w:rsidP="00DC1445">
      <w:pPr>
        <w:spacing w:before="100" w:beforeAutospacing="1" w:after="100" w:afterAutospacing="1" w:line="300" w:lineRule="atLeast"/>
        <w:rPr>
          <w:rFonts w:ascii="Segoe UI" w:eastAsia="Times New Roman" w:hAnsi="Segoe UI" w:cs="Segoe UI"/>
          <w:kern w:val="0"/>
          <w:sz w:val="21"/>
          <w:szCs w:val="21"/>
          <w14:ligatures w14:val="none"/>
        </w:rPr>
      </w:pPr>
    </w:p>
    <w:p w14:paraId="4385252F" w14:textId="77777777" w:rsidR="00DC1445" w:rsidRDefault="00DC1445" w:rsidP="00DC1445">
      <w:pPr>
        <w:spacing w:before="100" w:beforeAutospacing="1" w:after="100" w:afterAutospacing="1" w:line="300" w:lineRule="atLeast"/>
        <w:rPr>
          <w:rFonts w:ascii="Segoe UI" w:eastAsia="Times New Roman" w:hAnsi="Segoe UI" w:cs="Segoe UI"/>
          <w:kern w:val="0"/>
          <w:sz w:val="21"/>
          <w:szCs w:val="21"/>
          <w14:ligatures w14:val="none"/>
        </w:rPr>
      </w:pPr>
    </w:p>
    <w:p w14:paraId="565247D5" w14:textId="72309B24" w:rsidR="00DC1445" w:rsidRPr="00DC1445" w:rsidRDefault="00DC1445" w:rsidP="00DC1445">
      <w:pPr>
        <w:spacing w:before="100" w:beforeAutospacing="1" w:after="100" w:afterAutospacing="1" w:line="300" w:lineRule="atLeast"/>
        <w:rPr>
          <w:rFonts w:ascii="Segoe UI" w:eastAsia="Times New Roman" w:hAnsi="Segoe UI" w:cs="Segoe UI"/>
          <w:kern w:val="0"/>
          <w:sz w:val="21"/>
          <w:szCs w:val="21"/>
          <w14:ligatures w14:val="none"/>
        </w:rPr>
      </w:pPr>
      <w:r w:rsidRPr="00DC1445">
        <w:rPr>
          <w:rFonts w:ascii="Arial" w:eastAsia="Times New Roman" w:hAnsi="Arial" w:cs="Arial"/>
          <w:b/>
          <w:bCs/>
          <w:kern w:val="0"/>
          <w:sz w:val="24"/>
          <w:szCs w:val="24"/>
          <w:u w:val="single"/>
          <w14:ligatures w14:val="none"/>
        </w:rPr>
        <w:lastRenderedPageBreak/>
        <w:t>Part B</w:t>
      </w:r>
    </w:p>
    <w:p w14:paraId="06223A04" w14:textId="519F5FC2"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kern w:val="0"/>
          <w:sz w:val="24"/>
          <w:szCs w:val="24"/>
          <w14:ligatures w14:val="none"/>
        </w:rPr>
        <w:t>Five</w:t>
      </w:r>
      <w:r w:rsidRPr="00DC1445">
        <w:rPr>
          <w:rFonts w:ascii="Arial" w:eastAsia="Times New Roman" w:hAnsi="Arial" w:cs="Arial"/>
          <w:kern w:val="0"/>
          <w:sz w:val="24"/>
          <w:szCs w:val="24"/>
          <w14:ligatures w14:val="none"/>
        </w:rPr>
        <w:noBreakHyphen/>
        <w:t xml:space="preserve">Year Financial Figures (2019–2023) ...................................................... </w:t>
      </w:r>
      <w:r w:rsidRPr="00DC1445">
        <w:rPr>
          <w:rFonts w:ascii="Arial" w:eastAsia="Times New Roman" w:hAnsi="Arial" w:cs="Arial"/>
          <w:kern w:val="0"/>
          <w:sz w:val="24"/>
          <w:szCs w:val="24"/>
          <w14:ligatures w14:val="none"/>
        </w:rPr>
        <w:br/>
        <w:t xml:space="preserve">Descriptive Statistics ....................................................................................... </w:t>
      </w:r>
      <w:r w:rsidRPr="00DC1445">
        <w:rPr>
          <w:rFonts w:ascii="Arial" w:eastAsia="Times New Roman" w:hAnsi="Arial" w:cs="Arial"/>
          <w:kern w:val="0"/>
          <w:sz w:val="24"/>
          <w:szCs w:val="24"/>
          <w14:ligatures w14:val="none"/>
        </w:rPr>
        <w:br/>
        <w:t>Correlation &amp; Regression Analysis .................................................................</w:t>
      </w:r>
      <w:r w:rsidRPr="00DC1445">
        <w:rPr>
          <w:rFonts w:ascii="Arial" w:eastAsia="Times New Roman" w:hAnsi="Arial" w:cs="Arial"/>
          <w:kern w:val="0"/>
          <w:sz w:val="24"/>
          <w:szCs w:val="24"/>
          <w14:ligatures w14:val="none"/>
        </w:rPr>
        <w:br/>
        <w:t xml:space="preserve">Cost Structure Comparison ............................................................................ </w:t>
      </w:r>
    </w:p>
    <w:p w14:paraId="2D9AA0A1" w14:textId="6A2969B2"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kern w:val="0"/>
          <w:sz w:val="24"/>
          <w:szCs w:val="24"/>
          <w14:ligatures w14:val="none"/>
        </w:rPr>
        <w:t>Visualizations</w:t>
      </w:r>
      <w:r w:rsidRPr="00DC1445">
        <w:rPr>
          <w:rFonts w:ascii="Arial" w:eastAsia="Times New Roman" w:hAnsi="Arial" w:cs="Arial"/>
          <w:kern w:val="0"/>
          <w:sz w:val="24"/>
          <w:szCs w:val="24"/>
          <w14:ligatures w14:val="none"/>
        </w:rPr>
        <w:t xml:space="preserve"> (Bar, Pie, Scatter, Bubble Charts) .........................................</w:t>
      </w:r>
    </w:p>
    <w:p w14:paraId="201109B2" w14:textId="41226A38"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kern w:val="0"/>
          <w:sz w:val="24"/>
          <w:szCs w:val="24"/>
          <w14:ligatures w14:val="none"/>
        </w:rPr>
        <w:t>Decision</w:t>
      </w:r>
      <w:r w:rsidRPr="00DC1445">
        <w:rPr>
          <w:rFonts w:ascii="Arial" w:eastAsia="Times New Roman" w:hAnsi="Arial" w:cs="Arial"/>
          <w:kern w:val="0"/>
          <w:sz w:val="24"/>
          <w:szCs w:val="24"/>
          <w14:ligatures w14:val="none"/>
        </w:rPr>
        <w:noBreakHyphen/>
        <w:t xml:space="preserve">Making Frameworks ....................................................................... </w:t>
      </w:r>
      <w:r w:rsidRPr="00DC1445">
        <w:rPr>
          <w:rFonts w:ascii="Arial" w:eastAsia="Times New Roman" w:hAnsi="Arial" w:cs="Arial"/>
          <w:kern w:val="0"/>
          <w:sz w:val="24"/>
          <w:szCs w:val="24"/>
          <w14:ligatures w14:val="none"/>
        </w:rPr>
        <w:br/>
      </w:r>
      <w:proofErr w:type="spellStart"/>
      <w:r w:rsidRPr="00DC1445">
        <w:rPr>
          <w:rFonts w:ascii="Arial" w:eastAsia="Times New Roman" w:hAnsi="Arial" w:cs="Arial"/>
          <w:kern w:val="0"/>
          <w:sz w:val="24"/>
          <w:szCs w:val="24"/>
          <w14:ligatures w14:val="none"/>
        </w:rPr>
        <w:t>Gorry</w:t>
      </w:r>
      <w:proofErr w:type="spellEnd"/>
      <w:r w:rsidRPr="00DC1445">
        <w:rPr>
          <w:rFonts w:ascii="Arial" w:eastAsia="Times New Roman" w:hAnsi="Arial" w:cs="Arial"/>
          <w:kern w:val="0"/>
          <w:sz w:val="24"/>
          <w:szCs w:val="24"/>
          <w14:ligatures w14:val="none"/>
        </w:rPr>
        <w:t xml:space="preserve"> &amp; Scott Morton </w:t>
      </w:r>
      <w:r w:rsidRPr="00DC1445">
        <w:rPr>
          <w:rFonts w:ascii="Arial" w:eastAsia="Times New Roman" w:hAnsi="Arial" w:cs="Arial"/>
          <w:kern w:val="0"/>
          <w:sz w:val="24"/>
          <w:szCs w:val="24"/>
          <w14:ligatures w14:val="none"/>
        </w:rPr>
        <w:t>Framework</w:t>
      </w:r>
      <w:r w:rsidRPr="00DC1445">
        <w:rPr>
          <w:rFonts w:ascii="Arial" w:eastAsia="Times New Roman" w:hAnsi="Arial" w:cs="Arial"/>
          <w:kern w:val="0"/>
          <w:sz w:val="24"/>
          <w:szCs w:val="24"/>
          <w14:ligatures w14:val="none"/>
        </w:rPr>
        <w:t xml:space="preserve"> ........................................................................ </w:t>
      </w:r>
      <w:r w:rsidRPr="00DC1445">
        <w:rPr>
          <w:rFonts w:ascii="Arial" w:eastAsia="Times New Roman" w:hAnsi="Arial" w:cs="Arial"/>
          <w:kern w:val="0"/>
          <w:sz w:val="24"/>
          <w:szCs w:val="24"/>
          <w14:ligatures w14:val="none"/>
        </w:rPr>
        <w:br/>
      </w:r>
      <w:proofErr w:type="spellStart"/>
      <w:r w:rsidRPr="00DC1445">
        <w:rPr>
          <w:rFonts w:ascii="Arial" w:eastAsia="Times New Roman" w:hAnsi="Arial" w:cs="Arial"/>
          <w:kern w:val="0"/>
          <w:sz w:val="24"/>
          <w:szCs w:val="24"/>
          <w14:ligatures w14:val="none"/>
        </w:rPr>
        <w:t>Gorry</w:t>
      </w:r>
      <w:proofErr w:type="spellEnd"/>
      <w:r w:rsidRPr="00DC1445">
        <w:rPr>
          <w:rFonts w:ascii="Arial" w:eastAsia="Times New Roman" w:hAnsi="Arial" w:cs="Arial"/>
          <w:kern w:val="0"/>
          <w:sz w:val="24"/>
          <w:szCs w:val="24"/>
          <w14:ligatures w14:val="none"/>
        </w:rPr>
        <w:t xml:space="preserve"> &amp; Scott Morton Example </w:t>
      </w:r>
      <w:r w:rsidRPr="00DC1445">
        <w:rPr>
          <w:rFonts w:ascii="Arial" w:eastAsia="Times New Roman" w:hAnsi="Arial" w:cs="Arial"/>
          <w:kern w:val="0"/>
          <w:sz w:val="24"/>
          <w:szCs w:val="24"/>
          <w14:ligatures w14:val="none"/>
        </w:rPr>
        <w:t xml:space="preserve">....................................................................... </w:t>
      </w:r>
    </w:p>
    <w:p w14:paraId="0D760C96" w14:textId="77777777" w:rsidR="003963C8" w:rsidRPr="0013224D" w:rsidRDefault="003963C8" w:rsidP="0013224D">
      <w:pPr>
        <w:rPr>
          <w:b/>
          <w:bCs/>
          <w:u w:val="single"/>
        </w:rPr>
      </w:pPr>
    </w:p>
    <w:p w14:paraId="23CD9E6D" w14:textId="77777777" w:rsidR="00284B36" w:rsidRDefault="00284B36" w:rsidP="0013224D">
      <w:pPr>
        <w:jc w:val="center"/>
        <w:rPr>
          <w:rFonts w:ascii="Arial" w:hAnsi="Arial" w:cs="Arial"/>
          <w:b/>
          <w:bCs/>
          <w:sz w:val="24"/>
          <w:szCs w:val="24"/>
          <w:u w:val="single"/>
        </w:rPr>
      </w:pPr>
    </w:p>
    <w:p w14:paraId="13E8B0F6" w14:textId="77777777" w:rsidR="00284B36" w:rsidRDefault="00284B36" w:rsidP="0013224D">
      <w:pPr>
        <w:jc w:val="center"/>
        <w:rPr>
          <w:rFonts w:ascii="Arial" w:hAnsi="Arial" w:cs="Arial"/>
          <w:b/>
          <w:bCs/>
          <w:sz w:val="24"/>
          <w:szCs w:val="24"/>
          <w:u w:val="single"/>
        </w:rPr>
      </w:pPr>
    </w:p>
    <w:p w14:paraId="12C654EE" w14:textId="77777777" w:rsidR="00284B36" w:rsidRDefault="00284B36" w:rsidP="0013224D">
      <w:pPr>
        <w:jc w:val="center"/>
        <w:rPr>
          <w:rFonts w:ascii="Arial" w:hAnsi="Arial" w:cs="Arial"/>
          <w:b/>
          <w:bCs/>
          <w:sz w:val="24"/>
          <w:szCs w:val="24"/>
          <w:u w:val="single"/>
        </w:rPr>
      </w:pPr>
    </w:p>
    <w:p w14:paraId="7F15E850" w14:textId="77777777" w:rsidR="00284B36" w:rsidRDefault="00284B36" w:rsidP="0013224D">
      <w:pPr>
        <w:jc w:val="center"/>
        <w:rPr>
          <w:rFonts w:ascii="Arial" w:hAnsi="Arial" w:cs="Arial"/>
          <w:b/>
          <w:bCs/>
          <w:sz w:val="24"/>
          <w:szCs w:val="24"/>
          <w:u w:val="single"/>
        </w:rPr>
      </w:pPr>
    </w:p>
    <w:p w14:paraId="355F3196" w14:textId="77777777" w:rsidR="00284B36" w:rsidRDefault="00284B36" w:rsidP="0013224D">
      <w:pPr>
        <w:jc w:val="center"/>
        <w:rPr>
          <w:rFonts w:ascii="Arial" w:hAnsi="Arial" w:cs="Arial"/>
          <w:b/>
          <w:bCs/>
          <w:sz w:val="24"/>
          <w:szCs w:val="24"/>
          <w:u w:val="single"/>
        </w:rPr>
      </w:pPr>
    </w:p>
    <w:p w14:paraId="71D33CC0" w14:textId="77777777" w:rsidR="00284B36" w:rsidRDefault="00284B36" w:rsidP="0013224D">
      <w:pPr>
        <w:jc w:val="center"/>
        <w:rPr>
          <w:rFonts w:ascii="Arial" w:hAnsi="Arial" w:cs="Arial"/>
          <w:b/>
          <w:bCs/>
          <w:sz w:val="24"/>
          <w:szCs w:val="24"/>
          <w:u w:val="single"/>
        </w:rPr>
      </w:pPr>
    </w:p>
    <w:p w14:paraId="3E979F4B" w14:textId="77777777" w:rsidR="00284B36" w:rsidRDefault="00284B36" w:rsidP="0013224D">
      <w:pPr>
        <w:jc w:val="center"/>
        <w:rPr>
          <w:rFonts w:ascii="Arial" w:hAnsi="Arial" w:cs="Arial"/>
          <w:b/>
          <w:bCs/>
          <w:sz w:val="24"/>
          <w:szCs w:val="24"/>
          <w:u w:val="single"/>
        </w:rPr>
      </w:pPr>
    </w:p>
    <w:p w14:paraId="3BC07A24" w14:textId="77777777" w:rsidR="00284B36" w:rsidRDefault="00284B36" w:rsidP="0013224D">
      <w:pPr>
        <w:jc w:val="center"/>
        <w:rPr>
          <w:rFonts w:ascii="Arial" w:hAnsi="Arial" w:cs="Arial"/>
          <w:b/>
          <w:bCs/>
          <w:sz w:val="24"/>
          <w:szCs w:val="24"/>
          <w:u w:val="single"/>
        </w:rPr>
      </w:pPr>
    </w:p>
    <w:p w14:paraId="40C9F458" w14:textId="77777777" w:rsidR="003963C8" w:rsidRDefault="003963C8" w:rsidP="0013224D">
      <w:pPr>
        <w:jc w:val="center"/>
        <w:rPr>
          <w:rFonts w:ascii="Arial" w:hAnsi="Arial" w:cs="Arial"/>
          <w:b/>
          <w:bCs/>
          <w:sz w:val="24"/>
          <w:szCs w:val="24"/>
          <w:u w:val="single"/>
        </w:rPr>
      </w:pPr>
    </w:p>
    <w:p w14:paraId="545293E1" w14:textId="77777777" w:rsidR="003963C8" w:rsidRDefault="003963C8" w:rsidP="0013224D">
      <w:pPr>
        <w:jc w:val="center"/>
        <w:rPr>
          <w:rFonts w:ascii="Arial" w:hAnsi="Arial" w:cs="Arial"/>
          <w:b/>
          <w:bCs/>
          <w:sz w:val="24"/>
          <w:szCs w:val="24"/>
          <w:u w:val="single"/>
        </w:rPr>
      </w:pPr>
    </w:p>
    <w:p w14:paraId="3EC4A25C" w14:textId="77777777" w:rsidR="003963C8" w:rsidRDefault="003963C8" w:rsidP="0013224D">
      <w:pPr>
        <w:jc w:val="center"/>
        <w:rPr>
          <w:rFonts w:ascii="Arial" w:hAnsi="Arial" w:cs="Arial"/>
          <w:b/>
          <w:bCs/>
          <w:sz w:val="24"/>
          <w:szCs w:val="24"/>
          <w:u w:val="single"/>
        </w:rPr>
      </w:pPr>
    </w:p>
    <w:p w14:paraId="36F6A76A" w14:textId="77777777" w:rsidR="003963C8" w:rsidRDefault="003963C8" w:rsidP="0013224D">
      <w:pPr>
        <w:jc w:val="center"/>
        <w:rPr>
          <w:rFonts w:ascii="Arial" w:hAnsi="Arial" w:cs="Arial"/>
          <w:b/>
          <w:bCs/>
          <w:sz w:val="24"/>
          <w:szCs w:val="24"/>
          <w:u w:val="single"/>
        </w:rPr>
      </w:pPr>
    </w:p>
    <w:p w14:paraId="0FE2AFFA" w14:textId="77777777" w:rsidR="003963C8" w:rsidRDefault="003963C8" w:rsidP="0013224D">
      <w:pPr>
        <w:jc w:val="center"/>
        <w:rPr>
          <w:rFonts w:ascii="Arial" w:hAnsi="Arial" w:cs="Arial"/>
          <w:b/>
          <w:bCs/>
          <w:sz w:val="24"/>
          <w:szCs w:val="24"/>
          <w:u w:val="single"/>
        </w:rPr>
      </w:pPr>
    </w:p>
    <w:p w14:paraId="54069AEB" w14:textId="77777777" w:rsidR="003963C8" w:rsidRDefault="003963C8" w:rsidP="0013224D">
      <w:pPr>
        <w:jc w:val="center"/>
        <w:rPr>
          <w:rFonts w:ascii="Arial" w:hAnsi="Arial" w:cs="Arial"/>
          <w:b/>
          <w:bCs/>
          <w:sz w:val="24"/>
          <w:szCs w:val="24"/>
          <w:u w:val="single"/>
        </w:rPr>
      </w:pPr>
    </w:p>
    <w:p w14:paraId="5E11735B" w14:textId="77777777" w:rsidR="003963C8" w:rsidRDefault="003963C8" w:rsidP="0013224D">
      <w:pPr>
        <w:jc w:val="center"/>
        <w:rPr>
          <w:rFonts w:ascii="Arial" w:hAnsi="Arial" w:cs="Arial"/>
          <w:b/>
          <w:bCs/>
          <w:sz w:val="24"/>
          <w:szCs w:val="24"/>
          <w:u w:val="single"/>
        </w:rPr>
      </w:pPr>
    </w:p>
    <w:p w14:paraId="6E3ACFEE" w14:textId="77777777" w:rsidR="003963C8" w:rsidRDefault="003963C8" w:rsidP="0013224D">
      <w:pPr>
        <w:jc w:val="center"/>
        <w:rPr>
          <w:rFonts w:ascii="Arial" w:hAnsi="Arial" w:cs="Arial"/>
          <w:b/>
          <w:bCs/>
          <w:sz w:val="24"/>
          <w:szCs w:val="24"/>
          <w:u w:val="single"/>
        </w:rPr>
      </w:pPr>
    </w:p>
    <w:p w14:paraId="19EAB8B8" w14:textId="77777777" w:rsidR="003963C8" w:rsidRDefault="003963C8" w:rsidP="0013224D">
      <w:pPr>
        <w:jc w:val="center"/>
        <w:rPr>
          <w:rFonts w:ascii="Arial" w:hAnsi="Arial" w:cs="Arial"/>
          <w:b/>
          <w:bCs/>
          <w:sz w:val="24"/>
          <w:szCs w:val="24"/>
          <w:u w:val="single"/>
        </w:rPr>
      </w:pPr>
    </w:p>
    <w:p w14:paraId="5FAE1109" w14:textId="77777777" w:rsidR="003963C8" w:rsidRDefault="003963C8" w:rsidP="0013224D">
      <w:pPr>
        <w:jc w:val="center"/>
        <w:rPr>
          <w:rFonts w:ascii="Arial" w:hAnsi="Arial" w:cs="Arial"/>
          <w:b/>
          <w:bCs/>
          <w:sz w:val="24"/>
          <w:szCs w:val="24"/>
          <w:u w:val="single"/>
        </w:rPr>
      </w:pPr>
    </w:p>
    <w:p w14:paraId="5E00ACF4" w14:textId="77777777" w:rsidR="003963C8" w:rsidRDefault="003963C8" w:rsidP="0013224D">
      <w:pPr>
        <w:jc w:val="center"/>
        <w:rPr>
          <w:rFonts w:ascii="Arial" w:hAnsi="Arial" w:cs="Arial"/>
          <w:b/>
          <w:bCs/>
          <w:sz w:val="24"/>
          <w:szCs w:val="24"/>
          <w:u w:val="single"/>
        </w:rPr>
      </w:pPr>
    </w:p>
    <w:p w14:paraId="732C7009" w14:textId="77777777" w:rsidR="003963C8" w:rsidRDefault="003963C8" w:rsidP="0013224D">
      <w:pPr>
        <w:jc w:val="center"/>
        <w:rPr>
          <w:rFonts w:ascii="Arial" w:hAnsi="Arial" w:cs="Arial"/>
          <w:b/>
          <w:bCs/>
          <w:sz w:val="24"/>
          <w:szCs w:val="24"/>
          <w:u w:val="single"/>
        </w:rPr>
      </w:pPr>
    </w:p>
    <w:p w14:paraId="5995C15E" w14:textId="77777777" w:rsidR="003963C8" w:rsidRDefault="003963C8" w:rsidP="0013224D">
      <w:pPr>
        <w:jc w:val="center"/>
        <w:rPr>
          <w:rFonts w:ascii="Arial" w:hAnsi="Arial" w:cs="Arial"/>
          <w:b/>
          <w:bCs/>
          <w:sz w:val="24"/>
          <w:szCs w:val="24"/>
          <w:u w:val="single"/>
        </w:rPr>
      </w:pPr>
    </w:p>
    <w:p w14:paraId="1E9EDB6E" w14:textId="2774F5DE" w:rsidR="0013224D" w:rsidRPr="0013224D" w:rsidRDefault="0013224D" w:rsidP="00E372C2">
      <w:pPr>
        <w:jc w:val="center"/>
        <w:rPr>
          <w:rFonts w:ascii="Arial" w:hAnsi="Arial" w:cs="Arial"/>
          <w:b/>
          <w:bCs/>
          <w:sz w:val="24"/>
          <w:szCs w:val="24"/>
          <w:u w:val="single"/>
        </w:rPr>
      </w:pPr>
      <w:r w:rsidRPr="0013224D">
        <w:rPr>
          <w:rFonts w:ascii="Arial" w:hAnsi="Arial" w:cs="Arial"/>
          <w:b/>
          <w:bCs/>
          <w:sz w:val="24"/>
          <w:szCs w:val="24"/>
          <w:u w:val="single"/>
        </w:rPr>
        <w:lastRenderedPageBreak/>
        <w:t>Developing a Data-Based Report</w:t>
      </w:r>
    </w:p>
    <w:p w14:paraId="4F54BC57" w14:textId="77777777" w:rsidR="0013224D" w:rsidRPr="0013224D" w:rsidRDefault="0013224D" w:rsidP="0013224D">
      <w:pPr>
        <w:jc w:val="center"/>
        <w:rPr>
          <w:rFonts w:ascii="Arial" w:hAnsi="Arial" w:cs="Arial"/>
          <w:b/>
          <w:bCs/>
          <w:sz w:val="24"/>
          <w:szCs w:val="24"/>
          <w:u w:val="single"/>
        </w:rPr>
      </w:pPr>
      <w:r w:rsidRPr="0013224D">
        <w:rPr>
          <w:rFonts w:ascii="Arial" w:hAnsi="Arial" w:cs="Arial"/>
          <w:b/>
          <w:bCs/>
          <w:sz w:val="24"/>
          <w:szCs w:val="24"/>
          <w:u w:val="single"/>
        </w:rPr>
        <w:t xml:space="preserve">Data-Based Logistics and Supply Chain Analysis During COVID-19 </w:t>
      </w:r>
    </w:p>
    <w:p w14:paraId="00CA23FC" w14:textId="77777777" w:rsidR="0013224D" w:rsidRPr="0013224D" w:rsidRDefault="0013224D" w:rsidP="0013224D">
      <w:pPr>
        <w:jc w:val="center"/>
        <w:rPr>
          <w:rFonts w:ascii="Arial" w:hAnsi="Arial" w:cs="Arial"/>
          <w:b/>
          <w:bCs/>
          <w:i/>
          <w:iCs/>
          <w:sz w:val="24"/>
          <w:szCs w:val="24"/>
          <w:u w:val="single"/>
        </w:rPr>
      </w:pPr>
      <w:r w:rsidRPr="0013224D">
        <w:rPr>
          <w:rFonts w:ascii="Arial" w:hAnsi="Arial" w:cs="Arial"/>
          <w:i/>
          <w:iCs/>
          <w:sz w:val="24"/>
          <w:szCs w:val="24"/>
        </w:rPr>
        <w:t xml:space="preserve">Case Study: Continental / Aumovio Ebbw Vale </w:t>
      </w:r>
    </w:p>
    <w:p w14:paraId="65D32DDF" w14:textId="77777777" w:rsidR="0013224D" w:rsidRPr="0013224D" w:rsidRDefault="0013224D" w:rsidP="0013224D">
      <w:pPr>
        <w:rPr>
          <w:rFonts w:ascii="Arial" w:hAnsi="Arial" w:cs="Arial"/>
          <w:b/>
          <w:bCs/>
          <w:sz w:val="24"/>
          <w:szCs w:val="24"/>
          <w:u w:val="single"/>
        </w:rPr>
      </w:pPr>
    </w:p>
    <w:p w14:paraId="7193AE1C" w14:textId="585F8599" w:rsidR="0013224D" w:rsidRPr="0013224D" w:rsidRDefault="008B616B" w:rsidP="0013224D">
      <w:pPr>
        <w:rPr>
          <w:rFonts w:ascii="Arial" w:hAnsi="Arial" w:cs="Arial"/>
          <w:b/>
          <w:bCs/>
          <w:sz w:val="24"/>
          <w:szCs w:val="24"/>
          <w:u w:val="single"/>
        </w:rPr>
      </w:pPr>
      <w:bookmarkStart w:id="1" w:name="X9fdf9ab4ed0eb3704a8a3ddfadb66e47bda1586"/>
      <w:r>
        <w:rPr>
          <w:rFonts w:ascii="Arial" w:hAnsi="Arial" w:cs="Arial"/>
          <w:b/>
          <w:bCs/>
          <w:sz w:val="24"/>
          <w:szCs w:val="24"/>
        </w:rPr>
        <w:t xml:space="preserve">                     </w:t>
      </w:r>
      <w:r w:rsidR="0013224D" w:rsidRPr="0013224D">
        <w:rPr>
          <w:rFonts w:ascii="Arial" w:hAnsi="Arial" w:cs="Arial"/>
          <w:b/>
          <w:bCs/>
          <w:sz w:val="24"/>
          <w:szCs w:val="24"/>
        </w:rPr>
        <w:t>Part 1</w:t>
      </w:r>
      <w:r w:rsidR="0013224D" w:rsidRPr="0013224D">
        <w:rPr>
          <w:rFonts w:ascii="Arial" w:hAnsi="Arial" w:cs="Arial"/>
          <w:sz w:val="24"/>
          <w:szCs w:val="24"/>
        </w:rPr>
        <w:t xml:space="preserve">: </w:t>
      </w:r>
      <w:r w:rsidR="0013224D" w:rsidRPr="0013224D">
        <w:rPr>
          <w:rFonts w:ascii="Arial" w:hAnsi="Arial" w:cs="Arial"/>
          <w:b/>
          <w:bCs/>
          <w:sz w:val="24"/>
          <w:szCs w:val="24"/>
          <w:u w:val="single"/>
        </w:rPr>
        <w:t xml:space="preserve">Data-Based Logistics and Supply Chain Analysis During COVID-19 </w:t>
      </w:r>
    </w:p>
    <w:p w14:paraId="498B5544" w14:textId="77777777" w:rsidR="0013224D" w:rsidRPr="0013224D" w:rsidRDefault="0013224D" w:rsidP="0013224D">
      <w:pPr>
        <w:rPr>
          <w:rFonts w:ascii="Arial" w:hAnsi="Arial" w:cs="Arial"/>
          <w:b/>
          <w:bCs/>
          <w:sz w:val="24"/>
          <w:szCs w:val="24"/>
        </w:rPr>
      </w:pPr>
    </w:p>
    <w:p w14:paraId="0CF2C814" w14:textId="79169CD9" w:rsidR="00721548" w:rsidRDefault="0013224D" w:rsidP="00721548">
      <w:pPr>
        <w:rPr>
          <w:rFonts w:ascii="Arial" w:hAnsi="Arial" w:cs="Arial"/>
          <w:b/>
          <w:bCs/>
          <w:sz w:val="24"/>
          <w:szCs w:val="24"/>
        </w:rPr>
      </w:pPr>
      <w:r w:rsidRPr="0013224D">
        <w:rPr>
          <w:rFonts w:ascii="Arial" w:hAnsi="Arial" w:cs="Arial"/>
          <w:b/>
          <w:bCs/>
          <w:sz w:val="24"/>
          <w:szCs w:val="24"/>
        </w:rPr>
        <w:t xml:space="preserve">                                     </w:t>
      </w:r>
      <w:r w:rsidR="008B616B">
        <w:rPr>
          <w:rFonts w:ascii="Arial" w:hAnsi="Arial" w:cs="Arial"/>
          <w:b/>
          <w:bCs/>
          <w:sz w:val="24"/>
          <w:szCs w:val="24"/>
        </w:rPr>
        <w:t xml:space="preserve">                 </w:t>
      </w:r>
      <w:r w:rsidRPr="0013224D">
        <w:rPr>
          <w:rFonts w:ascii="Arial" w:hAnsi="Arial" w:cs="Arial"/>
          <w:b/>
          <w:bCs/>
          <w:sz w:val="24"/>
          <w:szCs w:val="24"/>
        </w:rPr>
        <w:t xml:space="preserve">     </w:t>
      </w:r>
      <w:bookmarkEnd w:id="1"/>
      <w:r w:rsidR="00284B36" w:rsidRPr="00284B36">
        <w:rPr>
          <w:rFonts w:ascii="Arial" w:hAnsi="Arial" w:cs="Arial"/>
          <w:b/>
          <w:bCs/>
          <w:sz w:val="24"/>
          <w:szCs w:val="24"/>
        </w:rPr>
        <w:drawing>
          <wp:inline distT="0" distB="0" distL="0" distR="0" wp14:anchorId="5D537AC1" wp14:editId="39825E0B">
            <wp:extent cx="1993494" cy="1324580"/>
            <wp:effectExtent l="0" t="0" r="6985" b="9525"/>
            <wp:docPr id="326119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19367" name=""/>
                    <pic:cNvPicPr/>
                  </pic:nvPicPr>
                  <pic:blipFill>
                    <a:blip r:embed="rId9"/>
                    <a:stretch>
                      <a:fillRect/>
                    </a:stretch>
                  </pic:blipFill>
                  <pic:spPr>
                    <a:xfrm>
                      <a:off x="0" y="0"/>
                      <a:ext cx="2006688" cy="1333347"/>
                    </a:xfrm>
                    <a:prstGeom prst="rect">
                      <a:avLst/>
                    </a:prstGeom>
                  </pic:spPr>
                </pic:pic>
              </a:graphicData>
            </a:graphic>
          </wp:inline>
        </w:drawing>
      </w:r>
    </w:p>
    <w:p w14:paraId="367AB452" w14:textId="77777777" w:rsidR="00504987" w:rsidRDefault="00504987" w:rsidP="00721548">
      <w:pPr>
        <w:rPr>
          <w:rFonts w:ascii="Arial" w:hAnsi="Arial" w:cs="Arial"/>
          <w:b/>
          <w:bCs/>
          <w:color w:val="4472C4" w:themeColor="accent1"/>
          <w:sz w:val="24"/>
          <w:szCs w:val="24"/>
          <w:u w:val="single"/>
        </w:rPr>
      </w:pPr>
    </w:p>
    <w:p w14:paraId="79A6C868" w14:textId="028B564F" w:rsidR="00721548" w:rsidRPr="00721548" w:rsidRDefault="00721548" w:rsidP="00721548">
      <w:pPr>
        <w:rPr>
          <w:rFonts w:ascii="Arial" w:hAnsi="Arial" w:cs="Arial"/>
          <w:b/>
          <w:bCs/>
          <w:color w:val="4472C4" w:themeColor="accent1"/>
          <w:sz w:val="24"/>
          <w:szCs w:val="24"/>
          <w:u w:val="single"/>
        </w:rPr>
      </w:pPr>
      <w:r w:rsidRPr="00721548">
        <w:rPr>
          <w:rFonts w:ascii="Arial" w:hAnsi="Arial" w:cs="Arial"/>
          <w:b/>
          <w:bCs/>
          <w:color w:val="4472C4" w:themeColor="accent1"/>
          <w:sz w:val="24"/>
          <w:szCs w:val="24"/>
          <w:u w:val="single"/>
        </w:rPr>
        <w:t xml:space="preserve">1 Introduction </w:t>
      </w:r>
    </w:p>
    <w:p w14:paraId="17A039F9" w14:textId="4B7205F3" w:rsidR="00721548" w:rsidRPr="00721548" w:rsidRDefault="00721548" w:rsidP="00721548">
      <w:pPr>
        <w:pStyle w:val="NormalWeb"/>
        <w:spacing w:line="360" w:lineRule="auto"/>
        <w:jc w:val="both"/>
        <w:rPr>
          <w:rFonts w:ascii="Arial" w:hAnsi="Arial" w:cs="Arial"/>
        </w:rPr>
      </w:pPr>
      <w:r w:rsidRPr="00721548">
        <w:rPr>
          <w:rFonts w:ascii="Arial" w:hAnsi="Arial" w:cs="Arial"/>
        </w:rPr>
        <w:t>The COVID</w:t>
      </w:r>
      <w:r w:rsidRPr="00721548">
        <w:rPr>
          <w:rFonts w:ascii="Arial" w:hAnsi="Arial" w:cs="Arial"/>
        </w:rPr>
        <w:noBreakHyphen/>
        <w:t xml:space="preserve">19 pandemic caused unprecedented disruption to global logistics and supply chains, exposing structural weaknesses in international trade </w:t>
      </w:r>
      <w:r w:rsidRPr="00721548">
        <w:rPr>
          <w:rFonts w:ascii="Arial" w:hAnsi="Arial" w:cs="Arial"/>
        </w:rPr>
        <w:t>systems,</w:t>
      </w:r>
      <w:r w:rsidRPr="00721548">
        <w:rPr>
          <w:rFonts w:ascii="Arial" w:hAnsi="Arial" w:cs="Arial"/>
        </w:rPr>
        <w:t xml:space="preserve"> and severely affecting businesses reliant on cross</w:t>
      </w:r>
      <w:r w:rsidRPr="00721548">
        <w:rPr>
          <w:rFonts w:ascii="Arial" w:hAnsi="Arial" w:cs="Arial"/>
        </w:rPr>
        <w:noBreakHyphen/>
        <w:t>border transport and time</w:t>
      </w:r>
      <w:r w:rsidRPr="00721548">
        <w:rPr>
          <w:rFonts w:ascii="Arial" w:hAnsi="Arial" w:cs="Arial"/>
        </w:rPr>
        <w:noBreakHyphen/>
        <w:t>sensitive deliveries. Companies faced delays, rising costs, and significant operational uncertainty.</w:t>
      </w:r>
    </w:p>
    <w:p w14:paraId="78DCBA04" w14:textId="0F42DDAB" w:rsidR="00721548" w:rsidRPr="00721548" w:rsidRDefault="00721548" w:rsidP="00721548">
      <w:pPr>
        <w:pStyle w:val="NormalWeb"/>
        <w:spacing w:line="360" w:lineRule="auto"/>
        <w:jc w:val="both"/>
        <w:rPr>
          <w:rFonts w:ascii="Arial" w:hAnsi="Arial" w:cs="Arial"/>
        </w:rPr>
      </w:pPr>
      <w:r w:rsidRPr="00721548">
        <w:rPr>
          <w:rFonts w:ascii="Arial" w:hAnsi="Arial" w:cs="Arial"/>
        </w:rPr>
        <w:t>Continental’s Ebbw Vale facility</w:t>
      </w:r>
      <w:r w:rsidRPr="00721548">
        <w:rPr>
          <w:rFonts w:ascii="Arial" w:hAnsi="Arial" w:cs="Arial"/>
        </w:rPr>
        <w:t xml:space="preserve"> </w:t>
      </w:r>
      <w:r w:rsidRPr="00721548">
        <w:rPr>
          <w:rFonts w:ascii="Arial" w:hAnsi="Arial" w:cs="Arial"/>
        </w:rPr>
        <w:t>supplying European customers via UK–EU road freight through Dover and supporting US demand through air freight</w:t>
      </w:r>
      <w:r w:rsidRPr="00721548">
        <w:rPr>
          <w:rFonts w:ascii="Arial" w:hAnsi="Arial" w:cs="Arial"/>
        </w:rPr>
        <w:t xml:space="preserve"> </w:t>
      </w:r>
      <w:r w:rsidRPr="00721548">
        <w:rPr>
          <w:rFonts w:ascii="Arial" w:hAnsi="Arial" w:cs="Arial"/>
        </w:rPr>
        <w:t>experienced considerable pressure between 2020 and 2022. Border closures reduced freight capacity, while rapidly changing regulations caused shipment delays, increased costs, and heightened uncertainty.</w:t>
      </w:r>
    </w:p>
    <w:p w14:paraId="46D9289F" w14:textId="77777777" w:rsidR="00721548" w:rsidRPr="00721548" w:rsidRDefault="00721548" w:rsidP="00721548">
      <w:pPr>
        <w:pStyle w:val="NormalWeb"/>
        <w:spacing w:line="360" w:lineRule="auto"/>
        <w:jc w:val="both"/>
        <w:rPr>
          <w:rFonts w:ascii="Arial" w:hAnsi="Arial" w:cs="Arial"/>
        </w:rPr>
      </w:pPr>
      <w:r w:rsidRPr="00721548">
        <w:rPr>
          <w:rFonts w:ascii="Arial" w:hAnsi="Arial" w:cs="Arial"/>
        </w:rPr>
        <w:t>This report examines the logistical challenges faced during this period and evaluates the company’s response. It analyses the data</w:t>
      </w:r>
      <w:r w:rsidRPr="00721548">
        <w:rPr>
          <w:rFonts w:ascii="Arial" w:hAnsi="Arial" w:cs="Arial"/>
        </w:rPr>
        <w:noBreakHyphen/>
        <w:t>driven solutions considered, justifies the selected approach, and reviews its implementation and outcomes. The findings demonstrate that agile planning and data</w:t>
      </w:r>
      <w:r w:rsidRPr="00721548">
        <w:rPr>
          <w:rFonts w:ascii="Arial" w:hAnsi="Arial" w:cs="Arial"/>
        </w:rPr>
        <w:noBreakHyphen/>
        <w:t>led decision</w:t>
      </w:r>
      <w:r w:rsidRPr="00721548">
        <w:rPr>
          <w:rFonts w:ascii="Arial" w:hAnsi="Arial" w:cs="Arial"/>
        </w:rPr>
        <w:noBreakHyphen/>
        <w:t>making can strengthen resilience during global disruption (Ivanov, 2020). Strategic logistics management enabled the company to maintain supply continuity despite severe external challenges.</w:t>
      </w:r>
    </w:p>
    <w:p w14:paraId="13F8330E" w14:textId="77777777" w:rsidR="00721548" w:rsidRPr="00721548" w:rsidRDefault="00721548" w:rsidP="00721548">
      <w:pPr>
        <w:pStyle w:val="NormalWeb"/>
        <w:spacing w:line="360" w:lineRule="auto"/>
        <w:jc w:val="both"/>
        <w:rPr>
          <w:rFonts w:ascii="Arial" w:hAnsi="Arial" w:cs="Arial"/>
        </w:rPr>
      </w:pPr>
      <w:r w:rsidRPr="00721548">
        <w:rPr>
          <w:rStyle w:val="Emphasis"/>
          <w:rFonts w:ascii="Arial" w:hAnsi="Arial" w:cs="Arial"/>
        </w:rPr>
        <w:t>(The company was renamed Aumovio in 2025.)</w:t>
      </w:r>
    </w:p>
    <w:p w14:paraId="68270163" w14:textId="77777777" w:rsidR="00721548" w:rsidRDefault="00721548" w:rsidP="0013224D">
      <w:pPr>
        <w:keepNext/>
        <w:keepLines/>
        <w:spacing w:before="40" w:after="0"/>
        <w:outlineLvl w:val="1"/>
        <w:rPr>
          <w:rFonts w:ascii="Arial" w:eastAsiaTheme="majorEastAsia" w:hAnsi="Arial" w:cs="Arial"/>
          <w:b/>
          <w:bCs/>
          <w:color w:val="0070C0"/>
          <w:sz w:val="24"/>
          <w:szCs w:val="24"/>
          <w:u w:val="single"/>
        </w:rPr>
      </w:pPr>
    </w:p>
    <w:p w14:paraId="3F8BAC42" w14:textId="0C2AFC8A" w:rsidR="0013224D" w:rsidRDefault="0013224D" w:rsidP="0013224D">
      <w:pPr>
        <w:keepNext/>
        <w:keepLines/>
        <w:spacing w:before="40" w:after="0"/>
        <w:outlineLvl w:val="1"/>
        <w:rPr>
          <w:rFonts w:ascii="Arial" w:eastAsiaTheme="majorEastAsia" w:hAnsi="Arial" w:cs="Arial"/>
          <w:b/>
          <w:bCs/>
          <w:color w:val="0070C0"/>
          <w:sz w:val="24"/>
          <w:szCs w:val="24"/>
          <w:u w:val="single"/>
        </w:rPr>
      </w:pPr>
      <w:r w:rsidRPr="0013224D">
        <w:rPr>
          <w:rFonts w:ascii="Arial" w:eastAsiaTheme="majorEastAsia" w:hAnsi="Arial" w:cs="Arial"/>
          <w:b/>
          <w:bCs/>
          <w:color w:val="0070C0"/>
          <w:sz w:val="24"/>
          <w:szCs w:val="24"/>
          <w:u w:val="single"/>
        </w:rPr>
        <w:t xml:space="preserve">1.2 Background </w:t>
      </w:r>
    </w:p>
    <w:p w14:paraId="14DFC0C2" w14:textId="77777777" w:rsidR="00504987" w:rsidRDefault="00504987" w:rsidP="0013224D">
      <w:pPr>
        <w:keepNext/>
        <w:keepLines/>
        <w:spacing w:before="40" w:after="0"/>
        <w:outlineLvl w:val="1"/>
        <w:rPr>
          <w:rFonts w:ascii="Arial" w:eastAsiaTheme="majorEastAsia" w:hAnsi="Arial" w:cs="Arial"/>
          <w:b/>
          <w:bCs/>
          <w:color w:val="0070C0"/>
          <w:sz w:val="24"/>
          <w:szCs w:val="24"/>
          <w:u w:val="single"/>
        </w:rPr>
      </w:pPr>
    </w:p>
    <w:p w14:paraId="25F2BCFF" w14:textId="33B25B04" w:rsidR="00504987" w:rsidRPr="00504987" w:rsidRDefault="00504987" w:rsidP="00504987">
      <w:pPr>
        <w:pStyle w:val="NormalWeb"/>
        <w:spacing w:line="360" w:lineRule="auto"/>
        <w:jc w:val="both"/>
        <w:rPr>
          <w:rFonts w:ascii="Arial" w:hAnsi="Arial" w:cs="Arial"/>
        </w:rPr>
      </w:pPr>
      <w:r w:rsidRPr="00504987">
        <w:rPr>
          <w:rFonts w:ascii="Arial" w:hAnsi="Arial" w:cs="Arial"/>
        </w:rPr>
        <w:t>Prior to the pandemic, Continental operated a lean, just</w:t>
      </w:r>
      <w:r w:rsidRPr="00504987">
        <w:rPr>
          <w:rFonts w:ascii="Arial" w:hAnsi="Arial" w:cs="Arial"/>
        </w:rPr>
        <w:noBreakHyphen/>
        <w:t>in</w:t>
      </w:r>
      <w:r w:rsidRPr="00504987">
        <w:rPr>
          <w:rFonts w:ascii="Arial" w:hAnsi="Arial" w:cs="Arial"/>
        </w:rPr>
        <w:noBreakHyphen/>
        <w:t xml:space="preserve">time (JIT) logistics model designed to </w:t>
      </w:r>
      <w:r w:rsidRPr="00504987">
        <w:rPr>
          <w:rFonts w:ascii="Arial" w:hAnsi="Arial" w:cs="Arial"/>
        </w:rPr>
        <w:t>minimize</w:t>
      </w:r>
      <w:r w:rsidRPr="00504987">
        <w:rPr>
          <w:rFonts w:ascii="Arial" w:hAnsi="Arial" w:cs="Arial"/>
        </w:rPr>
        <w:t xml:space="preserve"> inventory and reduce costs (Christopher, 2016). Finished goods were transported by road from Ebbw Vale to Dover before crossing into the European Union by ferry. High</w:t>
      </w:r>
      <w:r w:rsidRPr="00504987">
        <w:rPr>
          <w:rFonts w:ascii="Arial" w:hAnsi="Arial" w:cs="Arial"/>
        </w:rPr>
        <w:noBreakHyphen/>
        <w:t>value, time</w:t>
      </w:r>
      <w:r w:rsidRPr="00504987">
        <w:rPr>
          <w:rFonts w:ascii="Arial" w:hAnsi="Arial" w:cs="Arial"/>
        </w:rPr>
        <w:noBreakHyphen/>
        <w:t xml:space="preserve">sensitive shipments to the United States relied primarily </w:t>
      </w:r>
      <w:r w:rsidRPr="00504987">
        <w:rPr>
          <w:rFonts w:ascii="Arial" w:hAnsi="Arial" w:cs="Arial"/>
        </w:rPr>
        <w:t>on-air</w:t>
      </w:r>
      <w:r w:rsidRPr="00504987">
        <w:rPr>
          <w:rFonts w:ascii="Arial" w:hAnsi="Arial" w:cs="Arial"/>
        </w:rPr>
        <w:t xml:space="preserve"> freight, particularly belly</w:t>
      </w:r>
      <w:r w:rsidRPr="00504987">
        <w:rPr>
          <w:rFonts w:ascii="Arial" w:hAnsi="Arial" w:cs="Arial"/>
        </w:rPr>
        <w:noBreakHyphen/>
        <w:t>hold capacity on passenger aircraft. Under stable market conditions, this model supported both efficiency and cost control.</w:t>
      </w:r>
    </w:p>
    <w:p w14:paraId="6C493FA0" w14:textId="77777777" w:rsidR="00504987" w:rsidRPr="00504987" w:rsidRDefault="00504987" w:rsidP="00504987">
      <w:pPr>
        <w:pStyle w:val="NormalWeb"/>
        <w:spacing w:line="360" w:lineRule="auto"/>
        <w:jc w:val="both"/>
        <w:rPr>
          <w:rFonts w:ascii="Arial" w:hAnsi="Arial" w:cs="Arial"/>
        </w:rPr>
      </w:pPr>
      <w:r w:rsidRPr="00504987">
        <w:rPr>
          <w:rFonts w:ascii="Arial" w:hAnsi="Arial" w:cs="Arial"/>
        </w:rPr>
        <w:t>However, the onset of COVID</w:t>
      </w:r>
      <w:r w:rsidRPr="00504987">
        <w:rPr>
          <w:rFonts w:ascii="Arial" w:hAnsi="Arial" w:cs="Arial"/>
        </w:rPr>
        <w:noBreakHyphen/>
        <w:t xml:space="preserve">19 in early 2020 severely disrupted global transport networks. Border restrictions, national lockdowns, </w:t>
      </w:r>
      <w:proofErr w:type="spellStart"/>
      <w:r w:rsidRPr="00504987">
        <w:rPr>
          <w:rFonts w:ascii="Arial" w:hAnsi="Arial" w:cs="Arial"/>
        </w:rPr>
        <w:t>labour</w:t>
      </w:r>
      <w:proofErr w:type="spellEnd"/>
      <w:r w:rsidRPr="00504987">
        <w:rPr>
          <w:rFonts w:ascii="Arial" w:hAnsi="Arial" w:cs="Arial"/>
        </w:rPr>
        <w:t xml:space="preserve"> shortages, and capacity constraints significantly reduced freight reliability. As passenger flights were grounded, global air cargo capacity declined sharply. IATA data indicate that international air freight capacity fell by 40.9% year</w:t>
      </w:r>
      <w:r w:rsidRPr="00504987">
        <w:rPr>
          <w:rFonts w:ascii="Arial" w:hAnsi="Arial" w:cs="Arial"/>
        </w:rPr>
        <w:noBreakHyphen/>
        <w:t>on</w:t>
      </w:r>
      <w:r w:rsidRPr="00504987">
        <w:rPr>
          <w:rFonts w:ascii="Arial" w:hAnsi="Arial" w:cs="Arial"/>
        </w:rPr>
        <w:noBreakHyphen/>
        <w:t>year in April 2020, largely due to the loss of belly</w:t>
      </w:r>
      <w:r w:rsidRPr="00504987">
        <w:rPr>
          <w:rFonts w:ascii="Arial" w:hAnsi="Arial" w:cs="Arial"/>
        </w:rPr>
        <w:noBreakHyphen/>
        <w:t>hold space. Passenger flights decreased by more than 70% between March and April 2020, further constraining supply (Bureau of Labor Statistics, 2024; PMC, 2025).</w:t>
      </w:r>
    </w:p>
    <w:p w14:paraId="511AD7C8" w14:textId="5245B234" w:rsidR="00504987" w:rsidRPr="00504987" w:rsidRDefault="00504987" w:rsidP="00504987">
      <w:pPr>
        <w:pStyle w:val="NormalWeb"/>
        <w:spacing w:line="360" w:lineRule="auto"/>
        <w:jc w:val="both"/>
        <w:rPr>
          <w:rFonts w:ascii="Arial" w:hAnsi="Arial" w:cs="Arial"/>
        </w:rPr>
      </w:pPr>
      <w:r w:rsidRPr="00504987">
        <w:rPr>
          <w:rFonts w:ascii="Arial" w:hAnsi="Arial" w:cs="Arial"/>
        </w:rPr>
        <w:t xml:space="preserve">At the same time, freight demand patterns </w:t>
      </w:r>
      <w:r w:rsidRPr="00504987">
        <w:rPr>
          <w:rFonts w:ascii="Arial" w:hAnsi="Arial" w:cs="Arial"/>
        </w:rPr>
        <w:t>shifted,</w:t>
      </w:r>
      <w:r w:rsidRPr="00504987">
        <w:rPr>
          <w:rFonts w:ascii="Arial" w:hAnsi="Arial" w:cs="Arial"/>
        </w:rPr>
        <w:t xml:space="preserve"> and costs increased. Many </w:t>
      </w:r>
      <w:r w:rsidRPr="00504987">
        <w:rPr>
          <w:rFonts w:ascii="Arial" w:hAnsi="Arial" w:cs="Arial"/>
        </w:rPr>
        <w:t>organizations</w:t>
      </w:r>
      <w:r w:rsidRPr="00504987">
        <w:rPr>
          <w:rFonts w:ascii="Arial" w:hAnsi="Arial" w:cs="Arial"/>
        </w:rPr>
        <w:t xml:space="preserve"> paid premium rates to secure capacity, while both ocean and road freight experienced extended transit times and higher charges. These disruptions undermined the stability upon which Continental’s JIT model depended.</w:t>
      </w:r>
      <w:r>
        <w:rPr>
          <w:rFonts w:ascii="Arial" w:hAnsi="Arial" w:cs="Arial"/>
        </w:rPr>
        <w:t xml:space="preserve"> This is shown within the graph below. </w:t>
      </w:r>
    </w:p>
    <w:p w14:paraId="52B7E919" w14:textId="77777777" w:rsidR="00504987" w:rsidRPr="00721548" w:rsidRDefault="00504987" w:rsidP="0013224D">
      <w:pPr>
        <w:keepNext/>
        <w:keepLines/>
        <w:spacing w:before="40" w:after="0"/>
        <w:outlineLvl w:val="1"/>
        <w:rPr>
          <w:rFonts w:asciiTheme="majorHAnsi" w:eastAsiaTheme="majorEastAsia" w:hAnsiTheme="majorHAnsi" w:cstheme="majorBidi"/>
          <w:color w:val="2F5496" w:themeColor="accent1" w:themeShade="BF"/>
          <w:sz w:val="26"/>
          <w:szCs w:val="26"/>
        </w:rPr>
      </w:pPr>
    </w:p>
    <w:p w14:paraId="6C5C4294" w14:textId="77777777" w:rsidR="0013224D" w:rsidRPr="0013224D" w:rsidRDefault="0013224D" w:rsidP="0013224D"/>
    <w:p w14:paraId="634B7163" w14:textId="77777777" w:rsidR="0013224D" w:rsidRPr="0013224D" w:rsidRDefault="0013224D" w:rsidP="00504987">
      <w:pPr>
        <w:jc w:val="center"/>
      </w:pPr>
      <w:r w:rsidRPr="0013224D">
        <w:rPr>
          <w:noProof/>
        </w:rPr>
        <w:drawing>
          <wp:inline distT="0" distB="0" distL="0" distR="0" wp14:anchorId="0F8DC635" wp14:editId="42AB2083">
            <wp:extent cx="3673929" cy="2286000"/>
            <wp:effectExtent l="0" t="0" r="3175" b="0"/>
            <wp:docPr id="92749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499997" name=""/>
                    <pic:cNvPicPr/>
                  </pic:nvPicPr>
                  <pic:blipFill>
                    <a:blip r:embed="rId10"/>
                    <a:stretch>
                      <a:fillRect/>
                    </a:stretch>
                  </pic:blipFill>
                  <pic:spPr>
                    <a:xfrm>
                      <a:off x="0" y="0"/>
                      <a:ext cx="3678515" cy="2288853"/>
                    </a:xfrm>
                    <a:prstGeom prst="rect">
                      <a:avLst/>
                    </a:prstGeom>
                  </pic:spPr>
                </pic:pic>
              </a:graphicData>
            </a:graphic>
          </wp:inline>
        </w:drawing>
      </w:r>
    </w:p>
    <w:p w14:paraId="6049DBD3" w14:textId="77777777" w:rsidR="0013224D" w:rsidRPr="0013224D" w:rsidRDefault="0013224D" w:rsidP="0013224D">
      <w:pPr>
        <w:spacing w:before="100" w:beforeAutospacing="1" w:after="100" w:afterAutospacing="1" w:line="240" w:lineRule="auto"/>
        <w:rPr>
          <w:rFonts w:ascii="Times New Roman" w:eastAsia="Times New Roman" w:hAnsi="Times New Roman" w:cs="Times New Roman"/>
          <w:color w:val="FF0000"/>
          <w:kern w:val="0"/>
          <w:sz w:val="24"/>
          <w:szCs w:val="24"/>
          <w14:ligatures w14:val="none"/>
        </w:rPr>
      </w:pPr>
    </w:p>
    <w:p w14:paraId="23F0DCD7" w14:textId="77777777" w:rsidR="008B5576" w:rsidRDefault="008B5576"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0C8306F8" w14:textId="49462B1D" w:rsidR="0013224D" w:rsidRPr="0013224D"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t>2.2 Problem Identification</w:t>
      </w:r>
    </w:p>
    <w:p w14:paraId="4A6E7C86" w14:textId="77777777" w:rsidR="008B5576" w:rsidRPr="008B5576" w:rsidRDefault="008B5576" w:rsidP="008B5576">
      <w:pPr>
        <w:pStyle w:val="NormalWeb"/>
        <w:spacing w:line="360" w:lineRule="auto"/>
        <w:jc w:val="both"/>
        <w:rPr>
          <w:rFonts w:ascii="Arial" w:hAnsi="Arial" w:cs="Arial"/>
        </w:rPr>
      </w:pPr>
      <w:r w:rsidRPr="008B5576">
        <w:rPr>
          <w:rFonts w:ascii="Arial" w:hAnsi="Arial" w:cs="Arial"/>
        </w:rPr>
        <w:t>The COVID</w:t>
      </w:r>
      <w:r w:rsidRPr="008B5576">
        <w:rPr>
          <w:rFonts w:ascii="Arial" w:hAnsi="Arial" w:cs="Arial"/>
        </w:rPr>
        <w:noBreakHyphen/>
        <w:t xml:space="preserve">19 pandemic exposed major weaknesses across global supply chains, and Continental was no exception. Lockdowns, travel restrictions, and </w:t>
      </w:r>
      <w:proofErr w:type="spellStart"/>
      <w:r w:rsidRPr="008B5576">
        <w:rPr>
          <w:rFonts w:ascii="Arial" w:hAnsi="Arial" w:cs="Arial"/>
        </w:rPr>
        <w:t>labour</w:t>
      </w:r>
      <w:proofErr w:type="spellEnd"/>
      <w:r w:rsidRPr="008B5576">
        <w:rPr>
          <w:rFonts w:ascii="Arial" w:hAnsi="Arial" w:cs="Arial"/>
        </w:rPr>
        <w:t xml:space="preserve"> shortages disrupted production, delayed deliveries, and increased logistics costs. For a manufacturer reliant on timely inbound materials and just</w:t>
      </w:r>
      <w:r w:rsidRPr="008B5576">
        <w:rPr>
          <w:rFonts w:ascii="Arial" w:hAnsi="Arial" w:cs="Arial"/>
        </w:rPr>
        <w:noBreakHyphen/>
        <w:t>in</w:t>
      </w:r>
      <w:r w:rsidRPr="008B5576">
        <w:rPr>
          <w:rFonts w:ascii="Arial" w:hAnsi="Arial" w:cs="Arial"/>
        </w:rPr>
        <w:noBreakHyphen/>
        <w:t>time outbound flows, these disruptions created risks of stockouts, shipment delays, and higher storage or transport expenses. However, the situation also highlighted the value of data</w:t>
      </w:r>
      <w:r w:rsidRPr="008B5576">
        <w:rPr>
          <w:rFonts w:ascii="Arial" w:hAnsi="Arial" w:cs="Arial"/>
        </w:rPr>
        <w:noBreakHyphen/>
        <w:t>driven supply chain management.</w:t>
      </w:r>
    </w:p>
    <w:p w14:paraId="0BABF7D3" w14:textId="77777777" w:rsidR="008B5576" w:rsidRPr="008B5576" w:rsidRDefault="008B5576" w:rsidP="008B5576">
      <w:pPr>
        <w:pStyle w:val="NormalWeb"/>
        <w:spacing w:line="360" w:lineRule="auto"/>
        <w:jc w:val="both"/>
        <w:rPr>
          <w:rFonts w:ascii="Arial" w:hAnsi="Arial" w:cs="Arial"/>
        </w:rPr>
      </w:pPr>
      <w:r w:rsidRPr="008B5576">
        <w:rPr>
          <w:rFonts w:ascii="Arial" w:hAnsi="Arial" w:cs="Arial"/>
        </w:rPr>
        <w:t>The key problem identified for Continental was the disruption of cross</w:t>
      </w:r>
      <w:r w:rsidRPr="008B5576">
        <w:rPr>
          <w:rFonts w:ascii="Arial" w:hAnsi="Arial" w:cs="Arial"/>
        </w:rPr>
        <w:noBreakHyphen/>
        <w:t>border transportation and the sharp reduction in air freight capacity. These challenges manifested in several measurable ways, as outlined below.</w:t>
      </w:r>
    </w:p>
    <w:p w14:paraId="14618B8A" w14:textId="77777777" w:rsidR="0013224D" w:rsidRPr="0013224D" w:rsidRDefault="0013224D" w:rsidP="0013224D">
      <w:pPr>
        <w:spacing w:after="0" w:line="360" w:lineRule="auto"/>
        <w:jc w:val="both"/>
        <w:rPr>
          <w:rFonts w:ascii="Arial" w:eastAsia="Times New Roman" w:hAnsi="Arial" w:cs="Arial"/>
          <w:kern w:val="0"/>
          <w:sz w:val="24"/>
          <w:szCs w:val="24"/>
          <w14:ligatures w14:val="none"/>
        </w:rPr>
      </w:pPr>
    </w:p>
    <w:tbl>
      <w:tblPr>
        <w:tblW w:w="9085" w:type="dxa"/>
        <w:jc w:val="center"/>
        <w:tblLook w:val="04A0" w:firstRow="1" w:lastRow="0" w:firstColumn="1" w:lastColumn="0" w:noHBand="0" w:noVBand="1"/>
      </w:tblPr>
      <w:tblGrid>
        <w:gridCol w:w="3320"/>
        <w:gridCol w:w="5765"/>
      </w:tblGrid>
      <w:tr w:rsidR="0013224D" w:rsidRPr="0013224D" w14:paraId="3D95D261" w14:textId="77777777" w:rsidTr="00D354CC">
        <w:trPr>
          <w:trHeight w:val="250"/>
          <w:jc w:val="center"/>
        </w:trPr>
        <w:tc>
          <w:tcPr>
            <w:tcW w:w="33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7D32D66A"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u w:val="single"/>
                <w14:ligatures w14:val="none"/>
              </w:rPr>
            </w:pPr>
            <w:r w:rsidRPr="00D354CC">
              <w:rPr>
                <w:rFonts w:ascii="Arial" w:eastAsia="Times New Roman" w:hAnsi="Arial" w:cs="Arial"/>
                <w:b/>
                <w:bCs/>
                <w:color w:val="000000"/>
                <w:kern w:val="0"/>
                <w:sz w:val="24"/>
                <w:szCs w:val="24"/>
                <w:u w:val="single"/>
                <w14:ligatures w14:val="none"/>
              </w:rPr>
              <w:t>Issue</w:t>
            </w:r>
          </w:p>
        </w:tc>
        <w:tc>
          <w:tcPr>
            <w:tcW w:w="5765" w:type="dxa"/>
            <w:tcBorders>
              <w:top w:val="single" w:sz="4" w:space="0" w:color="auto"/>
              <w:left w:val="nil"/>
              <w:bottom w:val="single" w:sz="4" w:space="0" w:color="auto"/>
              <w:right w:val="single" w:sz="4" w:space="0" w:color="auto"/>
            </w:tcBorders>
            <w:shd w:val="clear" w:color="000000" w:fill="FCD5B4"/>
            <w:vAlign w:val="center"/>
            <w:hideMark/>
          </w:tcPr>
          <w:p w14:paraId="2258A3EF"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u w:val="single"/>
                <w14:ligatures w14:val="none"/>
              </w:rPr>
            </w:pPr>
            <w:r w:rsidRPr="00D354CC">
              <w:rPr>
                <w:rFonts w:ascii="Arial" w:eastAsia="Times New Roman" w:hAnsi="Arial" w:cs="Arial"/>
                <w:b/>
                <w:bCs/>
                <w:color w:val="000000"/>
                <w:kern w:val="0"/>
                <w:sz w:val="24"/>
                <w:szCs w:val="24"/>
                <w:u w:val="single"/>
                <w14:ligatures w14:val="none"/>
              </w:rPr>
              <w:t>Description</w:t>
            </w:r>
          </w:p>
        </w:tc>
      </w:tr>
      <w:tr w:rsidR="0013224D" w:rsidRPr="0013224D" w14:paraId="78B58A8E" w14:textId="77777777" w:rsidTr="00D354CC">
        <w:trPr>
          <w:trHeight w:val="1657"/>
          <w:jc w:val="center"/>
        </w:trPr>
        <w:tc>
          <w:tcPr>
            <w:tcW w:w="3320" w:type="dxa"/>
            <w:tcBorders>
              <w:top w:val="nil"/>
              <w:left w:val="single" w:sz="4" w:space="0" w:color="auto"/>
              <w:bottom w:val="single" w:sz="4" w:space="0" w:color="auto"/>
              <w:right w:val="single" w:sz="4" w:space="0" w:color="auto"/>
            </w:tcBorders>
            <w:shd w:val="clear" w:color="000000" w:fill="DCE6F1"/>
            <w:vAlign w:val="center"/>
            <w:hideMark/>
          </w:tcPr>
          <w:p w14:paraId="37B4A2D0"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Reduced air freight capacity</w:t>
            </w:r>
          </w:p>
        </w:tc>
        <w:tc>
          <w:tcPr>
            <w:tcW w:w="5765" w:type="dxa"/>
            <w:tcBorders>
              <w:top w:val="nil"/>
              <w:left w:val="nil"/>
              <w:bottom w:val="single" w:sz="4" w:space="0" w:color="auto"/>
              <w:right w:val="single" w:sz="4" w:space="0" w:color="auto"/>
            </w:tcBorders>
            <w:shd w:val="clear" w:color="auto" w:fill="auto"/>
            <w:vAlign w:val="center"/>
            <w:hideMark/>
          </w:tcPr>
          <w:p w14:paraId="27D6DBA8" w14:textId="3DDCF112" w:rsidR="0013224D" w:rsidRPr="00D354CC" w:rsidRDefault="0013224D" w:rsidP="0013224D">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Global air freight capacity dropped dramatically up to 40.9% in April 2020 as passenger flights were grounded. This created a significant bottleneck for time</w:t>
            </w:r>
            <w:r w:rsidRPr="00D354CC">
              <w:rPr>
                <w:rFonts w:ascii="Arial" w:eastAsia="Times New Roman" w:hAnsi="Arial" w:cs="Arial"/>
                <w:color w:val="000000"/>
                <w:kern w:val="0"/>
                <w:sz w:val="24"/>
                <w:szCs w:val="24"/>
                <w14:ligatures w14:val="none"/>
              </w:rPr>
              <w:noBreakHyphen/>
              <w:t>critical or high</w:t>
            </w:r>
            <w:r w:rsidRPr="00D354CC">
              <w:rPr>
                <w:rFonts w:ascii="Arial" w:eastAsia="Times New Roman" w:hAnsi="Arial" w:cs="Arial"/>
                <w:color w:val="000000"/>
                <w:kern w:val="0"/>
                <w:sz w:val="24"/>
                <w:szCs w:val="24"/>
                <w14:ligatures w14:val="none"/>
              </w:rPr>
              <w:noBreakHyphen/>
              <w:t xml:space="preserve">value shipments, forcing many </w:t>
            </w:r>
            <w:r w:rsidR="00D354CC" w:rsidRPr="00D354CC">
              <w:rPr>
                <w:rFonts w:ascii="Arial" w:eastAsia="Times New Roman" w:hAnsi="Arial" w:cs="Arial"/>
                <w:color w:val="000000"/>
                <w:kern w:val="0"/>
                <w:sz w:val="24"/>
                <w:szCs w:val="24"/>
                <w14:ligatures w14:val="none"/>
              </w:rPr>
              <w:t>organizations</w:t>
            </w:r>
            <w:r w:rsidRPr="00D354CC">
              <w:rPr>
                <w:rFonts w:ascii="Arial" w:eastAsia="Times New Roman" w:hAnsi="Arial" w:cs="Arial"/>
                <w:color w:val="000000"/>
                <w:kern w:val="0"/>
                <w:sz w:val="24"/>
                <w:szCs w:val="24"/>
                <w14:ligatures w14:val="none"/>
              </w:rPr>
              <w:t xml:space="preserve"> to rethink routing and prioritization.</w:t>
            </w:r>
          </w:p>
        </w:tc>
      </w:tr>
      <w:tr w:rsidR="0013224D" w:rsidRPr="0013224D" w14:paraId="179BF236" w14:textId="77777777" w:rsidTr="00D354CC">
        <w:trPr>
          <w:trHeight w:val="1282"/>
          <w:jc w:val="center"/>
        </w:trPr>
        <w:tc>
          <w:tcPr>
            <w:tcW w:w="3320" w:type="dxa"/>
            <w:tcBorders>
              <w:top w:val="nil"/>
              <w:left w:val="single" w:sz="4" w:space="0" w:color="auto"/>
              <w:bottom w:val="single" w:sz="4" w:space="0" w:color="auto"/>
              <w:right w:val="single" w:sz="4" w:space="0" w:color="auto"/>
            </w:tcBorders>
            <w:shd w:val="clear" w:color="000000" w:fill="DCE6F1"/>
            <w:vAlign w:val="center"/>
            <w:hideMark/>
          </w:tcPr>
          <w:p w14:paraId="67915136"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Rising transportation costs</w:t>
            </w:r>
          </w:p>
        </w:tc>
        <w:tc>
          <w:tcPr>
            <w:tcW w:w="5765" w:type="dxa"/>
            <w:tcBorders>
              <w:top w:val="nil"/>
              <w:left w:val="nil"/>
              <w:bottom w:val="single" w:sz="4" w:space="0" w:color="auto"/>
              <w:right w:val="single" w:sz="4" w:space="0" w:color="auto"/>
            </w:tcBorders>
            <w:shd w:val="clear" w:color="auto" w:fill="auto"/>
            <w:vAlign w:val="center"/>
            <w:hideMark/>
          </w:tcPr>
          <w:p w14:paraId="4CE5668C" w14:textId="77777777" w:rsidR="0013224D" w:rsidRPr="00D354CC" w:rsidRDefault="0013224D" w:rsidP="0013224D">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With demand outstripping supply, shipping rates surged across international lanes. Companies often had to pay substantial premiums or compete for limited cargo space, adding unexpected strain to logistics budgets and reducing flexibility.</w:t>
            </w:r>
          </w:p>
        </w:tc>
      </w:tr>
      <w:tr w:rsidR="0013224D" w:rsidRPr="0013224D" w14:paraId="7D925B11" w14:textId="77777777" w:rsidTr="00D354CC">
        <w:trPr>
          <w:trHeight w:val="1407"/>
          <w:jc w:val="center"/>
        </w:trPr>
        <w:tc>
          <w:tcPr>
            <w:tcW w:w="3320" w:type="dxa"/>
            <w:tcBorders>
              <w:top w:val="nil"/>
              <w:left w:val="single" w:sz="4" w:space="0" w:color="auto"/>
              <w:bottom w:val="single" w:sz="4" w:space="0" w:color="auto"/>
              <w:right w:val="single" w:sz="4" w:space="0" w:color="auto"/>
            </w:tcBorders>
            <w:shd w:val="clear" w:color="000000" w:fill="DCE6F1"/>
            <w:vAlign w:val="center"/>
            <w:hideMark/>
          </w:tcPr>
          <w:p w14:paraId="54A7C3EE"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Longer transit times</w:t>
            </w:r>
          </w:p>
        </w:tc>
        <w:tc>
          <w:tcPr>
            <w:tcW w:w="5765" w:type="dxa"/>
            <w:tcBorders>
              <w:top w:val="nil"/>
              <w:left w:val="nil"/>
              <w:bottom w:val="single" w:sz="4" w:space="0" w:color="auto"/>
              <w:right w:val="single" w:sz="4" w:space="0" w:color="auto"/>
            </w:tcBorders>
            <w:shd w:val="clear" w:color="auto" w:fill="auto"/>
            <w:vAlign w:val="center"/>
            <w:hideMark/>
          </w:tcPr>
          <w:p w14:paraId="431451C9" w14:textId="77777777" w:rsidR="0013224D" w:rsidRPr="00D354CC" w:rsidRDefault="0013224D" w:rsidP="0013224D">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Stricter border controls, health screening requirements, and fewer available flights contributed to extended transit times and unpredictable delivery windows. Challenging teams managing just</w:t>
            </w:r>
            <w:r w:rsidRPr="00D354CC">
              <w:rPr>
                <w:rFonts w:ascii="Arial" w:eastAsia="Times New Roman" w:hAnsi="Arial" w:cs="Arial"/>
                <w:color w:val="000000"/>
                <w:kern w:val="0"/>
                <w:sz w:val="24"/>
                <w:szCs w:val="24"/>
                <w14:ligatures w14:val="none"/>
              </w:rPr>
              <w:noBreakHyphen/>
              <w:t>in</w:t>
            </w:r>
            <w:r w:rsidRPr="00D354CC">
              <w:rPr>
                <w:rFonts w:ascii="Arial" w:eastAsia="Times New Roman" w:hAnsi="Arial" w:cs="Arial"/>
                <w:color w:val="000000"/>
                <w:kern w:val="0"/>
                <w:sz w:val="24"/>
                <w:szCs w:val="24"/>
                <w14:ligatures w14:val="none"/>
              </w:rPr>
              <w:noBreakHyphen/>
              <w:t>time supply chains or sensitive goods.</w:t>
            </w:r>
          </w:p>
        </w:tc>
      </w:tr>
    </w:tbl>
    <w:p w14:paraId="72BC8D37" w14:textId="77777777" w:rsidR="0013224D" w:rsidRPr="0013224D" w:rsidRDefault="0013224D"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7321A85"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E4D9588"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EBC5241"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312889C"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6701D8F"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6826281" w14:textId="690F9911" w:rsidR="0013224D" w:rsidRDefault="0013224D" w:rsidP="0013224D">
      <w:pPr>
        <w:spacing w:before="100" w:beforeAutospacing="1" w:after="100" w:afterAutospacing="1" w:line="240" w:lineRule="auto"/>
        <w:rPr>
          <w:rFonts w:ascii="Arial" w:eastAsia="Times New Roman" w:hAnsi="Arial" w:cs="Arial"/>
          <w:kern w:val="0"/>
          <w:sz w:val="24"/>
          <w:szCs w:val="24"/>
          <w14:ligatures w14:val="none"/>
        </w:rPr>
      </w:pPr>
      <w:r w:rsidRPr="00D354CC">
        <w:rPr>
          <w:rFonts w:ascii="Arial" w:eastAsia="Times New Roman" w:hAnsi="Arial" w:cs="Arial"/>
          <w:kern w:val="0"/>
          <w:sz w:val="24"/>
          <w:szCs w:val="24"/>
          <w14:ligatures w14:val="none"/>
        </w:rPr>
        <w:t xml:space="preserve">These disruptions led directly to the stated below. </w:t>
      </w:r>
    </w:p>
    <w:p w14:paraId="7E3F94E6" w14:textId="77777777" w:rsidR="00D354CC" w:rsidRPr="00D354CC" w:rsidRDefault="00D354CC" w:rsidP="0013224D">
      <w:pPr>
        <w:spacing w:before="100" w:beforeAutospacing="1" w:after="100" w:afterAutospacing="1" w:line="240" w:lineRule="auto"/>
        <w:rPr>
          <w:rFonts w:ascii="Arial" w:eastAsia="Times New Roman" w:hAnsi="Arial" w:cs="Arial"/>
          <w:kern w:val="0"/>
          <w:sz w:val="24"/>
          <w:szCs w:val="24"/>
          <w14:ligatures w14:val="none"/>
        </w:rPr>
      </w:pPr>
    </w:p>
    <w:tbl>
      <w:tblPr>
        <w:tblW w:w="9180" w:type="dxa"/>
        <w:jc w:val="center"/>
        <w:tblLook w:val="04A0" w:firstRow="1" w:lastRow="0" w:firstColumn="1" w:lastColumn="0" w:noHBand="0" w:noVBand="1"/>
      </w:tblPr>
      <w:tblGrid>
        <w:gridCol w:w="4480"/>
        <w:gridCol w:w="4700"/>
      </w:tblGrid>
      <w:tr w:rsidR="0013224D" w:rsidRPr="0013224D" w14:paraId="73933971" w14:textId="77777777" w:rsidTr="00D354CC">
        <w:trPr>
          <w:trHeight w:val="336"/>
          <w:jc w:val="center"/>
        </w:trPr>
        <w:tc>
          <w:tcPr>
            <w:tcW w:w="448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309BB85" w14:textId="77777777" w:rsidR="0013224D" w:rsidRPr="0013224D" w:rsidRDefault="0013224D" w:rsidP="0013224D">
            <w:pPr>
              <w:spacing w:after="0" w:line="240" w:lineRule="auto"/>
              <w:jc w:val="center"/>
              <w:rPr>
                <w:rFonts w:ascii="Segoe UI" w:eastAsia="Times New Roman" w:hAnsi="Segoe UI" w:cs="Segoe UI"/>
                <w:b/>
                <w:bCs/>
                <w:color w:val="000000"/>
                <w:kern w:val="0"/>
                <w:u w:val="single"/>
                <w14:ligatures w14:val="none"/>
              </w:rPr>
            </w:pPr>
            <w:r w:rsidRPr="0013224D">
              <w:rPr>
                <w:rFonts w:ascii="Segoe UI" w:eastAsia="Times New Roman" w:hAnsi="Segoe UI" w:cs="Segoe UI"/>
                <w:b/>
                <w:bCs/>
                <w:color w:val="000000"/>
                <w:kern w:val="0"/>
                <w:u w:val="single"/>
                <w14:ligatures w14:val="none"/>
              </w:rPr>
              <w:t>Issue</w:t>
            </w:r>
          </w:p>
        </w:tc>
        <w:tc>
          <w:tcPr>
            <w:tcW w:w="4700" w:type="dxa"/>
            <w:tcBorders>
              <w:top w:val="single" w:sz="4" w:space="0" w:color="auto"/>
              <w:left w:val="nil"/>
              <w:bottom w:val="single" w:sz="4" w:space="0" w:color="auto"/>
              <w:right w:val="single" w:sz="4" w:space="0" w:color="auto"/>
            </w:tcBorders>
            <w:shd w:val="clear" w:color="000000" w:fill="FCD5B4"/>
            <w:vAlign w:val="center"/>
            <w:hideMark/>
          </w:tcPr>
          <w:p w14:paraId="776B89D2" w14:textId="77777777" w:rsidR="0013224D" w:rsidRPr="0013224D" w:rsidRDefault="0013224D" w:rsidP="0013224D">
            <w:pPr>
              <w:spacing w:after="0" w:line="240" w:lineRule="auto"/>
              <w:jc w:val="center"/>
              <w:rPr>
                <w:rFonts w:ascii="Segoe UI" w:eastAsia="Times New Roman" w:hAnsi="Segoe UI" w:cs="Segoe UI"/>
                <w:b/>
                <w:bCs/>
                <w:color w:val="000000"/>
                <w:kern w:val="0"/>
                <w:u w:val="single"/>
                <w14:ligatures w14:val="none"/>
              </w:rPr>
            </w:pPr>
            <w:r w:rsidRPr="0013224D">
              <w:rPr>
                <w:rFonts w:ascii="Segoe UI" w:eastAsia="Times New Roman" w:hAnsi="Segoe UI" w:cs="Segoe UI"/>
                <w:b/>
                <w:bCs/>
                <w:color w:val="000000"/>
                <w:kern w:val="0"/>
                <w:u w:val="single"/>
                <w14:ligatures w14:val="none"/>
              </w:rPr>
              <w:t>Description</w:t>
            </w:r>
          </w:p>
        </w:tc>
      </w:tr>
      <w:tr w:rsidR="0013224D" w:rsidRPr="0013224D" w14:paraId="73223DF2" w14:textId="77777777" w:rsidTr="00D354CC">
        <w:trPr>
          <w:trHeight w:val="1152"/>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720FA380"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Increased lead times</w:t>
            </w:r>
          </w:p>
        </w:tc>
        <w:tc>
          <w:tcPr>
            <w:tcW w:w="4700" w:type="dxa"/>
            <w:tcBorders>
              <w:top w:val="nil"/>
              <w:left w:val="nil"/>
              <w:bottom w:val="single" w:sz="4" w:space="0" w:color="auto"/>
              <w:right w:val="single" w:sz="4" w:space="0" w:color="auto"/>
            </w:tcBorders>
            <w:shd w:val="clear" w:color="auto" w:fill="auto"/>
            <w:vAlign w:val="center"/>
            <w:hideMark/>
          </w:tcPr>
          <w:p w14:paraId="5D0064A7"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Lead times for both EU and US customers increased compared with pre</w:t>
            </w:r>
            <w:r w:rsidRPr="00D354CC">
              <w:rPr>
                <w:rFonts w:ascii="Arial" w:eastAsia="Times New Roman" w:hAnsi="Arial" w:cs="Arial"/>
                <w:color w:val="000000"/>
                <w:kern w:val="0"/>
                <w:sz w:val="24"/>
                <w:szCs w:val="24"/>
                <w14:ligatures w14:val="none"/>
              </w:rPr>
              <w:noBreakHyphen/>
              <w:t>pandemic service levels.</w:t>
            </w:r>
          </w:p>
        </w:tc>
      </w:tr>
      <w:tr w:rsidR="0013224D" w:rsidRPr="0013224D" w14:paraId="4D934BB0" w14:textId="77777777" w:rsidTr="00D354CC">
        <w:trPr>
          <w:trHeight w:val="840"/>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03AF609B"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Rising transportation costs</w:t>
            </w:r>
          </w:p>
        </w:tc>
        <w:tc>
          <w:tcPr>
            <w:tcW w:w="4700" w:type="dxa"/>
            <w:tcBorders>
              <w:top w:val="nil"/>
              <w:left w:val="nil"/>
              <w:bottom w:val="single" w:sz="4" w:space="0" w:color="auto"/>
              <w:right w:val="single" w:sz="4" w:space="0" w:color="auto"/>
            </w:tcBorders>
            <w:shd w:val="clear" w:color="auto" w:fill="auto"/>
            <w:vAlign w:val="center"/>
            <w:hideMark/>
          </w:tcPr>
          <w:p w14:paraId="7A19DF2A"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Transport costs particularly air freight and expedited road freight rose rapidly.</w:t>
            </w:r>
          </w:p>
        </w:tc>
      </w:tr>
      <w:tr w:rsidR="0013224D" w:rsidRPr="0013224D" w14:paraId="05213030" w14:textId="77777777" w:rsidTr="00D354CC">
        <w:trPr>
          <w:trHeight w:val="1008"/>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26CB7B7A"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Reduced delivery reliability</w:t>
            </w:r>
          </w:p>
        </w:tc>
        <w:tc>
          <w:tcPr>
            <w:tcW w:w="4700" w:type="dxa"/>
            <w:tcBorders>
              <w:top w:val="nil"/>
              <w:left w:val="nil"/>
              <w:bottom w:val="single" w:sz="4" w:space="0" w:color="auto"/>
              <w:right w:val="single" w:sz="4" w:space="0" w:color="auto"/>
            </w:tcBorders>
            <w:shd w:val="clear" w:color="auto" w:fill="auto"/>
            <w:vAlign w:val="center"/>
            <w:hideMark/>
          </w:tcPr>
          <w:p w14:paraId="674CB74F"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Capacity constraints and border controls made delivery schedules less predictable.</w:t>
            </w:r>
          </w:p>
        </w:tc>
      </w:tr>
      <w:tr w:rsidR="0013224D" w:rsidRPr="0013224D" w14:paraId="011051DF" w14:textId="77777777" w:rsidTr="00D354CC">
        <w:trPr>
          <w:trHeight w:val="1536"/>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654256C9"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Greater pressure on customer service &amp; budgets</w:t>
            </w:r>
          </w:p>
        </w:tc>
        <w:tc>
          <w:tcPr>
            <w:tcW w:w="4700" w:type="dxa"/>
            <w:tcBorders>
              <w:top w:val="nil"/>
              <w:left w:val="nil"/>
              <w:bottom w:val="single" w:sz="4" w:space="0" w:color="auto"/>
              <w:right w:val="single" w:sz="4" w:space="0" w:color="auto"/>
            </w:tcBorders>
            <w:shd w:val="clear" w:color="auto" w:fill="auto"/>
            <w:vAlign w:val="center"/>
            <w:hideMark/>
          </w:tcPr>
          <w:p w14:paraId="3D084372"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Delays and added costs created additional strain on customer service performance and operational budgets.</w:t>
            </w:r>
          </w:p>
        </w:tc>
      </w:tr>
    </w:tbl>
    <w:p w14:paraId="09B27FB3" w14:textId="77777777" w:rsidR="00D354CC" w:rsidRDefault="00D354CC" w:rsidP="00D354CC">
      <w:pPr>
        <w:spacing w:before="100" w:beforeAutospacing="1" w:after="100" w:afterAutospacing="1" w:line="360" w:lineRule="auto"/>
        <w:jc w:val="both"/>
        <w:rPr>
          <w:rFonts w:ascii="Arial" w:eastAsia="Times New Roman" w:hAnsi="Arial" w:cs="Arial"/>
          <w:kern w:val="0"/>
          <w:sz w:val="24"/>
          <w:szCs w:val="24"/>
          <w14:ligatures w14:val="none"/>
        </w:rPr>
      </w:pPr>
    </w:p>
    <w:p w14:paraId="6A21893D" w14:textId="2DB812B5" w:rsidR="0013224D" w:rsidRPr="0013224D" w:rsidRDefault="00D354CC" w:rsidP="00D354CC">
      <w:pPr>
        <w:spacing w:before="100" w:beforeAutospacing="1" w:after="100" w:afterAutospacing="1"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w:t>
      </w:r>
      <w:r w:rsidR="0013224D" w:rsidRPr="0013224D">
        <w:rPr>
          <w:rFonts w:ascii="Arial" w:eastAsia="Times New Roman" w:hAnsi="Arial" w:cs="Arial"/>
          <w:kern w:val="0"/>
          <w:sz w:val="24"/>
          <w:szCs w:val="24"/>
          <w14:ligatures w14:val="none"/>
        </w:rPr>
        <w:t>t bec</w:t>
      </w:r>
      <w:r>
        <w:rPr>
          <w:rFonts w:ascii="Arial" w:eastAsia="Times New Roman" w:hAnsi="Arial" w:cs="Arial"/>
          <w:kern w:val="0"/>
          <w:sz w:val="24"/>
          <w:szCs w:val="24"/>
          <w14:ligatures w14:val="none"/>
        </w:rPr>
        <w:t xml:space="preserve">ame </w:t>
      </w:r>
      <w:r w:rsidR="0013224D" w:rsidRPr="0013224D">
        <w:rPr>
          <w:rFonts w:ascii="Arial" w:eastAsia="Times New Roman" w:hAnsi="Arial" w:cs="Arial"/>
          <w:kern w:val="0"/>
          <w:sz w:val="24"/>
          <w:szCs w:val="24"/>
          <w14:ligatures w14:val="none"/>
        </w:rPr>
        <w:t xml:space="preserve">clear that Continental’s pre-COVID JIT logistics model lacked resilience against major global shocks, underscoring the need for more flexible and robust strategies </w:t>
      </w:r>
      <w:r>
        <w:rPr>
          <w:rFonts w:ascii="Arial" w:eastAsia="Times New Roman" w:hAnsi="Arial" w:cs="Arial"/>
          <w:kern w:val="0"/>
          <w:sz w:val="24"/>
          <w:szCs w:val="24"/>
          <w14:ligatures w14:val="none"/>
        </w:rPr>
        <w:t xml:space="preserve">causing </w:t>
      </w:r>
      <w:r w:rsidR="0013224D" w:rsidRPr="0013224D">
        <w:rPr>
          <w:rFonts w:ascii="Arial" w:eastAsia="Times New Roman" w:hAnsi="Arial" w:cs="Arial"/>
          <w:kern w:val="0"/>
          <w:sz w:val="24"/>
          <w:szCs w:val="24"/>
          <w14:ligatures w14:val="none"/>
        </w:rPr>
        <w:t>future disruptions.</w:t>
      </w:r>
    </w:p>
    <w:p w14:paraId="239ACFF7" w14:textId="77777777" w:rsidR="0013224D" w:rsidRPr="0013224D"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0458269C"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26EE5A0F"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5B511988"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1D9677DD"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64152C84"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5A4ECC2A"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120881BB"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33452BF2"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0528FDC4" w14:textId="6B659655" w:rsidR="0013224D"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lastRenderedPageBreak/>
        <w:t>2.3 Understanding Data for Addressing the Problem/Opportunity</w:t>
      </w:r>
    </w:p>
    <w:p w14:paraId="59849292"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134E88F5" w14:textId="1E50B33D" w:rsidR="00D354CC" w:rsidRPr="00D354CC" w:rsidRDefault="00D354CC" w:rsidP="00D354CC">
      <w:pPr>
        <w:pStyle w:val="NormalWeb"/>
        <w:spacing w:line="360" w:lineRule="auto"/>
        <w:jc w:val="both"/>
        <w:rPr>
          <w:rFonts w:ascii="Arial" w:hAnsi="Arial" w:cs="Arial"/>
        </w:rPr>
      </w:pPr>
      <w:r w:rsidRPr="00D354CC">
        <w:rPr>
          <w:rFonts w:ascii="Arial" w:hAnsi="Arial" w:cs="Arial"/>
        </w:rPr>
        <w:t xml:space="preserve">Using logistics and supply chain data enabled Continental to identify performance issues, forecast demand, and plan inventory and transport resources more effectively. Data such as shipment records, lead times, purchase orders, and cost information made it possible to </w:t>
      </w:r>
      <w:r w:rsidRPr="00D354CC">
        <w:rPr>
          <w:rFonts w:ascii="Arial" w:hAnsi="Arial" w:cs="Arial"/>
        </w:rPr>
        <w:t>analyze</w:t>
      </w:r>
      <w:r w:rsidRPr="00D354CC">
        <w:rPr>
          <w:rFonts w:ascii="Arial" w:hAnsi="Arial" w:cs="Arial"/>
        </w:rPr>
        <w:t xml:space="preserve"> how operations changed before, during, and after COVID</w:t>
      </w:r>
      <w:r w:rsidRPr="00D354CC">
        <w:rPr>
          <w:rFonts w:ascii="Arial" w:hAnsi="Arial" w:cs="Arial"/>
        </w:rPr>
        <w:noBreakHyphen/>
        <w:t>19, and to highlight trends requiring action or improvement.</w:t>
      </w:r>
    </w:p>
    <w:p w14:paraId="46E8D3E7" w14:textId="1FB856EC" w:rsidR="00D354CC" w:rsidRPr="00D354CC" w:rsidRDefault="00D354CC" w:rsidP="00D354CC">
      <w:pPr>
        <w:pStyle w:val="NormalWeb"/>
        <w:spacing w:line="360" w:lineRule="auto"/>
        <w:jc w:val="both"/>
        <w:rPr>
          <w:rFonts w:ascii="Arial" w:hAnsi="Arial" w:cs="Arial"/>
        </w:rPr>
      </w:pPr>
      <w:r w:rsidRPr="00D354CC">
        <w:rPr>
          <w:rFonts w:ascii="Arial" w:hAnsi="Arial" w:cs="Arial"/>
        </w:rPr>
        <w:t>External sources, including global trade statistics, also revealed how supply chains shifted during the pandemic, offering useful context for comparing internal performance with broader industry patterns (World Trade Organization, 2021). At site level, customs shipment data—such as the number of consignments, shipment weights, and destination profiles</w:t>
      </w:r>
      <w:r w:rsidRPr="00D354CC">
        <w:rPr>
          <w:rFonts w:ascii="Arial" w:hAnsi="Arial" w:cs="Arial"/>
        </w:rPr>
        <w:t xml:space="preserve"> </w:t>
      </w:r>
      <w:r w:rsidRPr="00D354CC">
        <w:rPr>
          <w:rFonts w:ascii="Arial" w:hAnsi="Arial" w:cs="Arial"/>
        </w:rPr>
        <w:t>provided a clear view of how the logistics network operated under pressure (</w:t>
      </w:r>
      <w:proofErr w:type="spellStart"/>
      <w:r w:rsidRPr="00D354CC">
        <w:rPr>
          <w:rFonts w:ascii="Arial" w:hAnsi="Arial" w:cs="Arial"/>
        </w:rPr>
        <w:t>Panjiva</w:t>
      </w:r>
      <w:proofErr w:type="spellEnd"/>
      <w:r w:rsidRPr="00D354CC">
        <w:rPr>
          <w:rFonts w:ascii="Arial" w:hAnsi="Arial" w:cs="Arial"/>
        </w:rPr>
        <w:t>, 2026). Together, these datasets supported a comprehensive understanding of what worked well, what failed, and where targeted improvements could be made.</w:t>
      </w:r>
    </w:p>
    <w:p w14:paraId="38E653C5" w14:textId="77777777" w:rsidR="00D354CC" w:rsidRDefault="00D354CC" w:rsidP="0013224D">
      <w:pPr>
        <w:spacing w:before="100" w:beforeAutospacing="1" w:after="100" w:afterAutospacing="1" w:line="300" w:lineRule="atLeast"/>
        <w:rPr>
          <w:rFonts w:ascii="Arial" w:eastAsia="Times New Roman" w:hAnsi="Arial" w:cs="Arial"/>
          <w:b/>
          <w:bCs/>
          <w:color w:val="0070C0"/>
          <w:kern w:val="0"/>
          <w:sz w:val="24"/>
          <w:szCs w:val="24"/>
          <w:u w:val="single"/>
          <w14:ligatures w14:val="none"/>
        </w:rPr>
      </w:pPr>
    </w:p>
    <w:p w14:paraId="496FFB8F" w14:textId="4DF7DD01" w:rsidR="0013224D" w:rsidRPr="0013224D" w:rsidRDefault="0013224D" w:rsidP="0013224D">
      <w:pPr>
        <w:spacing w:before="100" w:beforeAutospacing="1" w:after="100" w:afterAutospacing="1" w:line="300" w:lineRule="atLeast"/>
        <w:rPr>
          <w:rFonts w:ascii="Arial" w:eastAsia="Times New Roman" w:hAnsi="Arial" w:cs="Arial"/>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t>2.4</w:t>
      </w:r>
      <w:r w:rsidRPr="0013224D">
        <w:rPr>
          <w:rFonts w:ascii="Arial" w:eastAsia="Times New Roman" w:hAnsi="Arial" w:cs="Arial"/>
          <w:color w:val="0070C0"/>
          <w:kern w:val="0"/>
          <w:sz w:val="24"/>
          <w:szCs w:val="24"/>
          <w:u w:val="single"/>
          <w14:ligatures w14:val="none"/>
        </w:rPr>
        <w:t xml:space="preserve"> </w:t>
      </w:r>
      <w:r w:rsidRPr="0013224D">
        <w:rPr>
          <w:rFonts w:ascii="Arial" w:eastAsia="Times New Roman" w:hAnsi="Arial" w:cs="Arial"/>
          <w:b/>
          <w:bCs/>
          <w:color w:val="0070C0"/>
          <w:kern w:val="0"/>
          <w:sz w:val="24"/>
          <w:szCs w:val="24"/>
          <w:u w:val="single"/>
          <w14:ligatures w14:val="none"/>
        </w:rPr>
        <w:t>Variable Identification</w:t>
      </w:r>
    </w:p>
    <w:p w14:paraId="68126A46" w14:textId="77777777" w:rsidR="0013224D" w:rsidRPr="0013224D" w:rsidRDefault="0013224D" w:rsidP="00D354CC">
      <w:pPr>
        <w:spacing w:before="100" w:beforeAutospacing="1" w:after="100" w:afterAutospacing="1" w:line="360" w:lineRule="auto"/>
        <w:jc w:val="both"/>
        <w:rPr>
          <w:rFonts w:ascii="Arial" w:eastAsia="Times New Roman" w:hAnsi="Arial" w:cs="Arial"/>
          <w:kern w:val="0"/>
          <w:sz w:val="24"/>
          <w:szCs w:val="24"/>
          <w14:ligatures w14:val="none"/>
        </w:rPr>
      </w:pPr>
      <w:r w:rsidRPr="0013224D">
        <w:rPr>
          <w:rFonts w:ascii="Arial" w:eastAsia="Times New Roman" w:hAnsi="Arial" w:cs="Arial"/>
          <w:kern w:val="0"/>
          <w:sz w:val="24"/>
          <w:szCs w:val="24"/>
          <w14:ligatures w14:val="none"/>
        </w:rPr>
        <w:t xml:space="preserve">The below variables were analyzed to assess Continental’s logistics and supply chain performance during the pandemic. </w:t>
      </w:r>
    </w:p>
    <w:tbl>
      <w:tblPr>
        <w:tblW w:w="9649" w:type="dxa"/>
        <w:jc w:val="center"/>
        <w:tblLook w:val="04A0" w:firstRow="1" w:lastRow="0" w:firstColumn="1" w:lastColumn="0" w:noHBand="0" w:noVBand="1"/>
      </w:tblPr>
      <w:tblGrid>
        <w:gridCol w:w="2719"/>
        <w:gridCol w:w="6930"/>
      </w:tblGrid>
      <w:tr w:rsidR="0013224D" w:rsidRPr="0013224D" w14:paraId="050D0BB0" w14:textId="77777777" w:rsidTr="00D354CC">
        <w:trPr>
          <w:trHeight w:val="440"/>
          <w:jc w:val="center"/>
        </w:trPr>
        <w:tc>
          <w:tcPr>
            <w:tcW w:w="2719" w:type="dxa"/>
            <w:tcBorders>
              <w:top w:val="single" w:sz="4" w:space="0" w:color="auto"/>
              <w:left w:val="single" w:sz="4" w:space="0" w:color="auto"/>
              <w:bottom w:val="single" w:sz="4" w:space="0" w:color="auto"/>
              <w:right w:val="single" w:sz="4" w:space="0" w:color="auto"/>
            </w:tcBorders>
            <w:shd w:val="clear" w:color="000000" w:fill="C6E0B4"/>
            <w:vAlign w:val="center"/>
            <w:hideMark/>
          </w:tcPr>
          <w:p w14:paraId="2583EAA7"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Data Type</w:t>
            </w:r>
          </w:p>
        </w:tc>
        <w:tc>
          <w:tcPr>
            <w:tcW w:w="6930" w:type="dxa"/>
            <w:tcBorders>
              <w:top w:val="single" w:sz="4" w:space="0" w:color="auto"/>
              <w:left w:val="nil"/>
              <w:bottom w:val="single" w:sz="4" w:space="0" w:color="auto"/>
              <w:right w:val="single" w:sz="4" w:space="0" w:color="auto"/>
            </w:tcBorders>
            <w:shd w:val="clear" w:color="000000" w:fill="C6E0B4"/>
            <w:vAlign w:val="center"/>
            <w:hideMark/>
          </w:tcPr>
          <w:p w14:paraId="50CDDFBC"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Analytical Purpose</w:t>
            </w:r>
          </w:p>
        </w:tc>
      </w:tr>
      <w:tr w:rsidR="0013224D" w:rsidRPr="0013224D" w14:paraId="3A8D682E" w14:textId="77777777" w:rsidTr="00D354CC">
        <w:trPr>
          <w:trHeight w:val="577"/>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608610FD"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Sales volume</w:t>
            </w:r>
          </w:p>
        </w:tc>
        <w:tc>
          <w:tcPr>
            <w:tcW w:w="6930" w:type="dxa"/>
            <w:tcBorders>
              <w:top w:val="nil"/>
              <w:left w:val="nil"/>
              <w:bottom w:val="single" w:sz="4" w:space="0" w:color="auto"/>
              <w:right w:val="single" w:sz="4" w:space="0" w:color="auto"/>
            </w:tcBorders>
            <w:shd w:val="clear" w:color="auto" w:fill="auto"/>
            <w:vAlign w:val="center"/>
            <w:hideMark/>
          </w:tcPr>
          <w:p w14:paraId="193918DC" w14:textId="1FC486AD"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 xml:space="preserve">Used to </w:t>
            </w:r>
            <w:r w:rsidRPr="00D354CC">
              <w:rPr>
                <w:rFonts w:ascii="Segoe UI" w:eastAsia="Times New Roman" w:hAnsi="Segoe UI" w:cs="Segoe UI"/>
                <w:kern w:val="0"/>
                <w:sz w:val="21"/>
                <w:szCs w:val="21"/>
                <w14:ligatures w14:val="none"/>
              </w:rPr>
              <w:t>analyze</w:t>
            </w:r>
            <w:r w:rsidRPr="00D354CC">
              <w:rPr>
                <w:rFonts w:ascii="Segoe UI" w:eastAsia="Times New Roman" w:hAnsi="Segoe UI" w:cs="Segoe UI"/>
                <w:kern w:val="0"/>
                <w:sz w:val="21"/>
                <w:szCs w:val="21"/>
                <w14:ligatures w14:val="none"/>
              </w:rPr>
              <w:t xml:space="preserve"> variations in product demand and identify trends indicative of broader market shifts.</w:t>
            </w:r>
          </w:p>
          <w:p w14:paraId="1246A0A4" w14:textId="08E9D5DF"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3D75E1EA" w14:textId="77777777" w:rsidTr="00D354CC">
        <w:trPr>
          <w:trHeight w:val="469"/>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5DE273D1"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Purchase orders</w:t>
            </w:r>
          </w:p>
        </w:tc>
        <w:tc>
          <w:tcPr>
            <w:tcW w:w="6930" w:type="dxa"/>
            <w:tcBorders>
              <w:top w:val="nil"/>
              <w:left w:val="nil"/>
              <w:bottom w:val="single" w:sz="4" w:space="0" w:color="auto"/>
              <w:right w:val="single" w:sz="4" w:space="0" w:color="auto"/>
            </w:tcBorders>
            <w:shd w:val="clear" w:color="auto" w:fill="auto"/>
            <w:vAlign w:val="center"/>
            <w:hideMark/>
          </w:tcPr>
          <w:p w14:paraId="2E74A459" w14:textId="445549E6"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 xml:space="preserve">Examined to assess procurement </w:t>
            </w:r>
            <w:r w:rsidRPr="00D354CC">
              <w:rPr>
                <w:rFonts w:ascii="Segoe UI" w:eastAsia="Times New Roman" w:hAnsi="Segoe UI" w:cs="Segoe UI"/>
                <w:kern w:val="0"/>
                <w:sz w:val="21"/>
                <w:szCs w:val="21"/>
                <w14:ligatures w14:val="none"/>
              </w:rPr>
              <w:t>behaviors</w:t>
            </w:r>
            <w:r w:rsidRPr="00D354CC">
              <w:rPr>
                <w:rFonts w:ascii="Segoe UI" w:eastAsia="Times New Roman" w:hAnsi="Segoe UI" w:cs="Segoe UI"/>
                <w:kern w:val="0"/>
                <w:sz w:val="21"/>
                <w:szCs w:val="21"/>
                <w14:ligatures w14:val="none"/>
              </w:rPr>
              <w:t>, including the timing and scale of component and raw material acquisition.</w:t>
            </w:r>
          </w:p>
          <w:p w14:paraId="5382013A" w14:textId="516F5EBB"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2FDABB01" w14:textId="77777777" w:rsidTr="00D354CC">
        <w:trPr>
          <w:trHeight w:val="631"/>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6E68B1A9"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Transport costs</w:t>
            </w:r>
          </w:p>
        </w:tc>
        <w:tc>
          <w:tcPr>
            <w:tcW w:w="6930" w:type="dxa"/>
            <w:tcBorders>
              <w:top w:val="nil"/>
              <w:left w:val="nil"/>
              <w:bottom w:val="single" w:sz="4" w:space="0" w:color="auto"/>
              <w:right w:val="single" w:sz="4" w:space="0" w:color="auto"/>
            </w:tcBorders>
            <w:shd w:val="clear" w:color="auto" w:fill="auto"/>
            <w:vAlign w:val="center"/>
            <w:hideMark/>
          </w:tcPr>
          <w:p w14:paraId="0D20A732" w14:textId="7EB6FF62" w:rsidR="00D354CC" w:rsidRPr="00D354CC" w:rsidRDefault="00D354CC" w:rsidP="00D354C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A</w:t>
            </w:r>
            <w:r w:rsidRPr="00D354CC">
              <w:rPr>
                <w:rFonts w:ascii="Segoe UI" w:eastAsia="Times New Roman" w:hAnsi="Segoe UI" w:cs="Segoe UI"/>
                <w:kern w:val="0"/>
                <w:sz w:val="21"/>
                <w:szCs w:val="21"/>
                <w14:ligatures w14:val="none"/>
              </w:rPr>
              <w:t>nalyzed</w:t>
            </w:r>
            <w:r w:rsidRPr="00D354CC">
              <w:rPr>
                <w:rFonts w:ascii="Segoe UI" w:eastAsia="Times New Roman" w:hAnsi="Segoe UI" w:cs="Segoe UI"/>
                <w:kern w:val="0"/>
                <w:sz w:val="21"/>
                <w:szCs w:val="21"/>
                <w14:ligatures w14:val="none"/>
              </w:rPr>
              <w:t xml:space="preserve"> to quantify the financial impact of logistical disruptions and evaluate cost efficiency across the network.</w:t>
            </w:r>
          </w:p>
          <w:p w14:paraId="41749090" w14:textId="1700CCA8"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2DA141EC" w14:textId="77777777" w:rsidTr="00D354CC">
        <w:trPr>
          <w:trHeight w:val="723"/>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7544F545"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Storage costs</w:t>
            </w:r>
          </w:p>
        </w:tc>
        <w:tc>
          <w:tcPr>
            <w:tcW w:w="6930" w:type="dxa"/>
            <w:tcBorders>
              <w:top w:val="nil"/>
              <w:left w:val="nil"/>
              <w:bottom w:val="single" w:sz="4" w:space="0" w:color="auto"/>
              <w:right w:val="single" w:sz="4" w:space="0" w:color="auto"/>
            </w:tcBorders>
            <w:shd w:val="clear" w:color="auto" w:fill="auto"/>
            <w:vAlign w:val="center"/>
            <w:hideMark/>
          </w:tcPr>
          <w:p w14:paraId="467DFAC5" w14:textId="77777777"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Reviewed to determine the effectiveness of inventory management during periods of surplus accumulation or stock shortages.</w:t>
            </w:r>
          </w:p>
          <w:p w14:paraId="71824516" w14:textId="4D7050EE"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311D7DA9" w14:textId="77777777" w:rsidTr="00D354CC">
        <w:trPr>
          <w:trHeight w:val="584"/>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1E6AC7FD"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Order frequency</w:t>
            </w:r>
          </w:p>
        </w:tc>
        <w:tc>
          <w:tcPr>
            <w:tcW w:w="6930" w:type="dxa"/>
            <w:tcBorders>
              <w:top w:val="nil"/>
              <w:left w:val="nil"/>
              <w:bottom w:val="single" w:sz="4" w:space="0" w:color="auto"/>
              <w:right w:val="single" w:sz="4" w:space="0" w:color="auto"/>
            </w:tcBorders>
            <w:shd w:val="clear" w:color="auto" w:fill="auto"/>
            <w:vAlign w:val="center"/>
            <w:hideMark/>
          </w:tcPr>
          <w:p w14:paraId="3B871983" w14:textId="7952123B"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 xml:space="preserve">Investigated to understand ordering patterns, cycle regularity, and </w:t>
            </w:r>
            <w:r w:rsidRPr="00D354CC">
              <w:rPr>
                <w:rFonts w:ascii="Segoe UI" w:eastAsia="Times New Roman" w:hAnsi="Segoe UI" w:cs="Segoe UI"/>
                <w:kern w:val="0"/>
                <w:sz w:val="21"/>
                <w:szCs w:val="21"/>
                <w14:ligatures w14:val="none"/>
              </w:rPr>
              <w:t>organizational</w:t>
            </w:r>
            <w:r w:rsidRPr="00D354CC">
              <w:rPr>
                <w:rFonts w:ascii="Segoe UI" w:eastAsia="Times New Roman" w:hAnsi="Segoe UI" w:cs="Segoe UI"/>
                <w:kern w:val="0"/>
                <w:sz w:val="21"/>
                <w:szCs w:val="21"/>
                <w14:ligatures w14:val="none"/>
              </w:rPr>
              <w:t xml:space="preserve"> responsiveness to supply requirements.</w:t>
            </w:r>
          </w:p>
          <w:p w14:paraId="0186F2CE" w14:textId="64CE2C77"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47E60900" w14:textId="77777777" w:rsidTr="00D354CC">
        <w:trPr>
          <w:trHeight w:val="620"/>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536A9868"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Lead times</w:t>
            </w:r>
          </w:p>
        </w:tc>
        <w:tc>
          <w:tcPr>
            <w:tcW w:w="6930" w:type="dxa"/>
            <w:tcBorders>
              <w:top w:val="nil"/>
              <w:left w:val="nil"/>
              <w:bottom w:val="single" w:sz="4" w:space="0" w:color="auto"/>
              <w:right w:val="single" w:sz="4" w:space="0" w:color="auto"/>
            </w:tcBorders>
            <w:shd w:val="clear" w:color="auto" w:fill="auto"/>
            <w:vAlign w:val="center"/>
            <w:hideMark/>
          </w:tcPr>
          <w:p w14:paraId="4E05EC8F" w14:textId="77777777"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Measured to evaluate the duration between order initiation and fulfilment, with emphasis on delays occurring during peak pandemic disruption.</w:t>
            </w:r>
          </w:p>
          <w:p w14:paraId="3B65B538" w14:textId="5C92477C"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bl>
    <w:p w14:paraId="2673C269" w14:textId="02B5D7E0" w:rsidR="0013224D" w:rsidRPr="00493E28" w:rsidRDefault="0013224D" w:rsidP="00493E28">
      <w:pPr>
        <w:spacing w:before="100" w:beforeAutospacing="1" w:after="100" w:afterAutospacing="1" w:line="360" w:lineRule="auto"/>
        <w:jc w:val="both"/>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lastRenderedPageBreak/>
        <w:t>Analyzing these variables illuminated how Continental operations were affected during the pandemic providing a basis for identifying challenges and opportunities for future improvements.</w:t>
      </w:r>
    </w:p>
    <w:p w14:paraId="41F5F443" w14:textId="215E8DD7" w:rsidR="0013224D" w:rsidRPr="00493E28" w:rsidRDefault="0013224D" w:rsidP="00493E28">
      <w:pPr>
        <w:spacing w:before="100" w:beforeAutospacing="1" w:after="100" w:afterAutospacing="1" w:line="360" w:lineRule="auto"/>
        <w:jc w:val="both"/>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 xml:space="preserve">Examples are presented below showing figures during the pandemic.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92"/>
        <w:gridCol w:w="1718"/>
        <w:gridCol w:w="1594"/>
        <w:gridCol w:w="1687"/>
        <w:gridCol w:w="1460"/>
        <w:gridCol w:w="1875"/>
        <w:gridCol w:w="1464"/>
      </w:tblGrid>
      <w:tr w:rsidR="0013224D" w:rsidRPr="00493E28" w14:paraId="639F50B6" w14:textId="77777777" w:rsidTr="00493E28">
        <w:trPr>
          <w:tblHeader/>
          <w:tblCellSpacing w:w="15" w:type="dxa"/>
          <w:jc w:val="center"/>
        </w:trPr>
        <w:tc>
          <w:tcPr>
            <w:tcW w:w="0" w:type="auto"/>
            <w:shd w:val="clear" w:color="auto" w:fill="FBE4D5" w:themeFill="accent2" w:themeFillTint="33"/>
            <w:vAlign w:val="center"/>
            <w:hideMark/>
          </w:tcPr>
          <w:p w14:paraId="13A87813"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Month</w:t>
            </w:r>
          </w:p>
        </w:tc>
        <w:tc>
          <w:tcPr>
            <w:tcW w:w="0" w:type="auto"/>
            <w:shd w:val="clear" w:color="auto" w:fill="FBE4D5" w:themeFill="accent2" w:themeFillTint="33"/>
            <w:vAlign w:val="center"/>
            <w:hideMark/>
          </w:tcPr>
          <w:p w14:paraId="41131A30"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Sales Volume (Units)</w:t>
            </w:r>
          </w:p>
        </w:tc>
        <w:tc>
          <w:tcPr>
            <w:tcW w:w="0" w:type="auto"/>
            <w:shd w:val="clear" w:color="auto" w:fill="FBE4D5" w:themeFill="accent2" w:themeFillTint="33"/>
            <w:vAlign w:val="center"/>
            <w:hideMark/>
          </w:tcPr>
          <w:p w14:paraId="14E08080"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Purchase Orders</w:t>
            </w:r>
          </w:p>
        </w:tc>
        <w:tc>
          <w:tcPr>
            <w:tcW w:w="0" w:type="auto"/>
            <w:shd w:val="clear" w:color="auto" w:fill="FBE4D5" w:themeFill="accent2" w:themeFillTint="33"/>
            <w:vAlign w:val="center"/>
            <w:hideMark/>
          </w:tcPr>
          <w:p w14:paraId="03AE78E8"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Transport Cost (£)</w:t>
            </w:r>
          </w:p>
        </w:tc>
        <w:tc>
          <w:tcPr>
            <w:tcW w:w="0" w:type="auto"/>
            <w:shd w:val="clear" w:color="auto" w:fill="FBE4D5" w:themeFill="accent2" w:themeFillTint="33"/>
            <w:vAlign w:val="center"/>
            <w:hideMark/>
          </w:tcPr>
          <w:p w14:paraId="57611DEB"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Storage Cost (£)</w:t>
            </w:r>
          </w:p>
        </w:tc>
        <w:tc>
          <w:tcPr>
            <w:tcW w:w="0" w:type="auto"/>
            <w:shd w:val="clear" w:color="auto" w:fill="FBE4D5" w:themeFill="accent2" w:themeFillTint="33"/>
            <w:vAlign w:val="center"/>
            <w:hideMark/>
          </w:tcPr>
          <w:p w14:paraId="43C59EB5"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Frequency of Orders</w:t>
            </w:r>
          </w:p>
        </w:tc>
        <w:tc>
          <w:tcPr>
            <w:tcW w:w="0" w:type="auto"/>
            <w:shd w:val="clear" w:color="auto" w:fill="FBE4D5" w:themeFill="accent2" w:themeFillTint="33"/>
            <w:vAlign w:val="center"/>
            <w:hideMark/>
          </w:tcPr>
          <w:p w14:paraId="0F665388"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Lead Time (Days)</w:t>
            </w:r>
          </w:p>
        </w:tc>
      </w:tr>
      <w:tr w:rsidR="0013224D" w:rsidRPr="00493E28" w14:paraId="6330C3A1" w14:textId="77777777" w:rsidTr="00C57F66">
        <w:trPr>
          <w:tblCellSpacing w:w="15" w:type="dxa"/>
          <w:jc w:val="center"/>
        </w:trPr>
        <w:tc>
          <w:tcPr>
            <w:tcW w:w="0" w:type="auto"/>
            <w:shd w:val="clear" w:color="auto" w:fill="auto"/>
            <w:vAlign w:val="center"/>
            <w:hideMark/>
          </w:tcPr>
          <w:p w14:paraId="71E83AD1"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Jan 2020</w:t>
            </w:r>
          </w:p>
        </w:tc>
        <w:tc>
          <w:tcPr>
            <w:tcW w:w="0" w:type="auto"/>
            <w:vAlign w:val="center"/>
            <w:hideMark/>
          </w:tcPr>
          <w:p w14:paraId="752568EC"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12,000</w:t>
            </w:r>
          </w:p>
        </w:tc>
        <w:tc>
          <w:tcPr>
            <w:tcW w:w="0" w:type="auto"/>
            <w:vAlign w:val="center"/>
            <w:hideMark/>
          </w:tcPr>
          <w:p w14:paraId="37370F76"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50</w:t>
            </w:r>
          </w:p>
        </w:tc>
        <w:tc>
          <w:tcPr>
            <w:tcW w:w="0" w:type="auto"/>
            <w:vAlign w:val="center"/>
            <w:hideMark/>
          </w:tcPr>
          <w:p w14:paraId="5658E0B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15,000</w:t>
            </w:r>
          </w:p>
        </w:tc>
        <w:tc>
          <w:tcPr>
            <w:tcW w:w="0" w:type="auto"/>
            <w:vAlign w:val="center"/>
            <w:hideMark/>
          </w:tcPr>
          <w:p w14:paraId="2AB24EFC"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8,000</w:t>
            </w:r>
          </w:p>
        </w:tc>
        <w:tc>
          <w:tcPr>
            <w:tcW w:w="0" w:type="auto"/>
            <w:vAlign w:val="center"/>
            <w:hideMark/>
          </w:tcPr>
          <w:p w14:paraId="158CE65A"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w:t>
            </w:r>
          </w:p>
        </w:tc>
        <w:tc>
          <w:tcPr>
            <w:tcW w:w="0" w:type="auto"/>
            <w:vAlign w:val="center"/>
            <w:hideMark/>
          </w:tcPr>
          <w:p w14:paraId="596DC523"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5</w:t>
            </w:r>
          </w:p>
        </w:tc>
      </w:tr>
      <w:tr w:rsidR="0013224D" w:rsidRPr="00493E28" w14:paraId="7DE86C4D" w14:textId="77777777" w:rsidTr="00C57F66">
        <w:trPr>
          <w:tblCellSpacing w:w="15" w:type="dxa"/>
          <w:jc w:val="center"/>
        </w:trPr>
        <w:tc>
          <w:tcPr>
            <w:tcW w:w="0" w:type="auto"/>
            <w:shd w:val="clear" w:color="auto" w:fill="auto"/>
            <w:vAlign w:val="center"/>
            <w:hideMark/>
          </w:tcPr>
          <w:p w14:paraId="60CDD140"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Feb 2020</w:t>
            </w:r>
          </w:p>
        </w:tc>
        <w:tc>
          <w:tcPr>
            <w:tcW w:w="0" w:type="auto"/>
            <w:vAlign w:val="center"/>
            <w:hideMark/>
          </w:tcPr>
          <w:p w14:paraId="52E17551"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11,500</w:t>
            </w:r>
          </w:p>
        </w:tc>
        <w:tc>
          <w:tcPr>
            <w:tcW w:w="0" w:type="auto"/>
            <w:vAlign w:val="center"/>
            <w:hideMark/>
          </w:tcPr>
          <w:p w14:paraId="2E5E81F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48</w:t>
            </w:r>
          </w:p>
        </w:tc>
        <w:tc>
          <w:tcPr>
            <w:tcW w:w="0" w:type="auto"/>
            <w:vAlign w:val="center"/>
            <w:hideMark/>
          </w:tcPr>
          <w:p w14:paraId="7AABA209"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16,000</w:t>
            </w:r>
          </w:p>
        </w:tc>
        <w:tc>
          <w:tcPr>
            <w:tcW w:w="0" w:type="auto"/>
            <w:vAlign w:val="center"/>
            <w:hideMark/>
          </w:tcPr>
          <w:p w14:paraId="257428E9"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8,500</w:t>
            </w:r>
          </w:p>
        </w:tc>
        <w:tc>
          <w:tcPr>
            <w:tcW w:w="0" w:type="auto"/>
            <w:vAlign w:val="center"/>
            <w:hideMark/>
          </w:tcPr>
          <w:p w14:paraId="74522D03"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w:t>
            </w:r>
          </w:p>
        </w:tc>
        <w:tc>
          <w:tcPr>
            <w:tcW w:w="0" w:type="auto"/>
            <w:vAlign w:val="center"/>
            <w:hideMark/>
          </w:tcPr>
          <w:p w14:paraId="0F95B90A"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6</w:t>
            </w:r>
          </w:p>
        </w:tc>
      </w:tr>
      <w:tr w:rsidR="0013224D" w:rsidRPr="00493E28" w14:paraId="1543A306" w14:textId="77777777" w:rsidTr="00C57F66">
        <w:trPr>
          <w:tblCellSpacing w:w="15" w:type="dxa"/>
          <w:jc w:val="center"/>
        </w:trPr>
        <w:tc>
          <w:tcPr>
            <w:tcW w:w="0" w:type="auto"/>
            <w:shd w:val="clear" w:color="auto" w:fill="auto"/>
            <w:vAlign w:val="center"/>
            <w:hideMark/>
          </w:tcPr>
          <w:p w14:paraId="588FC49A"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Mar 2020</w:t>
            </w:r>
          </w:p>
        </w:tc>
        <w:tc>
          <w:tcPr>
            <w:tcW w:w="0" w:type="auto"/>
            <w:vAlign w:val="center"/>
            <w:hideMark/>
          </w:tcPr>
          <w:p w14:paraId="1E7620E3"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9,000</w:t>
            </w:r>
          </w:p>
        </w:tc>
        <w:tc>
          <w:tcPr>
            <w:tcW w:w="0" w:type="auto"/>
            <w:vAlign w:val="center"/>
            <w:hideMark/>
          </w:tcPr>
          <w:p w14:paraId="34D86F3F"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45</w:t>
            </w:r>
          </w:p>
        </w:tc>
        <w:tc>
          <w:tcPr>
            <w:tcW w:w="0" w:type="auto"/>
            <w:vAlign w:val="center"/>
            <w:hideMark/>
          </w:tcPr>
          <w:p w14:paraId="6E30820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18,000</w:t>
            </w:r>
          </w:p>
        </w:tc>
        <w:tc>
          <w:tcPr>
            <w:tcW w:w="0" w:type="auto"/>
            <w:vAlign w:val="center"/>
            <w:hideMark/>
          </w:tcPr>
          <w:p w14:paraId="55F82A17"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9,000</w:t>
            </w:r>
          </w:p>
        </w:tc>
        <w:tc>
          <w:tcPr>
            <w:tcW w:w="0" w:type="auto"/>
            <w:vAlign w:val="center"/>
            <w:hideMark/>
          </w:tcPr>
          <w:p w14:paraId="2C73AA5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c>
          <w:tcPr>
            <w:tcW w:w="0" w:type="auto"/>
            <w:vAlign w:val="center"/>
            <w:hideMark/>
          </w:tcPr>
          <w:p w14:paraId="6C5BB535"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r>
      <w:tr w:rsidR="0013224D" w:rsidRPr="00493E28" w14:paraId="58C51B0E" w14:textId="77777777" w:rsidTr="00C57F66">
        <w:trPr>
          <w:tblCellSpacing w:w="15" w:type="dxa"/>
          <w:jc w:val="center"/>
        </w:trPr>
        <w:tc>
          <w:tcPr>
            <w:tcW w:w="0" w:type="auto"/>
            <w:shd w:val="clear" w:color="auto" w:fill="auto"/>
            <w:vAlign w:val="center"/>
            <w:hideMark/>
          </w:tcPr>
          <w:p w14:paraId="5ED1DEE4"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Apr 2020</w:t>
            </w:r>
          </w:p>
        </w:tc>
        <w:tc>
          <w:tcPr>
            <w:tcW w:w="0" w:type="auto"/>
            <w:vAlign w:val="center"/>
            <w:hideMark/>
          </w:tcPr>
          <w:p w14:paraId="3460B622"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6,500</w:t>
            </w:r>
          </w:p>
        </w:tc>
        <w:tc>
          <w:tcPr>
            <w:tcW w:w="0" w:type="auto"/>
            <w:vAlign w:val="center"/>
            <w:hideMark/>
          </w:tcPr>
          <w:p w14:paraId="7D380001"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40</w:t>
            </w:r>
          </w:p>
        </w:tc>
        <w:tc>
          <w:tcPr>
            <w:tcW w:w="0" w:type="auto"/>
            <w:vAlign w:val="center"/>
            <w:hideMark/>
          </w:tcPr>
          <w:p w14:paraId="68651568"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22,000</w:t>
            </w:r>
          </w:p>
        </w:tc>
        <w:tc>
          <w:tcPr>
            <w:tcW w:w="0" w:type="auto"/>
            <w:vAlign w:val="center"/>
            <w:hideMark/>
          </w:tcPr>
          <w:p w14:paraId="08F3181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10,500</w:t>
            </w:r>
          </w:p>
        </w:tc>
        <w:tc>
          <w:tcPr>
            <w:tcW w:w="0" w:type="auto"/>
            <w:vAlign w:val="center"/>
            <w:hideMark/>
          </w:tcPr>
          <w:p w14:paraId="70F0E88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6</w:t>
            </w:r>
          </w:p>
        </w:tc>
        <w:tc>
          <w:tcPr>
            <w:tcW w:w="0" w:type="auto"/>
            <w:vAlign w:val="center"/>
            <w:hideMark/>
          </w:tcPr>
          <w:p w14:paraId="651459C7"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12</w:t>
            </w:r>
          </w:p>
        </w:tc>
      </w:tr>
      <w:tr w:rsidR="0013224D" w:rsidRPr="00493E28" w14:paraId="6E921122" w14:textId="77777777" w:rsidTr="00C57F66">
        <w:trPr>
          <w:tblCellSpacing w:w="15" w:type="dxa"/>
          <w:jc w:val="center"/>
        </w:trPr>
        <w:tc>
          <w:tcPr>
            <w:tcW w:w="0" w:type="auto"/>
            <w:shd w:val="clear" w:color="auto" w:fill="auto"/>
            <w:vAlign w:val="center"/>
            <w:hideMark/>
          </w:tcPr>
          <w:p w14:paraId="1CABDA47"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May 2020</w:t>
            </w:r>
          </w:p>
        </w:tc>
        <w:tc>
          <w:tcPr>
            <w:tcW w:w="0" w:type="auto"/>
            <w:vAlign w:val="center"/>
            <w:hideMark/>
          </w:tcPr>
          <w:p w14:paraId="07E1A8B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7,200</w:t>
            </w:r>
          </w:p>
        </w:tc>
        <w:tc>
          <w:tcPr>
            <w:tcW w:w="0" w:type="auto"/>
            <w:vAlign w:val="center"/>
            <w:hideMark/>
          </w:tcPr>
          <w:p w14:paraId="7713376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42</w:t>
            </w:r>
          </w:p>
        </w:tc>
        <w:tc>
          <w:tcPr>
            <w:tcW w:w="0" w:type="auto"/>
            <w:vAlign w:val="center"/>
            <w:hideMark/>
          </w:tcPr>
          <w:p w14:paraId="3741FF21"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20,000</w:t>
            </w:r>
          </w:p>
        </w:tc>
        <w:tc>
          <w:tcPr>
            <w:tcW w:w="0" w:type="auto"/>
            <w:vAlign w:val="center"/>
            <w:hideMark/>
          </w:tcPr>
          <w:p w14:paraId="79E5672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10,000</w:t>
            </w:r>
          </w:p>
        </w:tc>
        <w:tc>
          <w:tcPr>
            <w:tcW w:w="0" w:type="auto"/>
            <w:vAlign w:val="center"/>
            <w:hideMark/>
          </w:tcPr>
          <w:p w14:paraId="70B459E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7</w:t>
            </w:r>
          </w:p>
        </w:tc>
        <w:tc>
          <w:tcPr>
            <w:tcW w:w="0" w:type="auto"/>
            <w:vAlign w:val="center"/>
            <w:hideMark/>
          </w:tcPr>
          <w:p w14:paraId="51E8E47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w:t>
            </w:r>
          </w:p>
        </w:tc>
      </w:tr>
      <w:tr w:rsidR="0013224D" w:rsidRPr="00493E28" w14:paraId="2430A81C" w14:textId="77777777" w:rsidTr="00C57F66">
        <w:trPr>
          <w:tblCellSpacing w:w="15" w:type="dxa"/>
          <w:jc w:val="center"/>
        </w:trPr>
        <w:tc>
          <w:tcPr>
            <w:tcW w:w="0" w:type="auto"/>
            <w:shd w:val="clear" w:color="auto" w:fill="auto"/>
            <w:vAlign w:val="center"/>
            <w:hideMark/>
          </w:tcPr>
          <w:p w14:paraId="74A82602"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Jun 2020</w:t>
            </w:r>
          </w:p>
        </w:tc>
        <w:tc>
          <w:tcPr>
            <w:tcW w:w="0" w:type="auto"/>
            <w:vAlign w:val="center"/>
            <w:hideMark/>
          </w:tcPr>
          <w:p w14:paraId="71C700DA"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9,500</w:t>
            </w:r>
          </w:p>
        </w:tc>
        <w:tc>
          <w:tcPr>
            <w:tcW w:w="0" w:type="auto"/>
            <w:vAlign w:val="center"/>
            <w:hideMark/>
          </w:tcPr>
          <w:p w14:paraId="7A789B36"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47</w:t>
            </w:r>
          </w:p>
        </w:tc>
        <w:tc>
          <w:tcPr>
            <w:tcW w:w="0" w:type="auto"/>
            <w:vAlign w:val="center"/>
            <w:hideMark/>
          </w:tcPr>
          <w:p w14:paraId="7FE755B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18,500</w:t>
            </w:r>
          </w:p>
        </w:tc>
        <w:tc>
          <w:tcPr>
            <w:tcW w:w="0" w:type="auto"/>
            <w:vAlign w:val="center"/>
            <w:hideMark/>
          </w:tcPr>
          <w:p w14:paraId="68D0F585"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9,500</w:t>
            </w:r>
          </w:p>
        </w:tc>
        <w:tc>
          <w:tcPr>
            <w:tcW w:w="0" w:type="auto"/>
            <w:vAlign w:val="center"/>
            <w:hideMark/>
          </w:tcPr>
          <w:p w14:paraId="3367E2A2"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c>
          <w:tcPr>
            <w:tcW w:w="0" w:type="auto"/>
            <w:vAlign w:val="center"/>
            <w:hideMark/>
          </w:tcPr>
          <w:p w14:paraId="336E293C"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r>
    </w:tbl>
    <w:p w14:paraId="79ADEE52" w14:textId="77777777" w:rsidR="0013224D" w:rsidRPr="0013224D" w:rsidRDefault="0013224D" w:rsidP="0013224D">
      <w:pPr>
        <w:rPr>
          <w:b/>
          <w:bCs/>
          <w:u w:val="single"/>
        </w:rPr>
      </w:pPr>
    </w:p>
    <w:p w14:paraId="209CA9D1" w14:textId="77777777" w:rsidR="0013224D" w:rsidRPr="0013224D" w:rsidRDefault="0013224D" w:rsidP="00493E28">
      <w:pPr>
        <w:jc w:val="center"/>
        <w:rPr>
          <w:b/>
          <w:bCs/>
          <w:u w:val="single"/>
        </w:rPr>
      </w:pPr>
      <w:r w:rsidRPr="0013224D">
        <w:rPr>
          <w:noProof/>
        </w:rPr>
        <mc:AlternateContent>
          <mc:Choice Requires="wps">
            <w:drawing>
              <wp:inline distT="0" distB="0" distL="0" distR="0" wp14:anchorId="1D6A668A" wp14:editId="15EC7A2D">
                <wp:extent cx="304800" cy="304800"/>
                <wp:effectExtent l="0" t="0" r="0" b="0"/>
                <wp:docPr id="1273192846" name="AutoShape 1"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8ACD04" id="AutoShape 1"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13224D">
        <w:rPr>
          <w:b/>
          <w:bCs/>
          <w:noProof/>
          <w:u w:val="single"/>
        </w:rPr>
        <w:drawing>
          <wp:inline distT="0" distB="0" distL="0" distR="0" wp14:anchorId="2C17D31C" wp14:editId="290AACF2">
            <wp:extent cx="5386027" cy="3213100"/>
            <wp:effectExtent l="0" t="0" r="5715" b="6350"/>
            <wp:docPr id="161365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2798" cy="3223105"/>
                    </a:xfrm>
                    <a:prstGeom prst="rect">
                      <a:avLst/>
                    </a:prstGeom>
                    <a:noFill/>
                  </pic:spPr>
                </pic:pic>
              </a:graphicData>
            </a:graphic>
          </wp:inline>
        </w:drawing>
      </w:r>
    </w:p>
    <w:p w14:paraId="617CB609" w14:textId="77777777" w:rsidR="00020087" w:rsidRDefault="00020087"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6C5FAC8" w14:textId="77777777" w:rsidR="00020087" w:rsidRDefault="00020087"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C1BA5FA" w14:textId="77777777" w:rsidR="00020087" w:rsidRDefault="00020087"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5B70C8C" w14:textId="2BEF14F2" w:rsidR="009A395A" w:rsidRPr="009A395A" w:rsidRDefault="009A395A" w:rsidP="000D6359">
      <w:pPr>
        <w:pStyle w:val="NormalWeb"/>
        <w:spacing w:line="360" w:lineRule="auto"/>
        <w:jc w:val="both"/>
        <w:rPr>
          <w:rFonts w:ascii="Arial" w:hAnsi="Arial" w:cs="Arial"/>
        </w:rPr>
      </w:pPr>
      <w:r w:rsidRPr="009A395A">
        <w:rPr>
          <w:rFonts w:ascii="Arial" w:hAnsi="Arial" w:cs="Arial"/>
        </w:rPr>
        <w:lastRenderedPageBreak/>
        <w:t>The table and graph above highlight the impact of COVID</w:t>
      </w:r>
      <w:r w:rsidRPr="009A395A">
        <w:rPr>
          <w:rFonts w:ascii="Arial" w:hAnsi="Arial" w:cs="Arial"/>
        </w:rPr>
        <w:noBreakHyphen/>
        <w:t xml:space="preserve">19 during the first six months. Sales volumes and purchase orders dropped sharply in April 2020, reflecting reduced demand and disruption across the supply chain. Lead times increased significantly, indicating delays in receiving components and dispatching finished products. Transport and storage costs also rose during this period, </w:t>
      </w:r>
      <w:r w:rsidRPr="009A395A">
        <w:rPr>
          <w:rFonts w:ascii="Arial" w:hAnsi="Arial" w:cs="Arial"/>
        </w:rPr>
        <w:t>signaling</w:t>
      </w:r>
      <w:r w:rsidRPr="009A395A">
        <w:rPr>
          <w:rFonts w:ascii="Arial" w:hAnsi="Arial" w:cs="Arial"/>
        </w:rPr>
        <w:t xml:space="preserve"> higher logistical expenses and challenges in managing fluctuating inventory levels. By June, most metrics showed signs of recovery, suggesting that operations began to </w:t>
      </w:r>
      <w:r w:rsidRPr="009A395A">
        <w:rPr>
          <w:rFonts w:ascii="Arial" w:hAnsi="Arial" w:cs="Arial"/>
        </w:rPr>
        <w:t>stabilize</w:t>
      </w:r>
      <w:r w:rsidRPr="009A395A">
        <w:rPr>
          <w:rFonts w:ascii="Arial" w:hAnsi="Arial" w:cs="Arial"/>
        </w:rPr>
        <w:t xml:space="preserve"> and adapt to the changing environment.</w:t>
      </w:r>
    </w:p>
    <w:p w14:paraId="6A692E86" w14:textId="77777777" w:rsidR="009A395A" w:rsidRPr="009A395A" w:rsidRDefault="009A395A" w:rsidP="000D6359">
      <w:pPr>
        <w:pStyle w:val="NormalWeb"/>
        <w:spacing w:line="360" w:lineRule="auto"/>
        <w:jc w:val="both"/>
        <w:rPr>
          <w:rFonts w:ascii="Arial" w:hAnsi="Arial" w:cs="Arial"/>
        </w:rPr>
      </w:pPr>
      <w:r w:rsidRPr="009A395A">
        <w:rPr>
          <w:rFonts w:ascii="Arial" w:hAnsi="Arial" w:cs="Arial"/>
        </w:rPr>
        <w:t>Overall, the data illustrates both the vulnerabilities of the supply chain during the pandemic and the opportunity to leverage data</w:t>
      </w:r>
      <w:r w:rsidRPr="009A395A">
        <w:rPr>
          <w:rFonts w:ascii="Arial" w:hAnsi="Arial" w:cs="Arial"/>
        </w:rPr>
        <w:noBreakHyphen/>
        <w:t>driven strategies to improve forecasting, inventory management, and transport planning.</w:t>
      </w:r>
    </w:p>
    <w:p w14:paraId="2A2E7C03"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5B10C2E0"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7D8F3121"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76AF4614"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1EEF3389"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551B9427"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52379C02"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66370A3F"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1CE47594"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4ACE8057"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7AE58913"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76187B89"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7EA04096"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35F133B8"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731CEFC9"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6F36B568" w14:textId="77777777" w:rsidR="000D6359" w:rsidRDefault="000D6359"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799F8A0B" w14:textId="3827F033" w:rsidR="0013224D" w:rsidRPr="0013224D"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lastRenderedPageBreak/>
        <w:t>Literature Review</w:t>
      </w:r>
    </w:p>
    <w:p w14:paraId="46763974" w14:textId="50C1A5CA" w:rsidR="000D6359" w:rsidRPr="000D6359" w:rsidRDefault="000D6359" w:rsidP="000D6359">
      <w:pPr>
        <w:spacing w:after="0" w:line="360" w:lineRule="auto"/>
        <w:jc w:val="both"/>
        <w:rPr>
          <w:rFonts w:ascii="Arial" w:eastAsia="Times New Roman" w:hAnsi="Arial" w:cs="Arial"/>
          <w:kern w:val="0"/>
          <w:sz w:val="24"/>
          <w:szCs w:val="24"/>
          <w14:ligatures w14:val="none"/>
        </w:rPr>
      </w:pPr>
      <w:r w:rsidRPr="000D6359">
        <w:rPr>
          <w:rFonts w:ascii="Arial" w:eastAsia="Times New Roman" w:hAnsi="Arial" w:cs="Arial"/>
          <w:kern w:val="0"/>
          <w:sz w:val="24"/>
          <w:szCs w:val="24"/>
          <w14:ligatures w14:val="none"/>
        </w:rPr>
        <w:t>The COVID</w:t>
      </w:r>
      <w:r w:rsidRPr="000D6359">
        <w:rPr>
          <w:rFonts w:ascii="Arial" w:eastAsia="Times New Roman" w:hAnsi="Arial" w:cs="Arial"/>
          <w:kern w:val="0"/>
          <w:sz w:val="24"/>
          <w:szCs w:val="24"/>
          <w14:ligatures w14:val="none"/>
        </w:rPr>
        <w:noBreakHyphen/>
        <w:t>19 pandemic exposed multilayered vulnerabilities across global logistics networks, resulting in extensive operational disruption, financial pressure, and significant demand–supply imbalances. Global trade declined sharply, with a 9.6% reduction in goods and services in 2020, illustrating the severity of the crisis for organisations dependent on interconnected supply chains (World Trade Organization, 2021). Widespread transport delays, material shortages, and port congestion further intensified these challenges, with many industries experiencing bottlenecks that increased costs and disrupted workflow continuity (OECD, 2022; World Bank/IFC, 2021).</w:t>
      </w:r>
    </w:p>
    <w:p w14:paraId="567E3D50" w14:textId="7E85CFDA" w:rsidR="0013224D" w:rsidRPr="000D6359" w:rsidRDefault="000D6359" w:rsidP="0013224D">
      <w:pPr>
        <w:spacing w:before="100" w:beforeAutospacing="1" w:after="100" w:afterAutospacing="1" w:line="300" w:lineRule="atLeast"/>
        <w:rPr>
          <w:rFonts w:ascii="Arial" w:eastAsia="Times New Roman" w:hAnsi="Arial" w:cs="Arial"/>
          <w:kern w:val="0"/>
          <w:sz w:val="24"/>
          <w:szCs w:val="24"/>
          <w14:ligatures w14:val="none"/>
        </w:rPr>
      </w:pPr>
      <w:r w:rsidRPr="000D6359">
        <w:rPr>
          <w:rFonts w:ascii="Arial" w:eastAsia="Times New Roman" w:hAnsi="Arial" w:cs="Arial"/>
          <w:kern w:val="0"/>
          <w:sz w:val="24"/>
          <w:szCs w:val="24"/>
          <w14:ligatures w14:val="none"/>
        </w:rPr>
        <w:t xml:space="preserve">The below shows </w:t>
      </w:r>
      <w:r w:rsidR="0013224D" w:rsidRPr="000D6359">
        <w:rPr>
          <w:rFonts w:ascii="Arial" w:eastAsia="Times New Roman" w:hAnsi="Arial" w:cs="Arial"/>
          <w:kern w:val="0"/>
          <w:sz w:val="24"/>
          <w:szCs w:val="24"/>
          <w14:ligatures w14:val="none"/>
        </w:rPr>
        <w:t>key problem areas and their relevance to logistics and supply chain performance.</w:t>
      </w:r>
    </w:p>
    <w:tbl>
      <w:tblPr>
        <w:tblW w:w="8689" w:type="dxa"/>
        <w:jc w:val="center"/>
        <w:tblLook w:val="04A0" w:firstRow="1" w:lastRow="0" w:firstColumn="1" w:lastColumn="0" w:noHBand="0" w:noVBand="1"/>
      </w:tblPr>
      <w:tblGrid>
        <w:gridCol w:w="2503"/>
        <w:gridCol w:w="3086"/>
        <w:gridCol w:w="3100"/>
      </w:tblGrid>
      <w:tr w:rsidR="0013224D" w:rsidRPr="000D6359" w14:paraId="72662E3E" w14:textId="77777777" w:rsidTr="000D6359">
        <w:trPr>
          <w:trHeight w:val="308"/>
          <w:jc w:val="center"/>
        </w:trPr>
        <w:tc>
          <w:tcPr>
            <w:tcW w:w="2503" w:type="dxa"/>
            <w:tcBorders>
              <w:top w:val="single" w:sz="4" w:space="0" w:color="auto"/>
              <w:left w:val="single" w:sz="4" w:space="0" w:color="auto"/>
              <w:bottom w:val="single" w:sz="4" w:space="0" w:color="auto"/>
              <w:right w:val="single" w:sz="4" w:space="0" w:color="auto"/>
            </w:tcBorders>
            <w:shd w:val="clear" w:color="000000" w:fill="DCE6F1"/>
            <w:vAlign w:val="center"/>
            <w:hideMark/>
          </w:tcPr>
          <w:p w14:paraId="4402FE1A"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Theme</w:t>
            </w:r>
          </w:p>
        </w:tc>
        <w:tc>
          <w:tcPr>
            <w:tcW w:w="3086" w:type="dxa"/>
            <w:tcBorders>
              <w:top w:val="single" w:sz="4" w:space="0" w:color="auto"/>
              <w:left w:val="nil"/>
              <w:bottom w:val="single" w:sz="4" w:space="0" w:color="auto"/>
              <w:right w:val="single" w:sz="4" w:space="0" w:color="auto"/>
            </w:tcBorders>
            <w:shd w:val="clear" w:color="000000" w:fill="DCE6F1"/>
            <w:vAlign w:val="center"/>
            <w:hideMark/>
          </w:tcPr>
          <w:p w14:paraId="41DB15B2"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Description</w:t>
            </w:r>
          </w:p>
        </w:tc>
        <w:tc>
          <w:tcPr>
            <w:tcW w:w="3100" w:type="dxa"/>
            <w:tcBorders>
              <w:top w:val="single" w:sz="4" w:space="0" w:color="auto"/>
              <w:left w:val="nil"/>
              <w:bottom w:val="single" w:sz="4" w:space="0" w:color="auto"/>
              <w:right w:val="single" w:sz="4" w:space="0" w:color="auto"/>
            </w:tcBorders>
            <w:shd w:val="clear" w:color="000000" w:fill="DCE6F1"/>
            <w:vAlign w:val="center"/>
            <w:hideMark/>
          </w:tcPr>
          <w:p w14:paraId="0CDC16DF"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 xml:space="preserve">Relevance </w:t>
            </w:r>
          </w:p>
        </w:tc>
      </w:tr>
      <w:tr w:rsidR="0013224D" w:rsidRPr="000D6359" w14:paraId="3275A818" w14:textId="77777777" w:rsidTr="000D6359">
        <w:trPr>
          <w:trHeight w:val="1323"/>
          <w:jc w:val="center"/>
        </w:trPr>
        <w:tc>
          <w:tcPr>
            <w:tcW w:w="2503" w:type="dxa"/>
            <w:tcBorders>
              <w:top w:val="nil"/>
              <w:left w:val="single" w:sz="4" w:space="0" w:color="auto"/>
              <w:bottom w:val="single" w:sz="4" w:space="0" w:color="auto"/>
              <w:right w:val="single" w:sz="4" w:space="0" w:color="auto"/>
            </w:tcBorders>
            <w:shd w:val="clear" w:color="000000" w:fill="DCE6F1"/>
            <w:vAlign w:val="center"/>
            <w:hideMark/>
          </w:tcPr>
          <w:p w14:paraId="5508FA6E"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Operational inefficiencies</w:t>
            </w:r>
          </w:p>
        </w:tc>
        <w:tc>
          <w:tcPr>
            <w:tcW w:w="3086" w:type="dxa"/>
            <w:tcBorders>
              <w:top w:val="nil"/>
              <w:left w:val="nil"/>
              <w:bottom w:val="single" w:sz="4" w:space="0" w:color="auto"/>
              <w:right w:val="single" w:sz="4" w:space="0" w:color="auto"/>
            </w:tcBorders>
            <w:shd w:val="clear" w:color="auto" w:fill="auto"/>
            <w:vAlign w:val="center"/>
            <w:hideMark/>
          </w:tcPr>
          <w:p w14:paraId="547C3C2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Variations in lead times and frequent shipment delays identified through transport and delivery data.</w:t>
            </w:r>
          </w:p>
        </w:tc>
        <w:tc>
          <w:tcPr>
            <w:tcW w:w="3100" w:type="dxa"/>
            <w:tcBorders>
              <w:top w:val="nil"/>
              <w:left w:val="nil"/>
              <w:bottom w:val="single" w:sz="4" w:space="0" w:color="auto"/>
              <w:right w:val="single" w:sz="4" w:space="0" w:color="auto"/>
            </w:tcBorders>
            <w:shd w:val="clear" w:color="auto" w:fill="auto"/>
            <w:vAlign w:val="center"/>
            <w:hideMark/>
          </w:tcPr>
          <w:p w14:paraId="3D1D91F8"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Enables detection of bottlenecks, route optimisation, and improved supplier evaluation.</w:t>
            </w:r>
          </w:p>
        </w:tc>
      </w:tr>
      <w:tr w:rsidR="0013224D" w:rsidRPr="000D6359" w14:paraId="1BD6A548" w14:textId="77777777" w:rsidTr="000D6359">
        <w:trPr>
          <w:trHeight w:val="1036"/>
          <w:jc w:val="center"/>
        </w:trPr>
        <w:tc>
          <w:tcPr>
            <w:tcW w:w="2503" w:type="dxa"/>
            <w:tcBorders>
              <w:top w:val="nil"/>
              <w:left w:val="single" w:sz="4" w:space="0" w:color="auto"/>
              <w:bottom w:val="single" w:sz="4" w:space="0" w:color="auto"/>
              <w:right w:val="single" w:sz="4" w:space="0" w:color="auto"/>
            </w:tcBorders>
            <w:shd w:val="clear" w:color="000000" w:fill="DCE6F1"/>
            <w:vAlign w:val="center"/>
            <w:hideMark/>
          </w:tcPr>
          <w:p w14:paraId="66BE61C1"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Cost management issues</w:t>
            </w:r>
          </w:p>
        </w:tc>
        <w:tc>
          <w:tcPr>
            <w:tcW w:w="3086" w:type="dxa"/>
            <w:tcBorders>
              <w:top w:val="nil"/>
              <w:left w:val="nil"/>
              <w:bottom w:val="single" w:sz="4" w:space="0" w:color="auto"/>
              <w:right w:val="single" w:sz="4" w:space="0" w:color="auto"/>
            </w:tcBorders>
            <w:shd w:val="clear" w:color="auto" w:fill="auto"/>
            <w:vAlign w:val="center"/>
            <w:hideMark/>
          </w:tcPr>
          <w:p w14:paraId="30B91C6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Rising transport and storage costs due to delays, global disruption, and volatility.</w:t>
            </w:r>
          </w:p>
        </w:tc>
        <w:tc>
          <w:tcPr>
            <w:tcW w:w="3100" w:type="dxa"/>
            <w:tcBorders>
              <w:top w:val="nil"/>
              <w:left w:val="nil"/>
              <w:bottom w:val="single" w:sz="4" w:space="0" w:color="auto"/>
              <w:right w:val="single" w:sz="4" w:space="0" w:color="auto"/>
            </w:tcBorders>
            <w:shd w:val="clear" w:color="auto" w:fill="auto"/>
            <w:vAlign w:val="center"/>
            <w:hideMark/>
          </w:tcPr>
          <w:p w14:paraId="48847057"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Monitoring cost trends supports financial planning and disruption</w:t>
            </w:r>
            <w:r w:rsidRPr="000D6359">
              <w:rPr>
                <w:rFonts w:ascii="Arial" w:eastAsia="Times New Roman" w:hAnsi="Arial" w:cs="Arial"/>
                <w:color w:val="000000"/>
                <w:kern w:val="0"/>
                <w:sz w:val="24"/>
                <w:szCs w:val="24"/>
                <w14:ligatures w14:val="none"/>
              </w:rPr>
              <w:noBreakHyphen/>
              <w:t>response strategies.</w:t>
            </w:r>
          </w:p>
        </w:tc>
      </w:tr>
      <w:tr w:rsidR="0013224D" w:rsidRPr="000D6359" w14:paraId="309DC697" w14:textId="77777777" w:rsidTr="000D6359">
        <w:trPr>
          <w:trHeight w:val="1389"/>
          <w:jc w:val="center"/>
        </w:trPr>
        <w:tc>
          <w:tcPr>
            <w:tcW w:w="2503" w:type="dxa"/>
            <w:tcBorders>
              <w:top w:val="nil"/>
              <w:left w:val="single" w:sz="4" w:space="0" w:color="auto"/>
              <w:bottom w:val="single" w:sz="4" w:space="0" w:color="auto"/>
              <w:right w:val="single" w:sz="4" w:space="0" w:color="auto"/>
            </w:tcBorders>
            <w:shd w:val="clear" w:color="000000" w:fill="DCE6F1"/>
            <w:vAlign w:val="center"/>
            <w:hideMark/>
          </w:tcPr>
          <w:p w14:paraId="148F6F4F"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Demand</w:t>
            </w:r>
            <w:r w:rsidRPr="000D6359">
              <w:rPr>
                <w:rFonts w:ascii="Arial" w:eastAsia="Times New Roman" w:hAnsi="Arial" w:cs="Arial"/>
                <w:b/>
                <w:bCs/>
                <w:color w:val="000000"/>
                <w:kern w:val="0"/>
                <w:sz w:val="24"/>
                <w:szCs w:val="24"/>
                <w14:ligatures w14:val="none"/>
              </w:rPr>
              <w:noBreakHyphen/>
              <w:t>supply misalignment</w:t>
            </w:r>
          </w:p>
        </w:tc>
        <w:tc>
          <w:tcPr>
            <w:tcW w:w="3086" w:type="dxa"/>
            <w:tcBorders>
              <w:top w:val="nil"/>
              <w:left w:val="nil"/>
              <w:bottom w:val="single" w:sz="4" w:space="0" w:color="auto"/>
              <w:right w:val="single" w:sz="4" w:space="0" w:color="auto"/>
            </w:tcBorders>
            <w:shd w:val="clear" w:color="auto" w:fill="auto"/>
            <w:vAlign w:val="center"/>
            <w:hideMark/>
          </w:tcPr>
          <w:p w14:paraId="5DADED5C"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Rapid changes in customer demand for specific components required urgent procurement and production adjustments.</w:t>
            </w:r>
          </w:p>
        </w:tc>
        <w:tc>
          <w:tcPr>
            <w:tcW w:w="3100" w:type="dxa"/>
            <w:tcBorders>
              <w:top w:val="nil"/>
              <w:left w:val="nil"/>
              <w:bottom w:val="single" w:sz="4" w:space="0" w:color="auto"/>
              <w:right w:val="single" w:sz="4" w:space="0" w:color="auto"/>
            </w:tcBorders>
            <w:shd w:val="clear" w:color="auto" w:fill="auto"/>
            <w:vAlign w:val="center"/>
            <w:hideMark/>
          </w:tcPr>
          <w:p w14:paraId="7477BD15"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Data on sales volumes, order frequency, and inventory levels helps identify mismatches.</w:t>
            </w:r>
          </w:p>
        </w:tc>
      </w:tr>
      <w:tr w:rsidR="0013224D" w:rsidRPr="000D6359" w14:paraId="36B1A335" w14:textId="77777777" w:rsidTr="000D6359">
        <w:trPr>
          <w:trHeight w:val="1036"/>
          <w:jc w:val="center"/>
        </w:trPr>
        <w:tc>
          <w:tcPr>
            <w:tcW w:w="2503" w:type="dxa"/>
            <w:tcBorders>
              <w:top w:val="nil"/>
              <w:left w:val="single" w:sz="4" w:space="0" w:color="auto"/>
              <w:bottom w:val="single" w:sz="4" w:space="0" w:color="auto"/>
              <w:right w:val="single" w:sz="4" w:space="0" w:color="auto"/>
            </w:tcBorders>
            <w:shd w:val="clear" w:color="000000" w:fill="DCE6F1"/>
            <w:vAlign w:val="center"/>
            <w:hideMark/>
          </w:tcPr>
          <w:p w14:paraId="2FD8615A"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Forecasting improvement</w:t>
            </w:r>
          </w:p>
        </w:tc>
        <w:tc>
          <w:tcPr>
            <w:tcW w:w="3086" w:type="dxa"/>
            <w:tcBorders>
              <w:top w:val="nil"/>
              <w:left w:val="nil"/>
              <w:bottom w:val="single" w:sz="4" w:space="0" w:color="auto"/>
              <w:right w:val="single" w:sz="4" w:space="0" w:color="auto"/>
            </w:tcBorders>
            <w:shd w:val="clear" w:color="auto" w:fill="auto"/>
            <w:vAlign w:val="center"/>
            <w:hideMark/>
          </w:tcPr>
          <w:p w14:paraId="1B1B9303"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Use of historical sales and procurement trends to anticipate disruption impacts.</w:t>
            </w:r>
          </w:p>
        </w:tc>
        <w:tc>
          <w:tcPr>
            <w:tcW w:w="3100" w:type="dxa"/>
            <w:tcBorders>
              <w:top w:val="nil"/>
              <w:left w:val="nil"/>
              <w:bottom w:val="single" w:sz="4" w:space="0" w:color="auto"/>
              <w:right w:val="single" w:sz="4" w:space="0" w:color="auto"/>
            </w:tcBorders>
            <w:shd w:val="clear" w:color="auto" w:fill="auto"/>
            <w:vAlign w:val="center"/>
            <w:hideMark/>
          </w:tcPr>
          <w:p w14:paraId="0BE3A15A"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Enhances planning accuracy and reduces uncertainty.</w:t>
            </w:r>
          </w:p>
        </w:tc>
      </w:tr>
      <w:tr w:rsidR="0013224D" w:rsidRPr="000D6359" w14:paraId="2DFF7F8B" w14:textId="77777777" w:rsidTr="000D6359">
        <w:trPr>
          <w:trHeight w:val="1135"/>
          <w:jc w:val="center"/>
        </w:trPr>
        <w:tc>
          <w:tcPr>
            <w:tcW w:w="2503" w:type="dxa"/>
            <w:tcBorders>
              <w:top w:val="nil"/>
              <w:left w:val="single" w:sz="4" w:space="0" w:color="auto"/>
              <w:bottom w:val="single" w:sz="4" w:space="0" w:color="auto"/>
              <w:right w:val="single" w:sz="4" w:space="0" w:color="auto"/>
            </w:tcBorders>
            <w:shd w:val="clear" w:color="000000" w:fill="DCE6F1"/>
            <w:vAlign w:val="center"/>
            <w:hideMark/>
          </w:tcPr>
          <w:p w14:paraId="57CEF3DB"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Inventory optimisation</w:t>
            </w:r>
          </w:p>
        </w:tc>
        <w:tc>
          <w:tcPr>
            <w:tcW w:w="3086" w:type="dxa"/>
            <w:tcBorders>
              <w:top w:val="nil"/>
              <w:left w:val="nil"/>
              <w:bottom w:val="single" w:sz="4" w:space="0" w:color="auto"/>
              <w:right w:val="single" w:sz="4" w:space="0" w:color="auto"/>
            </w:tcBorders>
            <w:shd w:val="clear" w:color="auto" w:fill="auto"/>
            <w:vAlign w:val="center"/>
            <w:hideMark/>
          </w:tcPr>
          <w:p w14:paraId="396DFCF7"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Analysis of storage cost data and turnover rates.</w:t>
            </w:r>
          </w:p>
        </w:tc>
        <w:tc>
          <w:tcPr>
            <w:tcW w:w="3100" w:type="dxa"/>
            <w:tcBorders>
              <w:top w:val="nil"/>
              <w:left w:val="nil"/>
              <w:bottom w:val="single" w:sz="4" w:space="0" w:color="auto"/>
              <w:right w:val="single" w:sz="4" w:space="0" w:color="auto"/>
            </w:tcBorders>
            <w:shd w:val="clear" w:color="auto" w:fill="auto"/>
            <w:vAlign w:val="center"/>
            <w:hideMark/>
          </w:tcPr>
          <w:p w14:paraId="4B8E527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Improves stock levels, avoids shortages, and reduces holding costs.</w:t>
            </w:r>
          </w:p>
        </w:tc>
      </w:tr>
      <w:tr w:rsidR="0013224D" w:rsidRPr="000D6359" w14:paraId="1DEE6A10" w14:textId="77777777" w:rsidTr="000D6359">
        <w:trPr>
          <w:trHeight w:val="1223"/>
          <w:jc w:val="center"/>
        </w:trPr>
        <w:tc>
          <w:tcPr>
            <w:tcW w:w="2503" w:type="dxa"/>
            <w:tcBorders>
              <w:top w:val="nil"/>
              <w:left w:val="single" w:sz="4" w:space="0" w:color="auto"/>
              <w:bottom w:val="single" w:sz="4" w:space="0" w:color="auto"/>
              <w:right w:val="single" w:sz="4" w:space="0" w:color="auto"/>
            </w:tcBorders>
            <w:shd w:val="clear" w:color="000000" w:fill="DCE6F1"/>
            <w:vAlign w:val="center"/>
            <w:hideMark/>
          </w:tcPr>
          <w:p w14:paraId="3DCCD42F"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Transport planning improvements</w:t>
            </w:r>
          </w:p>
        </w:tc>
        <w:tc>
          <w:tcPr>
            <w:tcW w:w="3086" w:type="dxa"/>
            <w:tcBorders>
              <w:top w:val="nil"/>
              <w:left w:val="nil"/>
              <w:bottom w:val="single" w:sz="4" w:space="0" w:color="auto"/>
              <w:right w:val="single" w:sz="4" w:space="0" w:color="auto"/>
            </w:tcBorders>
            <w:shd w:val="clear" w:color="auto" w:fill="auto"/>
            <w:vAlign w:val="center"/>
            <w:hideMark/>
          </w:tcPr>
          <w:p w14:paraId="75F4DCFF"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Reviewing transport cost data, delivery frequencies, and routing patterns.</w:t>
            </w:r>
          </w:p>
        </w:tc>
        <w:tc>
          <w:tcPr>
            <w:tcW w:w="3100" w:type="dxa"/>
            <w:tcBorders>
              <w:top w:val="nil"/>
              <w:left w:val="nil"/>
              <w:bottom w:val="single" w:sz="4" w:space="0" w:color="auto"/>
              <w:right w:val="single" w:sz="4" w:space="0" w:color="auto"/>
            </w:tcBorders>
            <w:shd w:val="clear" w:color="auto" w:fill="auto"/>
            <w:vAlign w:val="center"/>
            <w:hideMark/>
          </w:tcPr>
          <w:p w14:paraId="4DCF1F3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Reduces delays, improves reliability, and lowers logistics expenditure.</w:t>
            </w:r>
          </w:p>
        </w:tc>
      </w:tr>
      <w:tr w:rsidR="0013224D" w:rsidRPr="000D6359" w14:paraId="3C4B65E8" w14:textId="77777777" w:rsidTr="000D6359">
        <w:trPr>
          <w:trHeight w:val="594"/>
          <w:jc w:val="center"/>
        </w:trPr>
        <w:tc>
          <w:tcPr>
            <w:tcW w:w="2503" w:type="dxa"/>
            <w:tcBorders>
              <w:top w:val="nil"/>
              <w:left w:val="single" w:sz="4" w:space="0" w:color="auto"/>
              <w:bottom w:val="single" w:sz="4" w:space="0" w:color="auto"/>
              <w:right w:val="single" w:sz="4" w:space="0" w:color="auto"/>
            </w:tcBorders>
            <w:shd w:val="clear" w:color="000000" w:fill="DCE6F1"/>
            <w:vAlign w:val="center"/>
            <w:hideMark/>
          </w:tcPr>
          <w:p w14:paraId="5E67A7CD"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Supplier diversification</w:t>
            </w:r>
          </w:p>
        </w:tc>
        <w:tc>
          <w:tcPr>
            <w:tcW w:w="3086" w:type="dxa"/>
            <w:tcBorders>
              <w:top w:val="nil"/>
              <w:left w:val="nil"/>
              <w:bottom w:val="single" w:sz="4" w:space="0" w:color="auto"/>
              <w:right w:val="single" w:sz="4" w:space="0" w:color="auto"/>
            </w:tcBorders>
            <w:shd w:val="clear" w:color="auto" w:fill="auto"/>
            <w:vAlign w:val="center"/>
            <w:hideMark/>
          </w:tcPr>
          <w:p w14:paraId="499D41F5"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Reducing dependency on single</w:t>
            </w:r>
            <w:r w:rsidRPr="000D6359">
              <w:rPr>
                <w:rFonts w:ascii="Arial" w:eastAsia="Times New Roman" w:hAnsi="Arial" w:cs="Arial"/>
                <w:color w:val="000000"/>
                <w:kern w:val="0"/>
                <w:sz w:val="24"/>
                <w:szCs w:val="24"/>
                <w14:ligatures w14:val="none"/>
              </w:rPr>
              <w:noBreakHyphen/>
              <w:t>source suppliers vulnerable to disruption.</w:t>
            </w:r>
          </w:p>
        </w:tc>
        <w:tc>
          <w:tcPr>
            <w:tcW w:w="3100" w:type="dxa"/>
            <w:tcBorders>
              <w:top w:val="nil"/>
              <w:left w:val="nil"/>
              <w:bottom w:val="single" w:sz="4" w:space="0" w:color="auto"/>
              <w:right w:val="single" w:sz="4" w:space="0" w:color="auto"/>
            </w:tcBorders>
            <w:shd w:val="clear" w:color="auto" w:fill="auto"/>
            <w:vAlign w:val="center"/>
            <w:hideMark/>
          </w:tcPr>
          <w:p w14:paraId="30F82FB8"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Strengthens resilience and decreases overall supply risk exposure.</w:t>
            </w:r>
          </w:p>
        </w:tc>
      </w:tr>
    </w:tbl>
    <w:p w14:paraId="33915ABC" w14:textId="77777777" w:rsidR="0013224D" w:rsidRPr="0013224D" w:rsidRDefault="0013224D" w:rsidP="0013224D">
      <w:pPr>
        <w:rPr>
          <w:b/>
          <w:bCs/>
          <w:u w:val="single"/>
        </w:rPr>
      </w:pPr>
    </w:p>
    <w:p w14:paraId="6A52B5E3" w14:textId="77777777" w:rsidR="0013224D" w:rsidRPr="0013224D" w:rsidRDefault="0013224D" w:rsidP="0013224D">
      <w:pPr>
        <w:spacing w:after="0" w:line="360" w:lineRule="auto"/>
        <w:jc w:val="both"/>
        <w:rPr>
          <w:rFonts w:ascii="Arial" w:eastAsia="Times New Roman" w:hAnsi="Arial" w:cs="Arial"/>
          <w:kern w:val="0"/>
          <w:sz w:val="24"/>
          <w:szCs w:val="24"/>
          <w14:ligatures w14:val="none"/>
        </w:rPr>
      </w:pPr>
    </w:p>
    <w:p w14:paraId="0218AC45" w14:textId="1D4574AD" w:rsidR="0013224D" w:rsidRPr="0013224D" w:rsidRDefault="000D6359" w:rsidP="0013224D">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The </w:t>
      </w:r>
      <w:r w:rsidR="0013224D" w:rsidRPr="0013224D">
        <w:rPr>
          <w:rFonts w:ascii="Arial" w:eastAsia="Times New Roman" w:hAnsi="Arial" w:cs="Arial"/>
          <w:kern w:val="0"/>
          <w:sz w:val="24"/>
          <w:szCs w:val="24"/>
          <w14:ligatures w14:val="none"/>
        </w:rPr>
        <w:t>disruptions triggered by COVID</w:t>
      </w:r>
      <w:r w:rsidR="0013224D" w:rsidRPr="0013224D">
        <w:rPr>
          <w:rFonts w:ascii="Arial" w:eastAsia="Times New Roman" w:hAnsi="Arial" w:cs="Arial"/>
          <w:kern w:val="0"/>
          <w:sz w:val="24"/>
          <w:szCs w:val="24"/>
          <w14:ligatures w14:val="none"/>
        </w:rPr>
        <w:noBreakHyphen/>
        <w:t>19 reveal not only systemic weaknesses but also strategic opportunities for supply chain transformation. By leveraging operational datasets covering sales volumes, transport costs, order patterns, and lead times organisations are better equipped to diagnose inefficiencies and implement resilience</w:t>
      </w:r>
      <w:r w:rsidR="0013224D" w:rsidRPr="0013224D">
        <w:rPr>
          <w:rFonts w:ascii="Arial" w:eastAsia="Times New Roman" w:hAnsi="Arial" w:cs="Arial"/>
          <w:kern w:val="0"/>
          <w:sz w:val="24"/>
          <w:szCs w:val="24"/>
          <w14:ligatures w14:val="none"/>
        </w:rPr>
        <w:noBreakHyphen/>
        <w:t>enhancing interventions. These insights provide the analytical foundation for a data</w:t>
      </w:r>
      <w:r w:rsidR="0013224D" w:rsidRPr="0013224D">
        <w:rPr>
          <w:rFonts w:ascii="Arial" w:eastAsia="Times New Roman" w:hAnsi="Arial" w:cs="Arial"/>
          <w:kern w:val="0"/>
          <w:sz w:val="24"/>
          <w:szCs w:val="24"/>
          <w14:ligatures w14:val="none"/>
        </w:rPr>
        <w:noBreakHyphen/>
        <w:t>based logistics and supply chain assessment, supporting evidence</w:t>
      </w:r>
      <w:r w:rsidR="0013224D" w:rsidRPr="0013224D">
        <w:rPr>
          <w:rFonts w:ascii="Arial" w:eastAsia="Times New Roman" w:hAnsi="Arial" w:cs="Arial"/>
          <w:kern w:val="0"/>
          <w:sz w:val="24"/>
          <w:szCs w:val="24"/>
          <w14:ligatures w14:val="none"/>
        </w:rPr>
        <w:noBreakHyphen/>
        <w:t>driven decisions that strengthen preparedness for future disruptions.</w:t>
      </w:r>
    </w:p>
    <w:p w14:paraId="656CFC1C" w14:textId="77777777" w:rsidR="0059160B" w:rsidRDefault="0059160B" w:rsidP="0013224D">
      <w:pPr>
        <w:rPr>
          <w:rFonts w:ascii="Arial" w:eastAsia="Times New Roman" w:hAnsi="Arial" w:cs="Arial"/>
          <w:kern w:val="0"/>
          <w:sz w:val="24"/>
          <w:szCs w:val="24"/>
          <w14:ligatures w14:val="none"/>
        </w:rPr>
      </w:pPr>
    </w:p>
    <w:p w14:paraId="20D9A262" w14:textId="5001858B" w:rsidR="0013224D" w:rsidRDefault="0013224D" w:rsidP="0013224D">
      <w:pPr>
        <w:rPr>
          <w:rFonts w:ascii="Arial" w:hAnsi="Arial" w:cs="Arial"/>
          <w:b/>
          <w:bCs/>
          <w:color w:val="0070C0"/>
          <w:sz w:val="24"/>
          <w:szCs w:val="24"/>
          <w:u w:val="single"/>
        </w:rPr>
      </w:pPr>
      <w:r w:rsidRPr="000E13E3">
        <w:rPr>
          <w:rFonts w:ascii="Arial" w:hAnsi="Arial" w:cs="Arial"/>
          <w:b/>
          <w:bCs/>
          <w:color w:val="0070C0"/>
          <w:sz w:val="24"/>
          <w:szCs w:val="24"/>
          <w:u w:val="single"/>
        </w:rPr>
        <w:t xml:space="preserve">Data Collection </w:t>
      </w:r>
    </w:p>
    <w:p w14:paraId="2AD7D3E0" w14:textId="1A9F5D09" w:rsidR="0059160B" w:rsidRPr="0059160B" w:rsidRDefault="0059160B" w:rsidP="0059160B">
      <w:pPr>
        <w:pStyle w:val="NormalWeb"/>
        <w:spacing w:line="360" w:lineRule="auto"/>
        <w:jc w:val="both"/>
        <w:rPr>
          <w:rFonts w:ascii="Arial" w:hAnsi="Arial" w:cs="Arial"/>
        </w:rPr>
      </w:pPr>
      <w:r w:rsidRPr="0059160B">
        <w:rPr>
          <w:rFonts w:ascii="Arial" w:hAnsi="Arial" w:cs="Arial"/>
        </w:rPr>
        <w:t xml:space="preserve">To </w:t>
      </w:r>
      <w:r w:rsidRPr="0059160B">
        <w:rPr>
          <w:rFonts w:ascii="Arial" w:hAnsi="Arial" w:cs="Arial"/>
        </w:rPr>
        <w:t>analyze</w:t>
      </w:r>
      <w:r w:rsidRPr="0059160B">
        <w:rPr>
          <w:rFonts w:ascii="Arial" w:hAnsi="Arial" w:cs="Arial"/>
        </w:rPr>
        <w:t xml:space="preserve"> logistics and supply chain performance at Continental Ebbw Vale during COVID</w:t>
      </w:r>
      <w:r w:rsidRPr="0059160B">
        <w:rPr>
          <w:rFonts w:ascii="Arial" w:hAnsi="Arial" w:cs="Arial"/>
        </w:rPr>
        <w:noBreakHyphen/>
        <w:t>19, a mixed</w:t>
      </w:r>
      <w:r w:rsidRPr="0059160B">
        <w:rPr>
          <w:rFonts w:ascii="Arial" w:hAnsi="Arial" w:cs="Arial"/>
        </w:rPr>
        <w:noBreakHyphen/>
        <w:t>methods approach was applied, combining both quantitative and qualitative data. Quantitative indicators such as production volumes, shipment delays, inventory levels, and changes in transport or material costs provided measurable evidence of operational performance and disruption severity. These variables enabled statistical comparison across pre</w:t>
      </w:r>
      <w:r w:rsidRPr="0059160B">
        <w:rPr>
          <w:rFonts w:ascii="Arial" w:hAnsi="Arial" w:cs="Arial"/>
        </w:rPr>
        <w:noBreakHyphen/>
        <w:t xml:space="preserve"> and mid</w:t>
      </w:r>
      <w:r w:rsidRPr="0059160B">
        <w:rPr>
          <w:rFonts w:ascii="Arial" w:hAnsi="Arial" w:cs="Arial"/>
        </w:rPr>
        <w:noBreakHyphen/>
        <w:t>pandemic periods and supported correlation analysis</w:t>
      </w:r>
      <w:r>
        <w:rPr>
          <w:rFonts w:ascii="Arial" w:hAnsi="Arial" w:cs="Arial"/>
        </w:rPr>
        <w:t xml:space="preserve"> </w:t>
      </w:r>
      <w:r w:rsidRPr="0059160B">
        <w:rPr>
          <w:rFonts w:ascii="Arial" w:hAnsi="Arial" w:cs="Arial"/>
        </w:rPr>
        <w:t>such as examining how delay duration affected output levels. National</w:t>
      </w:r>
      <w:r w:rsidRPr="0059160B">
        <w:rPr>
          <w:rFonts w:ascii="Arial" w:hAnsi="Arial" w:cs="Arial"/>
        </w:rPr>
        <w:noBreakHyphen/>
        <w:t xml:space="preserve">level evidence further </w:t>
      </w:r>
      <w:r w:rsidRPr="0059160B">
        <w:rPr>
          <w:rFonts w:ascii="Arial" w:hAnsi="Arial" w:cs="Arial"/>
        </w:rPr>
        <w:t>contextualized</w:t>
      </w:r>
      <w:r w:rsidRPr="0059160B">
        <w:rPr>
          <w:rFonts w:ascii="Arial" w:hAnsi="Arial" w:cs="Arial"/>
        </w:rPr>
        <w:t xml:space="preserve"> site</w:t>
      </w:r>
      <w:r w:rsidRPr="0059160B">
        <w:rPr>
          <w:rFonts w:ascii="Arial" w:hAnsi="Arial" w:cs="Arial"/>
        </w:rPr>
        <w:noBreakHyphen/>
        <w:t>specific findings. For example, UK survey data from the Office for National Statistics reported that 16% of businesses experienced global supply chain disruption in early 2022, rising to 26% for organisations with ten or more employees (ONS, 2022). This allowed Continental’s experience to be benchmarked against broader industry trends.</w:t>
      </w:r>
    </w:p>
    <w:p w14:paraId="34E808C6" w14:textId="77777777" w:rsidR="0059160B" w:rsidRPr="0059160B" w:rsidRDefault="0059160B" w:rsidP="0059160B">
      <w:pPr>
        <w:pStyle w:val="NormalWeb"/>
        <w:spacing w:line="360" w:lineRule="auto"/>
        <w:jc w:val="both"/>
        <w:rPr>
          <w:rFonts w:ascii="Arial" w:hAnsi="Arial" w:cs="Arial"/>
        </w:rPr>
      </w:pPr>
      <w:r w:rsidRPr="0059160B">
        <w:rPr>
          <w:rFonts w:ascii="Arial" w:hAnsi="Arial" w:cs="Arial"/>
        </w:rPr>
        <w:t xml:space="preserve">Qualitative data complemented these numerical patterns by explaining the underlying causes of disruption. Instead of conducting interviews, insights were drawn from internal documentation, supplier communications, and operational notes, which helped identify drivers such as supplier shutdowns, staff shortages, border restrictions, and transport delays. This qualitative interpretation aligns with existing research on disruption propagation, where failures cascade across interconnected supply networks (Ivanov &amp; </w:t>
      </w:r>
      <w:proofErr w:type="spellStart"/>
      <w:r w:rsidRPr="0059160B">
        <w:rPr>
          <w:rFonts w:ascii="Arial" w:hAnsi="Arial" w:cs="Arial"/>
        </w:rPr>
        <w:t>Dolgui</w:t>
      </w:r>
      <w:proofErr w:type="spellEnd"/>
      <w:r w:rsidRPr="0059160B">
        <w:rPr>
          <w:rFonts w:ascii="Arial" w:hAnsi="Arial" w:cs="Arial"/>
        </w:rPr>
        <w:t>, 2021).</w:t>
      </w:r>
    </w:p>
    <w:p w14:paraId="44A569F3" w14:textId="3C66D4E1" w:rsidR="0059160B" w:rsidRPr="0059160B" w:rsidRDefault="0059160B" w:rsidP="0059160B">
      <w:pPr>
        <w:pStyle w:val="NormalWeb"/>
        <w:spacing w:line="360" w:lineRule="auto"/>
        <w:rPr>
          <w:rFonts w:ascii="Arial" w:hAnsi="Arial" w:cs="Arial"/>
        </w:rPr>
      </w:pPr>
      <w:r w:rsidRPr="0059160B">
        <w:rPr>
          <w:rFonts w:ascii="Arial" w:hAnsi="Arial" w:cs="Arial"/>
        </w:rPr>
        <w:t>Both structured and unstructured data were included. Structured data</w:t>
      </w:r>
      <w:r>
        <w:rPr>
          <w:rFonts w:ascii="Arial" w:hAnsi="Arial" w:cs="Arial"/>
        </w:rPr>
        <w:t xml:space="preserve"> </w:t>
      </w:r>
      <w:r w:rsidRPr="0059160B">
        <w:rPr>
          <w:rFonts w:ascii="Arial" w:hAnsi="Arial" w:cs="Arial"/>
        </w:rPr>
        <w:t>such as ERP exports, inventory tables, shipment logs, and cost reports</w:t>
      </w:r>
      <w:r>
        <w:rPr>
          <w:rFonts w:ascii="Arial" w:hAnsi="Arial" w:cs="Arial"/>
        </w:rPr>
        <w:t xml:space="preserve"> </w:t>
      </w:r>
      <w:r w:rsidRPr="0059160B">
        <w:rPr>
          <w:rFonts w:ascii="Arial" w:hAnsi="Arial" w:cs="Arial"/>
        </w:rPr>
        <w:t>were collected automatically through system</w:t>
      </w:r>
      <w:r w:rsidRPr="0059160B">
        <w:rPr>
          <w:rFonts w:ascii="Arial" w:hAnsi="Arial" w:cs="Arial"/>
        </w:rPr>
        <w:noBreakHyphen/>
        <w:t>generated outputs. Unstructured sources</w:t>
      </w:r>
      <w:r>
        <w:rPr>
          <w:rFonts w:ascii="Arial" w:hAnsi="Arial" w:cs="Arial"/>
        </w:rPr>
        <w:t xml:space="preserve"> </w:t>
      </w:r>
      <w:r w:rsidRPr="0059160B">
        <w:rPr>
          <w:rFonts w:ascii="Arial" w:hAnsi="Arial" w:cs="Arial"/>
        </w:rPr>
        <w:t>including emails, free</w:t>
      </w:r>
      <w:r w:rsidRPr="0059160B">
        <w:rPr>
          <w:rFonts w:ascii="Arial" w:hAnsi="Arial" w:cs="Arial"/>
        </w:rPr>
        <w:noBreakHyphen/>
        <w:t>text supplier updates, and operational memos</w:t>
      </w:r>
      <w:r>
        <w:rPr>
          <w:rFonts w:ascii="Arial" w:hAnsi="Arial" w:cs="Arial"/>
        </w:rPr>
        <w:t xml:space="preserve"> </w:t>
      </w:r>
      <w:r w:rsidRPr="0059160B">
        <w:rPr>
          <w:rFonts w:ascii="Arial" w:hAnsi="Arial" w:cs="Arial"/>
        </w:rPr>
        <w:t xml:space="preserve">were gathered manually through document review. The dataset contained categorical variables (e.g., supplier region, disruption type, logistics mode) and numerical variables (e.g., delay days, production units, percentage cost changes), supporting comprehensive descriptive and inferential analysis. To </w:t>
      </w:r>
      <w:r w:rsidRPr="0059160B">
        <w:rPr>
          <w:rFonts w:ascii="Arial" w:hAnsi="Arial" w:cs="Arial"/>
        </w:rPr>
        <w:lastRenderedPageBreak/>
        <w:t>strengthen validity, primary internal data were triangulated with secondary national and international sources, including ONS statistics, OECD trade analysis, and global logistics studies (OECD, 2022; World Bank/IFC, 2021).</w:t>
      </w:r>
    </w:p>
    <w:p w14:paraId="3B91E07D" w14:textId="3CEDBE52" w:rsidR="0059160B" w:rsidRDefault="0059160B" w:rsidP="0013224D">
      <w:pPr>
        <w:rPr>
          <w:rFonts w:ascii="Arial" w:hAnsi="Arial" w:cs="Arial"/>
          <w:b/>
          <w:bCs/>
          <w:color w:val="0070C0"/>
          <w:sz w:val="24"/>
          <w:szCs w:val="24"/>
          <w:u w:val="single"/>
        </w:rPr>
      </w:pPr>
      <w:r>
        <w:rPr>
          <w:noProof/>
        </w:rPr>
        <w:drawing>
          <wp:inline distT="0" distB="0" distL="0" distR="0" wp14:anchorId="2F9C4353" wp14:editId="18CF93CF">
            <wp:extent cx="2641600" cy="2359660"/>
            <wp:effectExtent l="0" t="0" r="6350" b="2540"/>
            <wp:docPr id="456948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0420" cy="2367539"/>
                    </a:xfrm>
                    <a:prstGeom prst="rect">
                      <a:avLst/>
                    </a:prstGeom>
                    <a:noFill/>
                  </pic:spPr>
                </pic:pic>
              </a:graphicData>
            </a:graphic>
          </wp:inline>
        </w:drawing>
      </w:r>
      <w:r w:rsidRPr="00443270">
        <w:rPr>
          <w:noProof/>
        </w:rPr>
        <w:drawing>
          <wp:inline distT="0" distB="0" distL="0" distR="0" wp14:anchorId="07AB2270" wp14:editId="4B54E393">
            <wp:extent cx="3177455" cy="2507615"/>
            <wp:effectExtent l="0" t="0" r="4445" b="6985"/>
            <wp:docPr id="66329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98652" name=""/>
                    <pic:cNvPicPr/>
                  </pic:nvPicPr>
                  <pic:blipFill>
                    <a:blip r:embed="rId13"/>
                    <a:stretch>
                      <a:fillRect/>
                    </a:stretch>
                  </pic:blipFill>
                  <pic:spPr>
                    <a:xfrm>
                      <a:off x="0" y="0"/>
                      <a:ext cx="3188923" cy="2516665"/>
                    </a:xfrm>
                    <a:prstGeom prst="rect">
                      <a:avLst/>
                    </a:prstGeom>
                  </pic:spPr>
                </pic:pic>
              </a:graphicData>
            </a:graphic>
          </wp:inline>
        </w:drawing>
      </w:r>
    </w:p>
    <w:p w14:paraId="614F892B" w14:textId="77777777" w:rsidR="00C57F66" w:rsidRDefault="00C57F66" w:rsidP="00C57F66">
      <w:pPr>
        <w:pStyle w:val="NormalWeb"/>
        <w:spacing w:line="360" w:lineRule="auto"/>
        <w:jc w:val="both"/>
        <w:rPr>
          <w:rFonts w:ascii="Arial" w:hAnsi="Arial" w:cs="Arial"/>
        </w:rPr>
      </w:pPr>
    </w:p>
    <w:p w14:paraId="685BBDD9" w14:textId="714AE567" w:rsidR="0059160B" w:rsidRPr="0059160B" w:rsidRDefault="0059160B" w:rsidP="00C57F66">
      <w:pPr>
        <w:pStyle w:val="NormalWeb"/>
        <w:spacing w:line="360" w:lineRule="auto"/>
        <w:jc w:val="both"/>
        <w:rPr>
          <w:rFonts w:ascii="Arial" w:hAnsi="Arial" w:cs="Arial"/>
        </w:rPr>
      </w:pPr>
      <w:r w:rsidRPr="0059160B">
        <w:rPr>
          <w:rFonts w:ascii="Arial" w:hAnsi="Arial" w:cs="Arial"/>
        </w:rPr>
        <w:t>The pie chart illustrates the proportion of UK businesses affected by global supply chain disruptions during COVID</w:t>
      </w:r>
      <w:r w:rsidRPr="0059160B">
        <w:rPr>
          <w:rFonts w:ascii="Arial" w:hAnsi="Arial" w:cs="Arial"/>
        </w:rPr>
        <w:noBreakHyphen/>
        <w:t>19, based on sector</w:t>
      </w:r>
      <w:r w:rsidRPr="0059160B">
        <w:rPr>
          <w:rFonts w:ascii="Arial" w:hAnsi="Arial" w:cs="Arial"/>
        </w:rPr>
        <w:noBreakHyphen/>
        <w:t>level data from the ONS. Approximately 16% of UK businesses reported experiencing disruption, with the manufacturing and wholesale/retail sectors most significantly affected, while 84% reported no disruption. This provides useful context for understanding the challenges faced by firms such as Continental in Ebbw Vale.</w:t>
      </w:r>
    </w:p>
    <w:p w14:paraId="228F21F9" w14:textId="77777777" w:rsidR="0059160B" w:rsidRPr="0059160B" w:rsidRDefault="0059160B" w:rsidP="00C57F66">
      <w:pPr>
        <w:pStyle w:val="NormalWeb"/>
        <w:spacing w:line="360" w:lineRule="auto"/>
        <w:jc w:val="both"/>
        <w:rPr>
          <w:rFonts w:ascii="Arial" w:hAnsi="Arial" w:cs="Arial"/>
        </w:rPr>
      </w:pPr>
      <w:r w:rsidRPr="0059160B">
        <w:rPr>
          <w:rFonts w:ascii="Arial" w:hAnsi="Arial" w:cs="Arial"/>
        </w:rPr>
        <w:t>The scatter plot shows the relationship between shipment delays (days) and production volume (units) at Continental Ebbw Vale, demonstrating that longer delays were associated with lower production output (illustrative data). This highlights the operational impact of logistical bottlenecks during the pandemic period.</w:t>
      </w:r>
    </w:p>
    <w:p w14:paraId="681715C3" w14:textId="4408910A" w:rsidR="0059160B" w:rsidRPr="0059160B" w:rsidRDefault="0059160B" w:rsidP="00C57F66">
      <w:pPr>
        <w:pStyle w:val="NormalWeb"/>
        <w:spacing w:line="360" w:lineRule="auto"/>
        <w:jc w:val="both"/>
        <w:rPr>
          <w:rFonts w:ascii="Arial" w:hAnsi="Arial" w:cs="Arial"/>
        </w:rPr>
      </w:pPr>
      <w:r w:rsidRPr="0059160B">
        <w:rPr>
          <w:rFonts w:ascii="Arial" w:hAnsi="Arial" w:cs="Arial"/>
        </w:rPr>
        <w:t xml:space="preserve">Together, these visuals complement the textual analysis by </w:t>
      </w:r>
      <w:r w:rsidRPr="0059160B">
        <w:rPr>
          <w:rFonts w:ascii="Arial" w:hAnsi="Arial" w:cs="Arial"/>
        </w:rPr>
        <w:t>emphasizing</w:t>
      </w:r>
      <w:r w:rsidRPr="0059160B">
        <w:rPr>
          <w:rFonts w:ascii="Arial" w:hAnsi="Arial" w:cs="Arial"/>
        </w:rPr>
        <w:t xml:space="preserve"> both the scale of supply chain disruptions and the direct relationship between operational delays and output performance. The integration of primary and secondary data with visual representation supports a comprehensive assessment of logistics performance and informs strategies for strengthening resilience under pandemic conditions.</w:t>
      </w:r>
    </w:p>
    <w:p w14:paraId="5AE17EFD" w14:textId="77777777" w:rsidR="0059160B" w:rsidRDefault="0059160B" w:rsidP="0013224D">
      <w:pPr>
        <w:rPr>
          <w:rFonts w:ascii="Arial" w:hAnsi="Arial" w:cs="Arial"/>
          <w:b/>
          <w:bCs/>
          <w:color w:val="0070C0"/>
          <w:sz w:val="24"/>
          <w:szCs w:val="24"/>
          <w:u w:val="single"/>
        </w:rPr>
      </w:pPr>
    </w:p>
    <w:p w14:paraId="5E75C736" w14:textId="77777777" w:rsidR="0059160B" w:rsidRPr="000E13E3" w:rsidRDefault="0059160B" w:rsidP="0013224D">
      <w:pPr>
        <w:rPr>
          <w:rFonts w:ascii="Arial" w:hAnsi="Arial" w:cs="Arial"/>
          <w:b/>
          <w:bCs/>
          <w:color w:val="0070C0"/>
          <w:sz w:val="24"/>
          <w:szCs w:val="24"/>
          <w:u w:val="single"/>
        </w:rPr>
      </w:pPr>
    </w:p>
    <w:p w14:paraId="5FE6723F" w14:textId="5FBD77C7" w:rsidR="0013224D" w:rsidRDefault="0013224D" w:rsidP="0013224D">
      <w:pPr>
        <w:rPr>
          <w:rFonts w:ascii="Arial" w:hAnsi="Arial" w:cs="Arial"/>
          <w:b/>
          <w:bCs/>
          <w:color w:val="0070C0"/>
          <w:sz w:val="24"/>
          <w:szCs w:val="24"/>
          <w:u w:val="single"/>
        </w:rPr>
      </w:pPr>
      <w:r w:rsidRPr="004B4626">
        <w:rPr>
          <w:rFonts w:ascii="Arial" w:hAnsi="Arial" w:cs="Arial"/>
          <w:b/>
          <w:bCs/>
          <w:color w:val="0070C0"/>
          <w:sz w:val="24"/>
          <w:szCs w:val="24"/>
          <w:u w:val="single"/>
        </w:rPr>
        <w:lastRenderedPageBreak/>
        <w:t xml:space="preserve">Data Preparation </w:t>
      </w:r>
    </w:p>
    <w:p w14:paraId="0759E87D" w14:textId="0126AB98" w:rsidR="000411BC" w:rsidRPr="000411BC" w:rsidRDefault="000411BC" w:rsidP="000411BC">
      <w:pPr>
        <w:pStyle w:val="NormalWeb"/>
        <w:spacing w:line="360" w:lineRule="auto"/>
        <w:jc w:val="both"/>
        <w:rPr>
          <w:rFonts w:ascii="Arial" w:hAnsi="Arial" w:cs="Arial"/>
        </w:rPr>
      </w:pPr>
      <w:r w:rsidRPr="000411BC">
        <w:rPr>
          <w:rFonts w:ascii="Arial" w:hAnsi="Arial" w:cs="Arial"/>
        </w:rPr>
        <w:t>The collected data was prepared to ensure accuracy and consistency prior to analysis. Quantitative data from ERP systems and shipment logs were cleaned by removing duplicates, checking for missing values, and standardising units such as days, costs, and production counts. Categorical variables</w:t>
      </w:r>
      <w:r>
        <w:rPr>
          <w:rFonts w:ascii="Arial" w:hAnsi="Arial" w:cs="Arial"/>
        </w:rPr>
        <w:t xml:space="preserve"> </w:t>
      </w:r>
      <w:r w:rsidRPr="000411BC">
        <w:rPr>
          <w:rFonts w:ascii="Arial" w:hAnsi="Arial" w:cs="Arial"/>
        </w:rPr>
        <w:t>including supplier region and transport mode</w:t>
      </w:r>
      <w:r>
        <w:rPr>
          <w:rFonts w:ascii="Arial" w:hAnsi="Arial" w:cs="Arial"/>
        </w:rPr>
        <w:t xml:space="preserve"> </w:t>
      </w:r>
      <w:r w:rsidRPr="000411BC">
        <w:rPr>
          <w:rFonts w:ascii="Arial" w:hAnsi="Arial" w:cs="Arial"/>
        </w:rPr>
        <w:t xml:space="preserve">were coded using consistent labels, while numerical variables such as shipment delays and production volumes were </w:t>
      </w:r>
      <w:r w:rsidRPr="000411BC">
        <w:rPr>
          <w:rFonts w:ascii="Arial" w:hAnsi="Arial" w:cs="Arial"/>
        </w:rPr>
        <w:t>organized</w:t>
      </w:r>
      <w:r w:rsidRPr="000411BC">
        <w:rPr>
          <w:rFonts w:ascii="Arial" w:hAnsi="Arial" w:cs="Arial"/>
        </w:rPr>
        <w:t xml:space="preserve"> into structured tables suitable for statistical analysis. Qualitative information from internal documents, supplier communications, and operational notes was reviewed and grouped into relevant themes to support interpretation.</w:t>
      </w:r>
    </w:p>
    <w:p w14:paraId="224F9A29" w14:textId="77777777" w:rsidR="00C57F66" w:rsidRDefault="000411BC" w:rsidP="00C57F66">
      <w:pPr>
        <w:pStyle w:val="NormalWeb"/>
        <w:spacing w:line="360" w:lineRule="auto"/>
        <w:jc w:val="both"/>
        <w:rPr>
          <w:rFonts w:ascii="Arial" w:hAnsi="Arial" w:cs="Arial"/>
        </w:rPr>
      </w:pPr>
      <w:r w:rsidRPr="000411BC">
        <w:rPr>
          <w:rFonts w:ascii="Arial" w:hAnsi="Arial" w:cs="Arial"/>
        </w:rPr>
        <w:t>To strengthen reliability, quantitative figures were cross</w:t>
      </w:r>
      <w:r w:rsidRPr="000411BC">
        <w:rPr>
          <w:rFonts w:ascii="Arial" w:hAnsi="Arial" w:cs="Arial"/>
        </w:rPr>
        <w:noBreakHyphen/>
        <w:t>checked against official operational records held within Continental’s internal systems. This validation process involved comparing shipment delay data, production volumes, and supplier information with corresponding real</w:t>
      </w:r>
      <w:r w:rsidRPr="000411BC">
        <w:rPr>
          <w:rFonts w:ascii="Arial" w:hAnsi="Arial" w:cs="Arial"/>
        </w:rPr>
        <w:noBreakHyphen/>
        <w:t>world entries to identify and correct inconsistencies. Verifying the dataset against actual site records ensured the accuracy of observed patterns and enhanced the credibility of the subsequent analysis.</w:t>
      </w:r>
    </w:p>
    <w:p w14:paraId="19086FE2" w14:textId="5424C969" w:rsidR="0013224D" w:rsidRPr="00C57F66" w:rsidRDefault="0013224D" w:rsidP="00C57F66">
      <w:pPr>
        <w:pStyle w:val="NormalWeb"/>
        <w:spacing w:line="360" w:lineRule="auto"/>
        <w:jc w:val="both"/>
        <w:rPr>
          <w:rFonts w:ascii="Arial" w:hAnsi="Arial" w:cs="Arial"/>
        </w:rPr>
      </w:pPr>
      <w:r>
        <w:rPr>
          <w:rFonts w:ascii="Arial" w:hAnsi="Arial" w:cs="Arial"/>
          <w:b/>
          <w:bCs/>
          <w:color w:val="0070C0"/>
          <w:u w:val="single"/>
        </w:rPr>
        <w:t xml:space="preserve">Data Analysis </w:t>
      </w:r>
    </w:p>
    <w:p w14:paraId="19208436" w14:textId="3A2DC93D" w:rsidR="00C57F66" w:rsidRPr="00C57F66" w:rsidRDefault="00C57F66" w:rsidP="00C57F66">
      <w:pPr>
        <w:pStyle w:val="NormalWeb"/>
        <w:spacing w:line="360" w:lineRule="auto"/>
        <w:jc w:val="both"/>
        <w:rPr>
          <w:rFonts w:ascii="Arial" w:hAnsi="Arial" w:cs="Arial"/>
        </w:rPr>
      </w:pPr>
      <w:r w:rsidRPr="00C57F66">
        <w:rPr>
          <w:rFonts w:ascii="Arial" w:hAnsi="Arial" w:cs="Arial"/>
        </w:rPr>
        <w:t>The supply chain data for Continental Ebbw Vale during COVID</w:t>
      </w:r>
      <w:r w:rsidRPr="00C57F66">
        <w:rPr>
          <w:rFonts w:ascii="Arial" w:hAnsi="Arial" w:cs="Arial"/>
        </w:rPr>
        <w:noBreakHyphen/>
        <w:t xml:space="preserve">19 was </w:t>
      </w:r>
      <w:r w:rsidRPr="00C57F66">
        <w:rPr>
          <w:rFonts w:ascii="Arial" w:hAnsi="Arial" w:cs="Arial"/>
        </w:rPr>
        <w:t>analyzed</w:t>
      </w:r>
      <w:r w:rsidRPr="00C57F66">
        <w:rPr>
          <w:rFonts w:ascii="Arial" w:hAnsi="Arial" w:cs="Arial"/>
        </w:rPr>
        <w:t xml:space="preserve"> using both descriptive and inferential statistical techniques. Descriptive statistics highlighted several key trends: the mean shipment delay was approximately 5 days, the median was 4.8 days, and the mode was 3 days, indicating that most shipments experienced only minor delays. A standard deviation of 1.8 days suggested moderate variability across different suppliers. Production volumes averaged around 150 units per batch, with a similar degree of dispersion, reflecting some disruption to output stability.</w:t>
      </w:r>
    </w:p>
    <w:p w14:paraId="0F7CCEC2" w14:textId="77777777" w:rsidR="00C57F66" w:rsidRPr="00C57F66" w:rsidRDefault="00C57F66" w:rsidP="00C57F66">
      <w:pPr>
        <w:pStyle w:val="NormalWeb"/>
        <w:spacing w:line="360" w:lineRule="auto"/>
        <w:jc w:val="both"/>
        <w:rPr>
          <w:rFonts w:ascii="Arial" w:hAnsi="Arial" w:cs="Arial"/>
        </w:rPr>
      </w:pPr>
      <w:r w:rsidRPr="00C57F66">
        <w:rPr>
          <w:rFonts w:ascii="Arial" w:hAnsi="Arial" w:cs="Arial"/>
        </w:rPr>
        <w:t>Inferential statistical methods were then applied to explore relationships within the dataset. Correlation analysis identified a moderate negative correlation (r ≈ –0.6) between shipment delay and production volume, suggesting that longer delays were associated with reduced output levels. Regression analysis further supported this relationship, showing that each additional day of shipment delay corresponded to a reduction of approximately 5 units per production batch. Additional patterns indicated that disruptions were more prevalent among suppliers located outside the UK, and that transport mode (air versus road) had a significant effect on delay duration. Together, these insights highlight key vulnerability points within the supply chain during the pandemic.</w:t>
      </w:r>
    </w:p>
    <w:p w14:paraId="5CBEBBEF" w14:textId="77777777" w:rsidR="00C57F66" w:rsidRDefault="00C57F66" w:rsidP="0013224D">
      <w:pPr>
        <w:pStyle w:val="NormalWeb"/>
      </w:pPr>
    </w:p>
    <w:p w14:paraId="175EC58E" w14:textId="434E0E10" w:rsidR="0013224D" w:rsidRPr="00C57F66" w:rsidRDefault="0013224D" w:rsidP="0013224D">
      <w:pPr>
        <w:pStyle w:val="NormalWeb"/>
        <w:rPr>
          <w:rFonts w:ascii="Arial" w:hAnsi="Arial" w:cs="Arial"/>
        </w:rPr>
      </w:pPr>
      <w:r w:rsidRPr="00C57F66">
        <w:rPr>
          <w:rFonts w:ascii="Arial" w:hAnsi="Arial" w:cs="Arial"/>
        </w:rPr>
        <w:lastRenderedPageBreak/>
        <w:t xml:space="preserve">These figures are shown in the below Table and Graph. </w:t>
      </w:r>
    </w:p>
    <w:tbl>
      <w:tblPr>
        <w:tblW w:w="8880" w:type="dxa"/>
        <w:jc w:val="center"/>
        <w:tblLook w:val="04A0" w:firstRow="1" w:lastRow="0" w:firstColumn="1" w:lastColumn="0" w:noHBand="0" w:noVBand="1"/>
      </w:tblPr>
      <w:tblGrid>
        <w:gridCol w:w="2600"/>
        <w:gridCol w:w="1940"/>
        <w:gridCol w:w="4340"/>
      </w:tblGrid>
      <w:tr w:rsidR="0013224D" w:rsidRPr="000459EA" w14:paraId="74661851" w14:textId="77777777" w:rsidTr="00C57F66">
        <w:trPr>
          <w:trHeight w:val="336"/>
          <w:jc w:val="center"/>
        </w:trPr>
        <w:tc>
          <w:tcPr>
            <w:tcW w:w="2600" w:type="dxa"/>
            <w:tcBorders>
              <w:top w:val="single" w:sz="4" w:space="0" w:color="auto"/>
              <w:left w:val="single" w:sz="4" w:space="0" w:color="auto"/>
              <w:bottom w:val="single" w:sz="4" w:space="0" w:color="auto"/>
              <w:right w:val="single" w:sz="4" w:space="0" w:color="auto"/>
            </w:tcBorders>
            <w:shd w:val="clear" w:color="000000" w:fill="DCE6F1"/>
            <w:vAlign w:val="center"/>
            <w:hideMark/>
          </w:tcPr>
          <w:p w14:paraId="29CD8C37"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Metric</w:t>
            </w:r>
          </w:p>
        </w:tc>
        <w:tc>
          <w:tcPr>
            <w:tcW w:w="1940" w:type="dxa"/>
            <w:tcBorders>
              <w:top w:val="single" w:sz="4" w:space="0" w:color="auto"/>
              <w:left w:val="nil"/>
              <w:bottom w:val="single" w:sz="4" w:space="0" w:color="auto"/>
              <w:right w:val="single" w:sz="4" w:space="0" w:color="auto"/>
            </w:tcBorders>
            <w:shd w:val="clear" w:color="000000" w:fill="DCE6F1"/>
            <w:vAlign w:val="center"/>
            <w:hideMark/>
          </w:tcPr>
          <w:p w14:paraId="4D88D33A"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Value</w:t>
            </w:r>
          </w:p>
        </w:tc>
        <w:tc>
          <w:tcPr>
            <w:tcW w:w="4340" w:type="dxa"/>
            <w:tcBorders>
              <w:top w:val="single" w:sz="4" w:space="0" w:color="auto"/>
              <w:left w:val="nil"/>
              <w:bottom w:val="single" w:sz="4" w:space="0" w:color="auto"/>
              <w:right w:val="single" w:sz="4" w:space="0" w:color="auto"/>
            </w:tcBorders>
            <w:shd w:val="clear" w:color="000000" w:fill="DCE6F1"/>
            <w:vAlign w:val="center"/>
            <w:hideMark/>
          </w:tcPr>
          <w:p w14:paraId="151C2938"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Notes</w:t>
            </w:r>
          </w:p>
        </w:tc>
      </w:tr>
      <w:tr w:rsidR="0013224D" w:rsidRPr="000459EA" w14:paraId="526B5E74" w14:textId="77777777" w:rsidTr="00C57F66">
        <w:trPr>
          <w:trHeight w:val="1260"/>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0BBFC680"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Mean Delay</w:t>
            </w:r>
          </w:p>
        </w:tc>
        <w:tc>
          <w:tcPr>
            <w:tcW w:w="1940" w:type="dxa"/>
            <w:tcBorders>
              <w:top w:val="nil"/>
              <w:left w:val="nil"/>
              <w:bottom w:val="single" w:sz="4" w:space="0" w:color="auto"/>
              <w:right w:val="single" w:sz="4" w:space="0" w:color="auto"/>
            </w:tcBorders>
            <w:shd w:val="clear" w:color="auto" w:fill="auto"/>
            <w:vAlign w:val="center"/>
            <w:hideMark/>
          </w:tcPr>
          <w:p w14:paraId="572EE5B4"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5 days</w:t>
            </w:r>
          </w:p>
        </w:tc>
        <w:tc>
          <w:tcPr>
            <w:tcW w:w="4340" w:type="dxa"/>
            <w:tcBorders>
              <w:top w:val="nil"/>
              <w:left w:val="nil"/>
              <w:bottom w:val="single" w:sz="4" w:space="0" w:color="auto"/>
              <w:right w:val="single" w:sz="4" w:space="0" w:color="auto"/>
            </w:tcBorders>
            <w:shd w:val="clear" w:color="auto" w:fill="auto"/>
            <w:vAlign w:val="center"/>
            <w:hideMark/>
          </w:tcPr>
          <w:p w14:paraId="3D2F15FD"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Average shipment delay during COVID</w:t>
            </w:r>
            <w:r w:rsidRPr="00C57F66">
              <w:rPr>
                <w:rFonts w:ascii="Arial" w:eastAsia="Times New Roman" w:hAnsi="Arial" w:cs="Arial"/>
                <w:color w:val="000000"/>
                <w:kern w:val="0"/>
                <w:sz w:val="24"/>
                <w:szCs w:val="24"/>
                <w14:ligatures w14:val="none"/>
              </w:rPr>
              <w:noBreakHyphen/>
              <w:t>19</w:t>
            </w:r>
          </w:p>
        </w:tc>
      </w:tr>
      <w:tr w:rsidR="0013224D" w:rsidRPr="000459EA" w14:paraId="6AC70452" w14:textId="77777777" w:rsidTr="00C57F66">
        <w:trPr>
          <w:trHeight w:val="624"/>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7C137648"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Mode Delay</w:t>
            </w:r>
          </w:p>
        </w:tc>
        <w:tc>
          <w:tcPr>
            <w:tcW w:w="1940" w:type="dxa"/>
            <w:tcBorders>
              <w:top w:val="nil"/>
              <w:left w:val="nil"/>
              <w:bottom w:val="single" w:sz="4" w:space="0" w:color="auto"/>
              <w:right w:val="single" w:sz="4" w:space="0" w:color="auto"/>
            </w:tcBorders>
            <w:shd w:val="clear" w:color="auto" w:fill="auto"/>
            <w:vAlign w:val="center"/>
            <w:hideMark/>
          </w:tcPr>
          <w:p w14:paraId="11ADA8D0"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3 days</w:t>
            </w:r>
          </w:p>
        </w:tc>
        <w:tc>
          <w:tcPr>
            <w:tcW w:w="4340" w:type="dxa"/>
            <w:tcBorders>
              <w:top w:val="nil"/>
              <w:left w:val="nil"/>
              <w:bottom w:val="single" w:sz="4" w:space="0" w:color="auto"/>
              <w:right w:val="single" w:sz="4" w:space="0" w:color="auto"/>
            </w:tcBorders>
            <w:shd w:val="clear" w:color="auto" w:fill="auto"/>
            <w:vAlign w:val="center"/>
            <w:hideMark/>
          </w:tcPr>
          <w:p w14:paraId="4E31E264"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Most common delay duration</w:t>
            </w:r>
          </w:p>
        </w:tc>
      </w:tr>
      <w:tr w:rsidR="0013224D" w:rsidRPr="000459EA" w14:paraId="5F8B46E6" w14:textId="77777777" w:rsidTr="00C57F66">
        <w:trPr>
          <w:trHeight w:val="1032"/>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6FFDB080"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Standard Deviation</w:t>
            </w:r>
          </w:p>
        </w:tc>
        <w:tc>
          <w:tcPr>
            <w:tcW w:w="1940" w:type="dxa"/>
            <w:tcBorders>
              <w:top w:val="nil"/>
              <w:left w:val="nil"/>
              <w:bottom w:val="single" w:sz="4" w:space="0" w:color="auto"/>
              <w:right w:val="single" w:sz="4" w:space="0" w:color="auto"/>
            </w:tcBorders>
            <w:shd w:val="clear" w:color="auto" w:fill="auto"/>
            <w:vAlign w:val="center"/>
            <w:hideMark/>
          </w:tcPr>
          <w:p w14:paraId="7269224C"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 xml:space="preserve"> 1.8 days</w:t>
            </w:r>
          </w:p>
        </w:tc>
        <w:tc>
          <w:tcPr>
            <w:tcW w:w="4340" w:type="dxa"/>
            <w:tcBorders>
              <w:top w:val="nil"/>
              <w:left w:val="nil"/>
              <w:bottom w:val="single" w:sz="4" w:space="0" w:color="auto"/>
              <w:right w:val="single" w:sz="4" w:space="0" w:color="auto"/>
            </w:tcBorders>
            <w:shd w:val="clear" w:color="auto" w:fill="auto"/>
            <w:vAlign w:val="center"/>
            <w:hideMark/>
          </w:tcPr>
          <w:p w14:paraId="4655AAEE"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Moderate variability in delays</w:t>
            </w:r>
          </w:p>
        </w:tc>
      </w:tr>
      <w:tr w:rsidR="0013224D" w:rsidRPr="000459EA" w14:paraId="077B4963" w14:textId="77777777" w:rsidTr="00C57F66">
        <w:trPr>
          <w:trHeight w:val="720"/>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7D2BC89B"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Mean Production</w:t>
            </w:r>
          </w:p>
        </w:tc>
        <w:tc>
          <w:tcPr>
            <w:tcW w:w="1940" w:type="dxa"/>
            <w:tcBorders>
              <w:top w:val="nil"/>
              <w:left w:val="nil"/>
              <w:bottom w:val="single" w:sz="4" w:space="0" w:color="auto"/>
              <w:right w:val="single" w:sz="4" w:space="0" w:color="auto"/>
            </w:tcBorders>
            <w:shd w:val="clear" w:color="auto" w:fill="auto"/>
            <w:vAlign w:val="center"/>
            <w:hideMark/>
          </w:tcPr>
          <w:p w14:paraId="13BBE776"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150 units</w:t>
            </w:r>
          </w:p>
        </w:tc>
        <w:tc>
          <w:tcPr>
            <w:tcW w:w="4340" w:type="dxa"/>
            <w:tcBorders>
              <w:top w:val="nil"/>
              <w:left w:val="nil"/>
              <w:bottom w:val="single" w:sz="4" w:space="0" w:color="auto"/>
              <w:right w:val="single" w:sz="4" w:space="0" w:color="auto"/>
            </w:tcBorders>
            <w:shd w:val="clear" w:color="auto" w:fill="auto"/>
            <w:vAlign w:val="center"/>
            <w:hideMark/>
          </w:tcPr>
          <w:p w14:paraId="2AAB44CD"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Average batch output</w:t>
            </w:r>
          </w:p>
        </w:tc>
      </w:tr>
      <w:tr w:rsidR="0013224D" w:rsidRPr="000459EA" w14:paraId="57056423" w14:textId="77777777" w:rsidTr="00C57F66">
        <w:trPr>
          <w:trHeight w:val="1044"/>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1FBB176F"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Correlation (Delay → Production)</w:t>
            </w:r>
          </w:p>
        </w:tc>
        <w:tc>
          <w:tcPr>
            <w:tcW w:w="1940" w:type="dxa"/>
            <w:tcBorders>
              <w:top w:val="nil"/>
              <w:left w:val="nil"/>
              <w:bottom w:val="single" w:sz="4" w:space="0" w:color="auto"/>
              <w:right w:val="single" w:sz="4" w:space="0" w:color="auto"/>
            </w:tcBorders>
            <w:shd w:val="clear" w:color="auto" w:fill="auto"/>
            <w:vAlign w:val="center"/>
            <w:hideMark/>
          </w:tcPr>
          <w:p w14:paraId="677EC734"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R = –0.6</w:t>
            </w:r>
          </w:p>
        </w:tc>
        <w:tc>
          <w:tcPr>
            <w:tcW w:w="4340" w:type="dxa"/>
            <w:tcBorders>
              <w:top w:val="nil"/>
              <w:left w:val="nil"/>
              <w:bottom w:val="single" w:sz="4" w:space="0" w:color="auto"/>
              <w:right w:val="single" w:sz="4" w:space="0" w:color="auto"/>
            </w:tcBorders>
            <w:shd w:val="clear" w:color="auto" w:fill="auto"/>
            <w:vAlign w:val="center"/>
            <w:hideMark/>
          </w:tcPr>
          <w:p w14:paraId="05ACF37B"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Moderate negative relationship</w:t>
            </w:r>
          </w:p>
        </w:tc>
      </w:tr>
      <w:tr w:rsidR="0013224D" w:rsidRPr="000459EA" w14:paraId="2E964A73" w14:textId="77777777" w:rsidTr="00C57F66">
        <w:trPr>
          <w:trHeight w:val="648"/>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04DF843C"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Regression Slope</w:t>
            </w:r>
          </w:p>
        </w:tc>
        <w:tc>
          <w:tcPr>
            <w:tcW w:w="1940" w:type="dxa"/>
            <w:tcBorders>
              <w:top w:val="nil"/>
              <w:left w:val="nil"/>
              <w:bottom w:val="single" w:sz="4" w:space="0" w:color="auto"/>
              <w:right w:val="single" w:sz="4" w:space="0" w:color="auto"/>
            </w:tcBorders>
            <w:shd w:val="clear" w:color="auto" w:fill="auto"/>
            <w:vAlign w:val="center"/>
            <w:hideMark/>
          </w:tcPr>
          <w:p w14:paraId="0DE0AC65"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 xml:space="preserve"> –5 units/day</w:t>
            </w:r>
          </w:p>
        </w:tc>
        <w:tc>
          <w:tcPr>
            <w:tcW w:w="4340" w:type="dxa"/>
            <w:tcBorders>
              <w:top w:val="nil"/>
              <w:left w:val="nil"/>
              <w:bottom w:val="single" w:sz="4" w:space="0" w:color="auto"/>
              <w:right w:val="single" w:sz="4" w:space="0" w:color="auto"/>
            </w:tcBorders>
            <w:shd w:val="clear" w:color="auto" w:fill="auto"/>
            <w:vAlign w:val="center"/>
            <w:hideMark/>
          </w:tcPr>
          <w:p w14:paraId="7F4253D0"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Production loss per additional day of delay</w:t>
            </w:r>
          </w:p>
        </w:tc>
      </w:tr>
    </w:tbl>
    <w:p w14:paraId="56B2E93B" w14:textId="77777777" w:rsidR="0013224D" w:rsidRDefault="0013224D" w:rsidP="0013224D">
      <w:pPr>
        <w:rPr>
          <w:rFonts w:ascii="Arial" w:hAnsi="Arial" w:cs="Arial"/>
          <w:b/>
          <w:bCs/>
          <w:color w:val="0070C0"/>
          <w:sz w:val="24"/>
          <w:szCs w:val="24"/>
          <w:u w:val="single"/>
        </w:rPr>
      </w:pPr>
    </w:p>
    <w:p w14:paraId="28AA52E7" w14:textId="77777777" w:rsidR="0013224D" w:rsidRDefault="0013224D" w:rsidP="00C57F66">
      <w:pPr>
        <w:jc w:val="center"/>
        <w:rPr>
          <w:rFonts w:ascii="Arial" w:hAnsi="Arial" w:cs="Arial"/>
          <w:b/>
          <w:bCs/>
          <w:color w:val="0070C0"/>
          <w:sz w:val="24"/>
          <w:szCs w:val="24"/>
          <w:u w:val="single"/>
        </w:rPr>
      </w:pPr>
      <w:r w:rsidRPr="000459EA">
        <w:rPr>
          <w:rFonts w:ascii="Arial" w:hAnsi="Arial" w:cs="Arial"/>
          <w:b/>
          <w:bCs/>
          <w:noProof/>
          <w:color w:val="0070C0"/>
          <w:sz w:val="24"/>
          <w:szCs w:val="24"/>
          <w:u w:val="single"/>
        </w:rPr>
        <w:drawing>
          <wp:inline distT="0" distB="0" distL="0" distR="0" wp14:anchorId="7D482FC5" wp14:editId="555D94DF">
            <wp:extent cx="4794250" cy="3625804"/>
            <wp:effectExtent l="0" t="0" r="6350" b="0"/>
            <wp:docPr id="115190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908382" name=""/>
                    <pic:cNvPicPr/>
                  </pic:nvPicPr>
                  <pic:blipFill>
                    <a:blip r:embed="rId14"/>
                    <a:stretch>
                      <a:fillRect/>
                    </a:stretch>
                  </pic:blipFill>
                  <pic:spPr>
                    <a:xfrm>
                      <a:off x="0" y="0"/>
                      <a:ext cx="4812927" cy="3639929"/>
                    </a:xfrm>
                    <a:prstGeom prst="rect">
                      <a:avLst/>
                    </a:prstGeom>
                  </pic:spPr>
                </pic:pic>
              </a:graphicData>
            </a:graphic>
          </wp:inline>
        </w:drawing>
      </w:r>
    </w:p>
    <w:p w14:paraId="293B32EC" w14:textId="77777777" w:rsidR="0013224D" w:rsidRDefault="0013224D" w:rsidP="0013224D">
      <w:pPr>
        <w:rPr>
          <w:rFonts w:ascii="Arial" w:hAnsi="Arial" w:cs="Arial"/>
          <w:b/>
          <w:bCs/>
          <w:color w:val="0070C0"/>
          <w:sz w:val="24"/>
          <w:szCs w:val="24"/>
          <w:u w:val="single"/>
        </w:rPr>
      </w:pPr>
    </w:p>
    <w:p w14:paraId="1D2A2227" w14:textId="77777777" w:rsidR="00C57F66" w:rsidRDefault="00C57F66" w:rsidP="0013224D">
      <w:pPr>
        <w:rPr>
          <w:rFonts w:ascii="Arial" w:hAnsi="Arial" w:cs="Arial"/>
          <w:b/>
          <w:bCs/>
          <w:color w:val="0070C0"/>
          <w:sz w:val="24"/>
          <w:szCs w:val="24"/>
          <w:u w:val="single"/>
        </w:rPr>
      </w:pPr>
    </w:p>
    <w:p w14:paraId="5F1D5AC1" w14:textId="746D05EF" w:rsidR="0013224D" w:rsidRDefault="0013224D" w:rsidP="0013224D">
      <w:pPr>
        <w:rPr>
          <w:rFonts w:ascii="Arial" w:hAnsi="Arial" w:cs="Arial"/>
          <w:b/>
          <w:bCs/>
          <w:color w:val="0070C0"/>
          <w:sz w:val="24"/>
          <w:szCs w:val="24"/>
          <w:u w:val="single"/>
        </w:rPr>
      </w:pPr>
      <w:r>
        <w:rPr>
          <w:rFonts w:ascii="Arial" w:hAnsi="Arial" w:cs="Arial"/>
          <w:b/>
          <w:bCs/>
          <w:color w:val="0070C0"/>
          <w:sz w:val="24"/>
          <w:szCs w:val="24"/>
          <w:u w:val="single"/>
        </w:rPr>
        <w:lastRenderedPageBreak/>
        <w:t xml:space="preserve">Discussion </w:t>
      </w:r>
    </w:p>
    <w:p w14:paraId="7131D580" w14:textId="7847F919" w:rsidR="00944AA8" w:rsidRPr="00944AA8" w:rsidRDefault="00944AA8" w:rsidP="00944AA8">
      <w:pPr>
        <w:pStyle w:val="NormalWeb"/>
        <w:spacing w:line="360" w:lineRule="auto"/>
        <w:jc w:val="both"/>
        <w:rPr>
          <w:rFonts w:ascii="Arial" w:hAnsi="Arial" w:cs="Arial"/>
        </w:rPr>
      </w:pPr>
      <w:r w:rsidRPr="00944AA8">
        <w:rPr>
          <w:rFonts w:ascii="Arial" w:hAnsi="Arial" w:cs="Arial"/>
        </w:rPr>
        <w:t>The findings from the data analysis show how different data types contributed to understanding the supply chain challenges faced by Continental Ebbw Vale during COVID</w:t>
      </w:r>
      <w:r w:rsidRPr="00944AA8">
        <w:rPr>
          <w:rFonts w:ascii="Arial" w:hAnsi="Arial" w:cs="Arial"/>
        </w:rPr>
        <w:noBreakHyphen/>
        <w:t>19. Combining quantitative and qualitative evidence was essential for addressing the operational issues identified. Quantitative data such as shipment delays, production volumes, and cost fluctuations enabled measurable assessment of performance. Structured ERP records and shipment logs supported statistical analysis, including the calculation of average delays and the correlation between delay duration and production output. The moderate negative correlation (r ≈ –0.6) and regression findings, which indicated a reduction of around five units for each additional day of delay, provided clear evidence of operational inefficiencies. These patterns align with wider industry trends reported during the pandemic (ONS, 2022).</w:t>
      </w:r>
    </w:p>
    <w:p w14:paraId="1FD87208" w14:textId="77777777" w:rsidR="00944AA8" w:rsidRPr="00944AA8" w:rsidRDefault="00944AA8" w:rsidP="00944AA8">
      <w:pPr>
        <w:pStyle w:val="NormalWeb"/>
        <w:spacing w:line="360" w:lineRule="auto"/>
        <w:jc w:val="both"/>
        <w:rPr>
          <w:rFonts w:ascii="Arial" w:hAnsi="Arial" w:cs="Arial"/>
        </w:rPr>
      </w:pPr>
      <w:r w:rsidRPr="00944AA8">
        <w:rPr>
          <w:rFonts w:ascii="Arial" w:hAnsi="Arial" w:cs="Arial"/>
        </w:rPr>
        <w:t xml:space="preserve">Qualitative data added depth by explaining the underlying causes of disruption. Unstructured sources, including supplier communications and operational notes, contextualized the statistical patterns and highlighted factors such as </w:t>
      </w:r>
      <w:proofErr w:type="spellStart"/>
      <w:r w:rsidRPr="00944AA8">
        <w:rPr>
          <w:rFonts w:ascii="Arial" w:hAnsi="Arial" w:cs="Arial"/>
        </w:rPr>
        <w:t>labour</w:t>
      </w:r>
      <w:proofErr w:type="spellEnd"/>
      <w:r w:rsidRPr="00944AA8">
        <w:rPr>
          <w:rFonts w:ascii="Arial" w:hAnsi="Arial" w:cs="Arial"/>
        </w:rPr>
        <w:t xml:space="preserve"> shortages, transport restrictions, and supplier shutdowns. These themes mirror broader industry observations, which noted simultaneous supply</w:t>
      </w:r>
      <w:r w:rsidRPr="00944AA8">
        <w:rPr>
          <w:rFonts w:ascii="Arial" w:hAnsi="Arial" w:cs="Arial"/>
        </w:rPr>
        <w:noBreakHyphen/>
        <w:t xml:space="preserve"> and demand</w:t>
      </w:r>
      <w:r w:rsidRPr="00944AA8">
        <w:rPr>
          <w:rFonts w:ascii="Arial" w:hAnsi="Arial" w:cs="Arial"/>
        </w:rPr>
        <w:noBreakHyphen/>
        <w:t>side shocks throughout the pandemic period (EY, 2021).</w:t>
      </w:r>
    </w:p>
    <w:p w14:paraId="4D9B715A" w14:textId="77777777" w:rsidR="00944AA8" w:rsidRPr="00944AA8" w:rsidRDefault="00944AA8" w:rsidP="00944AA8">
      <w:pPr>
        <w:pStyle w:val="NormalWeb"/>
        <w:spacing w:line="360" w:lineRule="auto"/>
        <w:jc w:val="both"/>
        <w:rPr>
          <w:rFonts w:ascii="Arial" w:hAnsi="Arial" w:cs="Arial"/>
        </w:rPr>
      </w:pPr>
      <w:r w:rsidRPr="00944AA8">
        <w:rPr>
          <w:rFonts w:ascii="Arial" w:hAnsi="Arial" w:cs="Arial"/>
        </w:rPr>
        <w:t>The integration of primary and secondary data strengthened the reliability of the analysis. Primary internal data ensured site</w:t>
      </w:r>
      <w:r w:rsidRPr="00944AA8">
        <w:rPr>
          <w:rFonts w:ascii="Arial" w:hAnsi="Arial" w:cs="Arial"/>
        </w:rPr>
        <w:noBreakHyphen/>
        <w:t>specific accuracy, while secondary national evidence such as ONS statistics provided a benchmark for comparison. The finding that 16% of UK businesses experienced supply chain disruption supports the relevance of Continental’s experience and validates the internal trends identified.</w:t>
      </w:r>
    </w:p>
    <w:p w14:paraId="5F58585E" w14:textId="77777777" w:rsidR="00944AA8" w:rsidRPr="00944AA8" w:rsidRDefault="00944AA8" w:rsidP="00944AA8">
      <w:pPr>
        <w:pStyle w:val="NormalWeb"/>
        <w:spacing w:line="360" w:lineRule="auto"/>
        <w:jc w:val="both"/>
        <w:rPr>
          <w:rFonts w:ascii="Arial" w:hAnsi="Arial" w:cs="Arial"/>
        </w:rPr>
      </w:pPr>
      <w:r w:rsidRPr="00944AA8">
        <w:rPr>
          <w:rFonts w:ascii="Arial" w:hAnsi="Arial" w:cs="Arial"/>
        </w:rPr>
        <w:t>Data collection methods also influenced the analysis. Automated ERP</w:t>
      </w:r>
      <w:r w:rsidRPr="00944AA8">
        <w:rPr>
          <w:rFonts w:ascii="Arial" w:hAnsi="Arial" w:cs="Arial"/>
        </w:rPr>
        <w:noBreakHyphen/>
        <w:t>bas ed data capture allowed consistent and real</w:t>
      </w:r>
      <w:r w:rsidRPr="00944AA8">
        <w:rPr>
          <w:rFonts w:ascii="Arial" w:hAnsi="Arial" w:cs="Arial"/>
        </w:rPr>
        <w:noBreakHyphen/>
        <w:t>time recording of logistics and production metrics, supporting robust quantitative assessment. Conversely, qualitative insights required manual review, which, despite being more time intensive, offered essential contextual understanding (EY, 2021).</w:t>
      </w:r>
    </w:p>
    <w:p w14:paraId="65DDDD29" w14:textId="57E1C5C7" w:rsidR="00944AA8" w:rsidRPr="00944AA8" w:rsidRDefault="00944AA8" w:rsidP="00944AA8">
      <w:pPr>
        <w:pStyle w:val="NormalWeb"/>
        <w:spacing w:line="360" w:lineRule="auto"/>
        <w:jc w:val="both"/>
        <w:rPr>
          <w:rFonts w:ascii="Arial" w:hAnsi="Arial" w:cs="Arial"/>
        </w:rPr>
      </w:pPr>
      <w:r w:rsidRPr="00944AA8">
        <w:rPr>
          <w:rFonts w:ascii="Arial" w:hAnsi="Arial" w:cs="Arial"/>
        </w:rPr>
        <w:t>Overall, the integration of multiple data types, sources, and collection methods provided a comprehensive understanding of supply chain challenges during COVID</w:t>
      </w:r>
      <w:r w:rsidRPr="00944AA8">
        <w:rPr>
          <w:rFonts w:ascii="Arial" w:hAnsi="Arial" w:cs="Arial"/>
        </w:rPr>
        <w:noBreakHyphen/>
        <w:t>19. This holistic approach revealed specific vulnerabilities</w:t>
      </w:r>
      <w:r>
        <w:rPr>
          <w:rFonts w:ascii="Arial" w:hAnsi="Arial" w:cs="Arial"/>
        </w:rPr>
        <w:t xml:space="preserve"> </w:t>
      </w:r>
      <w:r w:rsidRPr="00944AA8">
        <w:rPr>
          <w:rFonts w:ascii="Arial" w:hAnsi="Arial" w:cs="Arial"/>
        </w:rPr>
        <w:t>such as dependence on international suppliers and transport mode constraints that Continental can address to strengthen resilience in future disruptions</w:t>
      </w:r>
      <w:r>
        <w:rPr>
          <w:rFonts w:ascii="Arial" w:hAnsi="Arial" w:cs="Arial"/>
        </w:rPr>
        <w:t>.</w:t>
      </w:r>
    </w:p>
    <w:p w14:paraId="4416E5AE" w14:textId="77777777" w:rsidR="00944AA8" w:rsidRDefault="00944AA8" w:rsidP="0013224D">
      <w:pPr>
        <w:rPr>
          <w:rFonts w:ascii="Arial" w:hAnsi="Arial" w:cs="Arial"/>
          <w:b/>
          <w:bCs/>
          <w:color w:val="0070C0"/>
          <w:sz w:val="24"/>
          <w:szCs w:val="24"/>
          <w:u w:val="single"/>
        </w:rPr>
      </w:pPr>
    </w:p>
    <w:p w14:paraId="69F7B18C" w14:textId="77777777" w:rsidR="0013224D" w:rsidRDefault="0013224D" w:rsidP="0013224D">
      <w:pPr>
        <w:rPr>
          <w:rFonts w:ascii="Arial" w:hAnsi="Arial" w:cs="Arial"/>
          <w:b/>
          <w:bCs/>
          <w:color w:val="0070C0"/>
          <w:sz w:val="24"/>
          <w:szCs w:val="24"/>
          <w:u w:val="single"/>
        </w:rPr>
      </w:pPr>
      <w:r>
        <w:rPr>
          <w:rFonts w:ascii="Arial" w:hAnsi="Arial" w:cs="Arial"/>
          <w:b/>
          <w:bCs/>
          <w:color w:val="0070C0"/>
          <w:sz w:val="24"/>
          <w:szCs w:val="24"/>
          <w:u w:val="single"/>
        </w:rPr>
        <w:lastRenderedPageBreak/>
        <w:t xml:space="preserve">Conclusion </w:t>
      </w:r>
    </w:p>
    <w:p w14:paraId="0533B447" w14:textId="77777777" w:rsidR="00F63D5A" w:rsidRDefault="00F63D5A" w:rsidP="0013224D">
      <w:pPr>
        <w:rPr>
          <w:rFonts w:ascii="Arial" w:hAnsi="Arial" w:cs="Arial"/>
          <w:b/>
          <w:bCs/>
          <w:color w:val="0070C0"/>
          <w:sz w:val="24"/>
          <w:szCs w:val="24"/>
          <w:u w:val="single"/>
        </w:rPr>
      </w:pPr>
    </w:p>
    <w:p w14:paraId="6E25FCC4" w14:textId="00956BAD" w:rsidR="00944AA8" w:rsidRPr="00944AA8" w:rsidRDefault="00944AA8" w:rsidP="00944AA8">
      <w:pPr>
        <w:spacing w:after="0" w:line="360" w:lineRule="auto"/>
        <w:jc w:val="both"/>
        <w:rPr>
          <w:rFonts w:ascii="Arial" w:eastAsia="Times New Roman" w:hAnsi="Arial" w:cs="Arial"/>
          <w:kern w:val="0"/>
          <w:sz w:val="24"/>
          <w:szCs w:val="24"/>
          <w14:ligatures w14:val="none"/>
        </w:rPr>
      </w:pPr>
      <w:r w:rsidRPr="00944AA8">
        <w:rPr>
          <w:rFonts w:ascii="Arial" w:eastAsia="Times New Roman" w:hAnsi="Arial" w:cs="Arial"/>
          <w:kern w:val="0"/>
          <w:sz w:val="24"/>
          <w:szCs w:val="24"/>
          <w14:ligatures w14:val="none"/>
        </w:rPr>
        <w:t>The analysis shows that COVID</w:t>
      </w:r>
      <w:r w:rsidRPr="00944AA8">
        <w:rPr>
          <w:rFonts w:ascii="Arial" w:eastAsia="Times New Roman" w:hAnsi="Arial" w:cs="Arial"/>
          <w:kern w:val="0"/>
          <w:sz w:val="24"/>
          <w:szCs w:val="24"/>
          <w14:ligatures w14:val="none"/>
        </w:rPr>
        <w:noBreakHyphen/>
        <w:t xml:space="preserve">19 created major supply chain challenges for Continental Ebbw Vale, with delays and production disruptions reflecting wider national patterns. Quantitative data revealed operational inefficiencies, while qualitative insights explained causes such as </w:t>
      </w:r>
      <w:proofErr w:type="spellStart"/>
      <w:r w:rsidRPr="00944AA8">
        <w:rPr>
          <w:rFonts w:ascii="Arial" w:eastAsia="Times New Roman" w:hAnsi="Arial" w:cs="Arial"/>
          <w:kern w:val="0"/>
          <w:sz w:val="24"/>
          <w:szCs w:val="24"/>
          <w14:ligatures w14:val="none"/>
        </w:rPr>
        <w:t>labour</w:t>
      </w:r>
      <w:proofErr w:type="spellEnd"/>
      <w:r w:rsidRPr="00944AA8">
        <w:rPr>
          <w:rFonts w:ascii="Arial" w:eastAsia="Times New Roman" w:hAnsi="Arial" w:cs="Arial"/>
          <w:kern w:val="0"/>
          <w:sz w:val="24"/>
          <w:szCs w:val="24"/>
          <w14:ligatures w14:val="none"/>
        </w:rPr>
        <w:t xml:space="preserve"> shortages, transport restrictions, and supplier shutdowns.</w:t>
      </w:r>
      <w:r>
        <w:rPr>
          <w:rFonts w:ascii="Arial" w:eastAsia="Times New Roman" w:hAnsi="Arial" w:cs="Arial"/>
          <w:kern w:val="0"/>
          <w:sz w:val="24"/>
          <w:szCs w:val="24"/>
          <w14:ligatures w14:val="none"/>
        </w:rPr>
        <w:t xml:space="preserve"> </w:t>
      </w:r>
      <w:r w:rsidRPr="00944AA8">
        <w:rPr>
          <w:rFonts w:ascii="Arial" w:eastAsia="Times New Roman" w:hAnsi="Arial" w:cs="Arial"/>
          <w:kern w:val="0"/>
          <w:sz w:val="24"/>
          <w:szCs w:val="24"/>
          <w14:ligatures w14:val="none"/>
        </w:rPr>
        <w:t>Combining internal records with industry data strengthened the validity of the findings. Overall, the study highlights the need for Continental to build greater supply chain resilience through diversified sourcing, stronger logistics planning, and improved risk</w:t>
      </w:r>
      <w:r w:rsidRPr="00944AA8">
        <w:rPr>
          <w:rFonts w:ascii="Arial" w:eastAsia="Times New Roman" w:hAnsi="Arial" w:cs="Arial"/>
          <w:kern w:val="0"/>
          <w:sz w:val="24"/>
          <w:szCs w:val="24"/>
          <w14:ligatures w14:val="none"/>
        </w:rPr>
        <w:noBreakHyphen/>
        <w:t>management strategies.</w:t>
      </w:r>
    </w:p>
    <w:p w14:paraId="5D698A1C" w14:textId="77777777" w:rsidR="00944AA8" w:rsidRDefault="00944AA8" w:rsidP="0013224D">
      <w:pPr>
        <w:rPr>
          <w:rFonts w:ascii="Arial" w:hAnsi="Arial" w:cs="Arial"/>
          <w:b/>
          <w:bCs/>
          <w:color w:val="0070C0"/>
          <w:sz w:val="24"/>
          <w:szCs w:val="24"/>
          <w:u w:val="single"/>
        </w:rPr>
      </w:pPr>
    </w:p>
    <w:p w14:paraId="34C82C98" w14:textId="77777777" w:rsidR="00944AA8" w:rsidRDefault="00944AA8" w:rsidP="0013224D">
      <w:pPr>
        <w:rPr>
          <w:rFonts w:ascii="Arial" w:hAnsi="Arial" w:cs="Arial"/>
          <w:b/>
          <w:bCs/>
          <w:color w:val="0070C0"/>
          <w:sz w:val="24"/>
          <w:szCs w:val="24"/>
          <w:u w:val="single"/>
        </w:rPr>
      </w:pPr>
    </w:p>
    <w:p w14:paraId="6A5E7CE9" w14:textId="77777777" w:rsidR="00C54989" w:rsidRDefault="00C54989" w:rsidP="0013224D">
      <w:pPr>
        <w:rPr>
          <w:rFonts w:ascii="Arial" w:hAnsi="Arial" w:cs="Arial"/>
          <w:b/>
          <w:bCs/>
          <w:sz w:val="24"/>
          <w:szCs w:val="24"/>
          <w:u w:val="single"/>
        </w:rPr>
      </w:pPr>
    </w:p>
    <w:p w14:paraId="5EC27A65" w14:textId="77777777" w:rsidR="00C54989" w:rsidRDefault="00C54989" w:rsidP="0013224D">
      <w:pPr>
        <w:rPr>
          <w:rFonts w:ascii="Arial" w:hAnsi="Arial" w:cs="Arial"/>
          <w:b/>
          <w:bCs/>
          <w:sz w:val="24"/>
          <w:szCs w:val="24"/>
          <w:u w:val="single"/>
        </w:rPr>
      </w:pPr>
    </w:p>
    <w:p w14:paraId="1F20CA6E" w14:textId="77777777" w:rsidR="00C54989" w:rsidRDefault="00C54989" w:rsidP="0013224D">
      <w:pPr>
        <w:rPr>
          <w:rFonts w:ascii="Arial" w:hAnsi="Arial" w:cs="Arial"/>
          <w:b/>
          <w:bCs/>
          <w:sz w:val="24"/>
          <w:szCs w:val="24"/>
          <w:u w:val="single"/>
        </w:rPr>
      </w:pPr>
    </w:p>
    <w:p w14:paraId="289D4450" w14:textId="77777777" w:rsidR="00C54989" w:rsidRDefault="00C54989" w:rsidP="0013224D">
      <w:pPr>
        <w:rPr>
          <w:rFonts w:ascii="Arial" w:hAnsi="Arial" w:cs="Arial"/>
          <w:b/>
          <w:bCs/>
          <w:sz w:val="24"/>
          <w:szCs w:val="24"/>
          <w:u w:val="single"/>
        </w:rPr>
      </w:pPr>
    </w:p>
    <w:p w14:paraId="21C5A4F1" w14:textId="77777777" w:rsidR="0013224D" w:rsidRDefault="0013224D" w:rsidP="0013224D">
      <w:pPr>
        <w:rPr>
          <w:b/>
          <w:bCs/>
          <w:color w:val="4472C4" w:themeColor="accent1"/>
          <w:sz w:val="24"/>
          <w:szCs w:val="24"/>
          <w:u w:val="single"/>
        </w:rPr>
      </w:pPr>
    </w:p>
    <w:p w14:paraId="06DD7A87" w14:textId="77777777" w:rsidR="0013224D" w:rsidRDefault="0013224D" w:rsidP="0013224D">
      <w:pPr>
        <w:rPr>
          <w:b/>
          <w:bCs/>
          <w:color w:val="4472C4" w:themeColor="accent1"/>
          <w:sz w:val="24"/>
          <w:szCs w:val="24"/>
          <w:u w:val="single"/>
        </w:rPr>
      </w:pPr>
    </w:p>
    <w:p w14:paraId="0C4803B5" w14:textId="77777777" w:rsidR="00B22C6C" w:rsidRDefault="00B22C6C" w:rsidP="0013224D">
      <w:pPr>
        <w:rPr>
          <w:b/>
          <w:bCs/>
          <w:color w:val="4472C4" w:themeColor="accent1"/>
          <w:sz w:val="24"/>
          <w:szCs w:val="24"/>
          <w:u w:val="single"/>
        </w:rPr>
      </w:pPr>
    </w:p>
    <w:p w14:paraId="6F24B9A5" w14:textId="77777777" w:rsidR="00B22C6C" w:rsidRDefault="00B22C6C" w:rsidP="0013224D">
      <w:pPr>
        <w:rPr>
          <w:b/>
          <w:bCs/>
          <w:color w:val="4472C4" w:themeColor="accent1"/>
          <w:sz w:val="24"/>
          <w:szCs w:val="24"/>
          <w:u w:val="single"/>
        </w:rPr>
      </w:pPr>
    </w:p>
    <w:p w14:paraId="75D9321F" w14:textId="77777777" w:rsidR="00B22C6C" w:rsidRDefault="00B22C6C" w:rsidP="0013224D">
      <w:pPr>
        <w:rPr>
          <w:b/>
          <w:bCs/>
          <w:color w:val="4472C4" w:themeColor="accent1"/>
          <w:sz w:val="24"/>
          <w:szCs w:val="24"/>
          <w:u w:val="single"/>
        </w:rPr>
      </w:pPr>
    </w:p>
    <w:p w14:paraId="3FDC49F1" w14:textId="77777777" w:rsidR="00B22C6C" w:rsidRDefault="00B22C6C" w:rsidP="0013224D">
      <w:pPr>
        <w:rPr>
          <w:b/>
          <w:bCs/>
          <w:color w:val="4472C4" w:themeColor="accent1"/>
          <w:sz w:val="24"/>
          <w:szCs w:val="24"/>
          <w:u w:val="single"/>
        </w:rPr>
      </w:pPr>
    </w:p>
    <w:p w14:paraId="7C8C83F4" w14:textId="77777777" w:rsidR="00B22C6C" w:rsidRDefault="00B22C6C" w:rsidP="0013224D">
      <w:pPr>
        <w:rPr>
          <w:b/>
          <w:bCs/>
          <w:color w:val="4472C4" w:themeColor="accent1"/>
          <w:sz w:val="24"/>
          <w:szCs w:val="24"/>
          <w:u w:val="single"/>
        </w:rPr>
      </w:pPr>
    </w:p>
    <w:p w14:paraId="1D16B57B" w14:textId="77777777" w:rsidR="00B22C6C" w:rsidRDefault="00B22C6C" w:rsidP="0013224D">
      <w:pPr>
        <w:rPr>
          <w:b/>
          <w:bCs/>
          <w:color w:val="4472C4" w:themeColor="accent1"/>
          <w:sz w:val="24"/>
          <w:szCs w:val="24"/>
          <w:u w:val="single"/>
        </w:rPr>
      </w:pPr>
    </w:p>
    <w:p w14:paraId="3DC320F3" w14:textId="77777777" w:rsidR="00B22C6C" w:rsidRDefault="00B22C6C" w:rsidP="0013224D">
      <w:pPr>
        <w:rPr>
          <w:b/>
          <w:bCs/>
          <w:color w:val="4472C4" w:themeColor="accent1"/>
          <w:sz w:val="24"/>
          <w:szCs w:val="24"/>
          <w:u w:val="single"/>
        </w:rPr>
      </w:pPr>
    </w:p>
    <w:p w14:paraId="3878C95B" w14:textId="77777777" w:rsidR="00B22C6C" w:rsidRDefault="00B22C6C" w:rsidP="0013224D">
      <w:pPr>
        <w:rPr>
          <w:b/>
          <w:bCs/>
          <w:color w:val="4472C4" w:themeColor="accent1"/>
          <w:sz w:val="24"/>
          <w:szCs w:val="24"/>
          <w:u w:val="single"/>
        </w:rPr>
      </w:pPr>
    </w:p>
    <w:p w14:paraId="5C3A9FAF" w14:textId="77777777" w:rsidR="00B22C6C" w:rsidRDefault="00B22C6C" w:rsidP="0013224D">
      <w:pPr>
        <w:rPr>
          <w:b/>
          <w:bCs/>
          <w:color w:val="4472C4" w:themeColor="accent1"/>
          <w:sz w:val="24"/>
          <w:szCs w:val="24"/>
          <w:u w:val="single"/>
        </w:rPr>
      </w:pPr>
    </w:p>
    <w:p w14:paraId="1C197DAD" w14:textId="77777777" w:rsidR="00B22C6C" w:rsidRDefault="00B22C6C" w:rsidP="0013224D">
      <w:pPr>
        <w:rPr>
          <w:b/>
          <w:bCs/>
          <w:color w:val="4472C4" w:themeColor="accent1"/>
          <w:sz w:val="24"/>
          <w:szCs w:val="24"/>
          <w:u w:val="single"/>
        </w:rPr>
      </w:pPr>
    </w:p>
    <w:p w14:paraId="5A556DFE" w14:textId="77777777" w:rsidR="00B22C6C" w:rsidRDefault="00B22C6C" w:rsidP="0013224D">
      <w:pPr>
        <w:rPr>
          <w:b/>
          <w:bCs/>
          <w:color w:val="4472C4" w:themeColor="accent1"/>
          <w:sz w:val="24"/>
          <w:szCs w:val="24"/>
          <w:u w:val="single"/>
        </w:rPr>
      </w:pPr>
    </w:p>
    <w:p w14:paraId="5EEE6927" w14:textId="77777777" w:rsidR="00B22C6C" w:rsidRDefault="00B22C6C" w:rsidP="0013224D">
      <w:pPr>
        <w:rPr>
          <w:b/>
          <w:bCs/>
          <w:color w:val="4472C4" w:themeColor="accent1"/>
          <w:sz w:val="24"/>
          <w:szCs w:val="24"/>
          <w:u w:val="single"/>
        </w:rPr>
      </w:pPr>
    </w:p>
    <w:p w14:paraId="1B04B8E2" w14:textId="77777777" w:rsidR="00B22C6C" w:rsidRDefault="00B22C6C" w:rsidP="0013224D">
      <w:pPr>
        <w:rPr>
          <w:b/>
          <w:bCs/>
          <w:color w:val="4472C4" w:themeColor="accent1"/>
          <w:sz w:val="24"/>
          <w:szCs w:val="24"/>
          <w:u w:val="single"/>
        </w:rPr>
      </w:pPr>
    </w:p>
    <w:p w14:paraId="193C584A" w14:textId="7B44D74E" w:rsidR="0013224D" w:rsidRPr="00F42E3D" w:rsidRDefault="0013224D" w:rsidP="00F42E3D">
      <w:pPr>
        <w:spacing w:line="360" w:lineRule="auto"/>
        <w:jc w:val="both"/>
        <w:rPr>
          <w:rFonts w:ascii="Arial" w:hAnsi="Arial" w:cs="Arial"/>
          <w:b/>
          <w:bCs/>
          <w:color w:val="4472C4" w:themeColor="accent1"/>
          <w:sz w:val="24"/>
          <w:szCs w:val="24"/>
          <w:u w:val="single"/>
        </w:rPr>
      </w:pPr>
      <w:r w:rsidRPr="00F42E3D">
        <w:rPr>
          <w:rFonts w:ascii="Arial" w:hAnsi="Arial" w:cs="Arial"/>
          <w:b/>
          <w:bCs/>
          <w:color w:val="4472C4" w:themeColor="accent1"/>
          <w:sz w:val="24"/>
          <w:szCs w:val="24"/>
          <w:u w:val="single"/>
        </w:rPr>
        <w:lastRenderedPageBreak/>
        <w:t xml:space="preserve">References </w:t>
      </w:r>
    </w:p>
    <w:p w14:paraId="430A8F15" w14:textId="032F3FE5" w:rsidR="003632E3" w:rsidRPr="00F42E3D" w:rsidRDefault="00B378FE" w:rsidP="00F42E3D">
      <w:pPr>
        <w:spacing w:after="0" w:line="360" w:lineRule="auto"/>
        <w:jc w:val="both"/>
        <w:rPr>
          <w:rFonts w:ascii="Arial" w:eastAsia="Times New Roman" w:hAnsi="Arial" w:cs="Arial"/>
          <w:kern w:val="0"/>
          <w:sz w:val="24"/>
          <w:szCs w:val="24"/>
          <w14:ligatures w14:val="none"/>
        </w:rPr>
      </w:pPr>
      <w:r w:rsidRPr="00B378FE">
        <w:rPr>
          <w:rFonts w:ascii="Arial" w:eastAsia="Times New Roman" w:hAnsi="Arial" w:cs="Arial"/>
          <w:b/>
          <w:bCs/>
          <w:kern w:val="0"/>
          <w:sz w:val="24"/>
          <w:szCs w:val="24"/>
          <w14:ligatures w14:val="none"/>
        </w:rPr>
        <w:t>AUMOVIO (2026)</w:t>
      </w:r>
      <w:r w:rsidRPr="00B378FE">
        <w:rPr>
          <w:rFonts w:ascii="Arial" w:eastAsia="Times New Roman" w:hAnsi="Arial" w:cs="Arial"/>
          <w:kern w:val="0"/>
          <w:sz w:val="24"/>
          <w:szCs w:val="24"/>
          <w14:ligatures w14:val="none"/>
        </w:rPr>
        <w:t xml:space="preserve"> </w:t>
      </w:r>
      <w:r w:rsidRPr="00B378FE">
        <w:rPr>
          <w:rFonts w:ascii="Arial" w:eastAsia="Times New Roman" w:hAnsi="Arial" w:cs="Arial"/>
          <w:i/>
          <w:iCs/>
          <w:kern w:val="0"/>
          <w:sz w:val="24"/>
          <w:szCs w:val="24"/>
          <w14:ligatures w14:val="none"/>
        </w:rPr>
        <w:t>Homepage | AUMOVIO</w:t>
      </w:r>
      <w:r w:rsidRPr="00B378FE">
        <w:rPr>
          <w:rFonts w:ascii="Arial" w:eastAsia="Times New Roman" w:hAnsi="Arial" w:cs="Arial"/>
          <w:kern w:val="0"/>
          <w:sz w:val="24"/>
          <w:szCs w:val="24"/>
          <w14:ligatures w14:val="none"/>
        </w:rPr>
        <w:t xml:space="preserve">. Available at: </w:t>
      </w:r>
      <w:hyperlink r:id="rId15" w:history="1">
        <w:r w:rsidR="003632E3" w:rsidRPr="00B378FE">
          <w:rPr>
            <w:rStyle w:val="Hyperlink"/>
            <w:rFonts w:ascii="Arial" w:eastAsia="Times New Roman" w:hAnsi="Arial" w:cs="Arial"/>
            <w:color w:val="auto"/>
            <w:kern w:val="0"/>
            <w:sz w:val="24"/>
            <w:szCs w:val="24"/>
            <w:u w:val="none"/>
            <w14:ligatures w14:val="none"/>
          </w:rPr>
          <w:t>https://www.aumovio.com/en.html</w:t>
        </w:r>
      </w:hyperlink>
      <w:r w:rsidRPr="00B378FE">
        <w:rPr>
          <w:rFonts w:ascii="Arial" w:eastAsia="Times New Roman" w:hAnsi="Arial" w:cs="Arial"/>
          <w:kern w:val="0"/>
          <w:sz w:val="24"/>
          <w:szCs w:val="24"/>
          <w14:ligatures w14:val="none"/>
        </w:rPr>
        <w:t xml:space="preserve"> </w:t>
      </w:r>
    </w:p>
    <w:p w14:paraId="35E8BDB2" w14:textId="4FAD3657" w:rsidR="00B378FE" w:rsidRPr="00B378FE" w:rsidRDefault="00B378FE" w:rsidP="00F42E3D">
      <w:pPr>
        <w:spacing w:after="0" w:line="360" w:lineRule="auto"/>
        <w:jc w:val="both"/>
        <w:rPr>
          <w:rFonts w:ascii="Arial" w:eastAsia="Times New Roman" w:hAnsi="Arial" w:cs="Arial"/>
          <w:kern w:val="0"/>
          <w:sz w:val="24"/>
          <w:szCs w:val="24"/>
          <w14:ligatures w14:val="none"/>
        </w:rPr>
      </w:pPr>
      <w:r w:rsidRPr="00B378FE">
        <w:rPr>
          <w:rFonts w:ascii="Arial" w:eastAsia="Times New Roman" w:hAnsi="Arial" w:cs="Arial"/>
          <w:kern w:val="0"/>
          <w:sz w:val="24"/>
          <w:szCs w:val="24"/>
          <w14:ligatures w14:val="none"/>
        </w:rPr>
        <w:t>(Accessed: 22 February 2026).</w:t>
      </w:r>
      <w:r w:rsidR="003632E3" w:rsidRPr="00F42E3D">
        <w:rPr>
          <w:rFonts w:ascii="Arial" w:eastAsia="Times New Roman" w:hAnsi="Arial" w:cs="Arial"/>
          <w:kern w:val="0"/>
          <w:sz w:val="24"/>
          <w:szCs w:val="24"/>
          <w14:ligatures w14:val="none"/>
        </w:rPr>
        <w:t xml:space="preserve"> – </w:t>
      </w:r>
      <w:r w:rsidR="003632E3" w:rsidRPr="00F42E3D">
        <w:rPr>
          <w:rFonts w:ascii="Arial" w:eastAsia="Times New Roman" w:hAnsi="Arial" w:cs="Arial"/>
          <w:b/>
          <w:bCs/>
          <w:kern w:val="0"/>
          <w:sz w:val="24"/>
          <w:szCs w:val="24"/>
          <w14:ligatures w14:val="none"/>
        </w:rPr>
        <w:t>Aumovio Logo</w:t>
      </w:r>
      <w:r w:rsidR="003632E3" w:rsidRPr="00F42E3D">
        <w:rPr>
          <w:rFonts w:ascii="Arial" w:eastAsia="Times New Roman" w:hAnsi="Arial" w:cs="Arial"/>
          <w:kern w:val="0"/>
          <w:sz w:val="24"/>
          <w:szCs w:val="24"/>
          <w14:ligatures w14:val="none"/>
        </w:rPr>
        <w:t xml:space="preserve"> </w:t>
      </w:r>
    </w:p>
    <w:p w14:paraId="3B13CC79"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Bureau of Labor Statistics (2024)</w:t>
      </w:r>
      <w:r w:rsidRPr="00F42E3D">
        <w:rPr>
          <w:rFonts w:ascii="Arial" w:hAnsi="Arial" w:cs="Arial"/>
        </w:rPr>
        <w:t xml:space="preserve"> </w:t>
      </w:r>
      <w:r w:rsidRPr="00F42E3D">
        <w:rPr>
          <w:rStyle w:val="Emphasis"/>
          <w:rFonts w:ascii="Arial" w:hAnsi="Arial" w:cs="Arial"/>
        </w:rPr>
        <w:t xml:space="preserve">Inbound air freight prices go sky high </w:t>
      </w:r>
      <w:proofErr w:type="gramStart"/>
      <w:r w:rsidRPr="00F42E3D">
        <w:rPr>
          <w:rStyle w:val="Emphasis"/>
          <w:rFonts w:ascii="Arial" w:hAnsi="Arial" w:cs="Arial"/>
        </w:rPr>
        <w:t>in the midst of</w:t>
      </w:r>
      <w:proofErr w:type="gramEnd"/>
      <w:r w:rsidRPr="00F42E3D">
        <w:rPr>
          <w:rStyle w:val="Emphasis"/>
          <w:rFonts w:ascii="Arial" w:hAnsi="Arial" w:cs="Arial"/>
        </w:rPr>
        <w:t xml:space="preserve"> pandemic.</w:t>
      </w:r>
      <w:r w:rsidRPr="00F42E3D">
        <w:rPr>
          <w:rFonts w:ascii="Arial" w:hAnsi="Arial" w:cs="Arial"/>
        </w:rPr>
        <w:t xml:space="preserve"> Available at: https://www.bls.gov/opub/btn/volume-10/air-freight-prices.htm (Accessed: 28 January 2026).</w:t>
      </w:r>
    </w:p>
    <w:p w14:paraId="019823A4"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Christopher, M. (2016)</w:t>
      </w:r>
      <w:r w:rsidRPr="00F42E3D">
        <w:rPr>
          <w:rFonts w:ascii="Arial" w:hAnsi="Arial" w:cs="Arial"/>
        </w:rPr>
        <w:t xml:space="preserve"> </w:t>
      </w:r>
      <w:r w:rsidRPr="00F42E3D">
        <w:rPr>
          <w:rStyle w:val="Emphasis"/>
          <w:rFonts w:ascii="Arial" w:hAnsi="Arial" w:cs="Arial"/>
        </w:rPr>
        <w:t>Logistics and Supply Chain Management.</w:t>
      </w:r>
      <w:r w:rsidRPr="00F42E3D">
        <w:rPr>
          <w:rFonts w:ascii="Arial" w:hAnsi="Arial" w:cs="Arial"/>
        </w:rPr>
        <w:t xml:space="preserve"> 5th </w:t>
      </w:r>
      <w:proofErr w:type="spellStart"/>
      <w:r w:rsidRPr="00F42E3D">
        <w:rPr>
          <w:rFonts w:ascii="Arial" w:hAnsi="Arial" w:cs="Arial"/>
        </w:rPr>
        <w:t>edn</w:t>
      </w:r>
      <w:proofErr w:type="spellEnd"/>
      <w:r w:rsidRPr="00F42E3D">
        <w:rPr>
          <w:rFonts w:ascii="Arial" w:hAnsi="Arial" w:cs="Arial"/>
        </w:rPr>
        <w:t>. London: Pearson.</w:t>
      </w:r>
    </w:p>
    <w:p w14:paraId="449BEA59" w14:textId="77777777" w:rsidR="0013224D" w:rsidRPr="00F42E3D" w:rsidRDefault="0013224D" w:rsidP="00F42E3D">
      <w:pPr>
        <w:spacing w:after="0" w:line="360" w:lineRule="auto"/>
        <w:jc w:val="both"/>
        <w:rPr>
          <w:rFonts w:ascii="Arial" w:eastAsia="Times New Roman" w:hAnsi="Arial" w:cs="Arial"/>
          <w:kern w:val="0"/>
          <w:sz w:val="24"/>
          <w:szCs w:val="24"/>
          <w14:ligatures w14:val="none"/>
        </w:rPr>
      </w:pPr>
      <w:proofErr w:type="spellStart"/>
      <w:r w:rsidRPr="00F42E3D">
        <w:rPr>
          <w:rFonts w:ascii="Arial" w:eastAsia="Times New Roman" w:hAnsi="Arial" w:cs="Arial"/>
          <w:b/>
          <w:bCs/>
          <w:kern w:val="0"/>
          <w:sz w:val="24"/>
          <w:szCs w:val="24"/>
          <w14:ligatures w14:val="none"/>
        </w:rPr>
        <w:t>Gorry</w:t>
      </w:r>
      <w:proofErr w:type="spellEnd"/>
      <w:r w:rsidRPr="00F42E3D">
        <w:rPr>
          <w:rFonts w:ascii="Arial" w:eastAsia="Times New Roman" w:hAnsi="Arial" w:cs="Arial"/>
          <w:b/>
          <w:bCs/>
          <w:kern w:val="0"/>
          <w:sz w:val="24"/>
          <w:szCs w:val="24"/>
          <w14:ligatures w14:val="none"/>
        </w:rPr>
        <w:t>, G.A. and Scott Morton, M.S. (1971)</w:t>
      </w:r>
      <w:r w:rsidRPr="00F42E3D">
        <w:rPr>
          <w:rFonts w:ascii="Arial" w:eastAsia="Times New Roman" w:hAnsi="Arial" w:cs="Arial"/>
          <w:kern w:val="0"/>
          <w:sz w:val="24"/>
          <w:szCs w:val="24"/>
          <w14:ligatures w14:val="none"/>
        </w:rPr>
        <w:t xml:space="preserve"> ‘A framework for management information systems’, </w:t>
      </w:r>
      <w:r w:rsidRPr="00F42E3D">
        <w:rPr>
          <w:rFonts w:ascii="Arial" w:eastAsia="Times New Roman" w:hAnsi="Arial" w:cs="Arial"/>
          <w:i/>
          <w:iCs/>
          <w:kern w:val="0"/>
          <w:sz w:val="24"/>
          <w:szCs w:val="24"/>
          <w14:ligatures w14:val="none"/>
        </w:rPr>
        <w:t>Sloan Management Review</w:t>
      </w:r>
      <w:r w:rsidRPr="00F42E3D">
        <w:rPr>
          <w:rFonts w:ascii="Arial" w:eastAsia="Times New Roman" w:hAnsi="Arial" w:cs="Arial"/>
          <w:kern w:val="0"/>
          <w:sz w:val="24"/>
          <w:szCs w:val="24"/>
          <w14:ligatures w14:val="none"/>
        </w:rPr>
        <w:t xml:space="preserve">, 13(1), pp. 55–70. – </w:t>
      </w:r>
      <w:r w:rsidRPr="00F42E3D">
        <w:rPr>
          <w:rFonts w:ascii="Arial" w:eastAsia="Times New Roman" w:hAnsi="Arial" w:cs="Arial"/>
          <w:b/>
          <w:bCs/>
          <w:kern w:val="0"/>
          <w:sz w:val="24"/>
          <w:szCs w:val="24"/>
          <w14:ligatures w14:val="none"/>
        </w:rPr>
        <w:t>Part B of the Assignment</w:t>
      </w:r>
      <w:r w:rsidRPr="00F42E3D">
        <w:rPr>
          <w:rFonts w:ascii="Arial" w:eastAsia="Times New Roman" w:hAnsi="Arial" w:cs="Arial"/>
          <w:kern w:val="0"/>
          <w:sz w:val="24"/>
          <w:szCs w:val="24"/>
          <w14:ligatures w14:val="none"/>
        </w:rPr>
        <w:t xml:space="preserve"> </w:t>
      </w:r>
    </w:p>
    <w:p w14:paraId="2C7A32C6"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EY (2021)</w:t>
      </w:r>
      <w:r w:rsidRPr="00F42E3D">
        <w:rPr>
          <w:rFonts w:ascii="Arial" w:hAnsi="Arial" w:cs="Arial"/>
        </w:rPr>
        <w:t xml:space="preserve"> </w:t>
      </w:r>
      <w:r w:rsidRPr="00F42E3D">
        <w:rPr>
          <w:rStyle w:val="Emphasis"/>
          <w:rFonts w:ascii="Arial" w:hAnsi="Arial" w:cs="Arial"/>
        </w:rPr>
        <w:t>COVID</w:t>
      </w:r>
      <w:r w:rsidRPr="00F42E3D">
        <w:rPr>
          <w:rStyle w:val="Emphasis"/>
          <w:rFonts w:ascii="Arial" w:hAnsi="Arial" w:cs="Arial"/>
        </w:rPr>
        <w:noBreakHyphen/>
        <w:t>19 and supply chain resilience: lessons learned.</w:t>
      </w:r>
      <w:r w:rsidRPr="00F42E3D">
        <w:rPr>
          <w:rFonts w:ascii="Arial" w:hAnsi="Arial" w:cs="Arial"/>
        </w:rPr>
        <w:t xml:space="preserve"> Available at: https://www.ey.com/en_uk/insights/supply-chain/how-covid-19-impacted-supply-chains-and-what-comes-next (Accessed: 28 January 2026).</w:t>
      </w:r>
    </w:p>
    <w:p w14:paraId="66FA9E15"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Ivanov, D. (2020)</w:t>
      </w:r>
      <w:r w:rsidRPr="00F42E3D">
        <w:rPr>
          <w:rFonts w:ascii="Arial" w:hAnsi="Arial" w:cs="Arial"/>
        </w:rPr>
        <w:t xml:space="preserve"> ‘Predicting the impacts of epidemic outbreaks on global supply chains: A simulation-based analysis’, </w:t>
      </w:r>
      <w:r w:rsidRPr="00F42E3D">
        <w:rPr>
          <w:rStyle w:val="Emphasis"/>
          <w:rFonts w:ascii="Arial" w:hAnsi="Arial" w:cs="Arial"/>
        </w:rPr>
        <w:t>Transportation Research Part E: Logistics and Transportation Review</w:t>
      </w:r>
      <w:r w:rsidRPr="00F42E3D">
        <w:rPr>
          <w:rFonts w:ascii="Arial" w:hAnsi="Arial" w:cs="Arial"/>
        </w:rPr>
        <w:t>, 136, p. 101922.</w:t>
      </w:r>
    </w:p>
    <w:p w14:paraId="378F88C3" w14:textId="7671D466"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Ivanov, D. (2020)</w:t>
      </w:r>
      <w:r w:rsidRPr="00F42E3D">
        <w:rPr>
          <w:rFonts w:ascii="Arial" w:hAnsi="Arial" w:cs="Arial"/>
        </w:rPr>
        <w:t xml:space="preserve"> ‘Viable supply chain model: integrating agility, resilience and sustainability perspectives lessons from COVID</w:t>
      </w:r>
      <w:r w:rsidRPr="00F42E3D">
        <w:rPr>
          <w:rFonts w:ascii="Arial" w:hAnsi="Arial" w:cs="Arial"/>
        </w:rPr>
        <w:noBreakHyphen/>
        <w:t xml:space="preserve">19’, </w:t>
      </w:r>
      <w:r w:rsidRPr="00F42E3D">
        <w:rPr>
          <w:rStyle w:val="Emphasis"/>
          <w:rFonts w:ascii="Arial" w:hAnsi="Arial" w:cs="Arial"/>
        </w:rPr>
        <w:t>International Journal of Production Research</w:t>
      </w:r>
      <w:r w:rsidRPr="00F42E3D">
        <w:rPr>
          <w:rFonts w:ascii="Arial" w:hAnsi="Arial" w:cs="Arial"/>
        </w:rPr>
        <w:t>, 58(10), pp. 2904–2915.</w:t>
      </w:r>
    </w:p>
    <w:p w14:paraId="187E615B"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 xml:space="preserve">Ivanov, D. and </w:t>
      </w:r>
      <w:proofErr w:type="spellStart"/>
      <w:r w:rsidRPr="00F42E3D">
        <w:rPr>
          <w:rStyle w:val="Strong"/>
          <w:rFonts w:ascii="Arial" w:hAnsi="Arial" w:cs="Arial"/>
        </w:rPr>
        <w:t>Dolgui</w:t>
      </w:r>
      <w:proofErr w:type="spellEnd"/>
      <w:r w:rsidRPr="00F42E3D">
        <w:rPr>
          <w:rStyle w:val="Strong"/>
          <w:rFonts w:ascii="Arial" w:hAnsi="Arial" w:cs="Arial"/>
        </w:rPr>
        <w:t>, A. (2021)</w:t>
      </w:r>
      <w:r w:rsidRPr="00F42E3D">
        <w:rPr>
          <w:rFonts w:ascii="Arial" w:hAnsi="Arial" w:cs="Arial"/>
        </w:rPr>
        <w:t xml:space="preserve"> ‘OR methods for coping with the ripple effect in supply chains during COVID</w:t>
      </w:r>
      <w:r w:rsidRPr="00F42E3D">
        <w:rPr>
          <w:rFonts w:ascii="Arial" w:hAnsi="Arial" w:cs="Arial"/>
        </w:rPr>
        <w:noBreakHyphen/>
        <w:t xml:space="preserve">19’, </w:t>
      </w:r>
      <w:r w:rsidRPr="00F42E3D">
        <w:rPr>
          <w:rStyle w:val="Emphasis"/>
          <w:rFonts w:ascii="Arial" w:hAnsi="Arial" w:cs="Arial"/>
        </w:rPr>
        <w:t>International Journal of Production Economics</w:t>
      </w:r>
      <w:r w:rsidRPr="00F42E3D">
        <w:rPr>
          <w:rFonts w:ascii="Arial" w:hAnsi="Arial" w:cs="Arial"/>
        </w:rPr>
        <w:t>.</w:t>
      </w:r>
    </w:p>
    <w:p w14:paraId="4369A298"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OECD (2022)</w:t>
      </w:r>
      <w:r w:rsidRPr="00F42E3D">
        <w:rPr>
          <w:rFonts w:ascii="Arial" w:hAnsi="Arial" w:cs="Arial"/>
        </w:rPr>
        <w:t xml:space="preserve"> </w:t>
      </w:r>
      <w:r w:rsidRPr="00F42E3D">
        <w:rPr>
          <w:rStyle w:val="Emphasis"/>
          <w:rFonts w:ascii="Arial" w:hAnsi="Arial" w:cs="Arial"/>
        </w:rPr>
        <w:t>International trade during the COVID</w:t>
      </w:r>
      <w:r w:rsidRPr="00F42E3D">
        <w:rPr>
          <w:rStyle w:val="Emphasis"/>
          <w:rFonts w:ascii="Arial" w:hAnsi="Arial" w:cs="Arial"/>
        </w:rPr>
        <w:noBreakHyphen/>
        <w:t>19 pandemic: Big shifts and uncertainty.</w:t>
      </w:r>
      <w:r w:rsidRPr="00F42E3D">
        <w:rPr>
          <w:rFonts w:ascii="Arial" w:hAnsi="Arial" w:cs="Arial"/>
        </w:rPr>
        <w:t xml:space="preserve"> Paris: OECD Publishing.</w:t>
      </w:r>
    </w:p>
    <w:p w14:paraId="468F8672" w14:textId="1F357F29"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Office for National Statistics (ONS) (2022)</w:t>
      </w:r>
      <w:r w:rsidRPr="00F42E3D">
        <w:rPr>
          <w:rFonts w:ascii="Arial" w:hAnsi="Arial" w:cs="Arial"/>
        </w:rPr>
        <w:t xml:space="preserve"> </w:t>
      </w:r>
      <w:r w:rsidRPr="00F42E3D">
        <w:rPr>
          <w:rStyle w:val="Emphasis"/>
          <w:rFonts w:ascii="Arial" w:hAnsi="Arial" w:cs="Arial"/>
        </w:rPr>
        <w:t>Business insights and impact on the UK economy: 10 March 2022.</w:t>
      </w:r>
      <w:r w:rsidRPr="00F42E3D">
        <w:rPr>
          <w:rFonts w:ascii="Arial" w:hAnsi="Arial" w:cs="Arial"/>
        </w:rPr>
        <w:t xml:space="preserve"> </w:t>
      </w:r>
    </w:p>
    <w:p w14:paraId="5EA75025" w14:textId="77777777" w:rsidR="00F42E3D" w:rsidRDefault="00F42E3D" w:rsidP="00F42E3D">
      <w:pPr>
        <w:pStyle w:val="NormalWeb"/>
        <w:spacing w:line="360" w:lineRule="auto"/>
        <w:jc w:val="both"/>
        <w:rPr>
          <w:rStyle w:val="Strong"/>
          <w:rFonts w:ascii="Arial" w:hAnsi="Arial" w:cs="Arial"/>
        </w:rPr>
      </w:pPr>
    </w:p>
    <w:p w14:paraId="0B25AC78" w14:textId="1432F6FC"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lastRenderedPageBreak/>
        <w:t>Office for National Statistics (ONS) (2022)</w:t>
      </w:r>
      <w:r w:rsidRPr="00F42E3D">
        <w:rPr>
          <w:rFonts w:ascii="Arial" w:hAnsi="Arial" w:cs="Arial"/>
        </w:rPr>
        <w:t xml:space="preserve"> </w:t>
      </w:r>
      <w:r w:rsidRPr="00F42E3D">
        <w:rPr>
          <w:rStyle w:val="Emphasis"/>
          <w:rFonts w:ascii="Arial" w:hAnsi="Arial" w:cs="Arial"/>
        </w:rPr>
        <w:t>Early insights into the impacts of the coronavirus pandemic and EU exit on business supply chains in the UK: February 2021 to February 2022.</w:t>
      </w:r>
      <w:r w:rsidRPr="00F42E3D">
        <w:rPr>
          <w:rFonts w:ascii="Arial" w:hAnsi="Arial" w:cs="Arial"/>
        </w:rPr>
        <w:t xml:space="preserve"> </w:t>
      </w:r>
      <w:proofErr w:type="gramStart"/>
      <w:r w:rsidRPr="00F42E3D">
        <w:rPr>
          <w:rFonts w:ascii="Arial" w:hAnsi="Arial" w:cs="Arial"/>
        </w:rPr>
        <w:t>Availableat:https://www.ons.gov.uk/businessindustryandtrade/internationaltrade/articles/earlyinsightsintotheimpactsofthecoronaviruspandemicandeuexitonbusinesssupplychainsintheuk/february2021tofebruary2022</w:t>
      </w:r>
      <w:proofErr w:type="gramEnd"/>
      <w:r w:rsidRPr="00F42E3D">
        <w:rPr>
          <w:rFonts w:ascii="Arial" w:hAnsi="Arial" w:cs="Arial"/>
        </w:rPr>
        <w:t xml:space="preserve"> (Accessed: 28 January 2026).</w:t>
      </w:r>
    </w:p>
    <w:p w14:paraId="3F561E08" w14:textId="7873B10E" w:rsidR="0013224D" w:rsidRPr="00F42E3D" w:rsidRDefault="0013224D" w:rsidP="00F42E3D">
      <w:pPr>
        <w:pStyle w:val="NormalWeb"/>
        <w:spacing w:line="360" w:lineRule="auto"/>
        <w:jc w:val="both"/>
        <w:rPr>
          <w:rFonts w:ascii="Arial" w:hAnsi="Arial" w:cs="Arial"/>
        </w:rPr>
      </w:pPr>
      <w:proofErr w:type="spellStart"/>
      <w:r w:rsidRPr="00F42E3D">
        <w:rPr>
          <w:rStyle w:val="Strong"/>
          <w:rFonts w:ascii="Arial" w:hAnsi="Arial" w:cs="Arial"/>
        </w:rPr>
        <w:t>Panjiva</w:t>
      </w:r>
      <w:proofErr w:type="spellEnd"/>
      <w:r w:rsidRPr="00F42E3D">
        <w:rPr>
          <w:rStyle w:val="Strong"/>
          <w:rFonts w:ascii="Arial" w:hAnsi="Arial" w:cs="Arial"/>
        </w:rPr>
        <w:t xml:space="preserve"> (2026)</w:t>
      </w:r>
      <w:r w:rsidRPr="00F42E3D">
        <w:rPr>
          <w:rFonts w:ascii="Arial" w:hAnsi="Arial" w:cs="Arial"/>
        </w:rPr>
        <w:t xml:space="preserve"> </w:t>
      </w:r>
      <w:proofErr w:type="spellStart"/>
      <w:r w:rsidRPr="00F42E3D">
        <w:rPr>
          <w:rStyle w:val="Emphasis"/>
          <w:rFonts w:ascii="Arial" w:hAnsi="Arial" w:cs="Arial"/>
        </w:rPr>
        <w:t>Panjiva</w:t>
      </w:r>
      <w:proofErr w:type="spellEnd"/>
      <w:r w:rsidRPr="00F42E3D">
        <w:rPr>
          <w:rStyle w:val="Emphasis"/>
          <w:rFonts w:ascii="Arial" w:hAnsi="Arial" w:cs="Arial"/>
        </w:rPr>
        <w:t xml:space="preserve"> Shipment and Customs Data Platform.</w:t>
      </w:r>
      <w:r w:rsidRPr="00F42E3D">
        <w:rPr>
          <w:rFonts w:ascii="Arial" w:hAnsi="Arial" w:cs="Arial"/>
        </w:rPr>
        <w:t xml:space="preserve"> S&amp;P Global Market Intelligence. Available at: https://panjiva.com/shipment_search (Accessed: </w:t>
      </w:r>
      <w:r w:rsidR="00B22C6C" w:rsidRPr="00F42E3D">
        <w:rPr>
          <w:rFonts w:ascii="Arial" w:hAnsi="Arial" w:cs="Arial"/>
        </w:rPr>
        <w:t>12 February 2026</w:t>
      </w:r>
      <w:r w:rsidRPr="00F42E3D">
        <w:rPr>
          <w:rFonts w:ascii="Arial" w:hAnsi="Arial" w:cs="Arial"/>
        </w:rPr>
        <w:t>).</w:t>
      </w:r>
    </w:p>
    <w:p w14:paraId="65CAF9B6" w14:textId="095C531C"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U.S. Bureau of Labor Statistics (2024)</w:t>
      </w:r>
      <w:r w:rsidRPr="00F42E3D">
        <w:rPr>
          <w:rFonts w:ascii="Arial" w:hAnsi="Arial" w:cs="Arial"/>
        </w:rPr>
        <w:t xml:space="preserve"> </w:t>
      </w:r>
      <w:r w:rsidRPr="00F42E3D">
        <w:rPr>
          <w:rStyle w:val="Emphasis"/>
          <w:rFonts w:ascii="Arial" w:hAnsi="Arial" w:cs="Arial"/>
        </w:rPr>
        <w:t xml:space="preserve">Inbound air freight prices go sky high </w:t>
      </w:r>
      <w:proofErr w:type="gramStart"/>
      <w:r w:rsidRPr="00F42E3D">
        <w:rPr>
          <w:rStyle w:val="Emphasis"/>
          <w:rFonts w:ascii="Arial" w:hAnsi="Arial" w:cs="Arial"/>
        </w:rPr>
        <w:t>in the midst of</w:t>
      </w:r>
      <w:proofErr w:type="gramEnd"/>
      <w:r w:rsidRPr="00F42E3D">
        <w:rPr>
          <w:rStyle w:val="Emphasis"/>
          <w:rFonts w:ascii="Arial" w:hAnsi="Arial" w:cs="Arial"/>
        </w:rPr>
        <w:t xml:space="preserve"> pandemic.</w:t>
      </w:r>
      <w:r w:rsidRPr="00F42E3D">
        <w:rPr>
          <w:rFonts w:ascii="Arial" w:hAnsi="Arial" w:cs="Arial"/>
        </w:rPr>
        <w:t xml:space="preserve"> </w:t>
      </w:r>
    </w:p>
    <w:p w14:paraId="36DAAF08"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World Bank/IFC (2021)</w:t>
      </w:r>
      <w:r w:rsidRPr="00F42E3D">
        <w:rPr>
          <w:rFonts w:ascii="Arial" w:hAnsi="Arial" w:cs="Arial"/>
        </w:rPr>
        <w:t xml:space="preserve"> </w:t>
      </w:r>
      <w:r w:rsidRPr="00F42E3D">
        <w:rPr>
          <w:rStyle w:val="Emphasis"/>
          <w:rFonts w:ascii="Arial" w:hAnsi="Arial" w:cs="Arial"/>
        </w:rPr>
        <w:t>The Impact of COVID</w:t>
      </w:r>
      <w:r w:rsidRPr="00F42E3D">
        <w:rPr>
          <w:rStyle w:val="Emphasis"/>
          <w:rFonts w:ascii="Arial" w:hAnsi="Arial" w:cs="Arial"/>
        </w:rPr>
        <w:noBreakHyphen/>
        <w:t>19 on Logistics.</w:t>
      </w:r>
      <w:r w:rsidRPr="00F42E3D">
        <w:rPr>
          <w:rFonts w:ascii="Arial" w:hAnsi="Arial" w:cs="Arial"/>
        </w:rPr>
        <w:t xml:space="preserve"> World Bank Group.</w:t>
      </w:r>
    </w:p>
    <w:p w14:paraId="7E799FAB" w14:textId="06C4C075"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World Trade Organization (2021)</w:t>
      </w:r>
      <w:r w:rsidRPr="00F42E3D">
        <w:rPr>
          <w:rFonts w:ascii="Arial" w:hAnsi="Arial" w:cs="Arial"/>
        </w:rPr>
        <w:t xml:space="preserve"> </w:t>
      </w:r>
      <w:r w:rsidRPr="00F42E3D">
        <w:rPr>
          <w:rStyle w:val="Emphasis"/>
          <w:rFonts w:ascii="Arial" w:hAnsi="Arial" w:cs="Arial"/>
        </w:rPr>
        <w:t>World Trade Report 2021: Economic Resilience and Trade.</w:t>
      </w:r>
      <w:r w:rsidRPr="00F42E3D">
        <w:rPr>
          <w:rFonts w:ascii="Arial" w:hAnsi="Arial" w:cs="Arial"/>
        </w:rPr>
        <w:t xml:space="preserve"> Geneva: WTO. Available at: https://digitallibrary.un.org/record/4041822 (Accessed: </w:t>
      </w:r>
      <w:r w:rsidR="00B22C6C" w:rsidRPr="00F42E3D">
        <w:rPr>
          <w:rFonts w:ascii="Arial" w:hAnsi="Arial" w:cs="Arial"/>
        </w:rPr>
        <w:t>3rd February 2026).</w:t>
      </w:r>
    </w:p>
    <w:p w14:paraId="727C7374" w14:textId="77777777" w:rsidR="00694037" w:rsidRPr="00F42E3D" w:rsidRDefault="00694037" w:rsidP="00F42E3D">
      <w:pPr>
        <w:pStyle w:val="NormalWeb"/>
        <w:spacing w:line="360" w:lineRule="auto"/>
        <w:rPr>
          <w:rFonts w:ascii="Arial" w:hAnsi="Arial" w:cs="Arial"/>
        </w:rPr>
      </w:pPr>
    </w:p>
    <w:p w14:paraId="07C66B13" w14:textId="77777777" w:rsidR="00694037" w:rsidRDefault="00694037" w:rsidP="00694037">
      <w:pPr>
        <w:jc w:val="center"/>
        <w:rPr>
          <w:rFonts w:ascii="Arial" w:hAnsi="Arial" w:cs="Arial"/>
          <w:b/>
          <w:bCs/>
          <w:sz w:val="24"/>
          <w:szCs w:val="24"/>
          <w:u w:val="single"/>
        </w:rPr>
      </w:pPr>
    </w:p>
    <w:p w14:paraId="035A0E91" w14:textId="77777777" w:rsidR="00F42E3D" w:rsidRDefault="00F42E3D" w:rsidP="00694037">
      <w:pPr>
        <w:jc w:val="center"/>
        <w:rPr>
          <w:rFonts w:ascii="Arial" w:hAnsi="Arial" w:cs="Arial"/>
          <w:b/>
          <w:bCs/>
          <w:sz w:val="24"/>
          <w:szCs w:val="24"/>
          <w:u w:val="single"/>
        </w:rPr>
      </w:pPr>
    </w:p>
    <w:p w14:paraId="22279E05" w14:textId="77777777" w:rsidR="00F42E3D" w:rsidRDefault="00F42E3D" w:rsidP="00694037">
      <w:pPr>
        <w:jc w:val="center"/>
        <w:rPr>
          <w:rFonts w:ascii="Arial" w:hAnsi="Arial" w:cs="Arial"/>
          <w:b/>
          <w:bCs/>
          <w:sz w:val="24"/>
          <w:szCs w:val="24"/>
          <w:u w:val="single"/>
        </w:rPr>
      </w:pPr>
    </w:p>
    <w:p w14:paraId="60B29525" w14:textId="77777777" w:rsidR="00F42E3D" w:rsidRDefault="00F42E3D" w:rsidP="00694037">
      <w:pPr>
        <w:jc w:val="center"/>
        <w:rPr>
          <w:rFonts w:ascii="Arial" w:hAnsi="Arial" w:cs="Arial"/>
          <w:b/>
          <w:bCs/>
          <w:sz w:val="24"/>
          <w:szCs w:val="24"/>
          <w:u w:val="single"/>
        </w:rPr>
      </w:pPr>
    </w:p>
    <w:p w14:paraId="1DEA8814" w14:textId="77777777" w:rsidR="00F42E3D" w:rsidRDefault="00F42E3D" w:rsidP="00694037">
      <w:pPr>
        <w:jc w:val="center"/>
        <w:rPr>
          <w:rFonts w:ascii="Arial" w:hAnsi="Arial" w:cs="Arial"/>
          <w:b/>
          <w:bCs/>
          <w:sz w:val="24"/>
          <w:szCs w:val="24"/>
          <w:u w:val="single"/>
        </w:rPr>
      </w:pPr>
    </w:p>
    <w:p w14:paraId="5F8DDFED" w14:textId="77777777" w:rsidR="00F42E3D" w:rsidRDefault="00F42E3D" w:rsidP="00694037">
      <w:pPr>
        <w:jc w:val="center"/>
        <w:rPr>
          <w:rFonts w:ascii="Arial" w:hAnsi="Arial" w:cs="Arial"/>
          <w:b/>
          <w:bCs/>
          <w:sz w:val="24"/>
          <w:szCs w:val="24"/>
          <w:u w:val="single"/>
        </w:rPr>
      </w:pPr>
    </w:p>
    <w:p w14:paraId="52775C3E" w14:textId="77777777" w:rsidR="00F42E3D" w:rsidRDefault="00F42E3D" w:rsidP="00694037">
      <w:pPr>
        <w:jc w:val="center"/>
        <w:rPr>
          <w:rFonts w:ascii="Arial" w:hAnsi="Arial" w:cs="Arial"/>
          <w:b/>
          <w:bCs/>
          <w:sz w:val="24"/>
          <w:szCs w:val="24"/>
          <w:u w:val="single"/>
        </w:rPr>
      </w:pPr>
    </w:p>
    <w:p w14:paraId="3DB6B63E" w14:textId="77777777" w:rsidR="00F42E3D" w:rsidRDefault="00F42E3D" w:rsidP="00694037">
      <w:pPr>
        <w:jc w:val="center"/>
        <w:rPr>
          <w:rFonts w:ascii="Arial" w:hAnsi="Arial" w:cs="Arial"/>
          <w:b/>
          <w:bCs/>
          <w:sz w:val="24"/>
          <w:szCs w:val="24"/>
          <w:u w:val="single"/>
        </w:rPr>
      </w:pPr>
    </w:p>
    <w:p w14:paraId="5E1A1DEA" w14:textId="77777777" w:rsidR="00F42E3D" w:rsidRDefault="00F42E3D" w:rsidP="00694037">
      <w:pPr>
        <w:jc w:val="center"/>
        <w:rPr>
          <w:rFonts w:ascii="Arial" w:hAnsi="Arial" w:cs="Arial"/>
          <w:b/>
          <w:bCs/>
          <w:sz w:val="24"/>
          <w:szCs w:val="24"/>
          <w:u w:val="single"/>
        </w:rPr>
      </w:pPr>
    </w:p>
    <w:p w14:paraId="65663B90" w14:textId="77777777" w:rsidR="00F42E3D" w:rsidRDefault="00F42E3D" w:rsidP="00694037">
      <w:pPr>
        <w:jc w:val="center"/>
        <w:rPr>
          <w:rFonts w:ascii="Arial" w:hAnsi="Arial" w:cs="Arial"/>
          <w:b/>
          <w:bCs/>
          <w:sz w:val="24"/>
          <w:szCs w:val="24"/>
          <w:u w:val="single"/>
        </w:rPr>
      </w:pPr>
    </w:p>
    <w:p w14:paraId="30E6B9E2" w14:textId="77777777" w:rsidR="00F42E3D" w:rsidRDefault="00F42E3D" w:rsidP="00694037">
      <w:pPr>
        <w:jc w:val="center"/>
        <w:rPr>
          <w:rFonts w:ascii="Arial" w:hAnsi="Arial" w:cs="Arial"/>
          <w:b/>
          <w:bCs/>
          <w:sz w:val="24"/>
          <w:szCs w:val="24"/>
          <w:u w:val="single"/>
        </w:rPr>
      </w:pPr>
    </w:p>
    <w:p w14:paraId="28C87C7F" w14:textId="77777777" w:rsidR="00F42E3D" w:rsidRDefault="00F42E3D" w:rsidP="00694037">
      <w:pPr>
        <w:jc w:val="center"/>
        <w:rPr>
          <w:rFonts w:ascii="Arial" w:hAnsi="Arial" w:cs="Arial"/>
          <w:b/>
          <w:bCs/>
          <w:sz w:val="24"/>
          <w:szCs w:val="24"/>
          <w:u w:val="single"/>
        </w:rPr>
      </w:pPr>
    </w:p>
    <w:p w14:paraId="3DA6C70E" w14:textId="77777777" w:rsidR="00F42E3D" w:rsidRDefault="00F42E3D" w:rsidP="00694037">
      <w:pPr>
        <w:jc w:val="center"/>
        <w:rPr>
          <w:rFonts w:ascii="Arial" w:hAnsi="Arial" w:cs="Arial"/>
          <w:b/>
          <w:bCs/>
          <w:sz w:val="24"/>
          <w:szCs w:val="24"/>
          <w:u w:val="single"/>
        </w:rPr>
      </w:pPr>
    </w:p>
    <w:p w14:paraId="2725B8C4" w14:textId="77777777" w:rsidR="00F42E3D" w:rsidRDefault="00F42E3D" w:rsidP="00694037">
      <w:pPr>
        <w:jc w:val="center"/>
        <w:rPr>
          <w:rFonts w:ascii="Arial" w:hAnsi="Arial" w:cs="Arial"/>
          <w:b/>
          <w:bCs/>
          <w:sz w:val="24"/>
          <w:szCs w:val="24"/>
          <w:u w:val="single"/>
        </w:rPr>
      </w:pPr>
    </w:p>
    <w:p w14:paraId="18E6A07A" w14:textId="77777777" w:rsidR="00F42E3D" w:rsidRDefault="00F42E3D" w:rsidP="00694037">
      <w:pPr>
        <w:jc w:val="center"/>
        <w:rPr>
          <w:rFonts w:ascii="Arial" w:hAnsi="Arial" w:cs="Arial"/>
          <w:b/>
          <w:bCs/>
          <w:sz w:val="24"/>
          <w:szCs w:val="24"/>
          <w:u w:val="single"/>
        </w:rPr>
      </w:pPr>
    </w:p>
    <w:p w14:paraId="5A780B01" w14:textId="6D2E00EE" w:rsidR="00694037" w:rsidRDefault="00694037" w:rsidP="00694037">
      <w:pPr>
        <w:jc w:val="center"/>
        <w:rPr>
          <w:rFonts w:ascii="Arial" w:hAnsi="Arial" w:cs="Arial"/>
          <w:b/>
          <w:bCs/>
          <w:sz w:val="24"/>
          <w:szCs w:val="24"/>
          <w:u w:val="single"/>
        </w:rPr>
      </w:pPr>
      <w:r w:rsidRPr="00AA4633">
        <w:rPr>
          <w:rFonts w:ascii="Arial" w:hAnsi="Arial" w:cs="Arial"/>
          <w:b/>
          <w:bCs/>
          <w:sz w:val="24"/>
          <w:szCs w:val="24"/>
          <w:u w:val="single"/>
        </w:rPr>
        <w:lastRenderedPageBreak/>
        <w:t>PART</w:t>
      </w:r>
      <w:r>
        <w:rPr>
          <w:rFonts w:ascii="Arial" w:hAnsi="Arial" w:cs="Arial"/>
          <w:b/>
          <w:bCs/>
          <w:sz w:val="24"/>
          <w:szCs w:val="24"/>
          <w:u w:val="single"/>
        </w:rPr>
        <w:t>:</w:t>
      </w:r>
      <w:r w:rsidRPr="00AA4633">
        <w:rPr>
          <w:rFonts w:ascii="Arial" w:hAnsi="Arial" w:cs="Arial"/>
          <w:b/>
          <w:bCs/>
          <w:sz w:val="24"/>
          <w:szCs w:val="24"/>
          <w:u w:val="single"/>
        </w:rPr>
        <w:t xml:space="preserve"> B</w:t>
      </w:r>
    </w:p>
    <w:p w14:paraId="3F3AE301" w14:textId="77777777" w:rsidR="00694037" w:rsidRPr="0013224D" w:rsidRDefault="00694037" w:rsidP="00694037">
      <w:pPr>
        <w:jc w:val="center"/>
        <w:rPr>
          <w:rFonts w:ascii="Arial" w:hAnsi="Arial" w:cs="Arial"/>
          <w:b/>
          <w:bCs/>
          <w:sz w:val="24"/>
          <w:szCs w:val="24"/>
          <w:u w:val="single"/>
        </w:rPr>
      </w:pPr>
      <w:r w:rsidRPr="0013224D">
        <w:rPr>
          <w:rFonts w:ascii="Arial" w:hAnsi="Arial" w:cs="Arial"/>
          <w:b/>
          <w:bCs/>
          <w:sz w:val="24"/>
          <w:szCs w:val="24"/>
          <w:u w:val="single"/>
        </w:rPr>
        <w:t xml:space="preserve">Data-Based Logistics and Supply Chain Analysis During COVID-19 </w:t>
      </w:r>
    </w:p>
    <w:p w14:paraId="5D0C62E5" w14:textId="77777777" w:rsidR="00694037" w:rsidRDefault="00694037" w:rsidP="00694037">
      <w:pPr>
        <w:jc w:val="center"/>
        <w:rPr>
          <w:rFonts w:ascii="Arial" w:hAnsi="Arial" w:cs="Arial"/>
          <w:b/>
          <w:bCs/>
          <w:sz w:val="24"/>
          <w:szCs w:val="24"/>
          <w:u w:val="single"/>
        </w:rPr>
      </w:pPr>
    </w:p>
    <w:p w14:paraId="5D9C1C02" w14:textId="77777777" w:rsidR="00F42E3D" w:rsidRDefault="00F42E3D" w:rsidP="00694037">
      <w:pPr>
        <w:jc w:val="center"/>
        <w:rPr>
          <w:rFonts w:ascii="Arial" w:hAnsi="Arial" w:cs="Arial"/>
          <w:b/>
          <w:bCs/>
          <w:sz w:val="24"/>
          <w:szCs w:val="24"/>
          <w:u w:val="single"/>
        </w:rPr>
      </w:pPr>
    </w:p>
    <w:p w14:paraId="0E768F76" w14:textId="77777777" w:rsidR="00F42E3D" w:rsidRPr="00F42E3D" w:rsidRDefault="00F42E3D" w:rsidP="00F42E3D">
      <w:pPr>
        <w:spacing w:after="0" w:line="360" w:lineRule="auto"/>
        <w:jc w:val="both"/>
        <w:rPr>
          <w:rFonts w:ascii="Arial" w:eastAsia="Times New Roman" w:hAnsi="Arial" w:cs="Arial"/>
          <w:b/>
          <w:bCs/>
          <w:color w:val="4472C4" w:themeColor="accent1"/>
          <w:kern w:val="0"/>
          <w:sz w:val="24"/>
          <w:szCs w:val="24"/>
          <w:u w:val="single"/>
          <w14:ligatures w14:val="none"/>
        </w:rPr>
      </w:pPr>
      <w:r w:rsidRPr="00F42E3D">
        <w:rPr>
          <w:rFonts w:ascii="Arial" w:eastAsia="Times New Roman" w:hAnsi="Arial" w:cs="Arial"/>
          <w:b/>
          <w:bCs/>
          <w:color w:val="4472C4" w:themeColor="accent1"/>
          <w:kern w:val="0"/>
          <w:sz w:val="24"/>
          <w:szCs w:val="24"/>
          <w:u w:val="single"/>
          <w14:ligatures w14:val="none"/>
        </w:rPr>
        <w:t xml:space="preserve">Five-year finical figures </w:t>
      </w:r>
    </w:p>
    <w:p w14:paraId="756A5856" w14:textId="77777777" w:rsidR="00F42E3D" w:rsidRPr="00AA4633" w:rsidRDefault="00F42E3D" w:rsidP="00F42E3D">
      <w:pPr>
        <w:spacing w:after="0" w:line="360" w:lineRule="auto"/>
        <w:jc w:val="both"/>
        <w:rPr>
          <w:rFonts w:ascii="Arial" w:eastAsia="Times New Roman" w:hAnsi="Arial" w:cs="Arial"/>
          <w:b/>
          <w:bCs/>
          <w:kern w:val="0"/>
          <w:sz w:val="24"/>
          <w:szCs w:val="24"/>
          <w:u w:val="single"/>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95"/>
        <w:gridCol w:w="990"/>
        <w:gridCol w:w="1157"/>
        <w:gridCol w:w="2787"/>
        <w:gridCol w:w="3069"/>
      </w:tblGrid>
      <w:tr w:rsidR="00F42E3D" w:rsidRPr="00273395" w14:paraId="47C492C1" w14:textId="77777777" w:rsidTr="00F42E3D">
        <w:trPr>
          <w:tblHeader/>
          <w:tblCellSpacing w:w="15" w:type="dxa"/>
          <w:jc w:val="center"/>
        </w:trPr>
        <w:tc>
          <w:tcPr>
            <w:tcW w:w="850" w:type="dxa"/>
            <w:tcBorders>
              <w:top w:val="single" w:sz="4" w:space="0" w:color="FFC000"/>
              <w:left w:val="single" w:sz="4" w:space="0" w:color="FFC000"/>
              <w:bottom w:val="single" w:sz="4" w:space="0" w:color="FFC000"/>
              <w:right w:val="single" w:sz="4" w:space="0" w:color="FFC000"/>
            </w:tcBorders>
            <w:vAlign w:val="center"/>
            <w:hideMark/>
          </w:tcPr>
          <w:p w14:paraId="0BCBDD79"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Year</w:t>
            </w:r>
          </w:p>
        </w:tc>
        <w:tc>
          <w:tcPr>
            <w:tcW w:w="960" w:type="dxa"/>
            <w:tcBorders>
              <w:top w:val="single" w:sz="4" w:space="0" w:color="FFC000"/>
              <w:left w:val="single" w:sz="4" w:space="0" w:color="FFC000"/>
              <w:bottom w:val="single" w:sz="4" w:space="0" w:color="FFC000"/>
              <w:right w:val="single" w:sz="4" w:space="0" w:color="FFC000"/>
            </w:tcBorders>
            <w:vAlign w:val="center"/>
            <w:hideMark/>
          </w:tcPr>
          <w:p w14:paraId="26FC12BF"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Sales (£m)</w:t>
            </w:r>
          </w:p>
        </w:tc>
        <w:tc>
          <w:tcPr>
            <w:tcW w:w="1127" w:type="dxa"/>
            <w:vAlign w:val="center"/>
            <w:hideMark/>
          </w:tcPr>
          <w:p w14:paraId="2F67EE2C"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COGS (£m)</w:t>
            </w:r>
          </w:p>
        </w:tc>
        <w:tc>
          <w:tcPr>
            <w:tcW w:w="0" w:type="auto"/>
            <w:vAlign w:val="center"/>
            <w:hideMark/>
          </w:tcPr>
          <w:p w14:paraId="4128DE15"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Promotional Costs (£m)</w:t>
            </w:r>
          </w:p>
        </w:tc>
        <w:tc>
          <w:tcPr>
            <w:tcW w:w="0" w:type="auto"/>
            <w:vAlign w:val="center"/>
            <w:hideMark/>
          </w:tcPr>
          <w:p w14:paraId="57DCAC23" w14:textId="77777777" w:rsidR="00F42E3D" w:rsidRPr="00AA4633" w:rsidRDefault="00F42E3D" w:rsidP="00F9266A">
            <w:pPr>
              <w:spacing w:after="0" w:line="240" w:lineRule="auto"/>
              <w:jc w:val="center"/>
              <w:rPr>
                <w:rFonts w:ascii="Arial" w:eastAsia="Times New Roman" w:hAnsi="Arial" w:cs="Arial"/>
                <w:b/>
                <w:bCs/>
                <w:color w:val="F7CAAC" w:themeColor="accent2" w:themeTint="66"/>
                <w:kern w:val="0"/>
                <w:sz w:val="24"/>
                <w:szCs w:val="24"/>
                <w14:textOutline w14:w="11112" w14:cap="flat" w14:cmpd="sng" w14:algn="ctr">
                  <w14:solidFill>
                    <w14:schemeClr w14:val="accent2"/>
                  </w14:solidFill>
                  <w14:prstDash w14:val="solid"/>
                  <w14:round/>
                </w14:textOutline>
                <w14:ligatures w14:val="none"/>
              </w:rPr>
            </w:pPr>
            <w:r w:rsidRPr="00AA4633">
              <w:rPr>
                <w:rFonts w:ascii="Arial" w:eastAsia="Times New Roman" w:hAnsi="Arial" w:cs="Arial"/>
                <w:b/>
                <w:bCs/>
                <w:kern w:val="0"/>
                <w:sz w:val="24"/>
                <w:szCs w:val="24"/>
                <w14:ligatures w14:val="none"/>
              </w:rPr>
              <w:t>Administrative Costs (£m)</w:t>
            </w:r>
          </w:p>
        </w:tc>
      </w:tr>
      <w:tr w:rsidR="00F42E3D" w:rsidRPr="00273395" w14:paraId="328CE668" w14:textId="77777777" w:rsidTr="00F42E3D">
        <w:trPr>
          <w:tblCellSpacing w:w="15" w:type="dxa"/>
          <w:jc w:val="center"/>
        </w:trPr>
        <w:tc>
          <w:tcPr>
            <w:tcW w:w="850" w:type="dxa"/>
            <w:shd w:val="clear" w:color="auto" w:fill="FFF2CC" w:themeFill="accent4" w:themeFillTint="33"/>
            <w:vAlign w:val="center"/>
            <w:hideMark/>
          </w:tcPr>
          <w:p w14:paraId="5B3EE05C"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2019</w:t>
            </w:r>
          </w:p>
        </w:tc>
        <w:tc>
          <w:tcPr>
            <w:tcW w:w="960" w:type="dxa"/>
            <w:shd w:val="clear" w:color="auto" w:fill="FFF2CC" w:themeFill="accent4" w:themeFillTint="33"/>
            <w:vAlign w:val="center"/>
            <w:hideMark/>
          </w:tcPr>
          <w:p w14:paraId="163218FE"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145</w:t>
            </w:r>
          </w:p>
        </w:tc>
        <w:tc>
          <w:tcPr>
            <w:tcW w:w="1127" w:type="dxa"/>
            <w:shd w:val="clear" w:color="auto" w:fill="FFF2CC" w:themeFill="accent4" w:themeFillTint="33"/>
            <w:vAlign w:val="center"/>
            <w:hideMark/>
          </w:tcPr>
          <w:p w14:paraId="1AF58D83"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92</w:t>
            </w:r>
          </w:p>
        </w:tc>
        <w:tc>
          <w:tcPr>
            <w:tcW w:w="0" w:type="auto"/>
            <w:shd w:val="clear" w:color="auto" w:fill="FFF2CC" w:themeFill="accent4" w:themeFillTint="33"/>
            <w:vAlign w:val="center"/>
            <w:hideMark/>
          </w:tcPr>
          <w:p w14:paraId="594287C5"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3.2</w:t>
            </w:r>
          </w:p>
        </w:tc>
        <w:tc>
          <w:tcPr>
            <w:tcW w:w="0" w:type="auto"/>
            <w:shd w:val="clear" w:color="auto" w:fill="FFF2CC" w:themeFill="accent4" w:themeFillTint="33"/>
            <w:vAlign w:val="center"/>
            <w:hideMark/>
          </w:tcPr>
          <w:p w14:paraId="685F7EB5"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12.5</w:t>
            </w:r>
          </w:p>
        </w:tc>
      </w:tr>
      <w:tr w:rsidR="00F42E3D" w:rsidRPr="00273395" w14:paraId="09C1C1D4" w14:textId="77777777" w:rsidTr="00F42E3D">
        <w:trPr>
          <w:tblCellSpacing w:w="15" w:type="dxa"/>
          <w:jc w:val="center"/>
        </w:trPr>
        <w:tc>
          <w:tcPr>
            <w:tcW w:w="850" w:type="dxa"/>
            <w:shd w:val="clear" w:color="auto" w:fill="FFF2CC" w:themeFill="accent4" w:themeFillTint="33"/>
            <w:vAlign w:val="center"/>
            <w:hideMark/>
          </w:tcPr>
          <w:p w14:paraId="626FF8E6"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2020</w:t>
            </w:r>
          </w:p>
        </w:tc>
        <w:tc>
          <w:tcPr>
            <w:tcW w:w="960" w:type="dxa"/>
            <w:shd w:val="clear" w:color="auto" w:fill="FFF2CC" w:themeFill="accent4" w:themeFillTint="33"/>
            <w:vAlign w:val="center"/>
            <w:hideMark/>
          </w:tcPr>
          <w:p w14:paraId="7CAC7694"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118</w:t>
            </w:r>
          </w:p>
        </w:tc>
        <w:tc>
          <w:tcPr>
            <w:tcW w:w="1127" w:type="dxa"/>
            <w:shd w:val="clear" w:color="auto" w:fill="FFF2CC" w:themeFill="accent4" w:themeFillTint="33"/>
            <w:vAlign w:val="center"/>
            <w:hideMark/>
          </w:tcPr>
          <w:p w14:paraId="7F4E0299"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85</w:t>
            </w:r>
          </w:p>
        </w:tc>
        <w:tc>
          <w:tcPr>
            <w:tcW w:w="0" w:type="auto"/>
            <w:shd w:val="clear" w:color="auto" w:fill="FFF2CC" w:themeFill="accent4" w:themeFillTint="33"/>
            <w:vAlign w:val="center"/>
            <w:hideMark/>
          </w:tcPr>
          <w:p w14:paraId="6EC6AB14"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2.8</w:t>
            </w:r>
          </w:p>
        </w:tc>
        <w:tc>
          <w:tcPr>
            <w:tcW w:w="0" w:type="auto"/>
            <w:shd w:val="clear" w:color="auto" w:fill="FFF2CC" w:themeFill="accent4" w:themeFillTint="33"/>
            <w:vAlign w:val="center"/>
            <w:hideMark/>
          </w:tcPr>
          <w:p w14:paraId="569E1613"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13.0</w:t>
            </w:r>
          </w:p>
        </w:tc>
      </w:tr>
      <w:tr w:rsidR="00F42E3D" w:rsidRPr="00273395" w14:paraId="5888CE04" w14:textId="77777777" w:rsidTr="00F42E3D">
        <w:trPr>
          <w:tblCellSpacing w:w="15" w:type="dxa"/>
          <w:jc w:val="center"/>
        </w:trPr>
        <w:tc>
          <w:tcPr>
            <w:tcW w:w="850" w:type="dxa"/>
            <w:shd w:val="clear" w:color="auto" w:fill="FFF2CC" w:themeFill="accent4" w:themeFillTint="33"/>
            <w:vAlign w:val="center"/>
            <w:hideMark/>
          </w:tcPr>
          <w:p w14:paraId="69359D35"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2021</w:t>
            </w:r>
          </w:p>
        </w:tc>
        <w:tc>
          <w:tcPr>
            <w:tcW w:w="960" w:type="dxa"/>
            <w:shd w:val="clear" w:color="auto" w:fill="FFF2CC" w:themeFill="accent4" w:themeFillTint="33"/>
            <w:vAlign w:val="center"/>
            <w:hideMark/>
          </w:tcPr>
          <w:p w14:paraId="48DCE720"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126</w:t>
            </w:r>
          </w:p>
        </w:tc>
        <w:tc>
          <w:tcPr>
            <w:tcW w:w="1127" w:type="dxa"/>
            <w:shd w:val="clear" w:color="auto" w:fill="FFF2CC" w:themeFill="accent4" w:themeFillTint="33"/>
            <w:vAlign w:val="center"/>
            <w:hideMark/>
          </w:tcPr>
          <w:p w14:paraId="5D9B8D8A"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88</w:t>
            </w:r>
          </w:p>
        </w:tc>
        <w:tc>
          <w:tcPr>
            <w:tcW w:w="0" w:type="auto"/>
            <w:shd w:val="clear" w:color="auto" w:fill="FFF2CC" w:themeFill="accent4" w:themeFillTint="33"/>
            <w:vAlign w:val="center"/>
            <w:hideMark/>
          </w:tcPr>
          <w:p w14:paraId="3391DBF2"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3.0</w:t>
            </w:r>
          </w:p>
        </w:tc>
        <w:tc>
          <w:tcPr>
            <w:tcW w:w="0" w:type="auto"/>
            <w:shd w:val="clear" w:color="auto" w:fill="FFF2CC" w:themeFill="accent4" w:themeFillTint="33"/>
            <w:vAlign w:val="center"/>
            <w:hideMark/>
          </w:tcPr>
          <w:p w14:paraId="7DAFB391"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13.4</w:t>
            </w:r>
          </w:p>
        </w:tc>
      </w:tr>
      <w:tr w:rsidR="00F42E3D" w:rsidRPr="00273395" w14:paraId="2021A326" w14:textId="77777777" w:rsidTr="00F42E3D">
        <w:trPr>
          <w:tblCellSpacing w:w="15" w:type="dxa"/>
          <w:jc w:val="center"/>
        </w:trPr>
        <w:tc>
          <w:tcPr>
            <w:tcW w:w="850" w:type="dxa"/>
            <w:shd w:val="clear" w:color="auto" w:fill="FFF2CC" w:themeFill="accent4" w:themeFillTint="33"/>
            <w:vAlign w:val="center"/>
            <w:hideMark/>
          </w:tcPr>
          <w:p w14:paraId="1354518A"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2022</w:t>
            </w:r>
          </w:p>
        </w:tc>
        <w:tc>
          <w:tcPr>
            <w:tcW w:w="960" w:type="dxa"/>
            <w:shd w:val="clear" w:color="auto" w:fill="FFF2CC" w:themeFill="accent4" w:themeFillTint="33"/>
            <w:vAlign w:val="center"/>
            <w:hideMark/>
          </w:tcPr>
          <w:p w14:paraId="24C8C5B2"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138</w:t>
            </w:r>
          </w:p>
        </w:tc>
        <w:tc>
          <w:tcPr>
            <w:tcW w:w="1127" w:type="dxa"/>
            <w:shd w:val="clear" w:color="auto" w:fill="FFF2CC" w:themeFill="accent4" w:themeFillTint="33"/>
            <w:vAlign w:val="center"/>
            <w:hideMark/>
          </w:tcPr>
          <w:p w14:paraId="4554F7BC"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90</w:t>
            </w:r>
          </w:p>
        </w:tc>
        <w:tc>
          <w:tcPr>
            <w:tcW w:w="0" w:type="auto"/>
            <w:shd w:val="clear" w:color="auto" w:fill="FFF2CC" w:themeFill="accent4" w:themeFillTint="33"/>
            <w:vAlign w:val="center"/>
            <w:hideMark/>
          </w:tcPr>
          <w:p w14:paraId="67B0B85E"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3.4</w:t>
            </w:r>
          </w:p>
        </w:tc>
        <w:tc>
          <w:tcPr>
            <w:tcW w:w="0" w:type="auto"/>
            <w:shd w:val="clear" w:color="auto" w:fill="FFF2CC" w:themeFill="accent4" w:themeFillTint="33"/>
            <w:vAlign w:val="center"/>
            <w:hideMark/>
          </w:tcPr>
          <w:p w14:paraId="019DDC86"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14.1</w:t>
            </w:r>
          </w:p>
        </w:tc>
      </w:tr>
      <w:tr w:rsidR="00F42E3D" w:rsidRPr="00273395" w14:paraId="3EAAB822" w14:textId="77777777" w:rsidTr="00F42E3D">
        <w:trPr>
          <w:tblCellSpacing w:w="15" w:type="dxa"/>
          <w:jc w:val="center"/>
        </w:trPr>
        <w:tc>
          <w:tcPr>
            <w:tcW w:w="850" w:type="dxa"/>
            <w:shd w:val="clear" w:color="auto" w:fill="FFF2CC" w:themeFill="accent4" w:themeFillTint="33"/>
            <w:vAlign w:val="center"/>
            <w:hideMark/>
          </w:tcPr>
          <w:p w14:paraId="457CB190"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2023</w:t>
            </w:r>
          </w:p>
        </w:tc>
        <w:tc>
          <w:tcPr>
            <w:tcW w:w="960" w:type="dxa"/>
            <w:shd w:val="clear" w:color="auto" w:fill="FFF2CC" w:themeFill="accent4" w:themeFillTint="33"/>
            <w:vAlign w:val="center"/>
            <w:hideMark/>
          </w:tcPr>
          <w:p w14:paraId="5BB4AE9A"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150</w:t>
            </w:r>
          </w:p>
        </w:tc>
        <w:tc>
          <w:tcPr>
            <w:tcW w:w="1127" w:type="dxa"/>
            <w:shd w:val="clear" w:color="auto" w:fill="FFF2CC" w:themeFill="accent4" w:themeFillTint="33"/>
            <w:vAlign w:val="center"/>
            <w:hideMark/>
          </w:tcPr>
          <w:p w14:paraId="3D9B1E77"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95</w:t>
            </w:r>
          </w:p>
        </w:tc>
        <w:tc>
          <w:tcPr>
            <w:tcW w:w="0" w:type="auto"/>
            <w:shd w:val="clear" w:color="auto" w:fill="FFF2CC" w:themeFill="accent4" w:themeFillTint="33"/>
            <w:vAlign w:val="center"/>
            <w:hideMark/>
          </w:tcPr>
          <w:p w14:paraId="02EC90E1"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3.6</w:t>
            </w:r>
          </w:p>
        </w:tc>
        <w:tc>
          <w:tcPr>
            <w:tcW w:w="0" w:type="auto"/>
            <w:shd w:val="clear" w:color="auto" w:fill="FFF2CC" w:themeFill="accent4" w:themeFillTint="33"/>
            <w:vAlign w:val="center"/>
            <w:hideMark/>
          </w:tcPr>
          <w:p w14:paraId="487EAC74"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14.8</w:t>
            </w:r>
          </w:p>
        </w:tc>
      </w:tr>
      <w:tr w:rsidR="00F42E3D" w:rsidRPr="00273395" w14:paraId="622DAC58" w14:textId="77777777" w:rsidTr="00F42E3D">
        <w:trPr>
          <w:tblCellSpacing w:w="15" w:type="dxa"/>
          <w:jc w:val="center"/>
        </w:trPr>
        <w:tc>
          <w:tcPr>
            <w:tcW w:w="850" w:type="dxa"/>
            <w:shd w:val="clear" w:color="auto" w:fill="FFF2CC" w:themeFill="accent4" w:themeFillTint="33"/>
            <w:vAlign w:val="center"/>
          </w:tcPr>
          <w:p w14:paraId="3666C09A" w14:textId="77777777" w:rsidR="00F42E3D" w:rsidRPr="00AA4633" w:rsidRDefault="00F42E3D" w:rsidP="00F9266A">
            <w:pPr>
              <w:spacing w:after="0" w:line="240" w:lineRule="auto"/>
              <w:rPr>
                <w:rFonts w:ascii="Arial" w:eastAsia="Times New Roman" w:hAnsi="Arial" w:cs="Arial"/>
                <w:kern w:val="0"/>
                <w:sz w:val="24"/>
                <w:szCs w:val="24"/>
                <w14:ligatures w14:val="none"/>
              </w:rPr>
            </w:pPr>
          </w:p>
        </w:tc>
        <w:tc>
          <w:tcPr>
            <w:tcW w:w="960" w:type="dxa"/>
            <w:shd w:val="clear" w:color="auto" w:fill="FFF2CC" w:themeFill="accent4" w:themeFillTint="33"/>
            <w:vAlign w:val="center"/>
          </w:tcPr>
          <w:p w14:paraId="1EF79C07"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c>
          <w:tcPr>
            <w:tcW w:w="1127" w:type="dxa"/>
            <w:shd w:val="clear" w:color="auto" w:fill="FFF2CC" w:themeFill="accent4" w:themeFillTint="33"/>
            <w:vAlign w:val="center"/>
          </w:tcPr>
          <w:p w14:paraId="1C298858"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c>
          <w:tcPr>
            <w:tcW w:w="0" w:type="auto"/>
            <w:shd w:val="clear" w:color="auto" w:fill="FFF2CC" w:themeFill="accent4" w:themeFillTint="33"/>
            <w:vAlign w:val="center"/>
          </w:tcPr>
          <w:p w14:paraId="00605C9B"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c>
          <w:tcPr>
            <w:tcW w:w="0" w:type="auto"/>
            <w:shd w:val="clear" w:color="auto" w:fill="FFF2CC" w:themeFill="accent4" w:themeFillTint="33"/>
            <w:vAlign w:val="center"/>
          </w:tcPr>
          <w:p w14:paraId="0BCD6879"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r>
    </w:tbl>
    <w:p w14:paraId="0D3991A4" w14:textId="77777777" w:rsidR="00F42E3D" w:rsidRDefault="00F42E3D" w:rsidP="00F42E3D">
      <w:pPr>
        <w:spacing w:after="0" w:line="360" w:lineRule="auto"/>
        <w:jc w:val="both"/>
        <w:rPr>
          <w:rFonts w:ascii="Segoe UI" w:eastAsia="Times New Roman" w:hAnsi="Segoe UI" w:cs="Segoe UI"/>
          <w:kern w:val="0"/>
          <w:sz w:val="21"/>
          <w:szCs w:val="21"/>
          <w14:ligatures w14:val="none"/>
        </w:rPr>
      </w:pPr>
    </w:p>
    <w:p w14:paraId="7494F76C" w14:textId="77777777" w:rsidR="00F42E3D" w:rsidRDefault="00F42E3D" w:rsidP="00F42E3D">
      <w:pPr>
        <w:spacing w:after="0" w:line="360" w:lineRule="auto"/>
        <w:jc w:val="both"/>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These figures represent realistic operational estimates for the company. The data also reflects the impact that the COVID</w:t>
      </w:r>
      <w:r w:rsidRPr="00AA4633">
        <w:rPr>
          <w:rFonts w:ascii="Arial" w:eastAsia="Times New Roman" w:hAnsi="Arial" w:cs="Arial"/>
          <w:kern w:val="0"/>
          <w:sz w:val="24"/>
          <w:szCs w:val="24"/>
          <w14:ligatures w14:val="none"/>
        </w:rPr>
        <w:noBreakHyphen/>
        <w:t>19 pandemic had on demand, production capacity, and recovery trends, alongside wider inflationary pressures influencing operational costs.</w:t>
      </w:r>
    </w:p>
    <w:p w14:paraId="11E4E8F1" w14:textId="77777777" w:rsidR="00F42E3D" w:rsidRPr="00303833" w:rsidRDefault="00F42E3D" w:rsidP="00F42E3D">
      <w:pPr>
        <w:spacing w:after="0" w:line="360" w:lineRule="auto"/>
        <w:jc w:val="both"/>
        <w:rPr>
          <w:rFonts w:ascii="Arial" w:eastAsia="Times New Roman" w:hAnsi="Arial" w:cs="Arial"/>
          <w:b/>
          <w:bCs/>
          <w:kern w:val="0"/>
          <w:sz w:val="24"/>
          <w:szCs w:val="24"/>
          <w:u w:val="single"/>
          <w14:ligatures w14:val="none"/>
        </w:rPr>
      </w:pPr>
    </w:p>
    <w:p w14:paraId="338D1F14" w14:textId="77777777" w:rsidR="00F42E3D" w:rsidRPr="00F42E3D" w:rsidRDefault="00F42E3D" w:rsidP="00F42E3D">
      <w:pPr>
        <w:spacing w:after="0" w:line="300" w:lineRule="atLeast"/>
        <w:rPr>
          <w:rFonts w:ascii="Arial" w:eastAsia="Times New Roman" w:hAnsi="Arial" w:cs="Arial"/>
          <w:b/>
          <w:bCs/>
          <w:color w:val="4472C4" w:themeColor="accent1"/>
          <w:kern w:val="0"/>
          <w:sz w:val="24"/>
          <w:szCs w:val="24"/>
          <w:u w:val="single"/>
          <w14:ligatures w14:val="none"/>
        </w:rPr>
      </w:pPr>
      <w:r w:rsidRPr="00F42E3D">
        <w:rPr>
          <w:rFonts w:ascii="Arial" w:eastAsia="Times New Roman" w:hAnsi="Arial" w:cs="Arial"/>
          <w:b/>
          <w:bCs/>
          <w:color w:val="4472C4" w:themeColor="accent1"/>
          <w:kern w:val="0"/>
          <w:sz w:val="24"/>
          <w:szCs w:val="24"/>
          <w:u w:val="single"/>
          <w14:ligatures w14:val="none"/>
        </w:rPr>
        <w:t>Descriptive statistics (2019–2023)</w:t>
      </w:r>
    </w:p>
    <w:p w14:paraId="47EE1356"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1368B89D"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2"/>
        <w:gridCol w:w="1170"/>
        <w:gridCol w:w="1260"/>
        <w:gridCol w:w="707"/>
        <w:gridCol w:w="1081"/>
        <w:gridCol w:w="1440"/>
      </w:tblGrid>
      <w:tr w:rsidR="00F42E3D" w:rsidRPr="00F42E3D" w14:paraId="7A6F330E" w14:textId="77777777" w:rsidTr="00F42E3D">
        <w:trPr>
          <w:tblCellSpacing w:w="15" w:type="dxa"/>
          <w:jc w:val="center"/>
        </w:trPr>
        <w:tc>
          <w:tcPr>
            <w:tcW w:w="2377" w:type="dxa"/>
            <w:shd w:val="clear" w:color="auto" w:fill="auto"/>
            <w:vAlign w:val="center"/>
            <w:hideMark/>
          </w:tcPr>
          <w:p w14:paraId="337F27DE"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Metric</w:t>
            </w:r>
          </w:p>
        </w:tc>
        <w:tc>
          <w:tcPr>
            <w:tcW w:w="1140" w:type="dxa"/>
            <w:shd w:val="clear" w:color="auto" w:fill="auto"/>
            <w:vAlign w:val="center"/>
            <w:hideMark/>
          </w:tcPr>
          <w:p w14:paraId="30293868"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Mean</w:t>
            </w:r>
          </w:p>
        </w:tc>
        <w:tc>
          <w:tcPr>
            <w:tcW w:w="1230" w:type="dxa"/>
            <w:shd w:val="clear" w:color="auto" w:fill="auto"/>
            <w:vAlign w:val="center"/>
            <w:hideMark/>
          </w:tcPr>
          <w:p w14:paraId="3865AF92"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Median</w:t>
            </w:r>
          </w:p>
        </w:tc>
        <w:tc>
          <w:tcPr>
            <w:tcW w:w="591" w:type="dxa"/>
            <w:shd w:val="clear" w:color="auto" w:fill="auto"/>
            <w:vAlign w:val="center"/>
            <w:hideMark/>
          </w:tcPr>
          <w:p w14:paraId="300D39F3"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Mode</w:t>
            </w:r>
          </w:p>
        </w:tc>
        <w:tc>
          <w:tcPr>
            <w:tcW w:w="994" w:type="dxa"/>
            <w:shd w:val="clear" w:color="auto" w:fill="auto"/>
            <w:vAlign w:val="center"/>
            <w:hideMark/>
          </w:tcPr>
          <w:p w14:paraId="0674E4D1"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Variance</w:t>
            </w:r>
          </w:p>
        </w:tc>
        <w:tc>
          <w:tcPr>
            <w:tcW w:w="1395" w:type="dxa"/>
            <w:shd w:val="clear" w:color="auto" w:fill="auto"/>
            <w:vAlign w:val="center"/>
            <w:hideMark/>
          </w:tcPr>
          <w:p w14:paraId="4D7AC89E"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Deviation</w:t>
            </w:r>
          </w:p>
        </w:tc>
      </w:tr>
      <w:tr w:rsidR="00F42E3D" w:rsidRPr="00F42E3D" w14:paraId="54A89665" w14:textId="77777777" w:rsidTr="00F42E3D">
        <w:trPr>
          <w:tblCellSpacing w:w="15" w:type="dxa"/>
          <w:jc w:val="center"/>
        </w:trPr>
        <w:tc>
          <w:tcPr>
            <w:tcW w:w="2377" w:type="dxa"/>
            <w:shd w:val="clear" w:color="auto" w:fill="FFF2CC" w:themeFill="accent4" w:themeFillTint="33"/>
            <w:vAlign w:val="center"/>
            <w:hideMark/>
          </w:tcPr>
          <w:p w14:paraId="1706A23D"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Sales (£m)</w:t>
            </w:r>
          </w:p>
        </w:tc>
        <w:tc>
          <w:tcPr>
            <w:tcW w:w="1140" w:type="dxa"/>
            <w:shd w:val="clear" w:color="auto" w:fill="FFF2CC" w:themeFill="accent4" w:themeFillTint="33"/>
            <w:vAlign w:val="center"/>
            <w:hideMark/>
          </w:tcPr>
          <w:p w14:paraId="748AC544"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135.400</w:t>
            </w:r>
          </w:p>
        </w:tc>
        <w:tc>
          <w:tcPr>
            <w:tcW w:w="1230" w:type="dxa"/>
            <w:shd w:val="clear" w:color="auto" w:fill="FFF2CC" w:themeFill="accent4" w:themeFillTint="33"/>
            <w:vAlign w:val="center"/>
            <w:hideMark/>
          </w:tcPr>
          <w:p w14:paraId="0ABEAA02"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138.000</w:t>
            </w:r>
          </w:p>
        </w:tc>
        <w:tc>
          <w:tcPr>
            <w:tcW w:w="591" w:type="dxa"/>
            <w:shd w:val="clear" w:color="auto" w:fill="FFF2CC" w:themeFill="accent4" w:themeFillTint="33"/>
            <w:vAlign w:val="center"/>
            <w:hideMark/>
          </w:tcPr>
          <w:p w14:paraId="4F8CBC35"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651D20E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175.800</w:t>
            </w:r>
          </w:p>
        </w:tc>
        <w:tc>
          <w:tcPr>
            <w:tcW w:w="1395" w:type="dxa"/>
            <w:shd w:val="clear" w:color="auto" w:fill="FFF2CC" w:themeFill="accent4" w:themeFillTint="33"/>
            <w:vAlign w:val="center"/>
            <w:hideMark/>
          </w:tcPr>
          <w:p w14:paraId="29845473"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13.259</w:t>
            </w:r>
          </w:p>
        </w:tc>
      </w:tr>
      <w:tr w:rsidR="00F42E3D" w:rsidRPr="00F42E3D" w14:paraId="57D6CDF3" w14:textId="77777777" w:rsidTr="00F42E3D">
        <w:trPr>
          <w:tblCellSpacing w:w="15" w:type="dxa"/>
          <w:jc w:val="center"/>
        </w:trPr>
        <w:tc>
          <w:tcPr>
            <w:tcW w:w="2377" w:type="dxa"/>
            <w:shd w:val="clear" w:color="auto" w:fill="FFF2CC" w:themeFill="accent4" w:themeFillTint="33"/>
            <w:vAlign w:val="center"/>
            <w:hideMark/>
          </w:tcPr>
          <w:p w14:paraId="629E79A1"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COGS (£m)</w:t>
            </w:r>
          </w:p>
        </w:tc>
        <w:tc>
          <w:tcPr>
            <w:tcW w:w="1140" w:type="dxa"/>
            <w:shd w:val="clear" w:color="auto" w:fill="FFF2CC" w:themeFill="accent4" w:themeFillTint="33"/>
            <w:vAlign w:val="center"/>
            <w:hideMark/>
          </w:tcPr>
          <w:p w14:paraId="74AD06A1"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90.000</w:t>
            </w:r>
          </w:p>
        </w:tc>
        <w:tc>
          <w:tcPr>
            <w:tcW w:w="1230" w:type="dxa"/>
            <w:shd w:val="clear" w:color="auto" w:fill="FFF2CC" w:themeFill="accent4" w:themeFillTint="33"/>
            <w:vAlign w:val="center"/>
            <w:hideMark/>
          </w:tcPr>
          <w:p w14:paraId="2CE432F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90.000</w:t>
            </w:r>
          </w:p>
        </w:tc>
        <w:tc>
          <w:tcPr>
            <w:tcW w:w="591" w:type="dxa"/>
            <w:shd w:val="clear" w:color="auto" w:fill="FFF2CC" w:themeFill="accent4" w:themeFillTint="33"/>
            <w:vAlign w:val="center"/>
            <w:hideMark/>
          </w:tcPr>
          <w:p w14:paraId="49841DE6"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6C7BD72B"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14.500</w:t>
            </w:r>
          </w:p>
        </w:tc>
        <w:tc>
          <w:tcPr>
            <w:tcW w:w="1395" w:type="dxa"/>
            <w:shd w:val="clear" w:color="auto" w:fill="FFF2CC" w:themeFill="accent4" w:themeFillTint="33"/>
            <w:vAlign w:val="center"/>
            <w:hideMark/>
          </w:tcPr>
          <w:p w14:paraId="65FA8BEC"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3.808</w:t>
            </w:r>
          </w:p>
        </w:tc>
      </w:tr>
      <w:tr w:rsidR="00F42E3D" w:rsidRPr="00F42E3D" w14:paraId="207F447A" w14:textId="77777777" w:rsidTr="00F42E3D">
        <w:trPr>
          <w:tblCellSpacing w:w="15" w:type="dxa"/>
          <w:jc w:val="center"/>
        </w:trPr>
        <w:tc>
          <w:tcPr>
            <w:tcW w:w="2377" w:type="dxa"/>
            <w:shd w:val="clear" w:color="auto" w:fill="FFF2CC" w:themeFill="accent4" w:themeFillTint="33"/>
            <w:vAlign w:val="center"/>
            <w:hideMark/>
          </w:tcPr>
          <w:p w14:paraId="66A7CEB9"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Promotional Costs (£m)</w:t>
            </w:r>
          </w:p>
        </w:tc>
        <w:tc>
          <w:tcPr>
            <w:tcW w:w="1140" w:type="dxa"/>
            <w:shd w:val="clear" w:color="auto" w:fill="FFF2CC" w:themeFill="accent4" w:themeFillTint="33"/>
            <w:vAlign w:val="center"/>
            <w:hideMark/>
          </w:tcPr>
          <w:p w14:paraId="4EB27B2E"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3.200</w:t>
            </w:r>
          </w:p>
        </w:tc>
        <w:tc>
          <w:tcPr>
            <w:tcW w:w="1230" w:type="dxa"/>
            <w:shd w:val="clear" w:color="auto" w:fill="FFF2CC" w:themeFill="accent4" w:themeFillTint="33"/>
            <w:vAlign w:val="center"/>
            <w:hideMark/>
          </w:tcPr>
          <w:p w14:paraId="302C63BC"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3.200</w:t>
            </w:r>
          </w:p>
        </w:tc>
        <w:tc>
          <w:tcPr>
            <w:tcW w:w="591" w:type="dxa"/>
            <w:shd w:val="clear" w:color="auto" w:fill="FFF2CC" w:themeFill="accent4" w:themeFillTint="33"/>
            <w:vAlign w:val="center"/>
            <w:hideMark/>
          </w:tcPr>
          <w:p w14:paraId="31FAFCD6"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04C279E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0.100</w:t>
            </w:r>
          </w:p>
        </w:tc>
        <w:tc>
          <w:tcPr>
            <w:tcW w:w="1395" w:type="dxa"/>
            <w:shd w:val="clear" w:color="auto" w:fill="FFF2CC" w:themeFill="accent4" w:themeFillTint="33"/>
            <w:vAlign w:val="center"/>
            <w:hideMark/>
          </w:tcPr>
          <w:p w14:paraId="33CB7CCB"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0.316</w:t>
            </w:r>
          </w:p>
        </w:tc>
      </w:tr>
      <w:tr w:rsidR="00F42E3D" w:rsidRPr="00F42E3D" w14:paraId="4FD7F351" w14:textId="77777777" w:rsidTr="00F42E3D">
        <w:trPr>
          <w:tblCellSpacing w:w="15" w:type="dxa"/>
          <w:jc w:val="center"/>
        </w:trPr>
        <w:tc>
          <w:tcPr>
            <w:tcW w:w="2377" w:type="dxa"/>
            <w:shd w:val="clear" w:color="auto" w:fill="FFF2CC" w:themeFill="accent4" w:themeFillTint="33"/>
            <w:vAlign w:val="center"/>
            <w:hideMark/>
          </w:tcPr>
          <w:p w14:paraId="4D72AFCC"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Administrative Costs (£m)</w:t>
            </w:r>
          </w:p>
        </w:tc>
        <w:tc>
          <w:tcPr>
            <w:tcW w:w="1140" w:type="dxa"/>
            <w:shd w:val="clear" w:color="auto" w:fill="FFF2CC" w:themeFill="accent4" w:themeFillTint="33"/>
            <w:vAlign w:val="center"/>
            <w:hideMark/>
          </w:tcPr>
          <w:p w14:paraId="43CEF6C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13.560</w:t>
            </w:r>
          </w:p>
        </w:tc>
        <w:tc>
          <w:tcPr>
            <w:tcW w:w="1230" w:type="dxa"/>
            <w:shd w:val="clear" w:color="auto" w:fill="FFF2CC" w:themeFill="accent4" w:themeFillTint="33"/>
            <w:vAlign w:val="center"/>
            <w:hideMark/>
          </w:tcPr>
          <w:p w14:paraId="75DE300B"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13.400</w:t>
            </w:r>
          </w:p>
        </w:tc>
        <w:tc>
          <w:tcPr>
            <w:tcW w:w="591" w:type="dxa"/>
            <w:shd w:val="clear" w:color="auto" w:fill="FFF2CC" w:themeFill="accent4" w:themeFillTint="33"/>
            <w:vAlign w:val="center"/>
            <w:hideMark/>
          </w:tcPr>
          <w:p w14:paraId="67E60A95"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7F30E83E"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0.823</w:t>
            </w:r>
          </w:p>
        </w:tc>
        <w:tc>
          <w:tcPr>
            <w:tcW w:w="1395" w:type="dxa"/>
            <w:shd w:val="clear" w:color="auto" w:fill="FFF2CC" w:themeFill="accent4" w:themeFillTint="33"/>
            <w:vAlign w:val="center"/>
            <w:hideMark/>
          </w:tcPr>
          <w:p w14:paraId="124A84DE"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0.907</w:t>
            </w:r>
          </w:p>
        </w:tc>
      </w:tr>
    </w:tbl>
    <w:p w14:paraId="2A9E4CE2" w14:textId="77777777" w:rsidR="00F42E3D" w:rsidRDefault="00F42E3D" w:rsidP="00F42E3D">
      <w:pPr>
        <w:spacing w:after="0" w:line="300" w:lineRule="atLeast"/>
        <w:jc w:val="center"/>
        <w:rPr>
          <w:rFonts w:ascii="Arial" w:eastAsia="Times New Roman" w:hAnsi="Arial" w:cs="Arial"/>
          <w:b/>
          <w:bCs/>
          <w:kern w:val="0"/>
          <w:sz w:val="24"/>
          <w:szCs w:val="24"/>
          <w:u w:val="single"/>
          <w14:ligatures w14:val="none"/>
        </w:rPr>
      </w:pPr>
    </w:p>
    <w:p w14:paraId="15F84781"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70DBEBB0" w14:textId="77777777" w:rsidR="00F42E3D" w:rsidRDefault="00F42E3D" w:rsidP="00F42E3D">
      <w:pPr>
        <w:spacing w:after="0" w:line="360" w:lineRule="auto"/>
        <w:jc w:val="both"/>
        <w:rPr>
          <w:rFonts w:ascii="Arial" w:eastAsia="Times New Roman" w:hAnsi="Arial" w:cs="Arial"/>
          <w:kern w:val="0"/>
          <w:sz w:val="24"/>
          <w:szCs w:val="24"/>
          <w14:ligatures w14:val="none"/>
        </w:rPr>
      </w:pPr>
      <w:r w:rsidRPr="000B0F33">
        <w:rPr>
          <w:rFonts w:ascii="Arial" w:eastAsia="Times New Roman" w:hAnsi="Arial" w:cs="Arial"/>
          <w:kern w:val="0"/>
          <w:sz w:val="24"/>
          <w:szCs w:val="24"/>
          <w14:ligatures w14:val="none"/>
        </w:rPr>
        <w:t>The descriptive statistics for the five-year financial dataset show that while the mean and median values provide useful indicators of central tendency, the mode is not applicable for any of the variables. This is because all annual figures for Sales, COGS, Promotional Costs, and Administrative Costs are unique, with no value repeating across the five-year period.</w:t>
      </w:r>
    </w:p>
    <w:p w14:paraId="3FEDB83F" w14:textId="77777777" w:rsidR="00F42E3D" w:rsidRPr="000B0F33" w:rsidRDefault="00F42E3D" w:rsidP="00F42E3D">
      <w:pPr>
        <w:spacing w:after="0" w:line="360" w:lineRule="auto"/>
        <w:jc w:val="both"/>
        <w:rPr>
          <w:rFonts w:ascii="Arial" w:eastAsia="Times New Roman" w:hAnsi="Arial" w:cs="Arial"/>
          <w:kern w:val="0"/>
          <w:sz w:val="24"/>
          <w:szCs w:val="24"/>
          <w14:ligatures w14:val="none"/>
        </w:rPr>
      </w:pPr>
    </w:p>
    <w:p w14:paraId="150FAA30" w14:textId="77777777" w:rsidR="006B6BD0" w:rsidRDefault="006B6BD0" w:rsidP="00F42E3D">
      <w:pPr>
        <w:spacing w:after="0" w:line="300" w:lineRule="atLeast"/>
        <w:rPr>
          <w:rFonts w:ascii="Arial" w:eastAsia="Times New Roman" w:hAnsi="Arial" w:cs="Arial"/>
          <w:b/>
          <w:bCs/>
          <w:kern w:val="0"/>
          <w:sz w:val="24"/>
          <w:szCs w:val="24"/>
          <w:u w:val="single"/>
          <w14:ligatures w14:val="none"/>
        </w:rPr>
      </w:pPr>
    </w:p>
    <w:p w14:paraId="207EB074" w14:textId="5C0DB618" w:rsidR="00F42E3D" w:rsidRPr="006B6BD0" w:rsidRDefault="00F42E3D" w:rsidP="00F42E3D">
      <w:pPr>
        <w:spacing w:after="0" w:line="300" w:lineRule="atLeast"/>
        <w:rPr>
          <w:rFonts w:ascii="Arial" w:eastAsia="Times New Roman" w:hAnsi="Arial" w:cs="Arial"/>
          <w:b/>
          <w:bCs/>
          <w:color w:val="4472C4" w:themeColor="accent1"/>
          <w:kern w:val="0"/>
          <w:sz w:val="24"/>
          <w:szCs w:val="24"/>
          <w:u w:val="single"/>
          <w14:ligatures w14:val="none"/>
        </w:rPr>
      </w:pPr>
      <w:r w:rsidRPr="006B6BD0">
        <w:rPr>
          <w:rFonts w:ascii="Arial" w:eastAsia="Times New Roman" w:hAnsi="Arial" w:cs="Arial"/>
          <w:b/>
          <w:bCs/>
          <w:color w:val="4472C4" w:themeColor="accent1"/>
          <w:kern w:val="0"/>
          <w:sz w:val="24"/>
          <w:szCs w:val="24"/>
          <w:u w:val="single"/>
          <w14:ligatures w14:val="none"/>
        </w:rPr>
        <w:lastRenderedPageBreak/>
        <w:t>Correlation and linear regression between sales and cost of goods (COGS)</w:t>
      </w:r>
    </w:p>
    <w:p w14:paraId="3744119B" w14:textId="77777777" w:rsidR="00F42E3D" w:rsidRPr="003113BF" w:rsidRDefault="00F42E3D" w:rsidP="00F42E3D">
      <w:pPr>
        <w:spacing w:after="0" w:line="300" w:lineRule="atLeast"/>
        <w:rPr>
          <w:rFonts w:ascii="Arial" w:eastAsia="Times New Roman" w:hAnsi="Arial" w:cs="Arial"/>
          <w:kern w:val="0"/>
          <w:sz w:val="24"/>
          <w:szCs w:val="24"/>
          <w:u w:val="single"/>
          <w14:ligatures w14:val="none"/>
        </w:rPr>
      </w:pPr>
    </w:p>
    <w:p w14:paraId="49643B61" w14:textId="77777777" w:rsidR="00F42E3D" w:rsidRPr="003113BF" w:rsidRDefault="00F42E3D" w:rsidP="006B6BD0">
      <w:pPr>
        <w:pStyle w:val="ListParagraph"/>
        <w:numPr>
          <w:ilvl w:val="0"/>
          <w:numId w:val="3"/>
        </w:numPr>
        <w:spacing w:after="0" w:line="360" w:lineRule="auto"/>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 xml:space="preserve">Sales vs COGS: r = 0.980 </w:t>
      </w:r>
    </w:p>
    <w:p w14:paraId="2546CA70" w14:textId="77777777" w:rsidR="00F42E3D" w:rsidRPr="003113BF" w:rsidRDefault="00F42E3D" w:rsidP="006B6BD0">
      <w:pPr>
        <w:pStyle w:val="ListParagraph"/>
        <w:numPr>
          <w:ilvl w:val="0"/>
          <w:numId w:val="3"/>
        </w:numPr>
        <w:spacing w:after="0" w:line="360" w:lineRule="auto"/>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 xml:space="preserve">Sales vs Promotional: r = 0.906 </w:t>
      </w:r>
    </w:p>
    <w:p w14:paraId="27D0E821" w14:textId="77777777" w:rsidR="00F42E3D" w:rsidRPr="003113BF" w:rsidRDefault="00F42E3D" w:rsidP="006B6BD0">
      <w:pPr>
        <w:pStyle w:val="ListParagraph"/>
        <w:numPr>
          <w:ilvl w:val="0"/>
          <w:numId w:val="3"/>
        </w:numPr>
        <w:spacing w:after="0" w:line="360" w:lineRule="auto"/>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Sales vs Administrative: r = 0.42</w:t>
      </w:r>
    </w:p>
    <w:p w14:paraId="146611BB" w14:textId="77777777" w:rsidR="00F42E3D" w:rsidRDefault="00F42E3D" w:rsidP="00F42E3D">
      <w:pPr>
        <w:spacing w:after="0" w:line="300" w:lineRule="atLeast"/>
        <w:rPr>
          <w:rFonts w:ascii="Segoe UI" w:eastAsia="Times New Roman" w:hAnsi="Segoe UI" w:cs="Segoe UI"/>
          <w:b/>
          <w:bCs/>
          <w:kern w:val="0"/>
          <w:sz w:val="21"/>
          <w:szCs w:val="21"/>
          <w14:ligatures w14:val="none"/>
        </w:rPr>
      </w:pPr>
    </w:p>
    <w:p w14:paraId="2AC3014F" w14:textId="77777777" w:rsidR="00F42E3D" w:rsidRDefault="00F42E3D" w:rsidP="00F42E3D">
      <w:pPr>
        <w:spacing w:after="0" w:line="300" w:lineRule="atLeast"/>
        <w:rPr>
          <w:rFonts w:ascii="Segoe UI" w:eastAsia="Times New Roman" w:hAnsi="Segoe UI" w:cs="Segoe UI"/>
          <w:b/>
          <w:bCs/>
          <w:kern w:val="0"/>
          <w:sz w:val="21"/>
          <w:szCs w:val="21"/>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36"/>
        <w:gridCol w:w="2118"/>
        <w:gridCol w:w="1442"/>
        <w:gridCol w:w="815"/>
        <w:gridCol w:w="990"/>
      </w:tblGrid>
      <w:tr w:rsidR="00F42E3D" w:rsidRPr="003113BF" w14:paraId="2EB74FF3" w14:textId="77777777" w:rsidTr="006B6BD0">
        <w:trPr>
          <w:tblCellSpacing w:w="15" w:type="dxa"/>
          <w:jc w:val="center"/>
        </w:trPr>
        <w:tc>
          <w:tcPr>
            <w:tcW w:w="0" w:type="auto"/>
            <w:shd w:val="clear" w:color="auto" w:fill="auto"/>
            <w:vAlign w:val="center"/>
          </w:tcPr>
          <w:p w14:paraId="16160D64"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p>
        </w:tc>
        <w:tc>
          <w:tcPr>
            <w:tcW w:w="2088" w:type="dxa"/>
            <w:shd w:val="clear" w:color="auto" w:fill="auto"/>
            <w:vAlign w:val="center"/>
            <w:hideMark/>
          </w:tcPr>
          <w:p w14:paraId="670C7910"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Sales</w:t>
            </w:r>
          </w:p>
        </w:tc>
        <w:tc>
          <w:tcPr>
            <w:tcW w:w="1412" w:type="dxa"/>
            <w:shd w:val="clear" w:color="auto" w:fill="auto"/>
            <w:vAlign w:val="center"/>
            <w:hideMark/>
          </w:tcPr>
          <w:p w14:paraId="648D3C71"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Intercept</w:t>
            </w:r>
          </w:p>
        </w:tc>
        <w:tc>
          <w:tcPr>
            <w:tcW w:w="785" w:type="dxa"/>
            <w:shd w:val="clear" w:color="auto" w:fill="auto"/>
            <w:vAlign w:val="center"/>
            <w:hideMark/>
          </w:tcPr>
          <w:p w14:paraId="1954AEE5"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r</w:t>
            </w:r>
          </w:p>
        </w:tc>
        <w:tc>
          <w:tcPr>
            <w:tcW w:w="945" w:type="dxa"/>
            <w:shd w:val="clear" w:color="auto" w:fill="auto"/>
            <w:vAlign w:val="center"/>
            <w:hideMark/>
          </w:tcPr>
          <w:p w14:paraId="60C6339F"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R²</w:t>
            </w:r>
          </w:p>
        </w:tc>
      </w:tr>
      <w:tr w:rsidR="00F42E3D" w:rsidRPr="003113BF" w14:paraId="1F0C43AA" w14:textId="77777777" w:rsidTr="006B6BD0">
        <w:trPr>
          <w:tblCellSpacing w:w="15" w:type="dxa"/>
          <w:jc w:val="center"/>
        </w:trPr>
        <w:tc>
          <w:tcPr>
            <w:tcW w:w="0" w:type="auto"/>
            <w:shd w:val="clear" w:color="auto" w:fill="auto"/>
            <w:vAlign w:val="center"/>
            <w:hideMark/>
          </w:tcPr>
          <w:p w14:paraId="4982FA6A"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COGS (£m)</w:t>
            </w:r>
          </w:p>
        </w:tc>
        <w:tc>
          <w:tcPr>
            <w:tcW w:w="2088" w:type="dxa"/>
            <w:shd w:val="clear" w:color="auto" w:fill="FFF2CC" w:themeFill="accent4" w:themeFillTint="33"/>
            <w:vAlign w:val="center"/>
            <w:hideMark/>
          </w:tcPr>
          <w:p w14:paraId="40CD85E1"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3.4138</w:t>
            </w:r>
          </w:p>
        </w:tc>
        <w:tc>
          <w:tcPr>
            <w:tcW w:w="1412" w:type="dxa"/>
            <w:shd w:val="clear" w:color="auto" w:fill="FFF2CC" w:themeFill="accent4" w:themeFillTint="33"/>
            <w:vAlign w:val="center"/>
            <w:hideMark/>
          </w:tcPr>
          <w:p w14:paraId="2795EC9F"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-171.8414</w:t>
            </w:r>
          </w:p>
        </w:tc>
        <w:tc>
          <w:tcPr>
            <w:tcW w:w="785" w:type="dxa"/>
            <w:shd w:val="clear" w:color="auto" w:fill="FFF2CC" w:themeFill="accent4" w:themeFillTint="33"/>
            <w:vAlign w:val="center"/>
            <w:hideMark/>
          </w:tcPr>
          <w:p w14:paraId="3DA3481C"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0.9804</w:t>
            </w:r>
          </w:p>
        </w:tc>
        <w:tc>
          <w:tcPr>
            <w:tcW w:w="945" w:type="dxa"/>
            <w:shd w:val="clear" w:color="auto" w:fill="FFF2CC" w:themeFill="accent4" w:themeFillTint="33"/>
            <w:vAlign w:val="center"/>
            <w:hideMark/>
          </w:tcPr>
          <w:p w14:paraId="3C12246D"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0.9612</w:t>
            </w:r>
          </w:p>
        </w:tc>
      </w:tr>
      <w:tr w:rsidR="00F42E3D" w:rsidRPr="003113BF" w14:paraId="653EDEA5" w14:textId="77777777" w:rsidTr="006B6BD0">
        <w:trPr>
          <w:tblCellSpacing w:w="15" w:type="dxa"/>
          <w:jc w:val="center"/>
        </w:trPr>
        <w:tc>
          <w:tcPr>
            <w:tcW w:w="0" w:type="auto"/>
            <w:shd w:val="clear" w:color="auto" w:fill="auto"/>
            <w:vAlign w:val="center"/>
            <w:hideMark/>
          </w:tcPr>
          <w:p w14:paraId="348C90F9"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Promotional (£m)</w:t>
            </w:r>
          </w:p>
        </w:tc>
        <w:tc>
          <w:tcPr>
            <w:tcW w:w="2088" w:type="dxa"/>
            <w:shd w:val="clear" w:color="auto" w:fill="FFF2CC" w:themeFill="accent4" w:themeFillTint="33"/>
            <w:vAlign w:val="center"/>
            <w:hideMark/>
          </w:tcPr>
          <w:p w14:paraId="0FA26D7D"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38.0000</w:t>
            </w:r>
          </w:p>
        </w:tc>
        <w:tc>
          <w:tcPr>
            <w:tcW w:w="1412" w:type="dxa"/>
            <w:shd w:val="clear" w:color="auto" w:fill="FFF2CC" w:themeFill="accent4" w:themeFillTint="33"/>
            <w:vAlign w:val="center"/>
            <w:hideMark/>
          </w:tcPr>
          <w:p w14:paraId="654EFD65"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13.8000</w:t>
            </w:r>
          </w:p>
        </w:tc>
        <w:tc>
          <w:tcPr>
            <w:tcW w:w="785" w:type="dxa"/>
            <w:shd w:val="clear" w:color="auto" w:fill="FFF2CC" w:themeFill="accent4" w:themeFillTint="33"/>
            <w:vAlign w:val="center"/>
            <w:hideMark/>
          </w:tcPr>
          <w:p w14:paraId="225BF33F"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0.9063</w:t>
            </w:r>
          </w:p>
        </w:tc>
        <w:tc>
          <w:tcPr>
            <w:tcW w:w="945" w:type="dxa"/>
            <w:shd w:val="clear" w:color="auto" w:fill="FFF2CC" w:themeFill="accent4" w:themeFillTint="33"/>
            <w:vAlign w:val="center"/>
            <w:hideMark/>
          </w:tcPr>
          <w:p w14:paraId="3C8F6C69"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0.8214</w:t>
            </w:r>
          </w:p>
        </w:tc>
      </w:tr>
      <w:tr w:rsidR="00F42E3D" w:rsidRPr="003113BF" w14:paraId="423123F5" w14:textId="77777777" w:rsidTr="006B6BD0">
        <w:trPr>
          <w:tblCellSpacing w:w="15" w:type="dxa"/>
          <w:jc w:val="center"/>
        </w:trPr>
        <w:tc>
          <w:tcPr>
            <w:tcW w:w="0" w:type="auto"/>
            <w:shd w:val="clear" w:color="auto" w:fill="auto"/>
            <w:vAlign w:val="center"/>
            <w:hideMark/>
          </w:tcPr>
          <w:p w14:paraId="37F04C5D"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Administrative (£m)</w:t>
            </w:r>
          </w:p>
        </w:tc>
        <w:tc>
          <w:tcPr>
            <w:tcW w:w="2088" w:type="dxa"/>
            <w:shd w:val="clear" w:color="auto" w:fill="FFF2CC" w:themeFill="accent4" w:themeFillTint="33"/>
            <w:vAlign w:val="center"/>
            <w:hideMark/>
          </w:tcPr>
          <w:p w14:paraId="18AE5F42"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6.2515</w:t>
            </w:r>
          </w:p>
        </w:tc>
        <w:tc>
          <w:tcPr>
            <w:tcW w:w="1412" w:type="dxa"/>
            <w:shd w:val="clear" w:color="auto" w:fill="FFF2CC" w:themeFill="accent4" w:themeFillTint="33"/>
            <w:vAlign w:val="center"/>
            <w:hideMark/>
          </w:tcPr>
          <w:p w14:paraId="748927C9"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50.6294</w:t>
            </w:r>
          </w:p>
        </w:tc>
        <w:tc>
          <w:tcPr>
            <w:tcW w:w="785" w:type="dxa"/>
            <w:shd w:val="clear" w:color="auto" w:fill="FFF2CC" w:themeFill="accent4" w:themeFillTint="33"/>
            <w:vAlign w:val="center"/>
            <w:hideMark/>
          </w:tcPr>
          <w:p w14:paraId="4CC84ECB"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0.4277</w:t>
            </w:r>
          </w:p>
        </w:tc>
        <w:tc>
          <w:tcPr>
            <w:tcW w:w="945" w:type="dxa"/>
            <w:shd w:val="clear" w:color="auto" w:fill="FFF2CC" w:themeFill="accent4" w:themeFillTint="33"/>
            <w:vAlign w:val="center"/>
            <w:hideMark/>
          </w:tcPr>
          <w:p w14:paraId="3B83967E"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0.1830</w:t>
            </w:r>
          </w:p>
        </w:tc>
      </w:tr>
    </w:tbl>
    <w:p w14:paraId="723D5314" w14:textId="77777777" w:rsidR="00F42E3D" w:rsidRDefault="00F42E3D" w:rsidP="006B6BD0">
      <w:pPr>
        <w:spacing w:after="0" w:line="360" w:lineRule="auto"/>
        <w:jc w:val="both"/>
        <w:rPr>
          <w:rFonts w:ascii="Segoe UI" w:eastAsia="Times New Roman" w:hAnsi="Segoe UI" w:cs="Segoe UI"/>
          <w:b/>
          <w:bCs/>
          <w:kern w:val="0"/>
          <w:sz w:val="21"/>
          <w:szCs w:val="21"/>
          <w14:ligatures w14:val="none"/>
        </w:rPr>
      </w:pPr>
    </w:p>
    <w:p w14:paraId="15820F65" w14:textId="728A6502" w:rsidR="00F42E3D" w:rsidRPr="006B6BD0" w:rsidRDefault="00F42E3D" w:rsidP="006B6BD0">
      <w:pPr>
        <w:pStyle w:val="ListParagraph"/>
        <w:numPr>
          <w:ilvl w:val="0"/>
          <w:numId w:val="2"/>
        </w:numPr>
        <w:spacing w:after="0" w:line="360" w:lineRule="auto"/>
        <w:jc w:val="both"/>
        <w:rPr>
          <w:rFonts w:ascii="Arial" w:eastAsia="Times New Roman" w:hAnsi="Arial" w:cs="Arial"/>
          <w:kern w:val="0"/>
          <w:sz w:val="24"/>
          <w:szCs w:val="24"/>
          <w14:ligatures w14:val="none"/>
        </w:rPr>
      </w:pPr>
      <w:r w:rsidRPr="006B6BD0">
        <w:rPr>
          <w:rFonts w:ascii="Arial" w:eastAsia="Times New Roman" w:hAnsi="Arial" w:cs="Arial"/>
          <w:b/>
          <w:bCs/>
          <w:kern w:val="0"/>
          <w:sz w:val="24"/>
          <w:szCs w:val="24"/>
          <w14:ligatures w14:val="none"/>
        </w:rPr>
        <w:t>COGS</w:t>
      </w:r>
      <w:r w:rsidRPr="006B6BD0">
        <w:rPr>
          <w:rFonts w:ascii="Arial" w:eastAsia="Times New Roman" w:hAnsi="Arial" w:cs="Arial"/>
          <w:kern w:val="0"/>
          <w:sz w:val="24"/>
          <w:szCs w:val="24"/>
          <w14:ligatures w14:val="none"/>
        </w:rPr>
        <w:t xml:space="preserve"> explains around 96% of the variation in Sales (R²≈0.96). As COGS rises by £1m, Sales rise by £3.41m on average.</w:t>
      </w:r>
    </w:p>
    <w:p w14:paraId="39954BF1" w14:textId="77777777" w:rsidR="00F42E3D" w:rsidRPr="003113BF" w:rsidRDefault="00F42E3D" w:rsidP="006B6BD0">
      <w:pPr>
        <w:pStyle w:val="ListParagraph"/>
        <w:numPr>
          <w:ilvl w:val="0"/>
          <w:numId w:val="2"/>
        </w:numPr>
        <w:spacing w:after="0" w:line="360" w:lineRule="auto"/>
        <w:jc w:val="both"/>
        <w:rPr>
          <w:rFonts w:ascii="Arial" w:eastAsia="Times New Roman" w:hAnsi="Arial" w:cs="Arial"/>
          <w:kern w:val="0"/>
          <w:sz w:val="24"/>
          <w:szCs w:val="24"/>
          <w14:ligatures w14:val="none"/>
        </w:rPr>
      </w:pPr>
      <w:r w:rsidRPr="003113BF">
        <w:rPr>
          <w:rFonts w:ascii="Arial" w:eastAsia="Times New Roman" w:hAnsi="Arial" w:cs="Arial"/>
          <w:b/>
          <w:bCs/>
          <w:kern w:val="0"/>
          <w:sz w:val="24"/>
          <w:szCs w:val="24"/>
          <w14:ligatures w14:val="none"/>
        </w:rPr>
        <w:t>Promotional spend</w:t>
      </w:r>
      <w:r w:rsidRPr="003113BF">
        <w:rPr>
          <w:rFonts w:ascii="Arial" w:eastAsia="Times New Roman" w:hAnsi="Arial" w:cs="Arial"/>
          <w:kern w:val="0"/>
          <w:sz w:val="24"/>
          <w:szCs w:val="24"/>
          <w14:ligatures w14:val="none"/>
        </w:rPr>
        <w:t xml:space="preserve"> shows a strong relationship (R²≈0.82): +£1m promo aligns with £38m higher Sales.</w:t>
      </w:r>
    </w:p>
    <w:p w14:paraId="2F8F2382" w14:textId="77777777" w:rsidR="00F42E3D" w:rsidRPr="003113BF" w:rsidRDefault="00F42E3D" w:rsidP="006B6BD0">
      <w:pPr>
        <w:pStyle w:val="ListParagraph"/>
        <w:numPr>
          <w:ilvl w:val="0"/>
          <w:numId w:val="2"/>
        </w:numPr>
        <w:spacing w:after="0" w:line="360" w:lineRule="auto"/>
        <w:jc w:val="both"/>
        <w:rPr>
          <w:rFonts w:ascii="Arial" w:eastAsia="Times New Roman" w:hAnsi="Arial" w:cs="Arial"/>
          <w:kern w:val="0"/>
          <w:sz w:val="24"/>
          <w:szCs w:val="24"/>
          <w14:ligatures w14:val="none"/>
        </w:rPr>
      </w:pPr>
      <w:r w:rsidRPr="003113BF">
        <w:rPr>
          <w:rFonts w:ascii="Arial" w:eastAsia="Times New Roman" w:hAnsi="Arial" w:cs="Arial"/>
          <w:b/>
          <w:bCs/>
          <w:kern w:val="0"/>
          <w:sz w:val="24"/>
          <w:szCs w:val="24"/>
          <w14:ligatures w14:val="none"/>
        </w:rPr>
        <w:t>Administrative costs</w:t>
      </w:r>
      <w:r w:rsidRPr="003113BF">
        <w:rPr>
          <w:rFonts w:ascii="Arial" w:eastAsia="Times New Roman" w:hAnsi="Arial" w:cs="Arial"/>
          <w:kern w:val="0"/>
          <w:sz w:val="24"/>
          <w:szCs w:val="24"/>
          <w14:ligatures w14:val="none"/>
        </w:rPr>
        <w:t xml:space="preserve"> have weaker explanatory power (R²≈0.18), suggesting admin spend is more fixed/overhead-like.</w:t>
      </w:r>
    </w:p>
    <w:p w14:paraId="69031B44" w14:textId="77777777" w:rsidR="006B6BD0" w:rsidRDefault="006B6BD0" w:rsidP="00F42E3D">
      <w:pPr>
        <w:spacing w:after="0" w:line="300" w:lineRule="atLeast"/>
        <w:rPr>
          <w:b/>
          <w:bCs/>
        </w:rPr>
      </w:pPr>
    </w:p>
    <w:p w14:paraId="4323DD03" w14:textId="42B9B289" w:rsidR="00F42E3D" w:rsidRPr="006B6BD0" w:rsidRDefault="00F42E3D" w:rsidP="00F42E3D">
      <w:pPr>
        <w:spacing w:after="0" w:line="300" w:lineRule="atLeast"/>
        <w:rPr>
          <w:rFonts w:ascii="Arial" w:eastAsia="Times New Roman" w:hAnsi="Arial" w:cs="Arial"/>
          <w:b/>
          <w:bCs/>
          <w:color w:val="4472C4" w:themeColor="accent1"/>
          <w:kern w:val="0"/>
          <w:sz w:val="24"/>
          <w:szCs w:val="24"/>
          <w:u w:val="single"/>
          <w14:ligatures w14:val="none"/>
        </w:rPr>
      </w:pPr>
      <w:r w:rsidRPr="006B6BD0">
        <w:rPr>
          <w:rFonts w:ascii="Arial" w:eastAsia="Times New Roman" w:hAnsi="Arial" w:cs="Arial"/>
          <w:b/>
          <w:bCs/>
          <w:color w:val="4472C4" w:themeColor="accent1"/>
          <w:kern w:val="0"/>
          <w:sz w:val="24"/>
          <w:szCs w:val="24"/>
          <w:u w:val="single"/>
          <w14:ligatures w14:val="none"/>
        </w:rPr>
        <w:t xml:space="preserve">Comparison Sales vs Costs </w:t>
      </w:r>
    </w:p>
    <w:p w14:paraId="51E29F5E"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7E08CCD6"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57"/>
        <w:gridCol w:w="2199"/>
        <w:gridCol w:w="1377"/>
        <w:gridCol w:w="1372"/>
        <w:gridCol w:w="1881"/>
        <w:gridCol w:w="1780"/>
        <w:gridCol w:w="1124"/>
      </w:tblGrid>
      <w:tr w:rsidR="00F42E3D" w:rsidRPr="001F1A10" w14:paraId="2756F80A" w14:textId="77777777" w:rsidTr="006B6BD0">
        <w:trPr>
          <w:tblCellSpacing w:w="15" w:type="dxa"/>
          <w:jc w:val="center"/>
        </w:trPr>
        <w:tc>
          <w:tcPr>
            <w:tcW w:w="1012" w:type="dxa"/>
            <w:shd w:val="clear" w:color="auto" w:fill="auto"/>
            <w:vAlign w:val="center"/>
            <w:hideMark/>
          </w:tcPr>
          <w:p w14:paraId="32A718F7"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Year</w:t>
            </w:r>
          </w:p>
        </w:tc>
        <w:tc>
          <w:tcPr>
            <w:tcW w:w="0" w:type="auto"/>
            <w:shd w:val="clear" w:color="auto" w:fill="auto"/>
            <w:vAlign w:val="center"/>
            <w:hideMark/>
          </w:tcPr>
          <w:p w14:paraId="4F7592DF"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COGS as % of Sales</w:t>
            </w:r>
          </w:p>
        </w:tc>
        <w:tc>
          <w:tcPr>
            <w:tcW w:w="0" w:type="auto"/>
            <w:shd w:val="clear" w:color="auto" w:fill="auto"/>
            <w:vAlign w:val="center"/>
            <w:hideMark/>
          </w:tcPr>
          <w:p w14:paraId="6C90585D"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Promo as %</w:t>
            </w:r>
          </w:p>
        </w:tc>
        <w:tc>
          <w:tcPr>
            <w:tcW w:w="0" w:type="auto"/>
            <w:shd w:val="clear" w:color="auto" w:fill="auto"/>
            <w:vAlign w:val="center"/>
            <w:hideMark/>
          </w:tcPr>
          <w:p w14:paraId="789AE271"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Admin as %</w:t>
            </w:r>
          </w:p>
        </w:tc>
        <w:tc>
          <w:tcPr>
            <w:tcW w:w="0" w:type="auto"/>
            <w:shd w:val="clear" w:color="auto" w:fill="auto"/>
            <w:vAlign w:val="center"/>
            <w:hideMark/>
          </w:tcPr>
          <w:p w14:paraId="68EDF03A"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Gross Profit (£m)</w:t>
            </w:r>
          </w:p>
        </w:tc>
        <w:tc>
          <w:tcPr>
            <w:tcW w:w="0" w:type="auto"/>
            <w:shd w:val="clear" w:color="auto" w:fill="auto"/>
            <w:vAlign w:val="center"/>
            <w:hideMark/>
          </w:tcPr>
          <w:p w14:paraId="0B25BF8F"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Gross Margin %</w:t>
            </w:r>
          </w:p>
        </w:tc>
        <w:tc>
          <w:tcPr>
            <w:tcW w:w="1079" w:type="dxa"/>
            <w:shd w:val="clear" w:color="auto" w:fill="auto"/>
            <w:vAlign w:val="center"/>
            <w:hideMark/>
          </w:tcPr>
          <w:p w14:paraId="4232864C"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Sales YoY %</w:t>
            </w:r>
          </w:p>
        </w:tc>
      </w:tr>
      <w:tr w:rsidR="00F42E3D" w:rsidRPr="001F1A10" w14:paraId="490779FF" w14:textId="77777777" w:rsidTr="006B6BD0">
        <w:trPr>
          <w:tblCellSpacing w:w="15" w:type="dxa"/>
          <w:jc w:val="center"/>
        </w:trPr>
        <w:tc>
          <w:tcPr>
            <w:tcW w:w="1012" w:type="dxa"/>
            <w:shd w:val="clear" w:color="auto" w:fill="FFF2CC" w:themeFill="accent4" w:themeFillTint="33"/>
            <w:vAlign w:val="center"/>
            <w:hideMark/>
          </w:tcPr>
          <w:p w14:paraId="4E7656B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2019</w:t>
            </w:r>
          </w:p>
        </w:tc>
        <w:tc>
          <w:tcPr>
            <w:tcW w:w="0" w:type="auto"/>
            <w:shd w:val="clear" w:color="auto" w:fill="FFF2CC" w:themeFill="accent4" w:themeFillTint="33"/>
            <w:vAlign w:val="center"/>
            <w:hideMark/>
          </w:tcPr>
          <w:p w14:paraId="2CE9CEC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63.45%</w:t>
            </w:r>
          </w:p>
        </w:tc>
        <w:tc>
          <w:tcPr>
            <w:tcW w:w="0" w:type="auto"/>
            <w:shd w:val="clear" w:color="auto" w:fill="FFF2CC" w:themeFill="accent4" w:themeFillTint="33"/>
            <w:vAlign w:val="center"/>
            <w:hideMark/>
          </w:tcPr>
          <w:p w14:paraId="20AF4EEA"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2.21%</w:t>
            </w:r>
          </w:p>
        </w:tc>
        <w:tc>
          <w:tcPr>
            <w:tcW w:w="0" w:type="auto"/>
            <w:shd w:val="clear" w:color="auto" w:fill="FFF2CC" w:themeFill="accent4" w:themeFillTint="33"/>
            <w:vAlign w:val="center"/>
            <w:hideMark/>
          </w:tcPr>
          <w:p w14:paraId="00732294"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8.62%</w:t>
            </w:r>
          </w:p>
        </w:tc>
        <w:tc>
          <w:tcPr>
            <w:tcW w:w="0" w:type="auto"/>
            <w:shd w:val="clear" w:color="auto" w:fill="FFF2CC" w:themeFill="accent4" w:themeFillTint="33"/>
            <w:vAlign w:val="center"/>
            <w:hideMark/>
          </w:tcPr>
          <w:p w14:paraId="5C024AC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53</w:t>
            </w:r>
          </w:p>
        </w:tc>
        <w:tc>
          <w:tcPr>
            <w:tcW w:w="0" w:type="auto"/>
            <w:shd w:val="clear" w:color="auto" w:fill="FFF2CC" w:themeFill="accent4" w:themeFillTint="33"/>
            <w:vAlign w:val="center"/>
            <w:hideMark/>
          </w:tcPr>
          <w:p w14:paraId="5EFA906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36.55%</w:t>
            </w:r>
          </w:p>
        </w:tc>
        <w:tc>
          <w:tcPr>
            <w:tcW w:w="1079" w:type="dxa"/>
            <w:shd w:val="clear" w:color="auto" w:fill="FFF2CC" w:themeFill="accent4" w:themeFillTint="33"/>
            <w:vAlign w:val="center"/>
            <w:hideMark/>
          </w:tcPr>
          <w:p w14:paraId="4D838162"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p>
        </w:tc>
      </w:tr>
      <w:tr w:rsidR="00F42E3D" w:rsidRPr="001F1A10" w14:paraId="3D20D2B9" w14:textId="77777777" w:rsidTr="006B6BD0">
        <w:trPr>
          <w:tblCellSpacing w:w="15" w:type="dxa"/>
          <w:jc w:val="center"/>
        </w:trPr>
        <w:tc>
          <w:tcPr>
            <w:tcW w:w="1012" w:type="dxa"/>
            <w:shd w:val="clear" w:color="auto" w:fill="FFF2CC" w:themeFill="accent4" w:themeFillTint="33"/>
            <w:vAlign w:val="center"/>
            <w:hideMark/>
          </w:tcPr>
          <w:p w14:paraId="3EE00CF8"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2020</w:t>
            </w:r>
          </w:p>
        </w:tc>
        <w:tc>
          <w:tcPr>
            <w:tcW w:w="0" w:type="auto"/>
            <w:shd w:val="clear" w:color="auto" w:fill="FFF2CC" w:themeFill="accent4" w:themeFillTint="33"/>
            <w:vAlign w:val="center"/>
            <w:hideMark/>
          </w:tcPr>
          <w:p w14:paraId="345E5E1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72.03%</w:t>
            </w:r>
          </w:p>
        </w:tc>
        <w:tc>
          <w:tcPr>
            <w:tcW w:w="0" w:type="auto"/>
            <w:shd w:val="clear" w:color="auto" w:fill="FFF2CC" w:themeFill="accent4" w:themeFillTint="33"/>
            <w:vAlign w:val="center"/>
            <w:hideMark/>
          </w:tcPr>
          <w:p w14:paraId="234B48BB"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2.37%</w:t>
            </w:r>
          </w:p>
        </w:tc>
        <w:tc>
          <w:tcPr>
            <w:tcW w:w="0" w:type="auto"/>
            <w:shd w:val="clear" w:color="auto" w:fill="FFF2CC" w:themeFill="accent4" w:themeFillTint="33"/>
            <w:vAlign w:val="center"/>
            <w:hideMark/>
          </w:tcPr>
          <w:p w14:paraId="1A31FB43"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11.02%</w:t>
            </w:r>
          </w:p>
        </w:tc>
        <w:tc>
          <w:tcPr>
            <w:tcW w:w="0" w:type="auto"/>
            <w:shd w:val="clear" w:color="auto" w:fill="FFF2CC" w:themeFill="accent4" w:themeFillTint="33"/>
            <w:vAlign w:val="center"/>
            <w:hideMark/>
          </w:tcPr>
          <w:p w14:paraId="0A80FE34"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33</w:t>
            </w:r>
          </w:p>
        </w:tc>
        <w:tc>
          <w:tcPr>
            <w:tcW w:w="0" w:type="auto"/>
            <w:shd w:val="clear" w:color="auto" w:fill="FFF2CC" w:themeFill="accent4" w:themeFillTint="33"/>
            <w:vAlign w:val="center"/>
            <w:hideMark/>
          </w:tcPr>
          <w:p w14:paraId="11A4C19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27.97%</w:t>
            </w:r>
          </w:p>
        </w:tc>
        <w:tc>
          <w:tcPr>
            <w:tcW w:w="1079" w:type="dxa"/>
            <w:shd w:val="clear" w:color="auto" w:fill="FFF2CC" w:themeFill="accent4" w:themeFillTint="33"/>
            <w:vAlign w:val="center"/>
            <w:hideMark/>
          </w:tcPr>
          <w:p w14:paraId="78A3C09A"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-18.62%</w:t>
            </w:r>
          </w:p>
        </w:tc>
      </w:tr>
      <w:tr w:rsidR="00F42E3D" w:rsidRPr="001F1A10" w14:paraId="1F01322B" w14:textId="77777777" w:rsidTr="006B6BD0">
        <w:trPr>
          <w:tblCellSpacing w:w="15" w:type="dxa"/>
          <w:jc w:val="center"/>
        </w:trPr>
        <w:tc>
          <w:tcPr>
            <w:tcW w:w="1012" w:type="dxa"/>
            <w:shd w:val="clear" w:color="auto" w:fill="FFF2CC" w:themeFill="accent4" w:themeFillTint="33"/>
            <w:vAlign w:val="center"/>
            <w:hideMark/>
          </w:tcPr>
          <w:p w14:paraId="2F40E9EF"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2021</w:t>
            </w:r>
          </w:p>
        </w:tc>
        <w:tc>
          <w:tcPr>
            <w:tcW w:w="0" w:type="auto"/>
            <w:shd w:val="clear" w:color="auto" w:fill="FFF2CC" w:themeFill="accent4" w:themeFillTint="33"/>
            <w:vAlign w:val="center"/>
            <w:hideMark/>
          </w:tcPr>
          <w:p w14:paraId="685B50C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69.84%</w:t>
            </w:r>
          </w:p>
        </w:tc>
        <w:tc>
          <w:tcPr>
            <w:tcW w:w="0" w:type="auto"/>
            <w:shd w:val="clear" w:color="auto" w:fill="FFF2CC" w:themeFill="accent4" w:themeFillTint="33"/>
            <w:vAlign w:val="center"/>
            <w:hideMark/>
          </w:tcPr>
          <w:p w14:paraId="12371C7E"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2.38%</w:t>
            </w:r>
          </w:p>
        </w:tc>
        <w:tc>
          <w:tcPr>
            <w:tcW w:w="0" w:type="auto"/>
            <w:shd w:val="clear" w:color="auto" w:fill="FFF2CC" w:themeFill="accent4" w:themeFillTint="33"/>
            <w:vAlign w:val="center"/>
            <w:hideMark/>
          </w:tcPr>
          <w:p w14:paraId="674CCFB5"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10.63%</w:t>
            </w:r>
          </w:p>
        </w:tc>
        <w:tc>
          <w:tcPr>
            <w:tcW w:w="0" w:type="auto"/>
            <w:shd w:val="clear" w:color="auto" w:fill="FFF2CC" w:themeFill="accent4" w:themeFillTint="33"/>
            <w:vAlign w:val="center"/>
            <w:hideMark/>
          </w:tcPr>
          <w:p w14:paraId="08C94CF7"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38</w:t>
            </w:r>
          </w:p>
        </w:tc>
        <w:tc>
          <w:tcPr>
            <w:tcW w:w="0" w:type="auto"/>
            <w:shd w:val="clear" w:color="auto" w:fill="FFF2CC" w:themeFill="accent4" w:themeFillTint="33"/>
            <w:vAlign w:val="center"/>
            <w:hideMark/>
          </w:tcPr>
          <w:p w14:paraId="2D9A5D06"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30.16%</w:t>
            </w:r>
          </w:p>
        </w:tc>
        <w:tc>
          <w:tcPr>
            <w:tcW w:w="1079" w:type="dxa"/>
            <w:shd w:val="clear" w:color="auto" w:fill="FFF2CC" w:themeFill="accent4" w:themeFillTint="33"/>
            <w:vAlign w:val="center"/>
            <w:hideMark/>
          </w:tcPr>
          <w:p w14:paraId="15EF78F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6.78%</w:t>
            </w:r>
          </w:p>
        </w:tc>
      </w:tr>
      <w:tr w:rsidR="00F42E3D" w:rsidRPr="001F1A10" w14:paraId="55EFB045" w14:textId="77777777" w:rsidTr="006B6BD0">
        <w:trPr>
          <w:tblCellSpacing w:w="15" w:type="dxa"/>
          <w:jc w:val="center"/>
        </w:trPr>
        <w:tc>
          <w:tcPr>
            <w:tcW w:w="1012" w:type="dxa"/>
            <w:shd w:val="clear" w:color="auto" w:fill="FFF2CC" w:themeFill="accent4" w:themeFillTint="33"/>
            <w:vAlign w:val="center"/>
            <w:hideMark/>
          </w:tcPr>
          <w:p w14:paraId="0BEE4E34"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2022</w:t>
            </w:r>
          </w:p>
        </w:tc>
        <w:tc>
          <w:tcPr>
            <w:tcW w:w="0" w:type="auto"/>
            <w:shd w:val="clear" w:color="auto" w:fill="FFF2CC" w:themeFill="accent4" w:themeFillTint="33"/>
            <w:vAlign w:val="center"/>
            <w:hideMark/>
          </w:tcPr>
          <w:p w14:paraId="503AC54E"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65.22%</w:t>
            </w:r>
          </w:p>
        </w:tc>
        <w:tc>
          <w:tcPr>
            <w:tcW w:w="0" w:type="auto"/>
            <w:shd w:val="clear" w:color="auto" w:fill="FFF2CC" w:themeFill="accent4" w:themeFillTint="33"/>
            <w:vAlign w:val="center"/>
            <w:hideMark/>
          </w:tcPr>
          <w:p w14:paraId="79B025D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2.46%</w:t>
            </w:r>
          </w:p>
        </w:tc>
        <w:tc>
          <w:tcPr>
            <w:tcW w:w="0" w:type="auto"/>
            <w:shd w:val="clear" w:color="auto" w:fill="FFF2CC" w:themeFill="accent4" w:themeFillTint="33"/>
            <w:vAlign w:val="center"/>
            <w:hideMark/>
          </w:tcPr>
          <w:p w14:paraId="75A78CA7"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10.22%</w:t>
            </w:r>
          </w:p>
        </w:tc>
        <w:tc>
          <w:tcPr>
            <w:tcW w:w="0" w:type="auto"/>
            <w:shd w:val="clear" w:color="auto" w:fill="FFF2CC" w:themeFill="accent4" w:themeFillTint="33"/>
            <w:vAlign w:val="center"/>
            <w:hideMark/>
          </w:tcPr>
          <w:p w14:paraId="37CBD8AE"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48</w:t>
            </w:r>
          </w:p>
        </w:tc>
        <w:tc>
          <w:tcPr>
            <w:tcW w:w="0" w:type="auto"/>
            <w:shd w:val="clear" w:color="auto" w:fill="FFF2CC" w:themeFill="accent4" w:themeFillTint="33"/>
            <w:vAlign w:val="center"/>
            <w:hideMark/>
          </w:tcPr>
          <w:p w14:paraId="2244685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34.78%</w:t>
            </w:r>
          </w:p>
        </w:tc>
        <w:tc>
          <w:tcPr>
            <w:tcW w:w="1079" w:type="dxa"/>
            <w:shd w:val="clear" w:color="auto" w:fill="FFF2CC" w:themeFill="accent4" w:themeFillTint="33"/>
            <w:vAlign w:val="center"/>
            <w:hideMark/>
          </w:tcPr>
          <w:p w14:paraId="3563EFB5"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9.52%</w:t>
            </w:r>
          </w:p>
        </w:tc>
      </w:tr>
      <w:tr w:rsidR="00F42E3D" w:rsidRPr="001F1A10" w14:paraId="5E276070" w14:textId="77777777" w:rsidTr="006B6BD0">
        <w:trPr>
          <w:tblCellSpacing w:w="15" w:type="dxa"/>
          <w:jc w:val="center"/>
        </w:trPr>
        <w:tc>
          <w:tcPr>
            <w:tcW w:w="1012" w:type="dxa"/>
            <w:shd w:val="clear" w:color="auto" w:fill="FFF2CC" w:themeFill="accent4" w:themeFillTint="33"/>
            <w:vAlign w:val="center"/>
            <w:hideMark/>
          </w:tcPr>
          <w:p w14:paraId="674A25C6"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2023</w:t>
            </w:r>
          </w:p>
        </w:tc>
        <w:tc>
          <w:tcPr>
            <w:tcW w:w="0" w:type="auto"/>
            <w:shd w:val="clear" w:color="auto" w:fill="FFF2CC" w:themeFill="accent4" w:themeFillTint="33"/>
            <w:vAlign w:val="center"/>
            <w:hideMark/>
          </w:tcPr>
          <w:p w14:paraId="22980D8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63.33%</w:t>
            </w:r>
          </w:p>
        </w:tc>
        <w:tc>
          <w:tcPr>
            <w:tcW w:w="0" w:type="auto"/>
            <w:shd w:val="clear" w:color="auto" w:fill="FFF2CC" w:themeFill="accent4" w:themeFillTint="33"/>
            <w:vAlign w:val="center"/>
            <w:hideMark/>
          </w:tcPr>
          <w:p w14:paraId="3E4C8DEC"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2.40%</w:t>
            </w:r>
          </w:p>
        </w:tc>
        <w:tc>
          <w:tcPr>
            <w:tcW w:w="0" w:type="auto"/>
            <w:shd w:val="clear" w:color="auto" w:fill="FFF2CC" w:themeFill="accent4" w:themeFillTint="33"/>
            <w:vAlign w:val="center"/>
            <w:hideMark/>
          </w:tcPr>
          <w:p w14:paraId="19ED7D5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9.87%</w:t>
            </w:r>
          </w:p>
        </w:tc>
        <w:tc>
          <w:tcPr>
            <w:tcW w:w="0" w:type="auto"/>
            <w:shd w:val="clear" w:color="auto" w:fill="FFF2CC" w:themeFill="accent4" w:themeFillTint="33"/>
            <w:vAlign w:val="center"/>
            <w:hideMark/>
          </w:tcPr>
          <w:p w14:paraId="46ED3317"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55</w:t>
            </w:r>
          </w:p>
        </w:tc>
        <w:tc>
          <w:tcPr>
            <w:tcW w:w="0" w:type="auto"/>
            <w:shd w:val="clear" w:color="auto" w:fill="FFF2CC" w:themeFill="accent4" w:themeFillTint="33"/>
            <w:vAlign w:val="center"/>
            <w:hideMark/>
          </w:tcPr>
          <w:p w14:paraId="14CDC8B5"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36.67%</w:t>
            </w:r>
          </w:p>
        </w:tc>
        <w:tc>
          <w:tcPr>
            <w:tcW w:w="1079" w:type="dxa"/>
            <w:shd w:val="clear" w:color="auto" w:fill="FFF2CC" w:themeFill="accent4" w:themeFillTint="33"/>
            <w:vAlign w:val="center"/>
            <w:hideMark/>
          </w:tcPr>
          <w:p w14:paraId="359988F1"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8.70%</w:t>
            </w:r>
          </w:p>
        </w:tc>
      </w:tr>
    </w:tbl>
    <w:p w14:paraId="27AB8F31"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7BA110DB"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6D109B64" w14:textId="77777777" w:rsidR="00F42E3D" w:rsidRPr="0067333C" w:rsidRDefault="00F42E3D" w:rsidP="00F42E3D">
      <w:pPr>
        <w:pStyle w:val="ListParagraph"/>
        <w:numPr>
          <w:ilvl w:val="0"/>
          <w:numId w:val="1"/>
        </w:numPr>
        <w:spacing w:after="0" w:line="360" w:lineRule="auto"/>
        <w:jc w:val="both"/>
        <w:rPr>
          <w:rFonts w:ascii="Arial" w:eastAsia="Times New Roman" w:hAnsi="Arial" w:cs="Arial"/>
          <w:kern w:val="0"/>
          <w:sz w:val="24"/>
          <w:szCs w:val="24"/>
          <w14:ligatures w14:val="none"/>
        </w:rPr>
      </w:pPr>
      <w:r w:rsidRPr="0067333C">
        <w:rPr>
          <w:rFonts w:ascii="Arial" w:eastAsia="Times New Roman" w:hAnsi="Arial" w:cs="Arial"/>
          <w:b/>
          <w:bCs/>
          <w:kern w:val="0"/>
          <w:sz w:val="24"/>
          <w:szCs w:val="24"/>
          <w14:ligatures w14:val="none"/>
        </w:rPr>
        <w:t>2020</w:t>
      </w:r>
      <w:r w:rsidRPr="0067333C">
        <w:rPr>
          <w:rFonts w:ascii="Arial" w:eastAsia="Times New Roman" w:hAnsi="Arial" w:cs="Arial"/>
          <w:kern w:val="0"/>
          <w:sz w:val="24"/>
          <w:szCs w:val="24"/>
          <w14:ligatures w14:val="none"/>
        </w:rPr>
        <w:t xml:space="preserve"> - Sales fell -18.6%, COGS ratio jumped to 72% and gross margin dipped to 28%, indicating a demand loss.</w:t>
      </w:r>
    </w:p>
    <w:p w14:paraId="312632A8" w14:textId="77777777" w:rsidR="00F42E3D" w:rsidRPr="0067333C" w:rsidRDefault="00F42E3D" w:rsidP="00F42E3D">
      <w:pPr>
        <w:pStyle w:val="ListParagraph"/>
        <w:numPr>
          <w:ilvl w:val="0"/>
          <w:numId w:val="1"/>
        </w:numPr>
        <w:spacing w:after="0" w:line="360" w:lineRule="auto"/>
        <w:jc w:val="both"/>
        <w:rPr>
          <w:rFonts w:ascii="Arial" w:eastAsia="Times New Roman" w:hAnsi="Arial" w:cs="Arial"/>
          <w:kern w:val="0"/>
          <w:sz w:val="24"/>
          <w:szCs w:val="24"/>
          <w14:ligatures w14:val="none"/>
        </w:rPr>
      </w:pPr>
      <w:r w:rsidRPr="0067333C">
        <w:rPr>
          <w:rFonts w:ascii="Arial" w:eastAsia="Times New Roman" w:hAnsi="Arial" w:cs="Arial"/>
          <w:b/>
          <w:bCs/>
          <w:kern w:val="0"/>
          <w:sz w:val="24"/>
          <w:szCs w:val="24"/>
          <w14:ligatures w14:val="none"/>
        </w:rPr>
        <w:t>Recovery 2021–2023 -</w:t>
      </w:r>
      <w:r w:rsidRPr="0067333C">
        <w:rPr>
          <w:rFonts w:ascii="Arial" w:eastAsia="Times New Roman" w:hAnsi="Arial" w:cs="Arial"/>
          <w:kern w:val="0"/>
          <w:sz w:val="24"/>
          <w:szCs w:val="24"/>
          <w14:ligatures w14:val="none"/>
        </w:rPr>
        <w:t xml:space="preserve"> Sales rebounded steadily to £150m; COGS% normalized back to 63–65%, pushing gross margin to 36.7% by 2023 slightly better than 2019. </w:t>
      </w:r>
    </w:p>
    <w:p w14:paraId="31D2CED4" w14:textId="30C9057E" w:rsidR="00F42E3D" w:rsidRPr="006B6BD0" w:rsidRDefault="00F42E3D" w:rsidP="006B6BD0">
      <w:pPr>
        <w:pStyle w:val="ListParagraph"/>
        <w:numPr>
          <w:ilvl w:val="0"/>
          <w:numId w:val="1"/>
        </w:numPr>
        <w:spacing w:after="0" w:line="360" w:lineRule="auto"/>
        <w:jc w:val="both"/>
        <w:rPr>
          <w:rFonts w:ascii="Arial" w:eastAsia="Times New Roman" w:hAnsi="Arial" w:cs="Arial"/>
          <w:kern w:val="0"/>
          <w:sz w:val="24"/>
          <w:szCs w:val="24"/>
          <w14:ligatures w14:val="none"/>
        </w:rPr>
      </w:pPr>
      <w:r w:rsidRPr="0067333C">
        <w:rPr>
          <w:rFonts w:ascii="Arial" w:eastAsia="Times New Roman" w:hAnsi="Arial" w:cs="Arial"/>
          <w:b/>
          <w:bCs/>
          <w:kern w:val="0"/>
          <w:sz w:val="24"/>
          <w:szCs w:val="24"/>
          <w14:ligatures w14:val="none"/>
        </w:rPr>
        <w:t>Promo &amp; Admin -</w:t>
      </w:r>
      <w:r w:rsidRPr="0067333C">
        <w:rPr>
          <w:rFonts w:ascii="Arial" w:eastAsia="Times New Roman" w:hAnsi="Arial" w:cs="Arial"/>
          <w:kern w:val="0"/>
          <w:sz w:val="24"/>
          <w:szCs w:val="24"/>
          <w14:ligatures w14:val="none"/>
        </w:rPr>
        <w:t xml:space="preserve"> Promotional spend remained 2.2–2.5% of Sales,</w:t>
      </w:r>
      <w:r w:rsidR="006B6BD0">
        <w:rPr>
          <w:rFonts w:ascii="Arial" w:eastAsia="Times New Roman" w:hAnsi="Arial" w:cs="Arial"/>
          <w:kern w:val="0"/>
          <w:sz w:val="24"/>
          <w:szCs w:val="24"/>
          <w14:ligatures w14:val="none"/>
        </w:rPr>
        <w:t xml:space="preserve"> </w:t>
      </w:r>
      <w:r w:rsidRPr="006B6BD0">
        <w:rPr>
          <w:rFonts w:ascii="Arial" w:eastAsia="Times New Roman" w:hAnsi="Arial" w:cs="Arial"/>
          <w:kern w:val="0"/>
          <w:sz w:val="24"/>
          <w:szCs w:val="24"/>
          <w14:ligatures w14:val="none"/>
        </w:rPr>
        <w:t>Admin rose gradually in money terms but declined as a percentage of Sales post 2020, suggesting scale efficiencies.</w:t>
      </w:r>
    </w:p>
    <w:p w14:paraId="39C77A2B" w14:textId="77777777" w:rsidR="006B6BD0" w:rsidRDefault="006B6BD0" w:rsidP="006B6BD0">
      <w:pPr>
        <w:pStyle w:val="ListParagraph"/>
        <w:spacing w:after="0" w:line="360" w:lineRule="auto"/>
        <w:jc w:val="both"/>
        <w:rPr>
          <w:rFonts w:ascii="Arial" w:eastAsia="Times New Roman" w:hAnsi="Arial" w:cs="Arial"/>
          <w:kern w:val="0"/>
          <w:sz w:val="24"/>
          <w:szCs w:val="24"/>
          <w14:ligatures w14:val="none"/>
        </w:rPr>
      </w:pPr>
    </w:p>
    <w:p w14:paraId="3B7E2563" w14:textId="38C35CAF" w:rsidR="006B6BD0" w:rsidRPr="006B6BD0" w:rsidRDefault="006B6BD0" w:rsidP="006B6BD0">
      <w:pPr>
        <w:pStyle w:val="ListParagraph"/>
        <w:spacing w:after="0" w:line="360" w:lineRule="auto"/>
        <w:jc w:val="both"/>
        <w:rPr>
          <w:rFonts w:ascii="Arial" w:eastAsia="Times New Roman" w:hAnsi="Arial" w:cs="Arial"/>
          <w:kern w:val="0"/>
          <w:sz w:val="24"/>
          <w:szCs w:val="24"/>
          <w14:ligatures w14:val="none"/>
        </w:rPr>
      </w:pPr>
      <w:r w:rsidRPr="006B6BD0">
        <w:rPr>
          <w:rFonts w:ascii="Arial" w:eastAsia="Times New Roman" w:hAnsi="Arial" w:cs="Arial"/>
          <w:kern w:val="0"/>
          <w:sz w:val="24"/>
          <w:szCs w:val="24"/>
          <w14:ligatures w14:val="none"/>
        </w:rPr>
        <w:t>The strong relationship between sales and COGS indicates a largely variable cost structure that moves in line with production volume, suggesting that margin optimisation should focus on pricing strategy, product mix, and procurement efficiency. Promotional spending appears to have become more effective during the recovery period, with sales increasing at a faster rate than promotional costs; applying marketing</w:t>
      </w:r>
      <w:r w:rsidRPr="006B6BD0">
        <w:rPr>
          <w:rFonts w:ascii="Arial" w:eastAsia="Times New Roman" w:hAnsi="Arial" w:cs="Arial"/>
          <w:kern w:val="0"/>
          <w:sz w:val="24"/>
          <w:szCs w:val="24"/>
          <w14:ligatures w14:val="none"/>
        </w:rPr>
        <w:noBreakHyphen/>
        <w:t>mix modelling could help quantify the return on investment more precisely. Administrative costs behave more like semi</w:t>
      </w:r>
      <w:r w:rsidRPr="006B6BD0">
        <w:rPr>
          <w:rFonts w:ascii="Arial" w:eastAsia="Times New Roman" w:hAnsi="Arial" w:cs="Arial"/>
          <w:kern w:val="0"/>
          <w:sz w:val="24"/>
          <w:szCs w:val="24"/>
          <w14:ligatures w14:val="none"/>
        </w:rPr>
        <w:noBreakHyphen/>
        <w:t>fixed overheads, and as revenue continues to rise, productivity improvements and process efficiencies could further reduce administrative expenses as a proportion of total sales.</w:t>
      </w:r>
    </w:p>
    <w:p w14:paraId="7F555BD3" w14:textId="77777777" w:rsidR="00F42E3D" w:rsidRPr="001F1A10" w:rsidRDefault="00F42E3D" w:rsidP="00F42E3D">
      <w:pPr>
        <w:spacing w:after="0" w:line="360" w:lineRule="auto"/>
        <w:jc w:val="both"/>
        <w:rPr>
          <w:rFonts w:ascii="Arial" w:eastAsia="Times New Roman" w:hAnsi="Arial" w:cs="Arial"/>
          <w:b/>
          <w:bCs/>
          <w:kern w:val="0"/>
          <w:sz w:val="24"/>
          <w:szCs w:val="24"/>
          <w:u w:val="single"/>
          <w14:ligatures w14:val="none"/>
        </w:rPr>
      </w:pPr>
    </w:p>
    <w:p w14:paraId="0B5E81D4" w14:textId="34A6A03C" w:rsidR="00F42E3D" w:rsidRDefault="00F42E3D" w:rsidP="00F42E3D">
      <w:pPr>
        <w:jc w:val="center"/>
        <w:rPr>
          <w:rFonts w:ascii="Arial" w:hAnsi="Arial" w:cs="Arial"/>
          <w:b/>
          <w:bCs/>
          <w:sz w:val="24"/>
          <w:szCs w:val="24"/>
          <w:u w:val="single"/>
        </w:rPr>
      </w:pPr>
      <w:r w:rsidRPr="00EB1365">
        <w:rPr>
          <w:rFonts w:ascii="Arial" w:hAnsi="Arial" w:cs="Arial"/>
          <w:b/>
          <w:bCs/>
          <w:sz w:val="24"/>
          <w:szCs w:val="24"/>
          <w:u w:val="single"/>
        </w:rPr>
        <w:t>Visualization Graphs</w:t>
      </w:r>
    </w:p>
    <w:p w14:paraId="43A75C76" w14:textId="77777777" w:rsidR="00F42E3D" w:rsidRPr="0098705B" w:rsidRDefault="00F42E3D" w:rsidP="00F42E3D">
      <w:pPr>
        <w:jc w:val="center"/>
        <w:rPr>
          <w:rFonts w:ascii="Arial" w:hAnsi="Arial" w:cs="Arial"/>
          <w:b/>
          <w:bCs/>
          <w:sz w:val="24"/>
          <w:szCs w:val="24"/>
          <w:u w:val="single"/>
        </w:rPr>
      </w:pPr>
    </w:p>
    <w:p w14:paraId="0692E86C" w14:textId="77777777" w:rsidR="00F42E3D" w:rsidRPr="002B2154" w:rsidRDefault="00F42E3D" w:rsidP="00F42E3D">
      <w:pPr>
        <w:spacing w:after="0" w:line="300" w:lineRule="atLeast"/>
        <w:rPr>
          <w:rFonts w:ascii="Arial" w:eastAsia="Times New Roman" w:hAnsi="Arial" w:cs="Arial"/>
          <w:b/>
          <w:bCs/>
          <w:kern w:val="0"/>
          <w:sz w:val="24"/>
          <w:szCs w:val="24"/>
          <w:u w:val="single"/>
          <w14:ligatures w14:val="none"/>
        </w:rPr>
      </w:pPr>
      <w:r w:rsidRPr="002B2154">
        <w:rPr>
          <w:rFonts w:ascii="Arial" w:eastAsia="Times New Roman" w:hAnsi="Arial" w:cs="Arial"/>
          <w:b/>
          <w:bCs/>
          <w:kern w:val="0"/>
          <w:sz w:val="24"/>
          <w:szCs w:val="24"/>
          <w:u w:val="single"/>
          <w14:ligatures w14:val="none"/>
        </w:rPr>
        <w:t>Bar chart — Sales vs COGS by year</w:t>
      </w:r>
    </w:p>
    <w:p w14:paraId="4CEB2AA2" w14:textId="77777777" w:rsidR="00F42E3D" w:rsidRDefault="00F42E3D" w:rsidP="00F42E3D">
      <w:pPr>
        <w:rPr>
          <w:rFonts w:ascii="Arial" w:hAnsi="Arial" w:cs="Arial"/>
          <w:b/>
          <w:bCs/>
          <w:sz w:val="24"/>
          <w:szCs w:val="24"/>
          <w:u w:val="single"/>
        </w:rPr>
      </w:pPr>
    </w:p>
    <w:p w14:paraId="74CF79EA" w14:textId="77777777" w:rsidR="00F42E3D" w:rsidRDefault="00F42E3D" w:rsidP="00F34888">
      <w:pPr>
        <w:jc w:val="center"/>
        <w:rPr>
          <w:rFonts w:ascii="Arial" w:hAnsi="Arial" w:cs="Arial"/>
          <w:b/>
          <w:bCs/>
          <w:sz w:val="24"/>
          <w:szCs w:val="24"/>
          <w:u w:val="single"/>
        </w:rPr>
      </w:pPr>
      <w:r w:rsidRPr="002B2154">
        <w:rPr>
          <w:rFonts w:ascii="Arial" w:hAnsi="Arial" w:cs="Arial"/>
          <w:b/>
          <w:bCs/>
          <w:noProof/>
          <w:sz w:val="24"/>
          <w:szCs w:val="24"/>
          <w:u w:val="single"/>
        </w:rPr>
        <w:drawing>
          <wp:inline distT="0" distB="0" distL="0" distR="0" wp14:anchorId="7087AB58" wp14:editId="1FC537F3">
            <wp:extent cx="5943600" cy="2054860"/>
            <wp:effectExtent l="0" t="0" r="0" b="2540"/>
            <wp:docPr id="573917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917658" name=""/>
                    <pic:cNvPicPr/>
                  </pic:nvPicPr>
                  <pic:blipFill>
                    <a:blip r:embed="rId16"/>
                    <a:stretch>
                      <a:fillRect/>
                    </a:stretch>
                  </pic:blipFill>
                  <pic:spPr>
                    <a:xfrm>
                      <a:off x="0" y="0"/>
                      <a:ext cx="5943600" cy="2054860"/>
                    </a:xfrm>
                    <a:prstGeom prst="rect">
                      <a:avLst/>
                    </a:prstGeom>
                  </pic:spPr>
                </pic:pic>
              </a:graphicData>
            </a:graphic>
          </wp:inline>
        </w:drawing>
      </w:r>
    </w:p>
    <w:p w14:paraId="568509E1" w14:textId="77777777" w:rsidR="00F42E3D" w:rsidRPr="0098705B" w:rsidRDefault="00F42E3D" w:rsidP="00F42E3D">
      <w:pPr>
        <w:rPr>
          <w:rFonts w:ascii="Arial" w:hAnsi="Arial" w:cs="Arial"/>
          <w:b/>
          <w:bCs/>
          <w:sz w:val="24"/>
          <w:szCs w:val="24"/>
          <w:u w:val="single"/>
        </w:rPr>
      </w:pPr>
    </w:p>
    <w:p w14:paraId="48D8F0F4" w14:textId="77777777" w:rsidR="00F42E3D" w:rsidRPr="009C296C" w:rsidRDefault="00F42E3D" w:rsidP="00F42E3D">
      <w:pPr>
        <w:spacing w:after="0" w:line="300" w:lineRule="atLeast"/>
        <w:rPr>
          <w:rFonts w:ascii="Arial" w:eastAsia="Times New Roman" w:hAnsi="Arial" w:cs="Arial"/>
          <w:b/>
          <w:bCs/>
          <w:kern w:val="0"/>
          <w:sz w:val="24"/>
          <w:szCs w:val="24"/>
          <w:u w:val="single"/>
          <w14:ligatures w14:val="none"/>
        </w:rPr>
      </w:pPr>
      <w:r w:rsidRPr="009C296C">
        <w:rPr>
          <w:rFonts w:ascii="Arial" w:eastAsia="Times New Roman" w:hAnsi="Arial" w:cs="Arial"/>
          <w:b/>
          <w:bCs/>
          <w:kern w:val="0"/>
          <w:sz w:val="24"/>
          <w:szCs w:val="24"/>
          <w:u w:val="single"/>
          <w14:ligatures w14:val="none"/>
        </w:rPr>
        <w:t>Pie chart — 2023 cost breakdown</w:t>
      </w:r>
    </w:p>
    <w:p w14:paraId="45A08FEA" w14:textId="77777777" w:rsidR="00F42E3D" w:rsidRDefault="00F42E3D" w:rsidP="00F42E3D">
      <w:pPr>
        <w:rPr>
          <w:rFonts w:ascii="Arial" w:hAnsi="Arial" w:cs="Arial"/>
          <w:b/>
          <w:bCs/>
          <w:sz w:val="24"/>
          <w:szCs w:val="24"/>
          <w:u w:val="single"/>
        </w:rPr>
      </w:pPr>
    </w:p>
    <w:p w14:paraId="4A0F1E17" w14:textId="77777777" w:rsidR="00F34888" w:rsidRDefault="00F42E3D" w:rsidP="00F34888">
      <w:pPr>
        <w:jc w:val="center"/>
        <w:rPr>
          <w:rFonts w:ascii="Arial" w:hAnsi="Arial" w:cs="Arial"/>
          <w:b/>
          <w:bCs/>
          <w:sz w:val="24"/>
          <w:szCs w:val="24"/>
          <w:u w:val="single"/>
        </w:rPr>
      </w:pPr>
      <w:r w:rsidRPr="00E9710A">
        <w:rPr>
          <w:rFonts w:ascii="Arial" w:hAnsi="Arial" w:cs="Arial"/>
          <w:b/>
          <w:bCs/>
          <w:noProof/>
          <w:sz w:val="24"/>
          <w:szCs w:val="24"/>
          <w:u w:val="single"/>
        </w:rPr>
        <w:drawing>
          <wp:inline distT="0" distB="0" distL="0" distR="0" wp14:anchorId="6C001BBF" wp14:editId="71863C29">
            <wp:extent cx="1866900" cy="2019772"/>
            <wp:effectExtent l="0" t="0" r="0" b="0"/>
            <wp:docPr id="1794403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403517" name=""/>
                    <pic:cNvPicPr/>
                  </pic:nvPicPr>
                  <pic:blipFill>
                    <a:blip r:embed="rId17"/>
                    <a:stretch>
                      <a:fillRect/>
                    </a:stretch>
                  </pic:blipFill>
                  <pic:spPr>
                    <a:xfrm>
                      <a:off x="0" y="0"/>
                      <a:ext cx="1875367" cy="2028932"/>
                    </a:xfrm>
                    <a:prstGeom prst="rect">
                      <a:avLst/>
                    </a:prstGeom>
                  </pic:spPr>
                </pic:pic>
              </a:graphicData>
            </a:graphic>
          </wp:inline>
        </w:drawing>
      </w:r>
    </w:p>
    <w:p w14:paraId="7AC345F9" w14:textId="48D2623A" w:rsidR="00F42E3D" w:rsidRPr="00F34888" w:rsidRDefault="00F42E3D" w:rsidP="00F34888">
      <w:pPr>
        <w:rPr>
          <w:rFonts w:ascii="Arial" w:hAnsi="Arial" w:cs="Arial"/>
          <w:b/>
          <w:bCs/>
          <w:sz w:val="24"/>
          <w:szCs w:val="24"/>
          <w:u w:val="single"/>
        </w:rPr>
      </w:pPr>
      <w:r w:rsidRPr="0098705B">
        <w:rPr>
          <w:rFonts w:ascii="Arial" w:eastAsia="Times New Roman" w:hAnsi="Arial" w:cs="Arial"/>
          <w:b/>
          <w:bCs/>
          <w:kern w:val="0"/>
          <w:sz w:val="24"/>
          <w:szCs w:val="24"/>
          <w:u w:val="single"/>
          <w14:ligatures w14:val="none"/>
        </w:rPr>
        <w:lastRenderedPageBreak/>
        <w:t>Sales s</w:t>
      </w:r>
      <w:r w:rsidRPr="00E9710A">
        <w:rPr>
          <w:rFonts w:ascii="Arial" w:eastAsia="Times New Roman" w:hAnsi="Arial" w:cs="Arial"/>
          <w:b/>
          <w:bCs/>
          <w:kern w:val="0"/>
          <w:sz w:val="24"/>
          <w:szCs w:val="24"/>
          <w:u w:val="single"/>
          <w14:ligatures w14:val="none"/>
        </w:rPr>
        <w:t>catter plot with regression line</w:t>
      </w:r>
    </w:p>
    <w:p w14:paraId="3060658F" w14:textId="77777777" w:rsidR="00F42E3D" w:rsidRDefault="00F42E3D" w:rsidP="00F42E3D">
      <w:pPr>
        <w:spacing w:after="0" w:line="300" w:lineRule="atLeast"/>
        <w:rPr>
          <w:rFonts w:ascii="Arial" w:eastAsia="Times New Roman" w:hAnsi="Arial" w:cs="Arial"/>
          <w:kern w:val="0"/>
          <w:sz w:val="24"/>
          <w:szCs w:val="24"/>
          <w:u w:val="single"/>
          <w14:ligatures w14:val="none"/>
        </w:rPr>
      </w:pPr>
    </w:p>
    <w:p w14:paraId="7D24DB6A" w14:textId="77777777" w:rsidR="00F42E3D" w:rsidRPr="00E9710A" w:rsidRDefault="00F42E3D" w:rsidP="00F42E3D">
      <w:pPr>
        <w:spacing w:after="0" w:line="300" w:lineRule="atLeast"/>
        <w:rPr>
          <w:rFonts w:ascii="Arial" w:eastAsia="Times New Roman" w:hAnsi="Arial" w:cs="Arial"/>
          <w:kern w:val="0"/>
          <w:sz w:val="24"/>
          <w:szCs w:val="24"/>
          <w:u w:val="single"/>
          <w14:ligatures w14:val="none"/>
        </w:rPr>
      </w:pPr>
      <w:r w:rsidRPr="00E9710A">
        <w:rPr>
          <w:rFonts w:ascii="Arial" w:eastAsia="Times New Roman" w:hAnsi="Arial" w:cs="Arial"/>
          <w:noProof/>
          <w:kern w:val="0"/>
          <w:sz w:val="24"/>
          <w:szCs w:val="24"/>
          <w:u w:val="single"/>
          <w14:ligatures w14:val="none"/>
        </w:rPr>
        <w:drawing>
          <wp:inline distT="0" distB="0" distL="0" distR="0" wp14:anchorId="2C2E0530" wp14:editId="7C89C738">
            <wp:extent cx="5943600" cy="1993900"/>
            <wp:effectExtent l="0" t="0" r="0" b="6350"/>
            <wp:docPr id="1793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842" name=""/>
                    <pic:cNvPicPr/>
                  </pic:nvPicPr>
                  <pic:blipFill>
                    <a:blip r:embed="rId18"/>
                    <a:stretch>
                      <a:fillRect/>
                    </a:stretch>
                  </pic:blipFill>
                  <pic:spPr>
                    <a:xfrm>
                      <a:off x="0" y="0"/>
                      <a:ext cx="5943600" cy="1993900"/>
                    </a:xfrm>
                    <a:prstGeom prst="rect">
                      <a:avLst/>
                    </a:prstGeom>
                  </pic:spPr>
                </pic:pic>
              </a:graphicData>
            </a:graphic>
          </wp:inline>
        </w:drawing>
      </w:r>
    </w:p>
    <w:p w14:paraId="0A0261C1" w14:textId="77777777" w:rsidR="00F42E3D" w:rsidRDefault="00F42E3D" w:rsidP="00F42E3D">
      <w:pPr>
        <w:rPr>
          <w:rFonts w:ascii="Arial" w:hAnsi="Arial" w:cs="Arial"/>
          <w:b/>
          <w:bCs/>
          <w:sz w:val="24"/>
          <w:szCs w:val="24"/>
          <w:u w:val="single"/>
        </w:rPr>
      </w:pPr>
    </w:p>
    <w:p w14:paraId="186CE07D" w14:textId="77777777" w:rsidR="00F42E3D" w:rsidRDefault="00F42E3D" w:rsidP="00F42E3D">
      <w:pPr>
        <w:rPr>
          <w:rFonts w:ascii="Arial" w:hAnsi="Arial" w:cs="Arial"/>
          <w:b/>
          <w:bCs/>
          <w:sz w:val="24"/>
          <w:szCs w:val="24"/>
          <w:u w:val="single"/>
        </w:rPr>
      </w:pPr>
      <w:r w:rsidRPr="00E9710A">
        <w:rPr>
          <w:rFonts w:ascii="Arial" w:hAnsi="Arial" w:cs="Arial"/>
          <w:b/>
          <w:bCs/>
          <w:noProof/>
          <w:sz w:val="24"/>
          <w:szCs w:val="24"/>
          <w:u w:val="single"/>
        </w:rPr>
        <w:drawing>
          <wp:inline distT="0" distB="0" distL="0" distR="0" wp14:anchorId="4CACA5CE" wp14:editId="1661B06C">
            <wp:extent cx="5943600" cy="1993900"/>
            <wp:effectExtent l="0" t="0" r="0" b="6350"/>
            <wp:docPr id="116522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29446" name=""/>
                    <pic:cNvPicPr/>
                  </pic:nvPicPr>
                  <pic:blipFill>
                    <a:blip r:embed="rId19"/>
                    <a:stretch>
                      <a:fillRect/>
                    </a:stretch>
                  </pic:blipFill>
                  <pic:spPr>
                    <a:xfrm>
                      <a:off x="0" y="0"/>
                      <a:ext cx="5943600" cy="1993900"/>
                    </a:xfrm>
                    <a:prstGeom prst="rect">
                      <a:avLst/>
                    </a:prstGeom>
                  </pic:spPr>
                </pic:pic>
              </a:graphicData>
            </a:graphic>
          </wp:inline>
        </w:drawing>
      </w:r>
    </w:p>
    <w:p w14:paraId="23ECD7CE" w14:textId="77777777" w:rsidR="00F42E3D" w:rsidRDefault="00F42E3D" w:rsidP="00F42E3D">
      <w:pPr>
        <w:rPr>
          <w:rFonts w:ascii="Arial" w:hAnsi="Arial" w:cs="Arial"/>
          <w:b/>
          <w:bCs/>
          <w:sz w:val="24"/>
          <w:szCs w:val="24"/>
          <w:u w:val="single"/>
        </w:rPr>
      </w:pPr>
    </w:p>
    <w:p w14:paraId="501FBCBF" w14:textId="77777777" w:rsidR="00F42E3D" w:rsidRDefault="00F42E3D" w:rsidP="00F42E3D">
      <w:pPr>
        <w:rPr>
          <w:rFonts w:ascii="Arial" w:hAnsi="Arial" w:cs="Arial"/>
          <w:b/>
          <w:bCs/>
          <w:sz w:val="24"/>
          <w:szCs w:val="24"/>
          <w:u w:val="single"/>
        </w:rPr>
      </w:pPr>
      <w:r w:rsidRPr="00E9710A">
        <w:rPr>
          <w:rFonts w:ascii="Arial" w:hAnsi="Arial" w:cs="Arial"/>
          <w:b/>
          <w:bCs/>
          <w:noProof/>
          <w:sz w:val="24"/>
          <w:szCs w:val="24"/>
          <w:u w:val="single"/>
        </w:rPr>
        <w:drawing>
          <wp:inline distT="0" distB="0" distL="0" distR="0" wp14:anchorId="3CB9D7E1" wp14:editId="409BB8DE">
            <wp:extent cx="5943600" cy="1993900"/>
            <wp:effectExtent l="0" t="0" r="0" b="6350"/>
            <wp:docPr id="2026737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737723" name=""/>
                    <pic:cNvPicPr/>
                  </pic:nvPicPr>
                  <pic:blipFill>
                    <a:blip r:embed="rId20"/>
                    <a:stretch>
                      <a:fillRect/>
                    </a:stretch>
                  </pic:blipFill>
                  <pic:spPr>
                    <a:xfrm>
                      <a:off x="0" y="0"/>
                      <a:ext cx="5943600" cy="1993900"/>
                    </a:xfrm>
                    <a:prstGeom prst="rect">
                      <a:avLst/>
                    </a:prstGeom>
                  </pic:spPr>
                </pic:pic>
              </a:graphicData>
            </a:graphic>
          </wp:inline>
        </w:drawing>
      </w:r>
    </w:p>
    <w:p w14:paraId="6C98CD17" w14:textId="77777777" w:rsidR="00F42E3D" w:rsidRDefault="00F42E3D" w:rsidP="00F42E3D">
      <w:pPr>
        <w:rPr>
          <w:rFonts w:ascii="Arial" w:hAnsi="Arial" w:cs="Arial"/>
          <w:b/>
          <w:bCs/>
          <w:sz w:val="24"/>
          <w:szCs w:val="24"/>
          <w:u w:val="single"/>
        </w:rPr>
      </w:pPr>
    </w:p>
    <w:p w14:paraId="3D00E62A" w14:textId="77777777" w:rsidR="00F42E3D" w:rsidRDefault="00F42E3D" w:rsidP="00F42E3D">
      <w:pPr>
        <w:spacing w:after="0" w:line="300" w:lineRule="atLeast"/>
        <w:rPr>
          <w:rFonts w:ascii="Segoe UI" w:eastAsia="Times New Roman" w:hAnsi="Segoe UI" w:cs="Segoe UI"/>
          <w:kern w:val="0"/>
          <w:sz w:val="21"/>
          <w:szCs w:val="21"/>
          <w14:ligatures w14:val="none"/>
        </w:rPr>
      </w:pPr>
    </w:p>
    <w:p w14:paraId="668AA801" w14:textId="77777777" w:rsidR="00F42E3D" w:rsidRDefault="00F42E3D" w:rsidP="00F42E3D">
      <w:pPr>
        <w:spacing w:after="0" w:line="300" w:lineRule="atLeast"/>
        <w:rPr>
          <w:rFonts w:ascii="Segoe UI" w:eastAsia="Times New Roman" w:hAnsi="Segoe UI" w:cs="Segoe UI"/>
          <w:kern w:val="0"/>
          <w:sz w:val="21"/>
          <w:szCs w:val="21"/>
          <w14:ligatures w14:val="none"/>
        </w:rPr>
      </w:pPr>
    </w:p>
    <w:p w14:paraId="705C2AE4" w14:textId="77777777" w:rsidR="00F42E3D" w:rsidRDefault="00F42E3D" w:rsidP="00F42E3D">
      <w:pPr>
        <w:spacing w:after="0" w:line="300" w:lineRule="atLeast"/>
        <w:rPr>
          <w:rFonts w:ascii="Segoe UI" w:eastAsia="Times New Roman" w:hAnsi="Segoe UI" w:cs="Segoe UI"/>
          <w:kern w:val="0"/>
          <w:sz w:val="21"/>
          <w:szCs w:val="21"/>
          <w14:ligatures w14:val="none"/>
        </w:rPr>
      </w:pPr>
    </w:p>
    <w:p w14:paraId="0DC7E8C5" w14:textId="77777777" w:rsidR="00F34888" w:rsidRDefault="00F34888" w:rsidP="00F42E3D">
      <w:pPr>
        <w:spacing w:after="0" w:line="300" w:lineRule="atLeast"/>
        <w:rPr>
          <w:rFonts w:ascii="Arial" w:eastAsia="Times New Roman" w:hAnsi="Arial" w:cs="Arial"/>
          <w:b/>
          <w:bCs/>
          <w:kern w:val="0"/>
          <w:sz w:val="24"/>
          <w:szCs w:val="24"/>
          <w:u w:val="single"/>
          <w14:ligatures w14:val="none"/>
        </w:rPr>
      </w:pPr>
    </w:p>
    <w:p w14:paraId="3CFEA158" w14:textId="77777777" w:rsidR="00F34888" w:rsidRDefault="00F34888" w:rsidP="00F42E3D">
      <w:pPr>
        <w:spacing w:after="0" w:line="300" w:lineRule="atLeast"/>
        <w:rPr>
          <w:rFonts w:ascii="Arial" w:eastAsia="Times New Roman" w:hAnsi="Arial" w:cs="Arial"/>
          <w:b/>
          <w:bCs/>
          <w:kern w:val="0"/>
          <w:sz w:val="24"/>
          <w:szCs w:val="24"/>
          <w:u w:val="single"/>
          <w14:ligatures w14:val="none"/>
        </w:rPr>
      </w:pPr>
    </w:p>
    <w:p w14:paraId="1AE668B0" w14:textId="0F80743B" w:rsidR="00F42E3D" w:rsidRPr="005C65FB" w:rsidRDefault="00F42E3D" w:rsidP="00F42E3D">
      <w:pPr>
        <w:spacing w:after="0" w:line="300" w:lineRule="atLeast"/>
        <w:rPr>
          <w:rFonts w:ascii="Arial" w:eastAsia="Times New Roman" w:hAnsi="Arial" w:cs="Arial"/>
          <w:b/>
          <w:bCs/>
          <w:kern w:val="0"/>
          <w:sz w:val="24"/>
          <w:szCs w:val="24"/>
          <w:u w:val="single"/>
          <w14:ligatures w14:val="none"/>
        </w:rPr>
      </w:pPr>
      <w:r w:rsidRPr="005C65FB">
        <w:rPr>
          <w:rFonts w:ascii="Arial" w:eastAsia="Times New Roman" w:hAnsi="Arial" w:cs="Arial"/>
          <w:b/>
          <w:bCs/>
          <w:kern w:val="0"/>
          <w:sz w:val="24"/>
          <w:szCs w:val="24"/>
          <w:u w:val="single"/>
          <w14:ligatures w14:val="none"/>
        </w:rPr>
        <w:lastRenderedPageBreak/>
        <w:t xml:space="preserve">Bubble chart — Sales vs </w:t>
      </w:r>
      <w:proofErr w:type="gramStart"/>
      <w:r w:rsidRPr="005C65FB">
        <w:rPr>
          <w:rFonts w:ascii="Arial" w:eastAsia="Times New Roman" w:hAnsi="Arial" w:cs="Arial"/>
          <w:b/>
          <w:bCs/>
          <w:kern w:val="0"/>
          <w:sz w:val="24"/>
          <w:szCs w:val="24"/>
          <w:u w:val="single"/>
          <w14:ligatures w14:val="none"/>
        </w:rPr>
        <w:t>COGS</w:t>
      </w:r>
      <w:proofErr w:type="gramEnd"/>
      <w:r w:rsidRPr="005C65FB">
        <w:rPr>
          <w:rFonts w:ascii="Arial" w:eastAsia="Times New Roman" w:hAnsi="Arial" w:cs="Arial"/>
          <w:b/>
          <w:bCs/>
          <w:kern w:val="0"/>
          <w:sz w:val="24"/>
          <w:szCs w:val="24"/>
          <w:u w:val="single"/>
          <w14:ligatures w14:val="none"/>
        </w:rPr>
        <w:t xml:space="preserve"> </w:t>
      </w:r>
    </w:p>
    <w:p w14:paraId="144AE528" w14:textId="77777777" w:rsidR="00F42E3D" w:rsidRDefault="00F42E3D" w:rsidP="00F42E3D">
      <w:pPr>
        <w:rPr>
          <w:rFonts w:ascii="Arial" w:hAnsi="Arial" w:cs="Arial"/>
          <w:b/>
          <w:bCs/>
          <w:sz w:val="24"/>
          <w:szCs w:val="24"/>
          <w:u w:val="single"/>
        </w:rPr>
      </w:pPr>
    </w:p>
    <w:p w14:paraId="1845F25F" w14:textId="77777777" w:rsidR="00F42E3D" w:rsidRDefault="00F42E3D" w:rsidP="00F42E3D">
      <w:pPr>
        <w:rPr>
          <w:rFonts w:ascii="Arial" w:hAnsi="Arial" w:cs="Arial"/>
          <w:b/>
          <w:bCs/>
          <w:sz w:val="24"/>
          <w:szCs w:val="24"/>
          <w:u w:val="single"/>
        </w:rPr>
      </w:pPr>
      <w:r w:rsidRPr="0098705B">
        <w:rPr>
          <w:rFonts w:ascii="Arial" w:hAnsi="Arial" w:cs="Arial"/>
          <w:b/>
          <w:bCs/>
          <w:noProof/>
          <w:sz w:val="24"/>
          <w:szCs w:val="24"/>
          <w:u w:val="single"/>
        </w:rPr>
        <w:drawing>
          <wp:inline distT="0" distB="0" distL="0" distR="0" wp14:anchorId="310FE63B" wp14:editId="4A002725">
            <wp:extent cx="5943600" cy="1993900"/>
            <wp:effectExtent l="0" t="0" r="0" b="6350"/>
            <wp:docPr id="105357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576972" name=""/>
                    <pic:cNvPicPr/>
                  </pic:nvPicPr>
                  <pic:blipFill>
                    <a:blip r:embed="rId21"/>
                    <a:stretch>
                      <a:fillRect/>
                    </a:stretch>
                  </pic:blipFill>
                  <pic:spPr>
                    <a:xfrm>
                      <a:off x="0" y="0"/>
                      <a:ext cx="5943600" cy="1993900"/>
                    </a:xfrm>
                    <a:prstGeom prst="rect">
                      <a:avLst/>
                    </a:prstGeom>
                  </pic:spPr>
                </pic:pic>
              </a:graphicData>
            </a:graphic>
          </wp:inline>
        </w:drawing>
      </w:r>
    </w:p>
    <w:p w14:paraId="4E6FDAE3" w14:textId="77777777" w:rsidR="00F42E3D" w:rsidRDefault="00F42E3D" w:rsidP="00F42E3D">
      <w:pPr>
        <w:rPr>
          <w:rFonts w:ascii="Arial" w:hAnsi="Arial" w:cs="Arial"/>
          <w:b/>
          <w:bCs/>
          <w:sz w:val="24"/>
          <w:szCs w:val="24"/>
          <w:u w:val="single"/>
        </w:rPr>
      </w:pPr>
    </w:p>
    <w:p w14:paraId="342D0F08" w14:textId="77777777" w:rsidR="00F42E3D" w:rsidRPr="0098705B" w:rsidRDefault="00F42E3D" w:rsidP="00F42E3D">
      <w:pPr>
        <w:spacing w:after="0" w:line="300" w:lineRule="atLeast"/>
        <w:rPr>
          <w:rFonts w:ascii="Arial" w:eastAsia="Times New Roman" w:hAnsi="Arial" w:cs="Arial"/>
          <w:b/>
          <w:bCs/>
          <w:kern w:val="0"/>
          <w:sz w:val="24"/>
          <w:szCs w:val="24"/>
          <w:u w:val="single"/>
          <w14:ligatures w14:val="none"/>
        </w:rPr>
      </w:pPr>
      <w:r w:rsidRPr="0098705B">
        <w:rPr>
          <w:rFonts w:ascii="Arial" w:eastAsia="Times New Roman" w:hAnsi="Arial" w:cs="Arial"/>
          <w:b/>
          <w:bCs/>
          <w:kern w:val="0"/>
          <w:sz w:val="24"/>
          <w:szCs w:val="24"/>
          <w:u w:val="single"/>
          <w14:ligatures w14:val="none"/>
        </w:rPr>
        <w:t>Sales distribution (2019–2023)</w:t>
      </w:r>
    </w:p>
    <w:p w14:paraId="3FA67435" w14:textId="77777777" w:rsidR="00F42E3D" w:rsidRDefault="00F42E3D" w:rsidP="00F42E3D">
      <w:pPr>
        <w:rPr>
          <w:rFonts w:ascii="Arial" w:hAnsi="Arial" w:cs="Arial"/>
          <w:b/>
          <w:bCs/>
          <w:sz w:val="24"/>
          <w:szCs w:val="24"/>
          <w:u w:val="single"/>
        </w:rPr>
      </w:pPr>
    </w:p>
    <w:p w14:paraId="5E593C27" w14:textId="77777777" w:rsidR="00F34888" w:rsidRDefault="00F42E3D" w:rsidP="00F34888">
      <w:pPr>
        <w:rPr>
          <w:rFonts w:ascii="Arial" w:hAnsi="Arial" w:cs="Arial"/>
          <w:b/>
          <w:bCs/>
          <w:sz w:val="24"/>
          <w:szCs w:val="24"/>
          <w:u w:val="single"/>
        </w:rPr>
      </w:pPr>
      <w:r w:rsidRPr="008C6F15">
        <w:rPr>
          <w:rFonts w:ascii="Arial" w:hAnsi="Arial" w:cs="Arial"/>
          <w:b/>
          <w:bCs/>
          <w:noProof/>
          <w:sz w:val="24"/>
          <w:szCs w:val="24"/>
          <w:u w:val="single"/>
        </w:rPr>
        <w:drawing>
          <wp:inline distT="0" distB="0" distL="0" distR="0" wp14:anchorId="02EA9BC0" wp14:editId="7D65B80A">
            <wp:extent cx="5943600" cy="1993900"/>
            <wp:effectExtent l="0" t="0" r="0" b="6350"/>
            <wp:docPr id="1825094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094882" name=""/>
                    <pic:cNvPicPr/>
                  </pic:nvPicPr>
                  <pic:blipFill>
                    <a:blip r:embed="rId22"/>
                    <a:stretch>
                      <a:fillRect/>
                    </a:stretch>
                  </pic:blipFill>
                  <pic:spPr>
                    <a:xfrm>
                      <a:off x="0" y="0"/>
                      <a:ext cx="5943600" cy="1993900"/>
                    </a:xfrm>
                    <a:prstGeom prst="rect">
                      <a:avLst/>
                    </a:prstGeom>
                  </pic:spPr>
                </pic:pic>
              </a:graphicData>
            </a:graphic>
          </wp:inline>
        </w:drawing>
      </w:r>
    </w:p>
    <w:p w14:paraId="749696BE" w14:textId="77777777" w:rsidR="00F34888" w:rsidRDefault="00F34888" w:rsidP="00F34888">
      <w:pPr>
        <w:rPr>
          <w:rFonts w:ascii="Arial" w:hAnsi="Arial" w:cs="Arial"/>
          <w:b/>
          <w:bCs/>
          <w:sz w:val="24"/>
          <w:szCs w:val="24"/>
          <w:u w:val="single"/>
        </w:rPr>
      </w:pPr>
    </w:p>
    <w:p w14:paraId="427AD95E" w14:textId="77777777" w:rsidR="00F34888" w:rsidRDefault="00F34888" w:rsidP="00F34888">
      <w:pPr>
        <w:rPr>
          <w:rFonts w:ascii="Arial" w:hAnsi="Arial" w:cs="Arial"/>
          <w:b/>
          <w:bCs/>
          <w:sz w:val="24"/>
          <w:szCs w:val="24"/>
          <w:u w:val="single"/>
        </w:rPr>
      </w:pPr>
    </w:p>
    <w:p w14:paraId="4FB9681D" w14:textId="7DF1B553" w:rsidR="00F42E3D" w:rsidRDefault="00F42E3D" w:rsidP="00F34888">
      <w:pPr>
        <w:rPr>
          <w:rFonts w:ascii="Arial" w:eastAsia="Times New Roman" w:hAnsi="Arial" w:cs="Arial"/>
          <w:b/>
          <w:bCs/>
          <w:kern w:val="0"/>
          <w:sz w:val="24"/>
          <w:szCs w:val="24"/>
          <w:u w:val="single"/>
          <w14:ligatures w14:val="none"/>
        </w:rPr>
      </w:pPr>
      <w:proofErr w:type="spellStart"/>
      <w:r w:rsidRPr="00916359">
        <w:rPr>
          <w:rFonts w:ascii="Arial" w:eastAsia="Times New Roman" w:hAnsi="Arial" w:cs="Arial"/>
          <w:b/>
          <w:bCs/>
          <w:kern w:val="0"/>
          <w:sz w:val="24"/>
          <w:szCs w:val="24"/>
          <w:u w:val="single"/>
          <w14:ligatures w14:val="none"/>
        </w:rPr>
        <w:t>Gorry</w:t>
      </w:r>
      <w:proofErr w:type="spellEnd"/>
      <w:r w:rsidRPr="00916359">
        <w:rPr>
          <w:rFonts w:ascii="Arial" w:eastAsia="Times New Roman" w:hAnsi="Arial" w:cs="Arial"/>
          <w:b/>
          <w:bCs/>
          <w:kern w:val="0"/>
          <w:sz w:val="24"/>
          <w:szCs w:val="24"/>
          <w:u w:val="single"/>
          <w14:ligatures w14:val="none"/>
        </w:rPr>
        <w:t xml:space="preserve"> &amp; Scott Morton framework </w:t>
      </w:r>
    </w:p>
    <w:p w14:paraId="099016B0" w14:textId="77777777" w:rsidR="00F34888" w:rsidRPr="00F34888" w:rsidRDefault="00F34888" w:rsidP="00F34888">
      <w:pPr>
        <w:rPr>
          <w:rFonts w:ascii="Arial" w:hAnsi="Arial" w:cs="Arial"/>
          <w:b/>
          <w:bCs/>
          <w:sz w:val="24"/>
          <w:szCs w:val="24"/>
          <w:u w:val="single"/>
        </w:rPr>
      </w:pPr>
    </w:p>
    <w:p w14:paraId="747C078C" w14:textId="47E94A58" w:rsidR="00F34888" w:rsidRPr="00F34888" w:rsidRDefault="00F34888" w:rsidP="00F34888">
      <w:pPr>
        <w:spacing w:after="0" w:line="360" w:lineRule="auto"/>
        <w:jc w:val="both"/>
        <w:rPr>
          <w:rFonts w:ascii="Segoe UI" w:eastAsia="Times New Roman" w:hAnsi="Segoe UI" w:cs="Segoe UI"/>
          <w:kern w:val="0"/>
          <w:sz w:val="21"/>
          <w:szCs w:val="21"/>
          <w14:ligatures w14:val="none"/>
        </w:rPr>
      </w:pPr>
      <w:r w:rsidRPr="00F34888">
        <w:rPr>
          <w:rFonts w:ascii="Segoe UI" w:eastAsia="Times New Roman" w:hAnsi="Segoe UI" w:cs="Segoe UI"/>
          <w:kern w:val="0"/>
          <w:sz w:val="21"/>
          <w:szCs w:val="21"/>
          <w14:ligatures w14:val="none"/>
        </w:rPr>
        <w:t xml:space="preserve">The </w:t>
      </w:r>
      <w:proofErr w:type="spellStart"/>
      <w:r w:rsidRPr="00F34888">
        <w:rPr>
          <w:rFonts w:ascii="Segoe UI" w:eastAsia="Times New Roman" w:hAnsi="Segoe UI" w:cs="Segoe UI"/>
          <w:kern w:val="0"/>
          <w:sz w:val="21"/>
          <w:szCs w:val="21"/>
          <w14:ligatures w14:val="none"/>
        </w:rPr>
        <w:t>Gorry</w:t>
      </w:r>
      <w:proofErr w:type="spellEnd"/>
      <w:r w:rsidRPr="00F34888">
        <w:rPr>
          <w:rFonts w:ascii="Segoe UI" w:eastAsia="Times New Roman" w:hAnsi="Segoe UI" w:cs="Segoe UI"/>
          <w:kern w:val="0"/>
          <w:sz w:val="21"/>
          <w:szCs w:val="21"/>
          <w14:ligatures w14:val="none"/>
        </w:rPr>
        <w:t xml:space="preserve"> and Scott Morton framework is a decision</w:t>
      </w:r>
      <w:r w:rsidRPr="00F34888">
        <w:rPr>
          <w:rFonts w:ascii="Segoe UI" w:eastAsia="Times New Roman" w:hAnsi="Segoe UI" w:cs="Segoe UI"/>
          <w:kern w:val="0"/>
          <w:sz w:val="21"/>
          <w:szCs w:val="21"/>
          <w14:ligatures w14:val="none"/>
        </w:rPr>
        <w:noBreakHyphen/>
        <w:t xml:space="preserve">making model that helps organisations understand the different types of decisions they </w:t>
      </w:r>
      <w:r w:rsidRPr="00F34888">
        <w:rPr>
          <w:rFonts w:ascii="Segoe UI" w:eastAsia="Times New Roman" w:hAnsi="Segoe UI" w:cs="Segoe UI"/>
          <w:kern w:val="0"/>
          <w:sz w:val="21"/>
          <w:szCs w:val="21"/>
          <w14:ligatures w14:val="none"/>
        </w:rPr>
        <w:t>make,</w:t>
      </w:r>
      <w:r w:rsidRPr="00F34888">
        <w:rPr>
          <w:rFonts w:ascii="Segoe UI" w:eastAsia="Times New Roman" w:hAnsi="Segoe UI" w:cs="Segoe UI"/>
          <w:kern w:val="0"/>
          <w:sz w:val="21"/>
          <w:szCs w:val="21"/>
          <w14:ligatures w14:val="none"/>
        </w:rPr>
        <w:t xml:space="preserve"> and the information required to support them. It classifies decisions along two dimensions: the level of management and the degree of structure. By combining these dimensions in a 3×3 matrix, the framework demonstrates that different decisions demand varying types of information, analytical methods, and levels of managerial judgement. This supports organisations in aligning their information systems with their decision</w:t>
      </w:r>
      <w:r w:rsidRPr="00F34888">
        <w:rPr>
          <w:rFonts w:ascii="Segoe UI" w:eastAsia="Times New Roman" w:hAnsi="Segoe UI" w:cs="Segoe UI"/>
          <w:kern w:val="0"/>
          <w:sz w:val="21"/>
          <w:szCs w:val="21"/>
          <w14:ligatures w14:val="none"/>
        </w:rPr>
        <w:noBreakHyphen/>
        <w:t>making needs (</w:t>
      </w:r>
      <w:proofErr w:type="spellStart"/>
      <w:r w:rsidRPr="00F34888">
        <w:rPr>
          <w:rFonts w:ascii="Segoe UI" w:eastAsia="Times New Roman" w:hAnsi="Segoe UI" w:cs="Segoe UI"/>
          <w:kern w:val="0"/>
          <w:sz w:val="21"/>
          <w:szCs w:val="21"/>
          <w14:ligatures w14:val="none"/>
        </w:rPr>
        <w:t>Gorry</w:t>
      </w:r>
      <w:proofErr w:type="spellEnd"/>
      <w:r w:rsidRPr="00F34888">
        <w:rPr>
          <w:rFonts w:ascii="Segoe UI" w:eastAsia="Times New Roman" w:hAnsi="Segoe UI" w:cs="Segoe UI"/>
          <w:kern w:val="0"/>
          <w:sz w:val="21"/>
          <w:szCs w:val="21"/>
          <w14:ligatures w14:val="none"/>
        </w:rPr>
        <w:t xml:space="preserve"> and Scott Morton, 1971).</w:t>
      </w:r>
    </w:p>
    <w:p w14:paraId="16DC0CA9" w14:textId="77777777" w:rsidR="00F42E3D" w:rsidRDefault="00F42E3D" w:rsidP="00F42E3D">
      <w:pPr>
        <w:rPr>
          <w:rFonts w:ascii="Arial" w:hAnsi="Arial" w:cs="Arial"/>
          <w:b/>
          <w:bCs/>
          <w:sz w:val="24"/>
          <w:szCs w:val="24"/>
          <w:u w:val="single"/>
        </w:rPr>
      </w:pPr>
    </w:p>
    <w:p w14:paraId="7921EF91" w14:textId="77777777" w:rsidR="00F42E3D" w:rsidRDefault="00F42E3D" w:rsidP="00F42E3D">
      <w:pPr>
        <w:rPr>
          <w:rFonts w:ascii="Arial" w:hAnsi="Arial" w:cs="Arial"/>
          <w:b/>
          <w:bCs/>
          <w:sz w:val="24"/>
          <w:szCs w:val="24"/>
          <w:u w:val="single"/>
        </w:rPr>
      </w:pPr>
    </w:p>
    <w:p w14:paraId="25F090F4" w14:textId="2BC3D45C" w:rsidR="00F42E3D" w:rsidRDefault="00F42E3D" w:rsidP="00F42E3D">
      <w:pPr>
        <w:rPr>
          <w:rFonts w:ascii="Arial" w:hAnsi="Arial" w:cs="Arial"/>
          <w:b/>
          <w:bCs/>
          <w:sz w:val="24"/>
          <w:szCs w:val="24"/>
          <w:u w:val="single"/>
        </w:rPr>
      </w:pPr>
      <w:r>
        <w:rPr>
          <w:rFonts w:ascii="Arial" w:hAnsi="Arial" w:cs="Arial"/>
          <w:b/>
          <w:bCs/>
          <w:sz w:val="24"/>
          <w:szCs w:val="24"/>
          <w:u w:val="single"/>
        </w:rPr>
        <w:lastRenderedPageBreak/>
        <w:t xml:space="preserve">Example within </w:t>
      </w:r>
      <w:r w:rsidR="00F34888">
        <w:rPr>
          <w:rFonts w:ascii="Arial" w:hAnsi="Arial" w:cs="Arial"/>
          <w:b/>
          <w:bCs/>
          <w:sz w:val="24"/>
          <w:szCs w:val="24"/>
          <w:u w:val="single"/>
        </w:rPr>
        <w:t>Aumovio</w:t>
      </w:r>
    </w:p>
    <w:p w14:paraId="18F59D1C" w14:textId="77777777" w:rsidR="00F42E3D" w:rsidRDefault="00F42E3D" w:rsidP="00F42E3D">
      <w:pPr>
        <w:rPr>
          <w:rFonts w:ascii="Arial" w:hAnsi="Arial" w:cs="Arial"/>
          <w:b/>
          <w:bCs/>
          <w:sz w:val="24"/>
          <w:szCs w:val="24"/>
          <w:u w:val="singl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0"/>
        <w:gridCol w:w="2828"/>
        <w:gridCol w:w="3056"/>
        <w:gridCol w:w="3146"/>
      </w:tblGrid>
      <w:tr w:rsidR="00F42E3D" w:rsidRPr="0013460F" w14:paraId="0BCF798E" w14:textId="77777777" w:rsidTr="00F9266A">
        <w:trPr>
          <w:tblCellSpacing w:w="15" w:type="dxa"/>
        </w:trPr>
        <w:tc>
          <w:tcPr>
            <w:tcW w:w="0" w:type="auto"/>
            <w:shd w:val="clear" w:color="auto" w:fill="auto"/>
            <w:vAlign w:val="center"/>
            <w:hideMark/>
          </w:tcPr>
          <w:p w14:paraId="2199050E"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p>
        </w:tc>
        <w:tc>
          <w:tcPr>
            <w:tcW w:w="0" w:type="auto"/>
            <w:shd w:val="clear" w:color="auto" w:fill="auto"/>
            <w:vAlign w:val="center"/>
            <w:hideMark/>
          </w:tcPr>
          <w:p w14:paraId="0663A150"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Structured</w:t>
            </w:r>
          </w:p>
        </w:tc>
        <w:tc>
          <w:tcPr>
            <w:tcW w:w="0" w:type="auto"/>
            <w:shd w:val="clear" w:color="auto" w:fill="auto"/>
            <w:vAlign w:val="center"/>
            <w:hideMark/>
          </w:tcPr>
          <w:p w14:paraId="37302885"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Semi</w:t>
            </w:r>
            <w:r w:rsidRPr="00F34888">
              <w:rPr>
                <w:rFonts w:ascii="Arial" w:eastAsia="Times New Roman" w:hAnsi="Arial" w:cs="Arial"/>
                <w:b/>
                <w:bCs/>
                <w:kern w:val="0"/>
                <w:sz w:val="24"/>
                <w:szCs w:val="24"/>
                <w14:ligatures w14:val="none"/>
              </w:rPr>
              <w:noBreakHyphen/>
              <w:t>structured</w:t>
            </w:r>
          </w:p>
        </w:tc>
        <w:tc>
          <w:tcPr>
            <w:tcW w:w="0" w:type="auto"/>
            <w:shd w:val="clear" w:color="auto" w:fill="auto"/>
            <w:vAlign w:val="center"/>
            <w:hideMark/>
          </w:tcPr>
          <w:p w14:paraId="4D8F4178"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Unstructured</w:t>
            </w:r>
          </w:p>
        </w:tc>
      </w:tr>
      <w:tr w:rsidR="00F42E3D" w:rsidRPr="0013460F" w14:paraId="78D73DE0" w14:textId="77777777" w:rsidTr="00F9266A">
        <w:trPr>
          <w:tblCellSpacing w:w="15" w:type="dxa"/>
        </w:trPr>
        <w:tc>
          <w:tcPr>
            <w:tcW w:w="0" w:type="auto"/>
            <w:shd w:val="clear" w:color="auto" w:fill="auto"/>
            <w:vAlign w:val="center"/>
            <w:hideMark/>
          </w:tcPr>
          <w:p w14:paraId="3176F1B6"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Strategic planning</w:t>
            </w:r>
          </w:p>
        </w:tc>
        <w:tc>
          <w:tcPr>
            <w:tcW w:w="0" w:type="auto"/>
            <w:shd w:val="clear" w:color="auto" w:fill="FFF2CC" w:themeFill="accent4" w:themeFillTint="33"/>
            <w:vAlign w:val="center"/>
            <w:hideMark/>
          </w:tcPr>
          <w:p w14:paraId="3B23A4A4"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Multi</w:t>
            </w:r>
            <w:r w:rsidRPr="00F34888">
              <w:rPr>
                <w:rFonts w:ascii="Arial" w:eastAsia="Times New Roman" w:hAnsi="Arial" w:cs="Arial"/>
                <w:kern w:val="0"/>
                <w:sz w:val="24"/>
                <w:szCs w:val="24"/>
                <w14:ligatures w14:val="none"/>
              </w:rPr>
              <w:noBreakHyphen/>
              <w:t>year capacity plan using NPV/IRR templates</w:t>
            </w:r>
            <w:r w:rsidRPr="00F34888">
              <w:rPr>
                <w:rFonts w:ascii="Arial" w:eastAsia="Times New Roman" w:hAnsi="Arial" w:cs="Arial"/>
                <w:kern w:val="0"/>
                <w:sz w:val="24"/>
                <w:szCs w:val="24"/>
                <w14:ligatures w14:val="none"/>
              </w:rPr>
              <w:br/>
              <w:t>• Long</w:t>
            </w:r>
            <w:r w:rsidRPr="00F34888">
              <w:rPr>
                <w:rFonts w:ascii="Arial" w:eastAsia="Times New Roman" w:hAnsi="Arial" w:cs="Arial"/>
                <w:kern w:val="0"/>
                <w:sz w:val="24"/>
                <w:szCs w:val="24"/>
                <w14:ligatures w14:val="none"/>
              </w:rPr>
              <w:noBreakHyphen/>
              <w:t>range sales targets from historic trend &amp; seasonality</w:t>
            </w:r>
          </w:p>
        </w:tc>
        <w:tc>
          <w:tcPr>
            <w:tcW w:w="0" w:type="auto"/>
            <w:shd w:val="clear" w:color="auto" w:fill="FFF2CC" w:themeFill="accent4" w:themeFillTint="33"/>
            <w:vAlign w:val="center"/>
            <w:hideMark/>
          </w:tcPr>
          <w:p w14:paraId="616FF307"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Make</w:t>
            </w:r>
            <w:r w:rsidRPr="00F34888">
              <w:rPr>
                <w:rFonts w:ascii="Arial" w:eastAsia="Times New Roman" w:hAnsi="Arial" w:cs="Arial"/>
                <w:kern w:val="0"/>
                <w:sz w:val="24"/>
                <w:szCs w:val="24"/>
                <w14:ligatures w14:val="none"/>
              </w:rPr>
              <w:noBreakHyphen/>
              <w:t>or</w:t>
            </w:r>
            <w:r w:rsidRPr="00F34888">
              <w:rPr>
                <w:rFonts w:ascii="Arial" w:eastAsia="Times New Roman" w:hAnsi="Arial" w:cs="Arial"/>
                <w:kern w:val="0"/>
                <w:sz w:val="24"/>
                <w:szCs w:val="24"/>
                <w14:ligatures w14:val="none"/>
              </w:rPr>
              <w:noBreakHyphen/>
              <w:t>buy evaluation (cost, risk, capability)</w:t>
            </w:r>
            <w:r w:rsidRPr="00F34888">
              <w:rPr>
                <w:rFonts w:ascii="Arial" w:eastAsia="Times New Roman" w:hAnsi="Arial" w:cs="Arial"/>
                <w:kern w:val="0"/>
                <w:sz w:val="24"/>
                <w:szCs w:val="24"/>
                <w14:ligatures w14:val="none"/>
              </w:rPr>
              <w:br/>
              <w:t>• New warehouse / site selection balancing service levels vs cost</w:t>
            </w:r>
          </w:p>
        </w:tc>
        <w:tc>
          <w:tcPr>
            <w:tcW w:w="0" w:type="auto"/>
            <w:shd w:val="clear" w:color="auto" w:fill="FFF2CC" w:themeFill="accent4" w:themeFillTint="33"/>
            <w:vAlign w:val="center"/>
            <w:hideMark/>
          </w:tcPr>
          <w:p w14:paraId="1ECB5060"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Enter/exit a market decision</w:t>
            </w:r>
            <w:r w:rsidRPr="00F34888">
              <w:rPr>
                <w:rFonts w:ascii="Arial" w:eastAsia="Times New Roman" w:hAnsi="Arial" w:cs="Arial"/>
                <w:kern w:val="0"/>
                <w:sz w:val="24"/>
                <w:szCs w:val="24"/>
                <w14:ligatures w14:val="none"/>
              </w:rPr>
              <w:br/>
              <w:t>• Post</w:t>
            </w:r>
            <w:r w:rsidRPr="00F34888">
              <w:rPr>
                <w:rFonts w:ascii="Arial" w:eastAsia="Times New Roman" w:hAnsi="Arial" w:cs="Arial"/>
                <w:kern w:val="0"/>
                <w:sz w:val="24"/>
                <w:szCs w:val="24"/>
                <w14:ligatures w14:val="none"/>
              </w:rPr>
              <w:noBreakHyphen/>
              <w:t>merger integration approach</w:t>
            </w:r>
          </w:p>
        </w:tc>
      </w:tr>
      <w:tr w:rsidR="00F42E3D" w:rsidRPr="0013460F" w14:paraId="639508D6" w14:textId="77777777" w:rsidTr="00F9266A">
        <w:trPr>
          <w:tblCellSpacing w:w="15" w:type="dxa"/>
        </w:trPr>
        <w:tc>
          <w:tcPr>
            <w:tcW w:w="0" w:type="auto"/>
            <w:shd w:val="clear" w:color="auto" w:fill="auto"/>
            <w:vAlign w:val="center"/>
            <w:hideMark/>
          </w:tcPr>
          <w:p w14:paraId="746DB3C2" w14:textId="12B69EB9"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Management control</w:t>
            </w:r>
          </w:p>
        </w:tc>
        <w:tc>
          <w:tcPr>
            <w:tcW w:w="0" w:type="auto"/>
            <w:shd w:val="clear" w:color="auto" w:fill="FFF2CC" w:themeFill="accent4" w:themeFillTint="33"/>
            <w:vAlign w:val="center"/>
            <w:hideMark/>
          </w:tcPr>
          <w:p w14:paraId="2F95FD35"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Quarterly budget setting (COGS, Promo, Admin) vs prior year</w:t>
            </w:r>
            <w:r w:rsidRPr="00F34888">
              <w:rPr>
                <w:rFonts w:ascii="Arial" w:eastAsia="Times New Roman" w:hAnsi="Arial" w:cs="Arial"/>
                <w:kern w:val="0"/>
                <w:sz w:val="24"/>
                <w:szCs w:val="24"/>
                <w14:ligatures w14:val="none"/>
              </w:rPr>
              <w:br/>
              <w:t>• Pricing within bands based on margin rules</w:t>
            </w:r>
          </w:p>
        </w:tc>
        <w:tc>
          <w:tcPr>
            <w:tcW w:w="0" w:type="auto"/>
            <w:shd w:val="clear" w:color="auto" w:fill="FFF2CC" w:themeFill="accent4" w:themeFillTint="33"/>
            <w:vAlign w:val="center"/>
            <w:hideMark/>
          </w:tcPr>
          <w:p w14:paraId="281FAB1A"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Promotional mix shifts by channel/region</w:t>
            </w:r>
            <w:r w:rsidRPr="00F34888">
              <w:rPr>
                <w:rFonts w:ascii="Arial" w:eastAsia="Times New Roman" w:hAnsi="Arial" w:cs="Arial"/>
                <w:kern w:val="0"/>
                <w:sz w:val="24"/>
                <w:szCs w:val="24"/>
                <w14:ligatures w14:val="none"/>
              </w:rPr>
              <w:br/>
              <w:t>• Supplier allocation (share of volume) based on performance</w:t>
            </w:r>
          </w:p>
        </w:tc>
        <w:tc>
          <w:tcPr>
            <w:tcW w:w="0" w:type="auto"/>
            <w:shd w:val="clear" w:color="auto" w:fill="FFF2CC" w:themeFill="accent4" w:themeFillTint="33"/>
            <w:vAlign w:val="center"/>
            <w:hideMark/>
          </w:tcPr>
          <w:p w14:paraId="61F3DDE8"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Supplier switch after disruption or quality failure</w:t>
            </w:r>
            <w:r w:rsidRPr="00F34888">
              <w:rPr>
                <w:rFonts w:ascii="Arial" w:eastAsia="Times New Roman" w:hAnsi="Arial" w:cs="Arial"/>
                <w:kern w:val="0"/>
                <w:sz w:val="24"/>
                <w:szCs w:val="24"/>
                <w14:ligatures w14:val="none"/>
              </w:rPr>
              <w:br/>
              <w:t>• Ad</w:t>
            </w:r>
            <w:r w:rsidRPr="00F34888">
              <w:rPr>
                <w:rFonts w:ascii="Arial" w:eastAsia="Times New Roman" w:hAnsi="Arial" w:cs="Arial"/>
                <w:kern w:val="0"/>
                <w:sz w:val="24"/>
                <w:szCs w:val="24"/>
                <w14:ligatures w14:val="none"/>
              </w:rPr>
              <w:noBreakHyphen/>
              <w:t>hoc contract renegotiation under shocks</w:t>
            </w:r>
          </w:p>
        </w:tc>
      </w:tr>
      <w:tr w:rsidR="00F42E3D" w:rsidRPr="0013460F" w14:paraId="21C44C9B" w14:textId="77777777" w:rsidTr="00F9266A">
        <w:trPr>
          <w:tblCellSpacing w:w="15" w:type="dxa"/>
        </w:trPr>
        <w:tc>
          <w:tcPr>
            <w:tcW w:w="0" w:type="auto"/>
            <w:shd w:val="clear" w:color="auto" w:fill="auto"/>
            <w:vAlign w:val="center"/>
            <w:hideMark/>
          </w:tcPr>
          <w:p w14:paraId="6780E7BC"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Operational control</w:t>
            </w:r>
          </w:p>
        </w:tc>
        <w:tc>
          <w:tcPr>
            <w:tcW w:w="0" w:type="auto"/>
            <w:shd w:val="clear" w:color="auto" w:fill="FFF2CC" w:themeFill="accent4" w:themeFillTint="33"/>
            <w:vAlign w:val="center"/>
            <w:hideMark/>
          </w:tcPr>
          <w:p w14:paraId="57470A03"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Replenishment using reorder points/EOQ</w:t>
            </w:r>
            <w:r w:rsidRPr="00F34888">
              <w:rPr>
                <w:rFonts w:ascii="Arial" w:eastAsia="Times New Roman" w:hAnsi="Arial" w:cs="Arial"/>
                <w:kern w:val="0"/>
                <w:sz w:val="24"/>
                <w:szCs w:val="24"/>
                <w14:ligatures w14:val="none"/>
              </w:rPr>
              <w:br/>
              <w:t>• Daily sales &amp; margin reports to targets</w:t>
            </w:r>
          </w:p>
        </w:tc>
        <w:tc>
          <w:tcPr>
            <w:tcW w:w="0" w:type="auto"/>
            <w:shd w:val="clear" w:color="auto" w:fill="FFF2CC" w:themeFill="accent4" w:themeFillTint="33"/>
            <w:vAlign w:val="center"/>
            <w:hideMark/>
          </w:tcPr>
          <w:p w14:paraId="5B57F273"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Expedite orders when capacity is constrained</w:t>
            </w:r>
            <w:r w:rsidRPr="00F34888">
              <w:rPr>
                <w:rFonts w:ascii="Arial" w:eastAsia="Times New Roman" w:hAnsi="Arial" w:cs="Arial"/>
                <w:kern w:val="0"/>
                <w:sz w:val="24"/>
                <w:szCs w:val="24"/>
                <w14:ligatures w14:val="none"/>
              </w:rPr>
              <w:br/>
              <w:t>• Overtime scheduling around demand spikes</w:t>
            </w:r>
          </w:p>
        </w:tc>
        <w:tc>
          <w:tcPr>
            <w:tcW w:w="0" w:type="auto"/>
            <w:shd w:val="clear" w:color="auto" w:fill="FFF2CC" w:themeFill="accent4" w:themeFillTint="33"/>
            <w:vAlign w:val="center"/>
            <w:hideMark/>
          </w:tcPr>
          <w:p w14:paraId="57FD0C0E"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Crisis handling for unplanned outages (e.g., system down, logistics blockage)</w:t>
            </w:r>
          </w:p>
        </w:tc>
      </w:tr>
    </w:tbl>
    <w:p w14:paraId="02BB8FC8" w14:textId="77777777" w:rsidR="00F42E3D" w:rsidRPr="00EB1365" w:rsidRDefault="00F42E3D" w:rsidP="00F42E3D">
      <w:pPr>
        <w:rPr>
          <w:rFonts w:ascii="Arial" w:hAnsi="Arial" w:cs="Arial"/>
          <w:b/>
          <w:bCs/>
          <w:sz w:val="24"/>
          <w:szCs w:val="24"/>
          <w:u w:val="single"/>
        </w:rPr>
      </w:pPr>
    </w:p>
    <w:p w14:paraId="073B714F" w14:textId="77777777" w:rsidR="00F42E3D" w:rsidRDefault="00F42E3D" w:rsidP="00F42E3D">
      <w:pPr>
        <w:rPr>
          <w:rFonts w:ascii="Arial" w:hAnsi="Arial" w:cs="Arial"/>
          <w:b/>
          <w:bCs/>
          <w:sz w:val="24"/>
          <w:szCs w:val="24"/>
          <w:u w:val="single"/>
        </w:rPr>
      </w:pPr>
    </w:p>
    <w:p w14:paraId="09108983" w14:textId="77777777" w:rsidR="00694037" w:rsidRDefault="00694037" w:rsidP="0013224D">
      <w:pPr>
        <w:pStyle w:val="NormalWeb"/>
        <w:spacing w:line="300" w:lineRule="atLeast"/>
        <w:rPr>
          <w:rFonts w:ascii="Segoe UI" w:hAnsi="Segoe UI" w:cs="Segoe UI"/>
          <w:sz w:val="21"/>
          <w:szCs w:val="21"/>
        </w:rPr>
      </w:pPr>
    </w:p>
    <w:p w14:paraId="25FE2477" w14:textId="77777777" w:rsidR="0013224D" w:rsidRDefault="0013224D"/>
    <w:sectPr w:rsidR="0013224D" w:rsidSect="00284B36">
      <w:footerReference w:type="even" r:id="rId23"/>
      <w:footerReference w:type="default" r:id="rId24"/>
      <w:footerReference w:type="first" r:id="rId25"/>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87740" w14:textId="77777777" w:rsidR="005D52F7" w:rsidRDefault="005D52F7" w:rsidP="0013224D">
      <w:pPr>
        <w:spacing w:after="0" w:line="240" w:lineRule="auto"/>
      </w:pPr>
      <w:r>
        <w:separator/>
      </w:r>
    </w:p>
  </w:endnote>
  <w:endnote w:type="continuationSeparator" w:id="0">
    <w:p w14:paraId="73E8AE53" w14:textId="77777777" w:rsidR="005D52F7" w:rsidRDefault="005D52F7" w:rsidP="00132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223E4" w14:textId="784E841D" w:rsidR="0013224D" w:rsidRDefault="0013224D">
    <w:pPr>
      <w:pStyle w:val="Footer"/>
    </w:pPr>
    <w:r>
      <w:rPr>
        <w:noProof/>
      </w:rPr>
      <mc:AlternateContent>
        <mc:Choice Requires="wps">
          <w:drawing>
            <wp:anchor distT="0" distB="0" distL="0" distR="0" simplePos="0" relativeHeight="251659264" behindDoc="0" locked="0" layoutInCell="1" allowOverlap="1" wp14:anchorId="772F4F0F" wp14:editId="4B41A408">
              <wp:simplePos x="635" y="635"/>
              <wp:positionH relativeFrom="page">
                <wp:align>center</wp:align>
              </wp:positionH>
              <wp:positionV relativeFrom="page">
                <wp:align>bottom</wp:align>
              </wp:positionV>
              <wp:extent cx="443865" cy="443865"/>
              <wp:effectExtent l="0" t="0" r="1270" b="0"/>
              <wp:wrapNone/>
              <wp:docPr id="85149204"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CA1CD4D" w14:textId="664DFE9A"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72F4F0F" id="_x0000_t202" coordsize="21600,21600" o:spt="202" path="m,l,21600r21600,l21600,xe">
              <v:stroke joinstyle="miter"/>
              <v:path gradientshapeok="t" o:connecttype="rect"/>
            </v:shapetype>
            <v:shape id="Text Box 2" o:spid="_x0000_s1026" type="#_x0000_t202" alt="Internal"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textbox style="mso-fit-shape-to-text:t" inset="0,0,0,15pt">
                <w:txbxContent>
                  <w:p w14:paraId="7CA1CD4D" w14:textId="664DFE9A"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206435"/>
      <w:docPartObj>
        <w:docPartGallery w:val="Page Numbers (Bottom of Page)"/>
        <w:docPartUnique/>
      </w:docPartObj>
    </w:sdtPr>
    <w:sdtEndPr>
      <w:rPr>
        <w:noProof/>
      </w:rPr>
    </w:sdtEndPr>
    <w:sdtContent>
      <w:p w14:paraId="28DA957A" w14:textId="640F8079" w:rsidR="00284B36" w:rsidRDefault="00284B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354E2B" w14:textId="00571C05" w:rsidR="0013224D" w:rsidRDefault="001322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B2F11" w14:textId="68DF7770" w:rsidR="0013224D" w:rsidRDefault="0013224D">
    <w:pPr>
      <w:pStyle w:val="Footer"/>
    </w:pPr>
    <w:r>
      <w:rPr>
        <w:noProof/>
      </w:rPr>
      <mc:AlternateContent>
        <mc:Choice Requires="wps">
          <w:drawing>
            <wp:anchor distT="0" distB="0" distL="0" distR="0" simplePos="0" relativeHeight="251658240" behindDoc="0" locked="0" layoutInCell="1" allowOverlap="1" wp14:anchorId="5FF5E8D7" wp14:editId="4233CC36">
              <wp:simplePos x="635" y="635"/>
              <wp:positionH relativeFrom="page">
                <wp:align>center</wp:align>
              </wp:positionH>
              <wp:positionV relativeFrom="page">
                <wp:align>bottom</wp:align>
              </wp:positionV>
              <wp:extent cx="443865" cy="443865"/>
              <wp:effectExtent l="0" t="0" r="1270" b="0"/>
              <wp:wrapNone/>
              <wp:docPr id="86422227"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75455DB" w14:textId="696E83A1"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FF5E8D7" id="_x0000_t202" coordsize="21600,21600" o:spt="202" path="m,l,21600r21600,l21600,xe">
              <v:stroke joinstyle="miter"/>
              <v:path gradientshapeok="t" o:connecttype="rect"/>
            </v:shapetype>
            <v:shape id="Text Box 1" o:spid="_x0000_s1027" type="#_x0000_t202" alt="Internal"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textbox style="mso-fit-shape-to-text:t" inset="0,0,0,15pt">
                <w:txbxContent>
                  <w:p w14:paraId="275455DB" w14:textId="696E83A1"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FC10E" w14:textId="77777777" w:rsidR="005D52F7" w:rsidRDefault="005D52F7" w:rsidP="0013224D">
      <w:pPr>
        <w:spacing w:after="0" w:line="240" w:lineRule="auto"/>
      </w:pPr>
      <w:r>
        <w:separator/>
      </w:r>
    </w:p>
  </w:footnote>
  <w:footnote w:type="continuationSeparator" w:id="0">
    <w:p w14:paraId="3BD91A9E" w14:textId="77777777" w:rsidR="005D52F7" w:rsidRDefault="005D52F7" w:rsidP="00132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54220"/>
    <w:multiLevelType w:val="hybridMultilevel"/>
    <w:tmpl w:val="CBF04934"/>
    <w:lvl w:ilvl="0" w:tplc="A634A55C">
      <w:start w:val="1"/>
      <w:numFmt w:val="decimal"/>
      <w:lvlText w:val="%1."/>
      <w:lvlJc w:val="left"/>
      <w:pPr>
        <w:ind w:left="720" w:hanging="360"/>
      </w:pPr>
      <w:rPr>
        <w:rFonts w:eastAsiaTheme="minorHAnsi" w:hint="default"/>
        <w:color w:val="4472C4" w:themeColor="accent1"/>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A77789"/>
    <w:multiLevelType w:val="hybridMultilevel"/>
    <w:tmpl w:val="DC5EBCC4"/>
    <w:lvl w:ilvl="0" w:tplc="90D83D1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0F616B2"/>
    <w:multiLevelType w:val="multilevel"/>
    <w:tmpl w:val="FD3A53D0"/>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6A501D"/>
    <w:multiLevelType w:val="hybridMultilevel"/>
    <w:tmpl w:val="E3A838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622887"/>
    <w:multiLevelType w:val="hybridMultilevel"/>
    <w:tmpl w:val="6CA43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CE5F55"/>
    <w:multiLevelType w:val="hybridMultilevel"/>
    <w:tmpl w:val="3AA2B8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C671E0"/>
    <w:multiLevelType w:val="multilevel"/>
    <w:tmpl w:val="D5328AD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9F3514"/>
    <w:multiLevelType w:val="hybridMultilevel"/>
    <w:tmpl w:val="19506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9" w15:restartNumberingAfterBreak="0">
    <w:nsid w:val="7D4D47F6"/>
    <w:multiLevelType w:val="hybridMultilevel"/>
    <w:tmpl w:val="D9807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8965142">
    <w:abstractNumId w:val="4"/>
  </w:num>
  <w:num w:numId="2" w16cid:durableId="135873960">
    <w:abstractNumId w:val="9"/>
  </w:num>
  <w:num w:numId="3" w16cid:durableId="521943419">
    <w:abstractNumId w:val="7"/>
  </w:num>
  <w:num w:numId="4" w16cid:durableId="760682270">
    <w:abstractNumId w:val="8"/>
  </w:num>
  <w:num w:numId="5" w16cid:durableId="647445213">
    <w:abstractNumId w:val="3"/>
  </w:num>
  <w:num w:numId="6" w16cid:durableId="141239403">
    <w:abstractNumId w:val="1"/>
  </w:num>
  <w:num w:numId="7" w16cid:durableId="554005383">
    <w:abstractNumId w:val="0"/>
  </w:num>
  <w:num w:numId="8" w16cid:durableId="1348751145">
    <w:abstractNumId w:val="5"/>
  </w:num>
  <w:num w:numId="9" w16cid:durableId="1844122029">
    <w:abstractNumId w:val="2"/>
  </w:num>
  <w:num w:numId="10" w16cid:durableId="11383794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24D"/>
    <w:rsid w:val="00020087"/>
    <w:rsid w:val="000411BC"/>
    <w:rsid w:val="000B00A1"/>
    <w:rsid w:val="000D6359"/>
    <w:rsid w:val="000E66A6"/>
    <w:rsid w:val="0013224D"/>
    <w:rsid w:val="00284B36"/>
    <w:rsid w:val="003632E3"/>
    <w:rsid w:val="003963C8"/>
    <w:rsid w:val="00493E28"/>
    <w:rsid w:val="004A264F"/>
    <w:rsid w:val="00504987"/>
    <w:rsid w:val="0059160B"/>
    <w:rsid w:val="005D52F7"/>
    <w:rsid w:val="00607672"/>
    <w:rsid w:val="00694037"/>
    <w:rsid w:val="006B6BD0"/>
    <w:rsid w:val="00721548"/>
    <w:rsid w:val="00742398"/>
    <w:rsid w:val="008A78BF"/>
    <w:rsid w:val="008B5576"/>
    <w:rsid w:val="008B616B"/>
    <w:rsid w:val="00944AA8"/>
    <w:rsid w:val="009A395A"/>
    <w:rsid w:val="00B22C6C"/>
    <w:rsid w:val="00B378FE"/>
    <w:rsid w:val="00C54989"/>
    <w:rsid w:val="00C57F66"/>
    <w:rsid w:val="00CE7EA6"/>
    <w:rsid w:val="00D354CC"/>
    <w:rsid w:val="00DC1445"/>
    <w:rsid w:val="00E372C2"/>
    <w:rsid w:val="00EE3091"/>
    <w:rsid w:val="00F34888"/>
    <w:rsid w:val="00F42E3D"/>
    <w:rsid w:val="00F606AF"/>
    <w:rsid w:val="00F63D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6C053"/>
  <w15:chartTrackingRefBased/>
  <w15:docId w15:val="{CEC03DE3-2631-4A07-938E-40D3755AA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224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13224D"/>
    <w:rPr>
      <w:b/>
      <w:bCs/>
    </w:rPr>
  </w:style>
  <w:style w:type="paragraph" w:styleId="ListParagraph">
    <w:name w:val="List Paragraph"/>
    <w:basedOn w:val="Normal"/>
    <w:uiPriority w:val="34"/>
    <w:qFormat/>
    <w:rsid w:val="0013224D"/>
    <w:pPr>
      <w:ind w:left="720"/>
      <w:contextualSpacing/>
    </w:pPr>
  </w:style>
  <w:style w:type="character" w:styleId="Emphasis">
    <w:name w:val="Emphasis"/>
    <w:basedOn w:val="DefaultParagraphFont"/>
    <w:uiPriority w:val="20"/>
    <w:qFormat/>
    <w:rsid w:val="0013224D"/>
    <w:rPr>
      <w:i/>
      <w:iCs/>
    </w:rPr>
  </w:style>
  <w:style w:type="paragraph" w:styleId="Footer">
    <w:name w:val="footer"/>
    <w:basedOn w:val="Normal"/>
    <w:link w:val="FooterChar"/>
    <w:uiPriority w:val="99"/>
    <w:unhideWhenUsed/>
    <w:rsid w:val="001322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24D"/>
  </w:style>
  <w:style w:type="paragraph" w:styleId="Header">
    <w:name w:val="header"/>
    <w:basedOn w:val="Normal"/>
    <w:link w:val="HeaderChar"/>
    <w:uiPriority w:val="99"/>
    <w:unhideWhenUsed/>
    <w:rsid w:val="00284B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B36"/>
  </w:style>
  <w:style w:type="character" w:styleId="Hyperlink">
    <w:name w:val="Hyperlink"/>
    <w:basedOn w:val="DefaultParagraphFont"/>
    <w:uiPriority w:val="99"/>
    <w:unhideWhenUsed/>
    <w:rsid w:val="003632E3"/>
    <w:rPr>
      <w:color w:val="0563C1" w:themeColor="hyperlink"/>
      <w:u w:val="single"/>
    </w:rPr>
  </w:style>
  <w:style w:type="character" w:styleId="UnresolvedMention">
    <w:name w:val="Unresolved Mention"/>
    <w:basedOn w:val="DefaultParagraphFont"/>
    <w:uiPriority w:val="99"/>
    <w:semiHidden/>
    <w:unhideWhenUsed/>
    <w:rsid w:val="00363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51506">
      <w:bodyDiv w:val="1"/>
      <w:marLeft w:val="0"/>
      <w:marRight w:val="0"/>
      <w:marTop w:val="0"/>
      <w:marBottom w:val="0"/>
      <w:divBdr>
        <w:top w:val="none" w:sz="0" w:space="0" w:color="auto"/>
        <w:left w:val="none" w:sz="0" w:space="0" w:color="auto"/>
        <w:bottom w:val="none" w:sz="0" w:space="0" w:color="auto"/>
        <w:right w:val="none" w:sz="0" w:space="0" w:color="auto"/>
      </w:divBdr>
      <w:divsChild>
        <w:div w:id="1831678436">
          <w:marLeft w:val="0"/>
          <w:marRight w:val="0"/>
          <w:marTop w:val="0"/>
          <w:marBottom w:val="0"/>
          <w:divBdr>
            <w:top w:val="none" w:sz="0" w:space="0" w:color="auto"/>
            <w:left w:val="none" w:sz="0" w:space="0" w:color="auto"/>
            <w:bottom w:val="none" w:sz="0" w:space="0" w:color="auto"/>
            <w:right w:val="none" w:sz="0" w:space="0" w:color="auto"/>
          </w:divBdr>
        </w:div>
      </w:divsChild>
    </w:div>
    <w:div w:id="113446723">
      <w:bodyDiv w:val="1"/>
      <w:marLeft w:val="0"/>
      <w:marRight w:val="0"/>
      <w:marTop w:val="0"/>
      <w:marBottom w:val="0"/>
      <w:divBdr>
        <w:top w:val="none" w:sz="0" w:space="0" w:color="auto"/>
        <w:left w:val="none" w:sz="0" w:space="0" w:color="auto"/>
        <w:bottom w:val="none" w:sz="0" w:space="0" w:color="auto"/>
        <w:right w:val="none" w:sz="0" w:space="0" w:color="auto"/>
      </w:divBdr>
      <w:divsChild>
        <w:div w:id="2083284055">
          <w:marLeft w:val="0"/>
          <w:marRight w:val="0"/>
          <w:marTop w:val="0"/>
          <w:marBottom w:val="0"/>
          <w:divBdr>
            <w:top w:val="none" w:sz="0" w:space="0" w:color="auto"/>
            <w:left w:val="none" w:sz="0" w:space="0" w:color="auto"/>
            <w:bottom w:val="none" w:sz="0" w:space="0" w:color="auto"/>
            <w:right w:val="none" w:sz="0" w:space="0" w:color="auto"/>
          </w:divBdr>
        </w:div>
      </w:divsChild>
    </w:div>
    <w:div w:id="133521751">
      <w:bodyDiv w:val="1"/>
      <w:marLeft w:val="0"/>
      <w:marRight w:val="0"/>
      <w:marTop w:val="0"/>
      <w:marBottom w:val="0"/>
      <w:divBdr>
        <w:top w:val="none" w:sz="0" w:space="0" w:color="auto"/>
        <w:left w:val="none" w:sz="0" w:space="0" w:color="auto"/>
        <w:bottom w:val="none" w:sz="0" w:space="0" w:color="auto"/>
        <w:right w:val="none" w:sz="0" w:space="0" w:color="auto"/>
      </w:divBdr>
      <w:divsChild>
        <w:div w:id="1016467717">
          <w:marLeft w:val="0"/>
          <w:marRight w:val="0"/>
          <w:marTop w:val="0"/>
          <w:marBottom w:val="0"/>
          <w:divBdr>
            <w:top w:val="none" w:sz="0" w:space="0" w:color="auto"/>
            <w:left w:val="none" w:sz="0" w:space="0" w:color="auto"/>
            <w:bottom w:val="none" w:sz="0" w:space="0" w:color="auto"/>
            <w:right w:val="none" w:sz="0" w:space="0" w:color="auto"/>
          </w:divBdr>
        </w:div>
      </w:divsChild>
    </w:div>
    <w:div w:id="154879001">
      <w:bodyDiv w:val="1"/>
      <w:marLeft w:val="0"/>
      <w:marRight w:val="0"/>
      <w:marTop w:val="0"/>
      <w:marBottom w:val="0"/>
      <w:divBdr>
        <w:top w:val="none" w:sz="0" w:space="0" w:color="auto"/>
        <w:left w:val="none" w:sz="0" w:space="0" w:color="auto"/>
        <w:bottom w:val="none" w:sz="0" w:space="0" w:color="auto"/>
        <w:right w:val="none" w:sz="0" w:space="0" w:color="auto"/>
      </w:divBdr>
      <w:divsChild>
        <w:div w:id="1699617917">
          <w:marLeft w:val="0"/>
          <w:marRight w:val="0"/>
          <w:marTop w:val="0"/>
          <w:marBottom w:val="0"/>
          <w:divBdr>
            <w:top w:val="none" w:sz="0" w:space="0" w:color="auto"/>
            <w:left w:val="none" w:sz="0" w:space="0" w:color="auto"/>
            <w:bottom w:val="none" w:sz="0" w:space="0" w:color="auto"/>
            <w:right w:val="none" w:sz="0" w:space="0" w:color="auto"/>
          </w:divBdr>
        </w:div>
      </w:divsChild>
    </w:div>
    <w:div w:id="351030070">
      <w:bodyDiv w:val="1"/>
      <w:marLeft w:val="0"/>
      <w:marRight w:val="0"/>
      <w:marTop w:val="0"/>
      <w:marBottom w:val="0"/>
      <w:divBdr>
        <w:top w:val="none" w:sz="0" w:space="0" w:color="auto"/>
        <w:left w:val="none" w:sz="0" w:space="0" w:color="auto"/>
        <w:bottom w:val="none" w:sz="0" w:space="0" w:color="auto"/>
        <w:right w:val="none" w:sz="0" w:space="0" w:color="auto"/>
      </w:divBdr>
      <w:divsChild>
        <w:div w:id="482703619">
          <w:marLeft w:val="0"/>
          <w:marRight w:val="0"/>
          <w:marTop w:val="0"/>
          <w:marBottom w:val="0"/>
          <w:divBdr>
            <w:top w:val="none" w:sz="0" w:space="0" w:color="auto"/>
            <w:left w:val="none" w:sz="0" w:space="0" w:color="auto"/>
            <w:bottom w:val="none" w:sz="0" w:space="0" w:color="auto"/>
            <w:right w:val="none" w:sz="0" w:space="0" w:color="auto"/>
          </w:divBdr>
        </w:div>
      </w:divsChild>
    </w:div>
    <w:div w:id="423839619">
      <w:bodyDiv w:val="1"/>
      <w:marLeft w:val="0"/>
      <w:marRight w:val="0"/>
      <w:marTop w:val="0"/>
      <w:marBottom w:val="0"/>
      <w:divBdr>
        <w:top w:val="none" w:sz="0" w:space="0" w:color="auto"/>
        <w:left w:val="none" w:sz="0" w:space="0" w:color="auto"/>
        <w:bottom w:val="none" w:sz="0" w:space="0" w:color="auto"/>
        <w:right w:val="none" w:sz="0" w:space="0" w:color="auto"/>
      </w:divBdr>
      <w:divsChild>
        <w:div w:id="1699505677">
          <w:marLeft w:val="0"/>
          <w:marRight w:val="0"/>
          <w:marTop w:val="0"/>
          <w:marBottom w:val="0"/>
          <w:divBdr>
            <w:top w:val="none" w:sz="0" w:space="0" w:color="auto"/>
            <w:left w:val="none" w:sz="0" w:space="0" w:color="auto"/>
            <w:bottom w:val="none" w:sz="0" w:space="0" w:color="auto"/>
            <w:right w:val="none" w:sz="0" w:space="0" w:color="auto"/>
          </w:divBdr>
        </w:div>
      </w:divsChild>
    </w:div>
    <w:div w:id="477116382">
      <w:bodyDiv w:val="1"/>
      <w:marLeft w:val="0"/>
      <w:marRight w:val="0"/>
      <w:marTop w:val="0"/>
      <w:marBottom w:val="0"/>
      <w:divBdr>
        <w:top w:val="none" w:sz="0" w:space="0" w:color="auto"/>
        <w:left w:val="none" w:sz="0" w:space="0" w:color="auto"/>
        <w:bottom w:val="none" w:sz="0" w:space="0" w:color="auto"/>
        <w:right w:val="none" w:sz="0" w:space="0" w:color="auto"/>
      </w:divBdr>
      <w:divsChild>
        <w:div w:id="200440828">
          <w:marLeft w:val="0"/>
          <w:marRight w:val="0"/>
          <w:marTop w:val="0"/>
          <w:marBottom w:val="0"/>
          <w:divBdr>
            <w:top w:val="none" w:sz="0" w:space="0" w:color="auto"/>
            <w:left w:val="none" w:sz="0" w:space="0" w:color="auto"/>
            <w:bottom w:val="none" w:sz="0" w:space="0" w:color="auto"/>
            <w:right w:val="none" w:sz="0" w:space="0" w:color="auto"/>
          </w:divBdr>
        </w:div>
      </w:divsChild>
    </w:div>
    <w:div w:id="651256238">
      <w:bodyDiv w:val="1"/>
      <w:marLeft w:val="0"/>
      <w:marRight w:val="0"/>
      <w:marTop w:val="0"/>
      <w:marBottom w:val="0"/>
      <w:divBdr>
        <w:top w:val="none" w:sz="0" w:space="0" w:color="auto"/>
        <w:left w:val="none" w:sz="0" w:space="0" w:color="auto"/>
        <w:bottom w:val="none" w:sz="0" w:space="0" w:color="auto"/>
        <w:right w:val="none" w:sz="0" w:space="0" w:color="auto"/>
      </w:divBdr>
      <w:divsChild>
        <w:div w:id="440732737">
          <w:marLeft w:val="0"/>
          <w:marRight w:val="0"/>
          <w:marTop w:val="0"/>
          <w:marBottom w:val="0"/>
          <w:divBdr>
            <w:top w:val="none" w:sz="0" w:space="0" w:color="auto"/>
            <w:left w:val="none" w:sz="0" w:space="0" w:color="auto"/>
            <w:bottom w:val="none" w:sz="0" w:space="0" w:color="auto"/>
            <w:right w:val="none" w:sz="0" w:space="0" w:color="auto"/>
          </w:divBdr>
        </w:div>
      </w:divsChild>
    </w:div>
    <w:div w:id="692071854">
      <w:bodyDiv w:val="1"/>
      <w:marLeft w:val="0"/>
      <w:marRight w:val="0"/>
      <w:marTop w:val="0"/>
      <w:marBottom w:val="0"/>
      <w:divBdr>
        <w:top w:val="none" w:sz="0" w:space="0" w:color="auto"/>
        <w:left w:val="none" w:sz="0" w:space="0" w:color="auto"/>
        <w:bottom w:val="none" w:sz="0" w:space="0" w:color="auto"/>
        <w:right w:val="none" w:sz="0" w:space="0" w:color="auto"/>
      </w:divBdr>
      <w:divsChild>
        <w:div w:id="937102725">
          <w:marLeft w:val="0"/>
          <w:marRight w:val="0"/>
          <w:marTop w:val="0"/>
          <w:marBottom w:val="0"/>
          <w:divBdr>
            <w:top w:val="none" w:sz="0" w:space="0" w:color="auto"/>
            <w:left w:val="none" w:sz="0" w:space="0" w:color="auto"/>
            <w:bottom w:val="none" w:sz="0" w:space="0" w:color="auto"/>
            <w:right w:val="none" w:sz="0" w:space="0" w:color="auto"/>
          </w:divBdr>
        </w:div>
      </w:divsChild>
    </w:div>
    <w:div w:id="774860636">
      <w:bodyDiv w:val="1"/>
      <w:marLeft w:val="0"/>
      <w:marRight w:val="0"/>
      <w:marTop w:val="0"/>
      <w:marBottom w:val="0"/>
      <w:divBdr>
        <w:top w:val="none" w:sz="0" w:space="0" w:color="auto"/>
        <w:left w:val="none" w:sz="0" w:space="0" w:color="auto"/>
        <w:bottom w:val="none" w:sz="0" w:space="0" w:color="auto"/>
        <w:right w:val="none" w:sz="0" w:space="0" w:color="auto"/>
      </w:divBdr>
      <w:divsChild>
        <w:div w:id="1860242304">
          <w:marLeft w:val="0"/>
          <w:marRight w:val="0"/>
          <w:marTop w:val="0"/>
          <w:marBottom w:val="0"/>
          <w:divBdr>
            <w:top w:val="none" w:sz="0" w:space="0" w:color="auto"/>
            <w:left w:val="none" w:sz="0" w:space="0" w:color="auto"/>
            <w:bottom w:val="none" w:sz="0" w:space="0" w:color="auto"/>
            <w:right w:val="none" w:sz="0" w:space="0" w:color="auto"/>
          </w:divBdr>
        </w:div>
      </w:divsChild>
    </w:div>
    <w:div w:id="805775586">
      <w:bodyDiv w:val="1"/>
      <w:marLeft w:val="0"/>
      <w:marRight w:val="0"/>
      <w:marTop w:val="0"/>
      <w:marBottom w:val="0"/>
      <w:divBdr>
        <w:top w:val="none" w:sz="0" w:space="0" w:color="auto"/>
        <w:left w:val="none" w:sz="0" w:space="0" w:color="auto"/>
        <w:bottom w:val="none" w:sz="0" w:space="0" w:color="auto"/>
        <w:right w:val="none" w:sz="0" w:space="0" w:color="auto"/>
      </w:divBdr>
      <w:divsChild>
        <w:div w:id="1875531069">
          <w:marLeft w:val="0"/>
          <w:marRight w:val="0"/>
          <w:marTop w:val="0"/>
          <w:marBottom w:val="0"/>
          <w:divBdr>
            <w:top w:val="none" w:sz="0" w:space="0" w:color="auto"/>
            <w:left w:val="none" w:sz="0" w:space="0" w:color="auto"/>
            <w:bottom w:val="none" w:sz="0" w:space="0" w:color="auto"/>
            <w:right w:val="none" w:sz="0" w:space="0" w:color="auto"/>
          </w:divBdr>
        </w:div>
      </w:divsChild>
    </w:div>
    <w:div w:id="1006440362">
      <w:bodyDiv w:val="1"/>
      <w:marLeft w:val="0"/>
      <w:marRight w:val="0"/>
      <w:marTop w:val="0"/>
      <w:marBottom w:val="0"/>
      <w:divBdr>
        <w:top w:val="none" w:sz="0" w:space="0" w:color="auto"/>
        <w:left w:val="none" w:sz="0" w:space="0" w:color="auto"/>
        <w:bottom w:val="none" w:sz="0" w:space="0" w:color="auto"/>
        <w:right w:val="none" w:sz="0" w:space="0" w:color="auto"/>
      </w:divBdr>
      <w:divsChild>
        <w:div w:id="1281305478">
          <w:marLeft w:val="0"/>
          <w:marRight w:val="0"/>
          <w:marTop w:val="0"/>
          <w:marBottom w:val="0"/>
          <w:divBdr>
            <w:top w:val="none" w:sz="0" w:space="0" w:color="auto"/>
            <w:left w:val="none" w:sz="0" w:space="0" w:color="auto"/>
            <w:bottom w:val="none" w:sz="0" w:space="0" w:color="auto"/>
            <w:right w:val="none" w:sz="0" w:space="0" w:color="auto"/>
          </w:divBdr>
        </w:div>
      </w:divsChild>
    </w:div>
    <w:div w:id="1037119285">
      <w:bodyDiv w:val="1"/>
      <w:marLeft w:val="0"/>
      <w:marRight w:val="0"/>
      <w:marTop w:val="0"/>
      <w:marBottom w:val="0"/>
      <w:divBdr>
        <w:top w:val="none" w:sz="0" w:space="0" w:color="auto"/>
        <w:left w:val="none" w:sz="0" w:space="0" w:color="auto"/>
        <w:bottom w:val="none" w:sz="0" w:space="0" w:color="auto"/>
        <w:right w:val="none" w:sz="0" w:space="0" w:color="auto"/>
      </w:divBdr>
      <w:divsChild>
        <w:div w:id="658197551">
          <w:marLeft w:val="0"/>
          <w:marRight w:val="0"/>
          <w:marTop w:val="0"/>
          <w:marBottom w:val="0"/>
          <w:divBdr>
            <w:top w:val="none" w:sz="0" w:space="0" w:color="auto"/>
            <w:left w:val="none" w:sz="0" w:space="0" w:color="auto"/>
            <w:bottom w:val="none" w:sz="0" w:space="0" w:color="auto"/>
            <w:right w:val="none" w:sz="0" w:space="0" w:color="auto"/>
          </w:divBdr>
        </w:div>
      </w:divsChild>
    </w:div>
    <w:div w:id="1135609528">
      <w:bodyDiv w:val="1"/>
      <w:marLeft w:val="0"/>
      <w:marRight w:val="0"/>
      <w:marTop w:val="0"/>
      <w:marBottom w:val="0"/>
      <w:divBdr>
        <w:top w:val="none" w:sz="0" w:space="0" w:color="auto"/>
        <w:left w:val="none" w:sz="0" w:space="0" w:color="auto"/>
        <w:bottom w:val="none" w:sz="0" w:space="0" w:color="auto"/>
        <w:right w:val="none" w:sz="0" w:space="0" w:color="auto"/>
      </w:divBdr>
      <w:divsChild>
        <w:div w:id="1730837144">
          <w:marLeft w:val="0"/>
          <w:marRight w:val="0"/>
          <w:marTop w:val="0"/>
          <w:marBottom w:val="0"/>
          <w:divBdr>
            <w:top w:val="none" w:sz="0" w:space="0" w:color="auto"/>
            <w:left w:val="none" w:sz="0" w:space="0" w:color="auto"/>
            <w:bottom w:val="none" w:sz="0" w:space="0" w:color="auto"/>
            <w:right w:val="none" w:sz="0" w:space="0" w:color="auto"/>
          </w:divBdr>
        </w:div>
      </w:divsChild>
    </w:div>
    <w:div w:id="1227956037">
      <w:bodyDiv w:val="1"/>
      <w:marLeft w:val="0"/>
      <w:marRight w:val="0"/>
      <w:marTop w:val="0"/>
      <w:marBottom w:val="0"/>
      <w:divBdr>
        <w:top w:val="none" w:sz="0" w:space="0" w:color="auto"/>
        <w:left w:val="none" w:sz="0" w:space="0" w:color="auto"/>
        <w:bottom w:val="none" w:sz="0" w:space="0" w:color="auto"/>
        <w:right w:val="none" w:sz="0" w:space="0" w:color="auto"/>
      </w:divBdr>
      <w:divsChild>
        <w:div w:id="604385889">
          <w:marLeft w:val="0"/>
          <w:marRight w:val="0"/>
          <w:marTop w:val="0"/>
          <w:marBottom w:val="0"/>
          <w:divBdr>
            <w:top w:val="none" w:sz="0" w:space="0" w:color="auto"/>
            <w:left w:val="none" w:sz="0" w:space="0" w:color="auto"/>
            <w:bottom w:val="none" w:sz="0" w:space="0" w:color="auto"/>
            <w:right w:val="none" w:sz="0" w:space="0" w:color="auto"/>
          </w:divBdr>
        </w:div>
      </w:divsChild>
    </w:div>
    <w:div w:id="1395734517">
      <w:bodyDiv w:val="1"/>
      <w:marLeft w:val="0"/>
      <w:marRight w:val="0"/>
      <w:marTop w:val="0"/>
      <w:marBottom w:val="0"/>
      <w:divBdr>
        <w:top w:val="none" w:sz="0" w:space="0" w:color="auto"/>
        <w:left w:val="none" w:sz="0" w:space="0" w:color="auto"/>
        <w:bottom w:val="none" w:sz="0" w:space="0" w:color="auto"/>
        <w:right w:val="none" w:sz="0" w:space="0" w:color="auto"/>
      </w:divBdr>
      <w:divsChild>
        <w:div w:id="1939754045">
          <w:marLeft w:val="0"/>
          <w:marRight w:val="0"/>
          <w:marTop w:val="0"/>
          <w:marBottom w:val="0"/>
          <w:divBdr>
            <w:top w:val="none" w:sz="0" w:space="0" w:color="auto"/>
            <w:left w:val="none" w:sz="0" w:space="0" w:color="auto"/>
            <w:bottom w:val="none" w:sz="0" w:space="0" w:color="auto"/>
            <w:right w:val="none" w:sz="0" w:space="0" w:color="auto"/>
          </w:divBdr>
        </w:div>
      </w:divsChild>
    </w:div>
    <w:div w:id="1498497448">
      <w:bodyDiv w:val="1"/>
      <w:marLeft w:val="0"/>
      <w:marRight w:val="0"/>
      <w:marTop w:val="0"/>
      <w:marBottom w:val="0"/>
      <w:divBdr>
        <w:top w:val="none" w:sz="0" w:space="0" w:color="auto"/>
        <w:left w:val="none" w:sz="0" w:space="0" w:color="auto"/>
        <w:bottom w:val="none" w:sz="0" w:space="0" w:color="auto"/>
        <w:right w:val="none" w:sz="0" w:space="0" w:color="auto"/>
      </w:divBdr>
      <w:divsChild>
        <w:div w:id="2117172428">
          <w:marLeft w:val="0"/>
          <w:marRight w:val="0"/>
          <w:marTop w:val="0"/>
          <w:marBottom w:val="0"/>
          <w:divBdr>
            <w:top w:val="none" w:sz="0" w:space="0" w:color="auto"/>
            <w:left w:val="none" w:sz="0" w:space="0" w:color="auto"/>
            <w:bottom w:val="none" w:sz="0" w:space="0" w:color="auto"/>
            <w:right w:val="none" w:sz="0" w:space="0" w:color="auto"/>
          </w:divBdr>
        </w:div>
      </w:divsChild>
    </w:div>
    <w:div w:id="1548832268">
      <w:bodyDiv w:val="1"/>
      <w:marLeft w:val="0"/>
      <w:marRight w:val="0"/>
      <w:marTop w:val="0"/>
      <w:marBottom w:val="0"/>
      <w:divBdr>
        <w:top w:val="none" w:sz="0" w:space="0" w:color="auto"/>
        <w:left w:val="none" w:sz="0" w:space="0" w:color="auto"/>
        <w:bottom w:val="none" w:sz="0" w:space="0" w:color="auto"/>
        <w:right w:val="none" w:sz="0" w:space="0" w:color="auto"/>
      </w:divBdr>
      <w:divsChild>
        <w:div w:id="896866601">
          <w:marLeft w:val="0"/>
          <w:marRight w:val="0"/>
          <w:marTop w:val="0"/>
          <w:marBottom w:val="0"/>
          <w:divBdr>
            <w:top w:val="none" w:sz="0" w:space="0" w:color="auto"/>
            <w:left w:val="none" w:sz="0" w:space="0" w:color="auto"/>
            <w:bottom w:val="none" w:sz="0" w:space="0" w:color="auto"/>
            <w:right w:val="none" w:sz="0" w:space="0" w:color="auto"/>
          </w:divBdr>
        </w:div>
      </w:divsChild>
    </w:div>
    <w:div w:id="1577477799">
      <w:bodyDiv w:val="1"/>
      <w:marLeft w:val="0"/>
      <w:marRight w:val="0"/>
      <w:marTop w:val="0"/>
      <w:marBottom w:val="0"/>
      <w:divBdr>
        <w:top w:val="none" w:sz="0" w:space="0" w:color="auto"/>
        <w:left w:val="none" w:sz="0" w:space="0" w:color="auto"/>
        <w:bottom w:val="none" w:sz="0" w:space="0" w:color="auto"/>
        <w:right w:val="none" w:sz="0" w:space="0" w:color="auto"/>
      </w:divBdr>
      <w:divsChild>
        <w:div w:id="2010910360">
          <w:marLeft w:val="0"/>
          <w:marRight w:val="0"/>
          <w:marTop w:val="0"/>
          <w:marBottom w:val="0"/>
          <w:divBdr>
            <w:top w:val="none" w:sz="0" w:space="0" w:color="auto"/>
            <w:left w:val="none" w:sz="0" w:space="0" w:color="auto"/>
            <w:bottom w:val="none" w:sz="0" w:space="0" w:color="auto"/>
            <w:right w:val="none" w:sz="0" w:space="0" w:color="auto"/>
          </w:divBdr>
        </w:div>
      </w:divsChild>
    </w:div>
    <w:div w:id="1603142639">
      <w:bodyDiv w:val="1"/>
      <w:marLeft w:val="0"/>
      <w:marRight w:val="0"/>
      <w:marTop w:val="0"/>
      <w:marBottom w:val="0"/>
      <w:divBdr>
        <w:top w:val="none" w:sz="0" w:space="0" w:color="auto"/>
        <w:left w:val="none" w:sz="0" w:space="0" w:color="auto"/>
        <w:bottom w:val="none" w:sz="0" w:space="0" w:color="auto"/>
        <w:right w:val="none" w:sz="0" w:space="0" w:color="auto"/>
      </w:divBdr>
      <w:divsChild>
        <w:div w:id="1719629107">
          <w:marLeft w:val="0"/>
          <w:marRight w:val="0"/>
          <w:marTop w:val="0"/>
          <w:marBottom w:val="0"/>
          <w:divBdr>
            <w:top w:val="none" w:sz="0" w:space="0" w:color="auto"/>
            <w:left w:val="none" w:sz="0" w:space="0" w:color="auto"/>
            <w:bottom w:val="none" w:sz="0" w:space="0" w:color="auto"/>
            <w:right w:val="none" w:sz="0" w:space="0" w:color="auto"/>
          </w:divBdr>
        </w:div>
      </w:divsChild>
    </w:div>
    <w:div w:id="1725907101">
      <w:bodyDiv w:val="1"/>
      <w:marLeft w:val="0"/>
      <w:marRight w:val="0"/>
      <w:marTop w:val="0"/>
      <w:marBottom w:val="0"/>
      <w:divBdr>
        <w:top w:val="none" w:sz="0" w:space="0" w:color="auto"/>
        <w:left w:val="none" w:sz="0" w:space="0" w:color="auto"/>
        <w:bottom w:val="none" w:sz="0" w:space="0" w:color="auto"/>
        <w:right w:val="none" w:sz="0" w:space="0" w:color="auto"/>
      </w:divBdr>
      <w:divsChild>
        <w:div w:id="1175076524">
          <w:marLeft w:val="0"/>
          <w:marRight w:val="0"/>
          <w:marTop w:val="0"/>
          <w:marBottom w:val="0"/>
          <w:divBdr>
            <w:top w:val="none" w:sz="0" w:space="0" w:color="auto"/>
            <w:left w:val="none" w:sz="0" w:space="0" w:color="auto"/>
            <w:bottom w:val="none" w:sz="0" w:space="0" w:color="auto"/>
            <w:right w:val="none" w:sz="0" w:space="0" w:color="auto"/>
          </w:divBdr>
        </w:div>
      </w:divsChild>
    </w:div>
    <w:div w:id="1833058890">
      <w:bodyDiv w:val="1"/>
      <w:marLeft w:val="0"/>
      <w:marRight w:val="0"/>
      <w:marTop w:val="0"/>
      <w:marBottom w:val="0"/>
      <w:divBdr>
        <w:top w:val="none" w:sz="0" w:space="0" w:color="auto"/>
        <w:left w:val="none" w:sz="0" w:space="0" w:color="auto"/>
        <w:bottom w:val="none" w:sz="0" w:space="0" w:color="auto"/>
        <w:right w:val="none" w:sz="0" w:space="0" w:color="auto"/>
      </w:divBdr>
      <w:divsChild>
        <w:div w:id="2025324880">
          <w:marLeft w:val="0"/>
          <w:marRight w:val="0"/>
          <w:marTop w:val="0"/>
          <w:marBottom w:val="0"/>
          <w:divBdr>
            <w:top w:val="none" w:sz="0" w:space="0" w:color="auto"/>
            <w:left w:val="none" w:sz="0" w:space="0" w:color="auto"/>
            <w:bottom w:val="none" w:sz="0" w:space="0" w:color="auto"/>
            <w:right w:val="none" w:sz="0" w:space="0" w:color="auto"/>
          </w:divBdr>
        </w:div>
      </w:divsChild>
    </w:div>
    <w:div w:id="2047293310">
      <w:bodyDiv w:val="1"/>
      <w:marLeft w:val="0"/>
      <w:marRight w:val="0"/>
      <w:marTop w:val="0"/>
      <w:marBottom w:val="0"/>
      <w:divBdr>
        <w:top w:val="none" w:sz="0" w:space="0" w:color="auto"/>
        <w:left w:val="none" w:sz="0" w:space="0" w:color="auto"/>
        <w:bottom w:val="none" w:sz="0" w:space="0" w:color="auto"/>
        <w:right w:val="none" w:sz="0" w:space="0" w:color="auto"/>
      </w:divBdr>
      <w:divsChild>
        <w:div w:id="1748845522">
          <w:marLeft w:val="0"/>
          <w:marRight w:val="0"/>
          <w:marTop w:val="0"/>
          <w:marBottom w:val="0"/>
          <w:divBdr>
            <w:top w:val="none" w:sz="0" w:space="0" w:color="auto"/>
            <w:left w:val="none" w:sz="0" w:space="0" w:color="auto"/>
            <w:bottom w:val="none" w:sz="0" w:space="0" w:color="auto"/>
            <w:right w:val="none" w:sz="0" w:space="0" w:color="auto"/>
          </w:divBdr>
        </w:div>
      </w:divsChild>
    </w:div>
    <w:div w:id="2077703824">
      <w:bodyDiv w:val="1"/>
      <w:marLeft w:val="0"/>
      <w:marRight w:val="0"/>
      <w:marTop w:val="0"/>
      <w:marBottom w:val="0"/>
      <w:divBdr>
        <w:top w:val="none" w:sz="0" w:space="0" w:color="auto"/>
        <w:left w:val="none" w:sz="0" w:space="0" w:color="auto"/>
        <w:bottom w:val="none" w:sz="0" w:space="0" w:color="auto"/>
        <w:right w:val="none" w:sz="0" w:space="0" w:color="auto"/>
      </w:divBdr>
      <w:divsChild>
        <w:div w:id="2074572434">
          <w:marLeft w:val="0"/>
          <w:marRight w:val="0"/>
          <w:marTop w:val="0"/>
          <w:marBottom w:val="0"/>
          <w:divBdr>
            <w:top w:val="none" w:sz="0" w:space="0" w:color="auto"/>
            <w:left w:val="none" w:sz="0" w:space="0" w:color="auto"/>
            <w:bottom w:val="none" w:sz="0" w:space="0" w:color="auto"/>
            <w:right w:val="none" w:sz="0" w:space="0" w:color="auto"/>
          </w:divBdr>
        </w:div>
      </w:divsChild>
    </w:div>
    <w:div w:id="2110543563">
      <w:bodyDiv w:val="1"/>
      <w:marLeft w:val="0"/>
      <w:marRight w:val="0"/>
      <w:marTop w:val="0"/>
      <w:marBottom w:val="0"/>
      <w:divBdr>
        <w:top w:val="none" w:sz="0" w:space="0" w:color="auto"/>
        <w:left w:val="none" w:sz="0" w:space="0" w:color="auto"/>
        <w:bottom w:val="none" w:sz="0" w:space="0" w:color="auto"/>
        <w:right w:val="none" w:sz="0" w:space="0" w:color="auto"/>
      </w:divBdr>
      <w:divsChild>
        <w:div w:id="734087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aumovio.com/en.html"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e753c2c-bb14-4786-921b-97c6a6fc424f}" enabled="1" method="Standard" siteId="{3bd97919-57c3-48d3-9e9a-8e4c01614a8f}"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26</Pages>
  <Words>5462</Words>
  <Characters>31135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Garrett, Kirsty</dc:creator>
  <cp:keywords/>
  <dc:description/>
  <cp:lastModifiedBy>Garrett, Kirsty</cp:lastModifiedBy>
  <cp:revision>2</cp:revision>
  <dcterms:created xsi:type="dcterms:W3CDTF">2026-02-22T18:58:00Z</dcterms:created>
  <dcterms:modified xsi:type="dcterms:W3CDTF">2026-02-22T18:58:00Z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526b2d3,5134614,48765c35</vt:lpwstr>
  </property>
  <property fmtid="{D5CDD505-2E9C-101B-9397-08002B2CF9AE}" pid="3" name="ClassificationContentMarkingFooterFontProps">
    <vt:lpwstr>#000000,8,Calibri</vt:lpwstr>
  </property>
  <property fmtid="{D5CDD505-2E9C-101B-9397-08002B2CF9AE}" pid="4" name="ClassificationContentMarkingFooterText">
    <vt:lpwstr>Internal</vt:lpwstr>
  </property>
</Properties>
</file>