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90"/>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4"/>
        <w:gridCol w:w="5440"/>
        <w:gridCol w:w="1016"/>
      </w:tblGrid>
      <w:tr w:rsidR="00AD18BC" w:rsidRPr="00672243" w14:paraId="74DA1583" w14:textId="77777777" w:rsidTr="00672243">
        <w:trPr>
          <w:trHeight w:val="454"/>
        </w:trPr>
        <w:tc>
          <w:tcPr>
            <w:tcW w:w="9210" w:type="dxa"/>
            <w:gridSpan w:val="3"/>
            <w:shd w:val="clear" w:color="auto" w:fill="000000"/>
            <w:vAlign w:val="center"/>
          </w:tcPr>
          <w:p w14:paraId="255CD167" w14:textId="77777777" w:rsidR="00AD18BC" w:rsidRPr="00672243" w:rsidRDefault="00AD18BC" w:rsidP="00672243">
            <w:pPr>
              <w:rPr>
                <w:rFonts w:ascii="Arial" w:hAnsi="Arial" w:cs="Arial"/>
                <w:b/>
                <w:sz w:val="20"/>
                <w:szCs w:val="20"/>
              </w:rPr>
            </w:pPr>
          </w:p>
        </w:tc>
      </w:tr>
      <w:tr w:rsidR="00AD18BC" w:rsidRPr="00672243" w14:paraId="0948CE18" w14:textId="77777777" w:rsidTr="00672243">
        <w:trPr>
          <w:trHeight w:val="1468"/>
        </w:trPr>
        <w:tc>
          <w:tcPr>
            <w:tcW w:w="2754" w:type="dxa"/>
            <w:shd w:val="clear" w:color="auto" w:fill="D9D9D9"/>
            <w:vAlign w:val="center"/>
          </w:tcPr>
          <w:p w14:paraId="6D782C29"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Student Name</w:t>
            </w:r>
          </w:p>
        </w:tc>
        <w:tc>
          <w:tcPr>
            <w:tcW w:w="5440" w:type="dxa"/>
            <w:tcBorders>
              <w:right w:val="single" w:sz="4" w:space="0" w:color="auto"/>
            </w:tcBorders>
            <w:vAlign w:val="center"/>
          </w:tcPr>
          <w:p w14:paraId="36431E8D"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Mihaiela Petreanu</w:t>
            </w:r>
          </w:p>
        </w:tc>
        <w:tc>
          <w:tcPr>
            <w:tcW w:w="1016" w:type="dxa"/>
            <w:tcBorders>
              <w:left w:val="single" w:sz="4" w:space="0" w:color="auto"/>
            </w:tcBorders>
            <w:shd w:val="clear" w:color="auto" w:fill="D9D9D9"/>
          </w:tcPr>
          <w:p w14:paraId="47F7D23A" w14:textId="77777777" w:rsidR="00AD18BC" w:rsidRPr="00672243" w:rsidRDefault="00AD18BC" w:rsidP="00672243">
            <w:pPr>
              <w:rPr>
                <w:rFonts w:ascii="Arial" w:hAnsi="Arial" w:cs="Arial"/>
                <w:sz w:val="20"/>
                <w:szCs w:val="20"/>
              </w:rPr>
            </w:pPr>
          </w:p>
        </w:tc>
      </w:tr>
      <w:tr w:rsidR="00AD18BC" w:rsidRPr="00672243" w14:paraId="1528643A" w14:textId="77777777" w:rsidTr="00672243">
        <w:trPr>
          <w:trHeight w:val="1468"/>
        </w:trPr>
        <w:tc>
          <w:tcPr>
            <w:tcW w:w="2754" w:type="dxa"/>
            <w:shd w:val="clear" w:color="auto" w:fill="D9D9D9"/>
            <w:vAlign w:val="center"/>
          </w:tcPr>
          <w:p w14:paraId="49172C16"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Student ID number</w:t>
            </w:r>
          </w:p>
        </w:tc>
        <w:tc>
          <w:tcPr>
            <w:tcW w:w="5440" w:type="dxa"/>
            <w:tcBorders>
              <w:right w:val="single" w:sz="4" w:space="0" w:color="auto"/>
            </w:tcBorders>
            <w:vAlign w:val="center"/>
          </w:tcPr>
          <w:p w14:paraId="190318C5" w14:textId="77777777" w:rsidR="00AD18BC" w:rsidRPr="00672243" w:rsidRDefault="00AD18BC" w:rsidP="00672243">
            <w:pPr>
              <w:jc w:val="center"/>
              <w:rPr>
                <w:rFonts w:ascii="Arial" w:hAnsi="Arial" w:cs="Arial"/>
                <w:sz w:val="28"/>
                <w:szCs w:val="28"/>
              </w:rPr>
            </w:pPr>
          </w:p>
          <w:p w14:paraId="26D9E9B3"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2030622</w:t>
            </w:r>
          </w:p>
        </w:tc>
        <w:tc>
          <w:tcPr>
            <w:tcW w:w="1016" w:type="dxa"/>
            <w:vMerge w:val="restart"/>
            <w:tcBorders>
              <w:left w:val="single" w:sz="4" w:space="0" w:color="auto"/>
            </w:tcBorders>
            <w:shd w:val="clear" w:color="auto" w:fill="D9D9D9"/>
          </w:tcPr>
          <w:p w14:paraId="10E75158" w14:textId="77777777" w:rsidR="00AD18BC" w:rsidRPr="00672243" w:rsidRDefault="00AD18BC" w:rsidP="00672243">
            <w:pPr>
              <w:rPr>
                <w:rFonts w:ascii="Arial" w:hAnsi="Arial" w:cs="Arial"/>
                <w:sz w:val="20"/>
                <w:szCs w:val="20"/>
              </w:rPr>
            </w:pPr>
          </w:p>
        </w:tc>
      </w:tr>
      <w:tr w:rsidR="00AD18BC" w:rsidRPr="00672243" w14:paraId="57B325D8" w14:textId="77777777" w:rsidTr="00672243">
        <w:trPr>
          <w:trHeight w:val="1468"/>
        </w:trPr>
        <w:tc>
          <w:tcPr>
            <w:tcW w:w="2754" w:type="dxa"/>
            <w:shd w:val="clear" w:color="auto" w:fill="D9D9D9"/>
            <w:vAlign w:val="center"/>
          </w:tcPr>
          <w:p w14:paraId="4999D4F2"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Assignment title</w:t>
            </w:r>
          </w:p>
        </w:tc>
        <w:tc>
          <w:tcPr>
            <w:tcW w:w="5440" w:type="dxa"/>
            <w:tcBorders>
              <w:right w:val="single" w:sz="4" w:space="0" w:color="auto"/>
            </w:tcBorders>
            <w:vAlign w:val="center"/>
          </w:tcPr>
          <w:p w14:paraId="4B78935B" w14:textId="7960A5A8" w:rsidR="00AD18BC" w:rsidRPr="00672243" w:rsidRDefault="00AD18BC" w:rsidP="00672243">
            <w:pPr>
              <w:jc w:val="center"/>
              <w:rPr>
                <w:rFonts w:ascii="Arial" w:hAnsi="Arial" w:cs="Arial"/>
                <w:sz w:val="28"/>
                <w:szCs w:val="28"/>
              </w:rPr>
            </w:pPr>
            <w:r w:rsidRPr="00672243">
              <w:rPr>
                <w:rFonts w:ascii="Arial" w:hAnsi="Arial" w:cs="Arial"/>
                <w:sz w:val="28"/>
                <w:szCs w:val="28"/>
              </w:rPr>
              <w:t>Workplace culture and its impact on organisational efficiency</w:t>
            </w:r>
          </w:p>
        </w:tc>
        <w:tc>
          <w:tcPr>
            <w:tcW w:w="1016" w:type="dxa"/>
            <w:vMerge/>
            <w:tcBorders>
              <w:left w:val="single" w:sz="4" w:space="0" w:color="auto"/>
            </w:tcBorders>
            <w:shd w:val="clear" w:color="auto" w:fill="D9D9D9"/>
            <w:vAlign w:val="center"/>
          </w:tcPr>
          <w:p w14:paraId="6BB9F32E" w14:textId="77777777" w:rsidR="00AD18BC" w:rsidRPr="00672243" w:rsidRDefault="00AD18BC" w:rsidP="00672243">
            <w:pPr>
              <w:rPr>
                <w:rFonts w:ascii="Arial" w:hAnsi="Arial" w:cs="Arial"/>
                <w:sz w:val="20"/>
                <w:szCs w:val="20"/>
              </w:rPr>
            </w:pPr>
          </w:p>
        </w:tc>
      </w:tr>
      <w:tr w:rsidR="00AD18BC" w:rsidRPr="00672243" w14:paraId="0A6DF7F6" w14:textId="77777777" w:rsidTr="00672243">
        <w:trPr>
          <w:trHeight w:val="1707"/>
        </w:trPr>
        <w:tc>
          <w:tcPr>
            <w:tcW w:w="2754" w:type="dxa"/>
            <w:shd w:val="clear" w:color="auto" w:fill="D9D9D9"/>
            <w:vAlign w:val="center"/>
          </w:tcPr>
          <w:p w14:paraId="0EBFAC4F"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 xml:space="preserve">Programme </w:t>
            </w:r>
          </w:p>
        </w:tc>
        <w:tc>
          <w:tcPr>
            <w:tcW w:w="5440" w:type="dxa"/>
            <w:tcBorders>
              <w:right w:val="single" w:sz="4" w:space="0" w:color="auto"/>
            </w:tcBorders>
            <w:vAlign w:val="center"/>
          </w:tcPr>
          <w:p w14:paraId="6A420832" w14:textId="116E4825" w:rsidR="00AD18BC" w:rsidRPr="00672243" w:rsidRDefault="00AD18BC" w:rsidP="00672243">
            <w:pPr>
              <w:jc w:val="center"/>
              <w:rPr>
                <w:rFonts w:ascii="Arial" w:hAnsi="Arial" w:cs="Arial"/>
                <w:sz w:val="28"/>
                <w:szCs w:val="28"/>
              </w:rPr>
            </w:pPr>
            <w:r w:rsidRPr="00672243">
              <w:rPr>
                <w:rFonts w:ascii="Arial" w:hAnsi="Arial" w:cs="Arial"/>
                <w:sz w:val="28"/>
                <w:szCs w:val="28"/>
              </w:rPr>
              <w:t>BA(Hons) Leadership and Management Skills for the Workplace</w:t>
            </w:r>
          </w:p>
          <w:p w14:paraId="02415A88" w14:textId="77777777" w:rsidR="00AD18BC" w:rsidRPr="00672243" w:rsidRDefault="00AD18BC" w:rsidP="00672243">
            <w:pPr>
              <w:jc w:val="center"/>
              <w:rPr>
                <w:rFonts w:ascii="Arial" w:hAnsi="Arial" w:cs="Arial"/>
                <w:sz w:val="28"/>
                <w:szCs w:val="28"/>
              </w:rPr>
            </w:pPr>
          </w:p>
        </w:tc>
        <w:tc>
          <w:tcPr>
            <w:tcW w:w="1016" w:type="dxa"/>
            <w:vMerge/>
            <w:tcBorders>
              <w:left w:val="single" w:sz="4" w:space="0" w:color="auto"/>
            </w:tcBorders>
            <w:shd w:val="clear" w:color="auto" w:fill="D9D9D9"/>
            <w:vAlign w:val="center"/>
          </w:tcPr>
          <w:p w14:paraId="203ACA42" w14:textId="77777777" w:rsidR="00AD18BC" w:rsidRPr="00672243" w:rsidRDefault="00AD18BC" w:rsidP="00672243">
            <w:pPr>
              <w:rPr>
                <w:rFonts w:ascii="Arial" w:hAnsi="Arial" w:cs="Arial"/>
                <w:sz w:val="20"/>
                <w:szCs w:val="20"/>
              </w:rPr>
            </w:pPr>
          </w:p>
        </w:tc>
      </w:tr>
      <w:tr w:rsidR="00AD18BC" w:rsidRPr="00672243" w14:paraId="141D017F" w14:textId="77777777" w:rsidTr="00672243">
        <w:trPr>
          <w:trHeight w:val="60"/>
        </w:trPr>
        <w:tc>
          <w:tcPr>
            <w:tcW w:w="2754" w:type="dxa"/>
            <w:shd w:val="clear" w:color="auto" w:fill="D9D9D9"/>
            <w:vAlign w:val="center"/>
          </w:tcPr>
          <w:p w14:paraId="37CE4267" w14:textId="5EA5F010" w:rsidR="00AD18BC" w:rsidRPr="00672243" w:rsidRDefault="00AD18BC" w:rsidP="00672243">
            <w:pPr>
              <w:rPr>
                <w:rFonts w:ascii="Arial" w:hAnsi="Arial" w:cs="Arial"/>
                <w:sz w:val="28"/>
                <w:szCs w:val="28"/>
              </w:rPr>
            </w:pPr>
          </w:p>
        </w:tc>
        <w:tc>
          <w:tcPr>
            <w:tcW w:w="5440" w:type="dxa"/>
            <w:tcBorders>
              <w:right w:val="single" w:sz="4" w:space="0" w:color="auto"/>
            </w:tcBorders>
            <w:vAlign w:val="center"/>
          </w:tcPr>
          <w:p w14:paraId="7C4C733E" w14:textId="77777777" w:rsidR="00AD18BC" w:rsidRPr="00672243" w:rsidRDefault="00AD18BC" w:rsidP="00672243">
            <w:pPr>
              <w:jc w:val="center"/>
              <w:rPr>
                <w:rFonts w:ascii="Arial" w:hAnsi="Arial" w:cs="Arial"/>
                <w:sz w:val="28"/>
                <w:szCs w:val="28"/>
              </w:rPr>
            </w:pPr>
          </w:p>
        </w:tc>
        <w:tc>
          <w:tcPr>
            <w:tcW w:w="1016" w:type="dxa"/>
            <w:vMerge/>
            <w:tcBorders>
              <w:left w:val="single" w:sz="4" w:space="0" w:color="auto"/>
            </w:tcBorders>
            <w:shd w:val="clear" w:color="auto" w:fill="D9D9D9"/>
            <w:vAlign w:val="center"/>
          </w:tcPr>
          <w:p w14:paraId="1BEDFD59" w14:textId="77777777" w:rsidR="00AD18BC" w:rsidRPr="00672243" w:rsidRDefault="00AD18BC" w:rsidP="00672243">
            <w:pPr>
              <w:rPr>
                <w:rFonts w:ascii="Arial" w:hAnsi="Arial" w:cs="Arial"/>
                <w:sz w:val="20"/>
                <w:szCs w:val="20"/>
              </w:rPr>
            </w:pPr>
          </w:p>
        </w:tc>
      </w:tr>
      <w:tr w:rsidR="00AD18BC" w:rsidRPr="00672243" w14:paraId="6E2CB704" w14:textId="77777777" w:rsidTr="00672243">
        <w:trPr>
          <w:trHeight w:val="1468"/>
        </w:trPr>
        <w:tc>
          <w:tcPr>
            <w:tcW w:w="2754" w:type="dxa"/>
            <w:shd w:val="clear" w:color="auto" w:fill="D9D9D9"/>
            <w:vAlign w:val="center"/>
          </w:tcPr>
          <w:p w14:paraId="37CF2786"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Module Code:</w:t>
            </w:r>
          </w:p>
        </w:tc>
        <w:tc>
          <w:tcPr>
            <w:tcW w:w="5440" w:type="dxa"/>
            <w:tcBorders>
              <w:right w:val="single" w:sz="4" w:space="0" w:color="auto"/>
            </w:tcBorders>
            <w:vAlign w:val="center"/>
          </w:tcPr>
          <w:p w14:paraId="212C16F9" w14:textId="42F9E0D6" w:rsidR="00AD18BC" w:rsidRPr="00672243" w:rsidRDefault="00AD18BC" w:rsidP="00672243">
            <w:pPr>
              <w:jc w:val="center"/>
              <w:rPr>
                <w:rFonts w:ascii="Arial" w:hAnsi="Arial" w:cs="Arial"/>
                <w:sz w:val="28"/>
                <w:szCs w:val="28"/>
              </w:rPr>
            </w:pPr>
            <w:r w:rsidRPr="00672243">
              <w:rPr>
                <w:rFonts w:ascii="Arial" w:hAnsi="Arial" w:cs="Arial"/>
                <w:sz w:val="28"/>
                <w:szCs w:val="28"/>
              </w:rPr>
              <w:t>BMSW</w:t>
            </w:r>
            <w:r w:rsidR="00672243" w:rsidRPr="00672243">
              <w:rPr>
                <w:rFonts w:ascii="Arial" w:hAnsi="Arial" w:cs="Arial"/>
                <w:sz w:val="28"/>
                <w:szCs w:val="28"/>
              </w:rPr>
              <w:t>5105</w:t>
            </w:r>
          </w:p>
        </w:tc>
        <w:tc>
          <w:tcPr>
            <w:tcW w:w="1016" w:type="dxa"/>
            <w:vMerge/>
            <w:tcBorders>
              <w:left w:val="single" w:sz="4" w:space="0" w:color="auto"/>
            </w:tcBorders>
            <w:shd w:val="clear" w:color="auto" w:fill="D9D9D9"/>
            <w:vAlign w:val="center"/>
          </w:tcPr>
          <w:p w14:paraId="337A1963" w14:textId="77777777" w:rsidR="00AD18BC" w:rsidRPr="00672243" w:rsidRDefault="00AD18BC" w:rsidP="00672243">
            <w:pPr>
              <w:rPr>
                <w:rFonts w:ascii="Arial" w:hAnsi="Arial" w:cs="Arial"/>
                <w:sz w:val="20"/>
                <w:szCs w:val="20"/>
              </w:rPr>
            </w:pPr>
          </w:p>
        </w:tc>
      </w:tr>
      <w:tr w:rsidR="00AD18BC" w:rsidRPr="00672243" w14:paraId="4C77B927" w14:textId="77777777" w:rsidTr="00672243">
        <w:trPr>
          <w:trHeight w:val="1468"/>
        </w:trPr>
        <w:tc>
          <w:tcPr>
            <w:tcW w:w="2754" w:type="dxa"/>
            <w:shd w:val="clear" w:color="auto" w:fill="D9D9D9"/>
            <w:vAlign w:val="center"/>
          </w:tcPr>
          <w:p w14:paraId="4475FC4E"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Unit tutor (Lecturer)</w:t>
            </w:r>
          </w:p>
        </w:tc>
        <w:tc>
          <w:tcPr>
            <w:tcW w:w="5440" w:type="dxa"/>
            <w:tcBorders>
              <w:right w:val="single" w:sz="4" w:space="0" w:color="auto"/>
            </w:tcBorders>
            <w:vAlign w:val="center"/>
          </w:tcPr>
          <w:p w14:paraId="7D5D0CE1" w14:textId="77777777" w:rsidR="00AD18BC" w:rsidRPr="00672243" w:rsidRDefault="00AD18BC" w:rsidP="00672243">
            <w:pPr>
              <w:jc w:val="center"/>
              <w:rPr>
                <w:rFonts w:ascii="Arial" w:hAnsi="Arial" w:cs="Arial"/>
                <w:sz w:val="28"/>
                <w:szCs w:val="28"/>
              </w:rPr>
            </w:pPr>
          </w:p>
          <w:p w14:paraId="75C41E0E" w14:textId="780BB1C9" w:rsidR="00AD18BC" w:rsidRPr="00672243" w:rsidRDefault="00672243" w:rsidP="00672243">
            <w:pPr>
              <w:jc w:val="center"/>
              <w:rPr>
                <w:rFonts w:ascii="Arial" w:hAnsi="Arial" w:cs="Arial"/>
                <w:sz w:val="28"/>
                <w:szCs w:val="28"/>
              </w:rPr>
            </w:pPr>
            <w:r w:rsidRPr="00672243">
              <w:rPr>
                <w:rFonts w:ascii="Arial" w:hAnsi="Arial" w:cs="Arial"/>
                <w:sz w:val="28"/>
                <w:szCs w:val="28"/>
              </w:rPr>
              <w:t>Nadeem Mirza</w:t>
            </w:r>
          </w:p>
        </w:tc>
        <w:tc>
          <w:tcPr>
            <w:tcW w:w="1016" w:type="dxa"/>
            <w:vMerge/>
            <w:tcBorders>
              <w:left w:val="single" w:sz="4" w:space="0" w:color="auto"/>
            </w:tcBorders>
            <w:shd w:val="clear" w:color="auto" w:fill="D9D9D9"/>
            <w:vAlign w:val="center"/>
          </w:tcPr>
          <w:p w14:paraId="7FC1E4E9" w14:textId="77777777" w:rsidR="00AD18BC" w:rsidRPr="00672243" w:rsidRDefault="00AD18BC" w:rsidP="00672243">
            <w:pPr>
              <w:rPr>
                <w:rFonts w:ascii="Arial" w:hAnsi="Arial" w:cs="Arial"/>
                <w:sz w:val="20"/>
                <w:szCs w:val="20"/>
              </w:rPr>
            </w:pPr>
          </w:p>
        </w:tc>
      </w:tr>
      <w:tr w:rsidR="00AD18BC" w:rsidRPr="00672243" w14:paraId="7121FA60" w14:textId="77777777" w:rsidTr="00672243">
        <w:trPr>
          <w:trHeight w:val="1468"/>
        </w:trPr>
        <w:tc>
          <w:tcPr>
            <w:tcW w:w="2754" w:type="dxa"/>
            <w:shd w:val="clear" w:color="auto" w:fill="D9D9D9"/>
            <w:vAlign w:val="center"/>
          </w:tcPr>
          <w:p w14:paraId="2806E669"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Number of Words</w:t>
            </w:r>
          </w:p>
        </w:tc>
        <w:tc>
          <w:tcPr>
            <w:tcW w:w="5440" w:type="dxa"/>
            <w:tcBorders>
              <w:right w:val="single" w:sz="4" w:space="0" w:color="auto"/>
            </w:tcBorders>
            <w:vAlign w:val="center"/>
          </w:tcPr>
          <w:p w14:paraId="4E171851" w14:textId="78F26C70" w:rsidR="00AD18BC" w:rsidRPr="00672243" w:rsidRDefault="00672243" w:rsidP="00672243">
            <w:pPr>
              <w:jc w:val="center"/>
              <w:rPr>
                <w:rFonts w:ascii="Arial" w:hAnsi="Arial" w:cs="Arial"/>
                <w:sz w:val="28"/>
                <w:szCs w:val="28"/>
              </w:rPr>
            </w:pPr>
            <w:r w:rsidRPr="00672243">
              <w:rPr>
                <w:rFonts w:ascii="Arial" w:hAnsi="Arial" w:cs="Arial"/>
                <w:sz w:val="28"/>
                <w:szCs w:val="28"/>
              </w:rPr>
              <w:t>3</w:t>
            </w:r>
            <w:r w:rsidR="007E41FA">
              <w:rPr>
                <w:rFonts w:ascii="Arial" w:hAnsi="Arial" w:cs="Arial"/>
                <w:sz w:val="28"/>
                <w:szCs w:val="28"/>
              </w:rPr>
              <w:t>322</w:t>
            </w:r>
          </w:p>
        </w:tc>
        <w:tc>
          <w:tcPr>
            <w:tcW w:w="1016" w:type="dxa"/>
            <w:vMerge/>
            <w:tcBorders>
              <w:left w:val="single" w:sz="4" w:space="0" w:color="auto"/>
            </w:tcBorders>
            <w:shd w:val="clear" w:color="auto" w:fill="D9D9D9"/>
            <w:vAlign w:val="center"/>
          </w:tcPr>
          <w:p w14:paraId="670CCD04" w14:textId="77777777" w:rsidR="00AD18BC" w:rsidRPr="00672243" w:rsidRDefault="00AD18BC" w:rsidP="00672243">
            <w:pPr>
              <w:rPr>
                <w:rFonts w:ascii="Arial" w:hAnsi="Arial" w:cs="Arial"/>
                <w:sz w:val="20"/>
                <w:szCs w:val="20"/>
              </w:rPr>
            </w:pPr>
          </w:p>
        </w:tc>
      </w:tr>
      <w:tr w:rsidR="00AD18BC" w:rsidRPr="00672243" w14:paraId="5AFC4CFF" w14:textId="77777777" w:rsidTr="00672243">
        <w:trPr>
          <w:trHeight w:val="1468"/>
        </w:trPr>
        <w:tc>
          <w:tcPr>
            <w:tcW w:w="2754" w:type="dxa"/>
            <w:shd w:val="clear" w:color="auto" w:fill="D9D9D9"/>
            <w:vAlign w:val="center"/>
          </w:tcPr>
          <w:p w14:paraId="3F8F329B" w14:textId="77777777" w:rsidR="00AD18BC" w:rsidRPr="00672243" w:rsidRDefault="00AD18BC" w:rsidP="00672243">
            <w:pPr>
              <w:jc w:val="center"/>
              <w:rPr>
                <w:rFonts w:ascii="Arial" w:hAnsi="Arial" w:cs="Arial"/>
                <w:sz w:val="28"/>
                <w:szCs w:val="28"/>
              </w:rPr>
            </w:pPr>
            <w:r w:rsidRPr="00672243">
              <w:rPr>
                <w:rFonts w:ascii="Arial" w:hAnsi="Arial" w:cs="Arial"/>
                <w:sz w:val="28"/>
                <w:szCs w:val="28"/>
              </w:rPr>
              <w:t>Date assignment due</w:t>
            </w:r>
          </w:p>
        </w:tc>
        <w:tc>
          <w:tcPr>
            <w:tcW w:w="5440" w:type="dxa"/>
            <w:tcBorders>
              <w:right w:val="single" w:sz="4" w:space="0" w:color="auto"/>
            </w:tcBorders>
            <w:vAlign w:val="center"/>
          </w:tcPr>
          <w:p w14:paraId="7395365A" w14:textId="77777777" w:rsidR="00AD18BC" w:rsidRPr="00672243" w:rsidRDefault="00AD18BC" w:rsidP="00672243">
            <w:pPr>
              <w:jc w:val="center"/>
              <w:rPr>
                <w:rFonts w:ascii="Arial" w:hAnsi="Arial" w:cs="Arial"/>
                <w:sz w:val="28"/>
                <w:szCs w:val="28"/>
              </w:rPr>
            </w:pPr>
          </w:p>
          <w:p w14:paraId="3E5316ED" w14:textId="41705284" w:rsidR="00AD18BC" w:rsidRPr="00672243" w:rsidRDefault="00672243" w:rsidP="00672243">
            <w:pPr>
              <w:jc w:val="center"/>
              <w:rPr>
                <w:rFonts w:ascii="Arial" w:hAnsi="Arial" w:cs="Arial"/>
                <w:sz w:val="28"/>
                <w:szCs w:val="28"/>
              </w:rPr>
            </w:pPr>
            <w:r w:rsidRPr="00672243">
              <w:rPr>
                <w:rFonts w:ascii="Arial" w:hAnsi="Arial" w:cs="Arial"/>
                <w:sz w:val="28"/>
                <w:szCs w:val="28"/>
              </w:rPr>
              <w:t>16</w:t>
            </w:r>
            <w:r w:rsidR="00AD18BC" w:rsidRPr="00672243">
              <w:rPr>
                <w:rFonts w:ascii="Arial" w:hAnsi="Arial" w:cs="Arial"/>
                <w:sz w:val="28"/>
                <w:szCs w:val="28"/>
              </w:rPr>
              <w:t>.0</w:t>
            </w:r>
            <w:r w:rsidRPr="00672243">
              <w:rPr>
                <w:rFonts w:ascii="Arial" w:hAnsi="Arial" w:cs="Arial"/>
                <w:sz w:val="28"/>
                <w:szCs w:val="28"/>
              </w:rPr>
              <w:t>4</w:t>
            </w:r>
            <w:r w:rsidR="00AD18BC" w:rsidRPr="00672243">
              <w:rPr>
                <w:rFonts w:ascii="Arial" w:hAnsi="Arial" w:cs="Arial"/>
                <w:sz w:val="28"/>
                <w:szCs w:val="28"/>
              </w:rPr>
              <w:t>.202</w:t>
            </w:r>
            <w:r w:rsidRPr="00672243">
              <w:rPr>
                <w:rFonts w:ascii="Arial" w:hAnsi="Arial" w:cs="Arial"/>
                <w:sz w:val="28"/>
                <w:szCs w:val="28"/>
              </w:rPr>
              <w:t>3</w:t>
            </w:r>
          </w:p>
        </w:tc>
        <w:tc>
          <w:tcPr>
            <w:tcW w:w="1016" w:type="dxa"/>
            <w:vMerge/>
            <w:tcBorders>
              <w:left w:val="single" w:sz="4" w:space="0" w:color="auto"/>
            </w:tcBorders>
            <w:shd w:val="clear" w:color="auto" w:fill="D9D9D9"/>
            <w:vAlign w:val="center"/>
          </w:tcPr>
          <w:p w14:paraId="14A3623C" w14:textId="77777777" w:rsidR="00AD18BC" w:rsidRPr="00672243" w:rsidRDefault="00AD18BC" w:rsidP="00672243">
            <w:pPr>
              <w:rPr>
                <w:rFonts w:ascii="Arial" w:hAnsi="Arial" w:cs="Arial"/>
                <w:sz w:val="20"/>
                <w:szCs w:val="20"/>
              </w:rPr>
            </w:pPr>
          </w:p>
        </w:tc>
      </w:tr>
    </w:tbl>
    <w:p w14:paraId="314E637F" w14:textId="58A4F414" w:rsidR="00AD18BC" w:rsidRPr="00672243" w:rsidRDefault="00AD18BC">
      <w:pPr>
        <w:spacing w:line="259" w:lineRule="auto"/>
        <w:jc w:val="left"/>
        <w:rPr>
          <w:rFonts w:ascii="Arial" w:hAnsi="Arial" w:cs="Arial"/>
          <w:b/>
          <w:bCs/>
          <w:color w:val="000000"/>
        </w:rPr>
      </w:pPr>
    </w:p>
    <w:p w14:paraId="39B09794" w14:textId="77777777" w:rsidR="00DE1D03" w:rsidRPr="00672243" w:rsidRDefault="00DE1D03" w:rsidP="00DE1D03">
      <w:pPr>
        <w:spacing w:line="259" w:lineRule="auto"/>
        <w:jc w:val="center"/>
        <w:rPr>
          <w:rFonts w:ascii="Arial" w:hAnsi="Arial" w:cs="Arial"/>
          <w:b/>
          <w:bCs/>
          <w:color w:val="000000"/>
        </w:rPr>
      </w:pPr>
    </w:p>
    <w:p w14:paraId="274BC652" w14:textId="77777777" w:rsidR="00DE1D03" w:rsidRPr="00672243" w:rsidRDefault="00DE1D03" w:rsidP="00DE1D03">
      <w:pPr>
        <w:spacing w:line="259" w:lineRule="auto"/>
        <w:jc w:val="center"/>
        <w:rPr>
          <w:rFonts w:ascii="Arial" w:hAnsi="Arial" w:cs="Arial"/>
          <w:b/>
          <w:bCs/>
          <w:color w:val="000000"/>
        </w:rPr>
      </w:pPr>
    </w:p>
    <w:p w14:paraId="34FFC5FF" w14:textId="31F9373A" w:rsidR="00DE1D03" w:rsidRPr="00672243" w:rsidRDefault="00DE1D03" w:rsidP="00672243">
      <w:pPr>
        <w:pBdr>
          <w:bottom w:val="single" w:sz="4" w:space="1" w:color="auto"/>
        </w:pBdr>
        <w:spacing w:line="259" w:lineRule="auto"/>
        <w:rPr>
          <w:rFonts w:ascii="Arial" w:eastAsia="Times New Roman" w:hAnsi="Arial" w:cs="Arial"/>
          <w:b/>
          <w:bCs/>
          <w:color w:val="000000"/>
          <w:szCs w:val="24"/>
          <w:lang w:eastAsia="en-IN"/>
        </w:rPr>
      </w:pPr>
    </w:p>
    <w:sdt>
      <w:sdtPr>
        <w:rPr>
          <w:rFonts w:ascii="Arial" w:eastAsiaTheme="minorHAnsi" w:hAnsi="Arial" w:cs="Arial"/>
          <w:color w:val="auto"/>
          <w:sz w:val="24"/>
          <w:szCs w:val="22"/>
          <w:lang w:val="en-IN"/>
        </w:rPr>
        <w:id w:val="-1589690746"/>
        <w:docPartObj>
          <w:docPartGallery w:val="Table of Contents"/>
          <w:docPartUnique/>
        </w:docPartObj>
      </w:sdtPr>
      <w:sdtEndPr>
        <w:rPr>
          <w:b/>
          <w:bCs/>
          <w:noProof/>
        </w:rPr>
      </w:sdtEndPr>
      <w:sdtContent>
        <w:p w14:paraId="535B8DEB" w14:textId="77777777" w:rsidR="00DE1D03" w:rsidRPr="00672243" w:rsidRDefault="00DE1D03">
          <w:pPr>
            <w:pStyle w:val="TOCHeading"/>
            <w:rPr>
              <w:rFonts w:ascii="Arial" w:hAnsi="Arial" w:cs="Arial"/>
              <w:b/>
            </w:rPr>
          </w:pPr>
          <w:r w:rsidRPr="00672243">
            <w:rPr>
              <w:rFonts w:ascii="Arial" w:hAnsi="Arial" w:cs="Arial"/>
              <w:b/>
            </w:rPr>
            <w:t>Table of Contents</w:t>
          </w:r>
        </w:p>
        <w:p w14:paraId="499F658D" w14:textId="4829E85D" w:rsidR="007E41FA" w:rsidRDefault="00DE1D03">
          <w:pPr>
            <w:pStyle w:val="TOC1"/>
            <w:tabs>
              <w:tab w:val="right" w:leader="dot" w:pos="9016"/>
            </w:tabs>
            <w:rPr>
              <w:rFonts w:asciiTheme="minorHAnsi" w:eastAsiaTheme="minorEastAsia" w:hAnsiTheme="minorHAnsi"/>
              <w:noProof/>
              <w:sz w:val="22"/>
              <w:lang w:val="en-GB" w:eastAsia="en-GB"/>
            </w:rPr>
          </w:pPr>
          <w:r w:rsidRPr="00672243">
            <w:rPr>
              <w:rFonts w:ascii="Arial" w:hAnsi="Arial" w:cs="Arial"/>
            </w:rPr>
            <w:fldChar w:fldCharType="begin"/>
          </w:r>
          <w:r w:rsidRPr="00672243">
            <w:rPr>
              <w:rFonts w:ascii="Arial" w:hAnsi="Arial" w:cs="Arial"/>
            </w:rPr>
            <w:instrText xml:space="preserve"> TOC \o "1-3" \h \z \u </w:instrText>
          </w:r>
          <w:r w:rsidRPr="00672243">
            <w:rPr>
              <w:rFonts w:ascii="Arial" w:hAnsi="Arial" w:cs="Arial"/>
            </w:rPr>
            <w:fldChar w:fldCharType="separate"/>
          </w:r>
          <w:hyperlink w:anchor="_Toc132561477" w:history="1">
            <w:r w:rsidR="007E41FA" w:rsidRPr="00BB4343">
              <w:rPr>
                <w:rStyle w:val="Hyperlink"/>
                <w:rFonts w:ascii="Arial" w:hAnsi="Arial" w:cs="Arial"/>
                <w:noProof/>
              </w:rPr>
              <w:t>Introduction</w:t>
            </w:r>
            <w:r w:rsidR="007E41FA">
              <w:rPr>
                <w:noProof/>
                <w:webHidden/>
              </w:rPr>
              <w:tab/>
            </w:r>
            <w:r w:rsidR="007E41FA">
              <w:rPr>
                <w:noProof/>
                <w:webHidden/>
              </w:rPr>
              <w:fldChar w:fldCharType="begin"/>
            </w:r>
            <w:r w:rsidR="007E41FA">
              <w:rPr>
                <w:noProof/>
                <w:webHidden/>
              </w:rPr>
              <w:instrText xml:space="preserve"> PAGEREF _Toc132561477 \h </w:instrText>
            </w:r>
            <w:r w:rsidR="007E41FA">
              <w:rPr>
                <w:noProof/>
                <w:webHidden/>
              </w:rPr>
            </w:r>
            <w:r w:rsidR="007E41FA">
              <w:rPr>
                <w:noProof/>
                <w:webHidden/>
              </w:rPr>
              <w:fldChar w:fldCharType="separate"/>
            </w:r>
            <w:r w:rsidR="007E41FA">
              <w:rPr>
                <w:noProof/>
                <w:webHidden/>
              </w:rPr>
              <w:t>3</w:t>
            </w:r>
            <w:r w:rsidR="007E41FA">
              <w:rPr>
                <w:noProof/>
                <w:webHidden/>
              </w:rPr>
              <w:fldChar w:fldCharType="end"/>
            </w:r>
          </w:hyperlink>
        </w:p>
        <w:p w14:paraId="0307C05F" w14:textId="2FDB758F" w:rsidR="007E41FA" w:rsidRDefault="007E41FA">
          <w:pPr>
            <w:pStyle w:val="TOC1"/>
            <w:tabs>
              <w:tab w:val="right" w:leader="dot" w:pos="9016"/>
            </w:tabs>
            <w:rPr>
              <w:rFonts w:asciiTheme="minorHAnsi" w:eastAsiaTheme="minorEastAsia" w:hAnsiTheme="minorHAnsi"/>
              <w:noProof/>
              <w:sz w:val="22"/>
              <w:lang w:val="en-GB" w:eastAsia="en-GB"/>
            </w:rPr>
          </w:pPr>
          <w:hyperlink w:anchor="_Toc132561478" w:history="1">
            <w:r w:rsidRPr="00BB4343">
              <w:rPr>
                <w:rStyle w:val="Hyperlink"/>
                <w:rFonts w:ascii="Arial" w:hAnsi="Arial" w:cs="Arial"/>
                <w:noProof/>
              </w:rPr>
              <w:t>About the company</w:t>
            </w:r>
            <w:r>
              <w:rPr>
                <w:noProof/>
                <w:webHidden/>
              </w:rPr>
              <w:tab/>
            </w:r>
            <w:r>
              <w:rPr>
                <w:noProof/>
                <w:webHidden/>
              </w:rPr>
              <w:fldChar w:fldCharType="begin"/>
            </w:r>
            <w:r>
              <w:rPr>
                <w:noProof/>
                <w:webHidden/>
              </w:rPr>
              <w:instrText xml:space="preserve"> PAGEREF _Toc132561478 \h </w:instrText>
            </w:r>
            <w:r>
              <w:rPr>
                <w:noProof/>
                <w:webHidden/>
              </w:rPr>
            </w:r>
            <w:r>
              <w:rPr>
                <w:noProof/>
                <w:webHidden/>
              </w:rPr>
              <w:fldChar w:fldCharType="separate"/>
            </w:r>
            <w:r>
              <w:rPr>
                <w:noProof/>
                <w:webHidden/>
              </w:rPr>
              <w:t>3</w:t>
            </w:r>
            <w:r>
              <w:rPr>
                <w:noProof/>
                <w:webHidden/>
              </w:rPr>
              <w:fldChar w:fldCharType="end"/>
            </w:r>
          </w:hyperlink>
        </w:p>
        <w:p w14:paraId="5B6BB070" w14:textId="67D1BABC" w:rsidR="007E41FA" w:rsidRDefault="007E41FA">
          <w:pPr>
            <w:pStyle w:val="TOC1"/>
            <w:tabs>
              <w:tab w:val="right" w:leader="dot" w:pos="9016"/>
            </w:tabs>
            <w:rPr>
              <w:rFonts w:asciiTheme="minorHAnsi" w:eastAsiaTheme="minorEastAsia" w:hAnsiTheme="minorHAnsi"/>
              <w:noProof/>
              <w:sz w:val="22"/>
              <w:lang w:val="en-GB" w:eastAsia="en-GB"/>
            </w:rPr>
          </w:pPr>
          <w:hyperlink w:anchor="_Toc132561479" w:history="1">
            <w:r w:rsidRPr="00BB4343">
              <w:rPr>
                <w:rStyle w:val="Hyperlink"/>
                <w:rFonts w:ascii="Arial" w:hAnsi="Arial" w:cs="Arial"/>
                <w:noProof/>
              </w:rPr>
              <w:t>Critically assess the relationship of organisational culture and structure of Easy jet and explain how these impact on achieving financial and non-financial performance.</w:t>
            </w:r>
            <w:r>
              <w:rPr>
                <w:noProof/>
                <w:webHidden/>
              </w:rPr>
              <w:tab/>
            </w:r>
            <w:r>
              <w:rPr>
                <w:noProof/>
                <w:webHidden/>
              </w:rPr>
              <w:fldChar w:fldCharType="begin"/>
            </w:r>
            <w:r>
              <w:rPr>
                <w:noProof/>
                <w:webHidden/>
              </w:rPr>
              <w:instrText xml:space="preserve"> PAGEREF _Toc132561479 \h </w:instrText>
            </w:r>
            <w:r>
              <w:rPr>
                <w:noProof/>
                <w:webHidden/>
              </w:rPr>
            </w:r>
            <w:r>
              <w:rPr>
                <w:noProof/>
                <w:webHidden/>
              </w:rPr>
              <w:fldChar w:fldCharType="separate"/>
            </w:r>
            <w:r>
              <w:rPr>
                <w:noProof/>
                <w:webHidden/>
              </w:rPr>
              <w:t>4</w:t>
            </w:r>
            <w:r>
              <w:rPr>
                <w:noProof/>
                <w:webHidden/>
              </w:rPr>
              <w:fldChar w:fldCharType="end"/>
            </w:r>
          </w:hyperlink>
        </w:p>
        <w:p w14:paraId="4D5C8DCF" w14:textId="3E031895" w:rsidR="007E41FA" w:rsidRDefault="007E41FA">
          <w:pPr>
            <w:pStyle w:val="TOC1"/>
            <w:tabs>
              <w:tab w:val="right" w:leader="dot" w:pos="9016"/>
            </w:tabs>
            <w:rPr>
              <w:rFonts w:asciiTheme="minorHAnsi" w:eastAsiaTheme="minorEastAsia" w:hAnsiTheme="minorHAnsi"/>
              <w:noProof/>
              <w:sz w:val="22"/>
              <w:lang w:val="en-GB" w:eastAsia="en-GB"/>
            </w:rPr>
          </w:pPr>
          <w:hyperlink w:anchor="_Toc132561480" w:history="1">
            <w:r w:rsidRPr="00BB4343">
              <w:rPr>
                <w:rStyle w:val="Hyperlink"/>
                <w:rFonts w:ascii="Arial" w:hAnsi="Arial" w:cs="Arial"/>
                <w:noProof/>
              </w:rPr>
              <w:t>Evaluate the broader environment of EasyJet Plc by using appropriate environmental and organisational analytical techniques/tools. You must identify the key drivers for the change in working practices/ approaches at EasyJet Plc.</w:t>
            </w:r>
            <w:r>
              <w:rPr>
                <w:noProof/>
                <w:webHidden/>
              </w:rPr>
              <w:tab/>
            </w:r>
            <w:r>
              <w:rPr>
                <w:noProof/>
                <w:webHidden/>
              </w:rPr>
              <w:fldChar w:fldCharType="begin"/>
            </w:r>
            <w:r>
              <w:rPr>
                <w:noProof/>
                <w:webHidden/>
              </w:rPr>
              <w:instrText xml:space="preserve"> PAGEREF _Toc132561480 \h </w:instrText>
            </w:r>
            <w:r>
              <w:rPr>
                <w:noProof/>
                <w:webHidden/>
              </w:rPr>
            </w:r>
            <w:r>
              <w:rPr>
                <w:noProof/>
                <w:webHidden/>
              </w:rPr>
              <w:fldChar w:fldCharType="separate"/>
            </w:r>
            <w:r>
              <w:rPr>
                <w:noProof/>
                <w:webHidden/>
              </w:rPr>
              <w:t>6</w:t>
            </w:r>
            <w:r>
              <w:rPr>
                <w:noProof/>
                <w:webHidden/>
              </w:rPr>
              <w:fldChar w:fldCharType="end"/>
            </w:r>
          </w:hyperlink>
        </w:p>
        <w:p w14:paraId="72B915DD" w14:textId="130B2C82" w:rsidR="007E41FA" w:rsidRDefault="007E41FA">
          <w:pPr>
            <w:pStyle w:val="TOC1"/>
            <w:tabs>
              <w:tab w:val="right" w:leader="dot" w:pos="9016"/>
            </w:tabs>
            <w:rPr>
              <w:rFonts w:asciiTheme="minorHAnsi" w:eastAsiaTheme="minorEastAsia" w:hAnsiTheme="minorHAnsi"/>
              <w:noProof/>
              <w:sz w:val="22"/>
              <w:lang w:val="en-GB" w:eastAsia="en-GB"/>
            </w:rPr>
          </w:pPr>
          <w:hyperlink w:anchor="_Toc132561481" w:history="1">
            <w:r w:rsidRPr="00BB4343">
              <w:rPr>
                <w:rStyle w:val="Hyperlink"/>
                <w:rFonts w:ascii="Arial" w:hAnsi="Arial" w:cs="Arial"/>
                <w:noProof/>
              </w:rPr>
              <w:t>Explains how EasyJet Plc. has been practising some Ethical approaches as a part of its organisational culture and benefits thereof.</w:t>
            </w:r>
            <w:r>
              <w:rPr>
                <w:noProof/>
                <w:webHidden/>
              </w:rPr>
              <w:tab/>
            </w:r>
            <w:r>
              <w:rPr>
                <w:noProof/>
                <w:webHidden/>
              </w:rPr>
              <w:fldChar w:fldCharType="begin"/>
            </w:r>
            <w:r>
              <w:rPr>
                <w:noProof/>
                <w:webHidden/>
              </w:rPr>
              <w:instrText xml:space="preserve"> PAGEREF _Toc132561481 \h </w:instrText>
            </w:r>
            <w:r>
              <w:rPr>
                <w:noProof/>
                <w:webHidden/>
              </w:rPr>
            </w:r>
            <w:r>
              <w:rPr>
                <w:noProof/>
                <w:webHidden/>
              </w:rPr>
              <w:fldChar w:fldCharType="separate"/>
            </w:r>
            <w:r>
              <w:rPr>
                <w:noProof/>
                <w:webHidden/>
              </w:rPr>
              <w:t>9</w:t>
            </w:r>
            <w:r>
              <w:rPr>
                <w:noProof/>
                <w:webHidden/>
              </w:rPr>
              <w:fldChar w:fldCharType="end"/>
            </w:r>
          </w:hyperlink>
        </w:p>
        <w:p w14:paraId="4188AD0E" w14:textId="0C610AC7" w:rsidR="007E41FA" w:rsidRDefault="007E41FA">
          <w:pPr>
            <w:pStyle w:val="TOC1"/>
            <w:tabs>
              <w:tab w:val="right" w:leader="dot" w:pos="9016"/>
            </w:tabs>
            <w:rPr>
              <w:rFonts w:asciiTheme="minorHAnsi" w:eastAsiaTheme="minorEastAsia" w:hAnsiTheme="minorHAnsi"/>
              <w:noProof/>
              <w:sz w:val="22"/>
              <w:lang w:val="en-GB" w:eastAsia="en-GB"/>
            </w:rPr>
          </w:pPr>
          <w:hyperlink w:anchor="_Toc132561482" w:history="1">
            <w:r w:rsidRPr="00BB4343">
              <w:rPr>
                <w:rStyle w:val="Hyperlink"/>
                <w:rFonts w:ascii="Arial" w:hAnsi="Arial" w:cs="Arial"/>
                <w:noProof/>
              </w:rPr>
              <w:t>Based on the environmental and ethical challenges, provide recommendations to EasyJet Plc to improve its performances and justify suggested actions.</w:t>
            </w:r>
            <w:r>
              <w:rPr>
                <w:noProof/>
                <w:webHidden/>
              </w:rPr>
              <w:tab/>
            </w:r>
            <w:r>
              <w:rPr>
                <w:noProof/>
                <w:webHidden/>
              </w:rPr>
              <w:fldChar w:fldCharType="begin"/>
            </w:r>
            <w:r>
              <w:rPr>
                <w:noProof/>
                <w:webHidden/>
              </w:rPr>
              <w:instrText xml:space="preserve"> PAGEREF _Toc132561482 \h </w:instrText>
            </w:r>
            <w:r>
              <w:rPr>
                <w:noProof/>
                <w:webHidden/>
              </w:rPr>
            </w:r>
            <w:r>
              <w:rPr>
                <w:noProof/>
                <w:webHidden/>
              </w:rPr>
              <w:fldChar w:fldCharType="separate"/>
            </w:r>
            <w:r>
              <w:rPr>
                <w:noProof/>
                <w:webHidden/>
              </w:rPr>
              <w:t>10</w:t>
            </w:r>
            <w:r>
              <w:rPr>
                <w:noProof/>
                <w:webHidden/>
              </w:rPr>
              <w:fldChar w:fldCharType="end"/>
            </w:r>
          </w:hyperlink>
        </w:p>
        <w:p w14:paraId="3363CFF9" w14:textId="48EDE74F" w:rsidR="007E41FA" w:rsidRDefault="007E41FA">
          <w:pPr>
            <w:pStyle w:val="TOC1"/>
            <w:tabs>
              <w:tab w:val="right" w:leader="dot" w:pos="9016"/>
            </w:tabs>
            <w:rPr>
              <w:rFonts w:asciiTheme="minorHAnsi" w:eastAsiaTheme="minorEastAsia" w:hAnsiTheme="minorHAnsi"/>
              <w:noProof/>
              <w:sz w:val="22"/>
              <w:lang w:val="en-GB" w:eastAsia="en-GB"/>
            </w:rPr>
          </w:pPr>
          <w:hyperlink w:anchor="_Toc132561483" w:history="1">
            <w:r w:rsidRPr="00BB434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_Toc132561483 \h </w:instrText>
            </w:r>
            <w:r>
              <w:rPr>
                <w:noProof/>
                <w:webHidden/>
              </w:rPr>
            </w:r>
            <w:r>
              <w:rPr>
                <w:noProof/>
                <w:webHidden/>
              </w:rPr>
              <w:fldChar w:fldCharType="separate"/>
            </w:r>
            <w:r>
              <w:rPr>
                <w:noProof/>
                <w:webHidden/>
              </w:rPr>
              <w:t>11</w:t>
            </w:r>
            <w:r>
              <w:rPr>
                <w:noProof/>
                <w:webHidden/>
              </w:rPr>
              <w:fldChar w:fldCharType="end"/>
            </w:r>
          </w:hyperlink>
        </w:p>
        <w:p w14:paraId="172E4DCA" w14:textId="65696C6F" w:rsidR="007E41FA" w:rsidRDefault="007E41FA">
          <w:pPr>
            <w:pStyle w:val="TOC1"/>
            <w:tabs>
              <w:tab w:val="right" w:leader="dot" w:pos="9016"/>
            </w:tabs>
            <w:rPr>
              <w:rFonts w:asciiTheme="minorHAnsi" w:eastAsiaTheme="minorEastAsia" w:hAnsiTheme="minorHAnsi"/>
              <w:noProof/>
              <w:sz w:val="22"/>
              <w:lang w:val="en-GB" w:eastAsia="en-GB"/>
            </w:rPr>
          </w:pPr>
          <w:hyperlink w:anchor="_Toc132561484" w:history="1">
            <w:r w:rsidRPr="00BB434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_Toc132561484 \h </w:instrText>
            </w:r>
            <w:r>
              <w:rPr>
                <w:noProof/>
                <w:webHidden/>
              </w:rPr>
            </w:r>
            <w:r>
              <w:rPr>
                <w:noProof/>
                <w:webHidden/>
              </w:rPr>
              <w:fldChar w:fldCharType="separate"/>
            </w:r>
            <w:r>
              <w:rPr>
                <w:noProof/>
                <w:webHidden/>
              </w:rPr>
              <w:t>13</w:t>
            </w:r>
            <w:r>
              <w:rPr>
                <w:noProof/>
                <w:webHidden/>
              </w:rPr>
              <w:fldChar w:fldCharType="end"/>
            </w:r>
          </w:hyperlink>
        </w:p>
        <w:p w14:paraId="7DA4D3E6" w14:textId="666AF90D" w:rsidR="00DE1D03" w:rsidRPr="00672243" w:rsidRDefault="00DE1D03">
          <w:pPr>
            <w:rPr>
              <w:rFonts w:ascii="Arial" w:hAnsi="Arial" w:cs="Arial"/>
            </w:rPr>
          </w:pPr>
          <w:r w:rsidRPr="00672243">
            <w:rPr>
              <w:rFonts w:ascii="Arial" w:hAnsi="Arial" w:cs="Arial"/>
              <w:b/>
              <w:bCs/>
              <w:noProof/>
            </w:rPr>
            <w:fldChar w:fldCharType="end"/>
          </w:r>
        </w:p>
      </w:sdtContent>
    </w:sdt>
    <w:p w14:paraId="37621B16" w14:textId="77777777" w:rsidR="00DE1D03" w:rsidRPr="00672243" w:rsidRDefault="00DE1D03">
      <w:pPr>
        <w:spacing w:line="259" w:lineRule="auto"/>
        <w:jc w:val="left"/>
        <w:rPr>
          <w:rFonts w:ascii="Arial" w:eastAsia="Times New Roman" w:hAnsi="Arial" w:cs="Arial"/>
          <w:b/>
          <w:bCs/>
          <w:color w:val="000000"/>
          <w:szCs w:val="24"/>
          <w:lang w:eastAsia="en-IN"/>
        </w:rPr>
      </w:pPr>
      <w:r w:rsidRPr="00672243">
        <w:rPr>
          <w:rFonts w:ascii="Arial" w:hAnsi="Arial" w:cs="Arial"/>
          <w:b/>
          <w:bCs/>
          <w:color w:val="000000"/>
        </w:rPr>
        <w:br w:type="page"/>
      </w:r>
    </w:p>
    <w:p w14:paraId="49B5F0A3" w14:textId="77777777" w:rsidR="00007CCC" w:rsidRPr="00672243" w:rsidRDefault="00007CCC" w:rsidP="00DE1D03">
      <w:pPr>
        <w:pStyle w:val="Heading1"/>
        <w:spacing w:before="0"/>
        <w:rPr>
          <w:rFonts w:ascii="Arial" w:hAnsi="Arial" w:cs="Arial"/>
          <w:sz w:val="24"/>
        </w:rPr>
      </w:pPr>
      <w:bookmarkStart w:id="0" w:name="_Toc132561477"/>
      <w:r w:rsidRPr="00672243">
        <w:rPr>
          <w:rFonts w:ascii="Arial" w:hAnsi="Arial" w:cs="Arial"/>
        </w:rPr>
        <w:lastRenderedPageBreak/>
        <w:t>Introduction</w:t>
      </w:r>
      <w:bookmarkEnd w:id="0"/>
      <w:r w:rsidRPr="00672243">
        <w:rPr>
          <w:rFonts w:ascii="Arial" w:hAnsi="Arial" w:cs="Arial"/>
        </w:rPr>
        <w:t> </w:t>
      </w:r>
    </w:p>
    <w:p w14:paraId="521BE475" w14:textId="77777777" w:rsid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 xml:space="preserve">Easy Jet is one of the leading airlines organisations of the Europe and it is famous for its maintenance and management of organisational culture following the area and purpose of agile management with boosting operational efficiency. Different types of strong believing culture along with the purpose of decentralization and performances are going to be monitor here in the study to carry out the purpose of culture and its impact in the organisation. </w:t>
      </w:r>
    </w:p>
    <w:p w14:paraId="63DD684B" w14:textId="1D549D1B"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The study will encompass the area of the organisation following its basic details to look into the overall passes the scenario. Different kinds of organisational structure of going to assist here for estimating its effectiveness in the organisational performance. The study will also looks into the identification of external forces by following that theory of external environment and competitive analysis. The identification of the key driver will also be there look for the approach of changes. The practical purpose of implementing it all practices and also the discussion will be followed by plausible recommendations for the improvement of the company in the long run. </w:t>
      </w:r>
    </w:p>
    <w:p w14:paraId="23653A15"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3FF6DF3C" w14:textId="77777777" w:rsidR="00007CCC" w:rsidRPr="00672243" w:rsidRDefault="00007CCC" w:rsidP="00DE1D03">
      <w:pPr>
        <w:pStyle w:val="Heading1"/>
        <w:spacing w:before="0"/>
        <w:rPr>
          <w:rFonts w:ascii="Arial" w:hAnsi="Arial" w:cs="Arial"/>
        </w:rPr>
      </w:pPr>
      <w:bookmarkStart w:id="1" w:name="_Toc132561478"/>
      <w:r w:rsidRPr="00672243">
        <w:rPr>
          <w:rFonts w:ascii="Arial" w:hAnsi="Arial" w:cs="Arial"/>
        </w:rPr>
        <w:t>About the company</w:t>
      </w:r>
      <w:bookmarkEnd w:id="1"/>
      <w:r w:rsidRPr="00672243">
        <w:rPr>
          <w:rFonts w:ascii="Arial" w:hAnsi="Arial" w:cs="Arial"/>
        </w:rPr>
        <w:t> </w:t>
      </w:r>
    </w:p>
    <w:p w14:paraId="6A1BD059" w14:textId="77777777" w:rsid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EasyJet airline is a low cost European point to point airline which is being operated over 1100 routes and also across more than 35 countries. The company has started its business small arrangement and gradually it has developed its services by executing the strategy of cost advantage and operational efficiency</w:t>
      </w:r>
      <w:sdt>
        <w:sdtPr>
          <w:rPr>
            <w:rFonts w:ascii="Arial" w:hAnsi="Arial" w:cs="Arial"/>
            <w:color w:val="000000"/>
          </w:rPr>
          <w:id w:val="-1147583828"/>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cor19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(corporate, 2019)</w:t>
          </w:r>
          <w:r w:rsidR="00982682" w:rsidRPr="00672243">
            <w:rPr>
              <w:rFonts w:ascii="Arial" w:hAnsi="Arial" w:cs="Arial"/>
              <w:color w:val="000000"/>
            </w:rPr>
            <w:fldChar w:fldCharType="end"/>
          </w:r>
        </w:sdtContent>
      </w:sdt>
      <w:r w:rsidRPr="00672243">
        <w:rPr>
          <w:rFonts w:ascii="Arial" w:hAnsi="Arial" w:cs="Arial"/>
          <w:color w:val="000000"/>
        </w:rPr>
        <w:t xml:space="preserve">. </w:t>
      </w:r>
    </w:p>
    <w:p w14:paraId="60D4F5DE" w14:textId="77777777" w:rsid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The company secured exposition in primary airports by delivery services with low fare and it also keeps similes connection with Europe with the warmest welcome in the sky. Different types of holiday packages are also available in the services of the organisation to encourage the customers and almost 84% of the customers prefer to book accommodation along with the purpose of custom traveling</w:t>
      </w:r>
      <w:sdt>
        <w:sdtPr>
          <w:rPr>
            <w:rFonts w:ascii="Arial" w:hAnsi="Arial" w:cs="Arial"/>
            <w:color w:val="000000"/>
          </w:rPr>
          <w:id w:val="24221675"/>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Abd19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(Abd El-Shafy, et al., 2019)</w:t>
          </w:r>
          <w:r w:rsidR="00982682" w:rsidRPr="00672243">
            <w:rPr>
              <w:rFonts w:ascii="Arial" w:hAnsi="Arial" w:cs="Arial"/>
              <w:color w:val="000000"/>
            </w:rPr>
            <w:fldChar w:fldCharType="end"/>
          </w:r>
        </w:sdtContent>
      </w:sdt>
      <w:r w:rsidRPr="00672243">
        <w:rPr>
          <w:rFonts w:ascii="Arial" w:hAnsi="Arial" w:cs="Arial"/>
          <w:color w:val="000000"/>
        </w:rPr>
        <w:t xml:space="preserve">. The overall processing of the organisation it's followed with the leading position and slot constrained airports where high end customers are provided with all kinds of demands and requirements. </w:t>
      </w:r>
    </w:p>
    <w:p w14:paraId="7CDEE067" w14:textId="4814CBA3"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 xml:space="preserve">The main focus of the company is providing relentless services to the customers with value and along with financial resources, the company also has the strength of people, supplier, slot and technology. The overall management of supply </w:t>
      </w:r>
      <w:r w:rsidRPr="00672243">
        <w:rPr>
          <w:rFonts w:ascii="Arial" w:hAnsi="Arial" w:cs="Arial"/>
          <w:color w:val="000000"/>
        </w:rPr>
        <w:lastRenderedPageBreak/>
        <w:t>chain and also the systematic purpose of figuring out the commercial activities are significantly emphasized with the proper management of relationships. The company has become one of the most data ribbon airlines that benefits the operational resilience process with the purpose of predictive maintenance. Different types of revenues and also the benefiting purpose of data projects are also followed with the initiative to look forward for differential seat pricing</w:t>
      </w:r>
      <w:sdt>
        <w:sdtPr>
          <w:rPr>
            <w:rFonts w:ascii="Arial" w:hAnsi="Arial" w:cs="Arial"/>
            <w:color w:val="000000"/>
          </w:rPr>
          <w:id w:val="-673800656"/>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Bua22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(Buah, et al., 2022)</w:t>
          </w:r>
          <w:r w:rsidR="00982682" w:rsidRPr="00672243">
            <w:rPr>
              <w:rFonts w:ascii="Arial" w:hAnsi="Arial" w:cs="Arial"/>
              <w:color w:val="000000"/>
            </w:rPr>
            <w:fldChar w:fldCharType="end"/>
          </w:r>
        </w:sdtContent>
      </w:sdt>
      <w:r w:rsidRPr="00672243">
        <w:rPr>
          <w:rFonts w:ascii="Arial" w:hAnsi="Arial" w:cs="Arial"/>
          <w:color w:val="000000"/>
        </w:rPr>
        <w:t>. </w:t>
      </w:r>
    </w:p>
    <w:p w14:paraId="61974B7B"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0D53C6EF" w14:textId="77777777" w:rsidR="00007CCC" w:rsidRDefault="00007CCC" w:rsidP="00DE1D03">
      <w:pPr>
        <w:pStyle w:val="Heading1"/>
        <w:spacing w:before="0"/>
        <w:rPr>
          <w:rFonts w:ascii="Arial" w:hAnsi="Arial" w:cs="Arial"/>
        </w:rPr>
      </w:pPr>
      <w:bookmarkStart w:id="2" w:name="_Toc132561479"/>
      <w:r w:rsidRPr="00672243">
        <w:rPr>
          <w:rFonts w:ascii="Arial" w:hAnsi="Arial" w:cs="Arial"/>
        </w:rPr>
        <w:t>Critically assess the relationship of organisational culture and structure of Easy jet and explain how these impact on achieving financial and non-financial performance.</w:t>
      </w:r>
      <w:bookmarkEnd w:id="2"/>
    </w:p>
    <w:p w14:paraId="294FDE40" w14:textId="77777777" w:rsidR="00672243" w:rsidRPr="00672243" w:rsidRDefault="00672243" w:rsidP="00672243">
      <w:pPr>
        <w:rPr>
          <w:lang w:val="en-US"/>
        </w:rPr>
      </w:pPr>
    </w:p>
    <w:p w14:paraId="62036782"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The company has been providing services to the customers for a long time and the gradual development becomes easier through the maintenance of customer relationships. The company follows the execution of organisational culture that assimilates</w:t>
      </w:r>
      <w:r w:rsidR="00DE1D03" w:rsidRPr="00672243">
        <w:rPr>
          <w:rFonts w:ascii="Arial" w:hAnsi="Arial" w:cs="Arial"/>
          <w:color w:val="000000"/>
        </w:rPr>
        <w:t> different</w:t>
      </w:r>
      <w:r w:rsidRPr="00672243">
        <w:rPr>
          <w:rFonts w:ascii="Arial" w:hAnsi="Arial" w:cs="Arial"/>
          <w:color w:val="000000"/>
        </w:rPr>
        <w:t xml:space="preserve"> kinds of suitable changes with</w:t>
      </w:r>
      <w:r w:rsidR="00982682" w:rsidRPr="00672243">
        <w:rPr>
          <w:rFonts w:ascii="Arial" w:hAnsi="Arial" w:cs="Arial"/>
          <w:color w:val="000000"/>
        </w:rPr>
        <w:t> time</w:t>
      </w:r>
      <w:r w:rsidRPr="00672243">
        <w:rPr>
          <w:rFonts w:ascii="Arial" w:hAnsi="Arial" w:cs="Arial"/>
          <w:color w:val="000000"/>
        </w:rPr>
        <w:t>. The culture of implementing the innovative approach of passenger safety and organisational performance are followed here together for affecting the area of agile management approach. This approach is related to the purpose of developing several innovative ideas for airlines by following the strategy of the competitors</w:t>
      </w:r>
      <w:sdt>
        <w:sdtPr>
          <w:rPr>
            <w:rFonts w:ascii="Arial" w:hAnsi="Arial" w:cs="Arial"/>
            <w:color w:val="000000"/>
          </w:rPr>
          <w:id w:val="-1130232628"/>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Cam19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(Cameron &amp; Green, 2019)</w:t>
          </w:r>
          <w:r w:rsidR="00982682" w:rsidRPr="00672243">
            <w:rPr>
              <w:rFonts w:ascii="Arial" w:hAnsi="Arial" w:cs="Arial"/>
              <w:color w:val="000000"/>
            </w:rPr>
            <w:fldChar w:fldCharType="end"/>
          </w:r>
        </w:sdtContent>
      </w:sdt>
      <w:r w:rsidRPr="00672243">
        <w:rPr>
          <w:rFonts w:ascii="Arial" w:hAnsi="Arial" w:cs="Arial"/>
          <w:color w:val="000000"/>
        </w:rPr>
        <w:t>. </w:t>
      </w:r>
    </w:p>
    <w:p w14:paraId="5A66AABC" w14:textId="77777777" w:rsid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The culture of decentralization is also followed by the company and it impacts the overall area of the organisation. The decentralization in an organisation refers to the purpose of daily operation and decision making that are eventually deleted by the top management to the middle and lower level managers. The company also focuses on the concept of keeping the team members in the decision making process to make them feel prioritised and also to look into the modern process of organisational culture.</w:t>
      </w:r>
    </w:p>
    <w:p w14:paraId="37A6D845" w14:textId="4FC1D71F"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 It is also evident from the study that the monitoring of the organisation and performance through virtual media and also the great deal of flexibility help to look into the system of employee retention which is beneficial for both financial and </w:t>
      </w:r>
      <w:r w:rsidR="00DE1D03" w:rsidRPr="00672243">
        <w:rPr>
          <w:rFonts w:ascii="Arial" w:hAnsi="Arial" w:cs="Arial"/>
          <w:color w:val="000000"/>
        </w:rPr>
        <w:t>non-financial</w:t>
      </w:r>
      <w:r w:rsidRPr="00672243">
        <w:rPr>
          <w:rFonts w:ascii="Arial" w:hAnsi="Arial" w:cs="Arial"/>
          <w:color w:val="000000"/>
        </w:rPr>
        <w:t xml:space="preserve"> performance. The continuous purpose of adapting flexibility and suitable changes in the working practices are also followed by the process of boosting performances that eventually becomes beneficial for the motivation of the staff members. </w:t>
      </w:r>
    </w:p>
    <w:p w14:paraId="16C39414"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lastRenderedPageBreak/>
        <w:t>The system of decentralization also becomes effective with the identification of the key suppliers who are associated with the organisation with index scrutiny and emphasis. It can also be said that the purpose of building good and long term business relationships are effectively beneficial with the supply chain management that helps the organisation to deal with the strategic partnership. The execution of communication channels also includes the maintenance of financial performance standards in the virtual environment</w:t>
      </w:r>
      <w:sdt>
        <w:sdtPr>
          <w:rPr>
            <w:rFonts w:ascii="Arial" w:hAnsi="Arial" w:cs="Arial"/>
            <w:color w:val="000000"/>
          </w:rPr>
          <w:id w:val="-570655617"/>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ica20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(icao, 2020)</w:t>
          </w:r>
          <w:r w:rsidR="00982682" w:rsidRPr="00672243">
            <w:rPr>
              <w:rFonts w:ascii="Arial" w:hAnsi="Arial" w:cs="Arial"/>
              <w:color w:val="000000"/>
            </w:rPr>
            <w:fldChar w:fldCharType="end"/>
          </w:r>
        </w:sdtContent>
      </w:sdt>
      <w:r w:rsidRPr="00672243">
        <w:rPr>
          <w:rFonts w:ascii="Arial" w:hAnsi="Arial" w:cs="Arial"/>
          <w:color w:val="000000"/>
        </w:rPr>
        <w:t>.</w:t>
      </w:r>
    </w:p>
    <w:p w14:paraId="681481E7"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In case of identifying the structure of the organisation in the explanation of performance, it needs to be mentioned that the company follows a higher article structure. The top position of the company is held by Carolyn McCall and the subordinates are filtering all the way down with ground staff and cabin crew. The overall significant effect of continuation along with the overall hierarchy includes the following system. The controlling system is one of the major areas that </w:t>
      </w:r>
      <w:r w:rsidR="00DE1D03" w:rsidRPr="00672243">
        <w:rPr>
          <w:rFonts w:ascii="Arial" w:hAnsi="Arial" w:cs="Arial"/>
          <w:color w:val="000000"/>
        </w:rPr>
        <w:t>instils</w:t>
      </w:r>
      <w:r w:rsidRPr="00672243">
        <w:rPr>
          <w:rFonts w:ascii="Arial" w:hAnsi="Arial" w:cs="Arial"/>
          <w:color w:val="000000"/>
        </w:rPr>
        <w:t xml:space="preserve"> the lean process among the staff. It becomes beneficial for maintaining the non-financial performance by eradicating wastage and also maintaining the consistency of the work within proper time.</w:t>
      </w:r>
    </w:p>
    <w:p w14:paraId="75C8756C"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The ritual and routine for further betterment and also the </w:t>
      </w:r>
      <w:r w:rsidR="00DE1D03" w:rsidRPr="00672243">
        <w:rPr>
          <w:rFonts w:ascii="Arial" w:hAnsi="Arial" w:cs="Arial"/>
          <w:color w:val="000000"/>
        </w:rPr>
        <w:t>fulfilment</w:t>
      </w:r>
      <w:r w:rsidRPr="00672243">
        <w:rPr>
          <w:rFonts w:ascii="Arial" w:hAnsi="Arial" w:cs="Arial"/>
          <w:color w:val="000000"/>
        </w:rPr>
        <w:t xml:space="preserve"> of the staff expectation are also followed with scheduled flights to look forward to daily basis movement. It is also necessary to know that the power structure of the company is also effective for the financial performance where an executive team is benefited by the ultimate power of the hierarchical management. The achievement of the company and its overall realisation is also followed with the annual general meeting which is also associated with the overall structure to figure out the necessary changes in the internal environment</w:t>
      </w:r>
      <w:sdt>
        <w:sdtPr>
          <w:rPr>
            <w:rFonts w:ascii="Arial" w:hAnsi="Arial" w:cs="Arial"/>
            <w:color w:val="000000"/>
          </w:rPr>
          <w:id w:val="-512527460"/>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Cam19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(Cameron &amp; Green, 2019)</w:t>
          </w:r>
          <w:r w:rsidR="00982682" w:rsidRPr="00672243">
            <w:rPr>
              <w:rFonts w:ascii="Arial" w:hAnsi="Arial" w:cs="Arial"/>
              <w:color w:val="000000"/>
            </w:rPr>
            <w:fldChar w:fldCharType="end"/>
          </w:r>
        </w:sdtContent>
      </w:sdt>
      <w:r w:rsidRPr="00672243">
        <w:rPr>
          <w:rFonts w:ascii="Arial" w:hAnsi="Arial" w:cs="Arial"/>
          <w:color w:val="000000"/>
        </w:rPr>
        <w:t>. </w:t>
      </w:r>
    </w:p>
    <w:p w14:paraId="264DAFC4"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 xml:space="preserve">The overall financial and </w:t>
      </w:r>
      <w:r w:rsidR="00DE1D03" w:rsidRPr="00672243">
        <w:rPr>
          <w:rFonts w:ascii="Arial" w:hAnsi="Arial" w:cs="Arial"/>
          <w:color w:val="000000"/>
        </w:rPr>
        <w:t>non-financial</w:t>
      </w:r>
      <w:r w:rsidRPr="00672243">
        <w:rPr>
          <w:rFonts w:ascii="Arial" w:hAnsi="Arial" w:cs="Arial"/>
          <w:color w:val="000000"/>
        </w:rPr>
        <w:t xml:space="preserve"> benefit along with the performances are found structured very tightly and it has also become effective with the demanding market. The unpredictable condition and also the area of controlling the staff and fleet are also related to this. The maintenance of this kind of unpredictable condition becomes easier with the systematic progress of decentralization that refers to the strict management that eventually looks for the removal of the company issues. The purpose of achieving financial benefit in a competitive environment becomes possible for the organisation through the base of a large working staff that ensures the maintenance of consistency among the customers. The proper and overall maintenance of safety, simplicity, management of team, integrity, passion and </w:t>
      </w:r>
      <w:r w:rsidRPr="00672243">
        <w:rPr>
          <w:rFonts w:ascii="Arial" w:hAnsi="Arial" w:cs="Arial"/>
          <w:color w:val="000000"/>
        </w:rPr>
        <w:lastRenderedPageBreak/>
        <w:t>pioneering become easier through the implementation of proper structure and culture that focus on developing the strong position of the company among the leading airports in Europe. </w:t>
      </w:r>
    </w:p>
    <w:p w14:paraId="2C9E9104"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0D5CABAD" w14:textId="77777777" w:rsidR="00007CCC" w:rsidRDefault="00007CCC" w:rsidP="00DE1D03">
      <w:pPr>
        <w:pStyle w:val="Heading1"/>
        <w:spacing w:before="0"/>
        <w:rPr>
          <w:rFonts w:ascii="Arial" w:hAnsi="Arial" w:cs="Arial"/>
        </w:rPr>
      </w:pPr>
      <w:bookmarkStart w:id="3" w:name="_Toc132561480"/>
      <w:r w:rsidRPr="00672243">
        <w:rPr>
          <w:rFonts w:ascii="Arial" w:hAnsi="Arial" w:cs="Arial"/>
        </w:rPr>
        <w:t>Evaluate the broader environment of EasyJet Plc by using appropriate environmental and organisational analytical techniques/tools. You must identify the key drivers for the change in working practices/ approaches at EasyJet Plc.</w:t>
      </w:r>
      <w:bookmarkEnd w:id="3"/>
    </w:p>
    <w:p w14:paraId="608DD713" w14:textId="77777777" w:rsidR="00672243" w:rsidRPr="00672243" w:rsidRDefault="00672243" w:rsidP="00672243">
      <w:pPr>
        <w:rPr>
          <w:lang w:val="en-US"/>
        </w:rPr>
      </w:pPr>
    </w:p>
    <w:p w14:paraId="3732CB8A"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The implementation of Pestle analysis will be helpful for evaluating the brother environment of the organisation. </w:t>
      </w:r>
    </w:p>
    <w:p w14:paraId="32B72FBF"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b/>
          <w:bCs/>
          <w:color w:val="000000"/>
        </w:rPr>
        <w:t xml:space="preserve">Political- </w:t>
      </w:r>
      <w:r w:rsidRPr="00672243">
        <w:rPr>
          <w:rFonts w:ascii="Arial" w:hAnsi="Arial" w:cs="Arial"/>
          <w:color w:val="000000"/>
        </w:rPr>
        <w:t xml:space="preserve">the impact of </w:t>
      </w:r>
      <w:r w:rsidR="00DE1D03" w:rsidRPr="00672243">
        <w:rPr>
          <w:rFonts w:ascii="Arial" w:hAnsi="Arial" w:cs="Arial"/>
          <w:color w:val="000000"/>
        </w:rPr>
        <w:t>Brexit</w:t>
      </w:r>
      <w:r w:rsidRPr="00672243">
        <w:rPr>
          <w:rFonts w:ascii="Arial" w:hAnsi="Arial" w:cs="Arial"/>
          <w:color w:val="000000"/>
        </w:rPr>
        <w:t xml:space="preserve"> and its transition period is found in the business of the company where a significant portion of Europe have the majority of shareholding with the European </w:t>
      </w:r>
      <w:r w:rsidR="00982682" w:rsidRPr="00672243">
        <w:rPr>
          <w:rFonts w:ascii="Arial" w:hAnsi="Arial" w:cs="Arial"/>
          <w:color w:val="000000"/>
        </w:rPr>
        <w:t>Union</w:t>
      </w:r>
      <w:r w:rsidRPr="00672243">
        <w:rPr>
          <w:rFonts w:ascii="Arial" w:hAnsi="Arial" w:cs="Arial"/>
          <w:color w:val="000000"/>
        </w:rPr>
        <w:t>. The transfer of ownership from UK AOC to EU AOC because of the uncertainty of Brexit has a great impact on the organisation. The French President and his attempt to streamline the pension policy also affect a strike in the overall operation of the company. </w:t>
      </w:r>
    </w:p>
    <w:p w14:paraId="38AF7838"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b/>
          <w:bCs/>
          <w:color w:val="000000"/>
        </w:rPr>
        <w:t xml:space="preserve">Economic - </w:t>
      </w:r>
      <w:r w:rsidRPr="00672243">
        <w:rPr>
          <w:rFonts w:ascii="Arial" w:hAnsi="Arial" w:cs="Arial"/>
          <w:color w:val="000000"/>
        </w:rPr>
        <w:t>like other businesses, EasyJet has also suffered a lot. Different kinds of restrictions in the airlines and also the SOP for the virus has affected the business massively. The company has lost a huge sum of money because of the high fuel price after the new normal situation and the economic situation was in decline due to this</w:t>
      </w:r>
      <w:sdt>
        <w:sdtPr>
          <w:rPr>
            <w:rFonts w:ascii="Arial" w:hAnsi="Arial" w:cs="Arial"/>
            <w:color w:val="000000"/>
          </w:rPr>
          <w:id w:val="-94171625"/>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Lar20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(Larsen, et al., 2020)</w:t>
          </w:r>
          <w:r w:rsidR="00982682" w:rsidRPr="00672243">
            <w:rPr>
              <w:rFonts w:ascii="Arial" w:hAnsi="Arial" w:cs="Arial"/>
              <w:color w:val="000000"/>
            </w:rPr>
            <w:fldChar w:fldCharType="end"/>
          </w:r>
        </w:sdtContent>
      </w:sdt>
      <w:r w:rsidRPr="00672243">
        <w:rPr>
          <w:rFonts w:ascii="Arial" w:hAnsi="Arial" w:cs="Arial"/>
          <w:color w:val="000000"/>
        </w:rPr>
        <w:t>. </w:t>
      </w:r>
    </w:p>
    <w:p w14:paraId="3EA3E146"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b/>
          <w:bCs/>
          <w:color w:val="000000"/>
        </w:rPr>
        <w:t>Social-</w:t>
      </w:r>
      <w:r w:rsidRPr="00672243">
        <w:rPr>
          <w:rFonts w:ascii="Arial" w:hAnsi="Arial" w:cs="Arial"/>
          <w:color w:val="000000"/>
        </w:rPr>
        <w:t xml:space="preserve"> despite being one of the promising and fruitful career choices in the aviation industry, it is still heavily a male dominated field. The company has been working regarding this matter and trying to implement the concept of gender neutrality by appointing female pilots and assistant pilots in their system. Different types of online lectures and also proper services to the customers are provided by people of all genders to make things normalize about neutrality. The company has also been working in the regard of digital presence that especially become beneficial for the customer services with flight limitations</w:t>
      </w:r>
      <w:sdt>
        <w:sdtPr>
          <w:rPr>
            <w:rFonts w:ascii="Arial" w:hAnsi="Arial" w:cs="Arial"/>
            <w:color w:val="000000"/>
          </w:rPr>
          <w:id w:val="-713882683"/>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wha20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(whatfix, 2020)</w:t>
          </w:r>
          <w:r w:rsidR="00982682" w:rsidRPr="00672243">
            <w:rPr>
              <w:rFonts w:ascii="Arial" w:hAnsi="Arial" w:cs="Arial"/>
              <w:color w:val="000000"/>
            </w:rPr>
            <w:fldChar w:fldCharType="end"/>
          </w:r>
        </w:sdtContent>
      </w:sdt>
      <w:r w:rsidRPr="00672243">
        <w:rPr>
          <w:rFonts w:ascii="Arial" w:hAnsi="Arial" w:cs="Arial"/>
          <w:color w:val="000000"/>
        </w:rPr>
        <w:t>.</w:t>
      </w:r>
    </w:p>
    <w:p w14:paraId="3006079B"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b/>
          <w:bCs/>
          <w:color w:val="000000"/>
        </w:rPr>
        <w:t>Technological-</w:t>
      </w:r>
      <w:r w:rsidRPr="00672243">
        <w:rPr>
          <w:rFonts w:ascii="Arial" w:hAnsi="Arial" w:cs="Arial"/>
          <w:color w:val="000000"/>
        </w:rPr>
        <w:t xml:space="preserve"> technology place and important role in the launching of the mobile application of the company. The feature of voice is also introduced here for </w:t>
      </w:r>
      <w:r w:rsidRPr="00672243">
        <w:rPr>
          <w:rFonts w:ascii="Arial" w:hAnsi="Arial" w:cs="Arial"/>
          <w:color w:val="000000"/>
        </w:rPr>
        <w:lastRenderedPageBreak/>
        <w:t>people who are visually impaired. Technology has made things easier and people are getting different types of options and opportunities to book their requirements in a user friendly and convenient way. </w:t>
      </w:r>
    </w:p>
    <w:p w14:paraId="725EA297"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b/>
          <w:bCs/>
          <w:color w:val="000000"/>
        </w:rPr>
        <w:t xml:space="preserve">Environmental- </w:t>
      </w:r>
      <w:r w:rsidRPr="00672243">
        <w:rPr>
          <w:rFonts w:ascii="Arial" w:hAnsi="Arial" w:cs="Arial"/>
          <w:color w:val="000000"/>
        </w:rPr>
        <w:t xml:space="preserve">the concept of environment friendly production and also the area and use of making things </w:t>
      </w:r>
      <w:r w:rsidR="00982682" w:rsidRPr="00672243">
        <w:rPr>
          <w:rFonts w:ascii="Arial" w:hAnsi="Arial" w:cs="Arial"/>
          <w:color w:val="000000"/>
        </w:rPr>
        <w:t>eco-friendly</w:t>
      </w:r>
      <w:r w:rsidRPr="00672243">
        <w:rPr>
          <w:rFonts w:ascii="Arial" w:hAnsi="Arial" w:cs="Arial"/>
          <w:color w:val="000000"/>
        </w:rPr>
        <w:t xml:space="preserve"> is followed by the company with the making of paperless planes. The company has also installed Panasonic instead of laptops and printers for the utilization of communication in a proper way. The company is also fully committed to the program of carbon emission and the sustainability policy also implements the area of fuel consumption</w:t>
      </w:r>
      <w:sdt>
        <w:sdtPr>
          <w:rPr>
            <w:rFonts w:ascii="Arial" w:hAnsi="Arial" w:cs="Arial"/>
            <w:color w:val="000000"/>
          </w:rPr>
          <w:id w:val="-275022228"/>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ica20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(icao, 2020)</w:t>
          </w:r>
          <w:r w:rsidR="00982682" w:rsidRPr="00672243">
            <w:rPr>
              <w:rFonts w:ascii="Arial" w:hAnsi="Arial" w:cs="Arial"/>
              <w:color w:val="000000"/>
            </w:rPr>
            <w:fldChar w:fldCharType="end"/>
          </w:r>
        </w:sdtContent>
      </w:sdt>
      <w:r w:rsidRPr="00672243">
        <w:rPr>
          <w:rFonts w:ascii="Arial" w:hAnsi="Arial" w:cs="Arial"/>
          <w:color w:val="000000"/>
        </w:rPr>
        <w:t>. </w:t>
      </w:r>
    </w:p>
    <w:p w14:paraId="33908087"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b/>
          <w:bCs/>
          <w:color w:val="000000"/>
        </w:rPr>
        <w:t>Legal-</w:t>
      </w:r>
      <w:r w:rsidRPr="00672243">
        <w:rPr>
          <w:rFonts w:ascii="Arial" w:hAnsi="Arial" w:cs="Arial"/>
          <w:color w:val="000000"/>
        </w:rPr>
        <w:t xml:space="preserve"> the company has witnessed several legal problems due to the huge </w:t>
      </w:r>
      <w:r w:rsidR="00982682" w:rsidRPr="00672243">
        <w:rPr>
          <w:rFonts w:ascii="Arial" w:hAnsi="Arial" w:cs="Arial"/>
          <w:color w:val="000000"/>
        </w:rPr>
        <w:t>cyber-attack</w:t>
      </w:r>
      <w:r w:rsidRPr="00672243">
        <w:rPr>
          <w:rFonts w:ascii="Arial" w:hAnsi="Arial" w:cs="Arial"/>
          <w:color w:val="000000"/>
        </w:rPr>
        <w:t xml:space="preserve"> that eventually compromised data with sensitive information. The company was put into a negative light and the overall purpose of corruption is found in the top most employees. </w:t>
      </w:r>
    </w:p>
    <w:p w14:paraId="3430E5E5"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499F96AE" w14:textId="77777777" w:rsidR="00007CCC" w:rsidRDefault="00007CCC" w:rsidP="00007CCC">
      <w:pPr>
        <w:pStyle w:val="NormalWeb"/>
        <w:spacing w:before="0" w:beforeAutospacing="0" w:after="0" w:afterAutospacing="0" w:line="360" w:lineRule="auto"/>
        <w:jc w:val="both"/>
        <w:rPr>
          <w:rFonts w:ascii="Arial" w:hAnsi="Arial" w:cs="Arial"/>
          <w:b/>
          <w:bCs/>
          <w:color w:val="000000"/>
        </w:rPr>
      </w:pPr>
      <w:r w:rsidRPr="00672243">
        <w:rPr>
          <w:rFonts w:ascii="Arial" w:hAnsi="Arial" w:cs="Arial"/>
          <w:b/>
          <w:bCs/>
          <w:color w:val="000000"/>
        </w:rPr>
        <w:t>Porter's five forces</w:t>
      </w:r>
    </w:p>
    <w:p w14:paraId="6E0E2CB7" w14:textId="77777777" w:rsidR="00672243" w:rsidRPr="00672243" w:rsidRDefault="00672243" w:rsidP="00007CCC">
      <w:pPr>
        <w:pStyle w:val="NormalWeb"/>
        <w:spacing w:before="0" w:beforeAutospacing="0" w:after="0" w:afterAutospacing="0" w:line="360" w:lineRule="auto"/>
        <w:jc w:val="both"/>
        <w:rPr>
          <w:rFonts w:ascii="Arial" w:hAnsi="Arial" w:cs="Arial"/>
        </w:rPr>
      </w:pPr>
    </w:p>
    <w:p w14:paraId="0A6470AC"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b/>
          <w:bCs/>
          <w:color w:val="000000"/>
        </w:rPr>
        <w:t xml:space="preserve">The threat of new entrants- </w:t>
      </w:r>
      <w:r w:rsidRPr="00672243">
        <w:rPr>
          <w:rFonts w:ascii="Arial" w:hAnsi="Arial" w:cs="Arial"/>
          <w:color w:val="000000"/>
        </w:rPr>
        <w:t>the threat of new entrant is low here since the airline industry is difficult for reaching. The initial cost of this business is very high and different kinds of expensive equipment are also associated with the industry. The threat of new entrant is restricted and different kinds of tax and other particulars are also imposed. </w:t>
      </w:r>
    </w:p>
    <w:p w14:paraId="55794757"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4A4339B2"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b/>
          <w:bCs/>
          <w:color w:val="000000"/>
        </w:rPr>
        <w:t>The power of suppliers-</w:t>
      </w:r>
      <w:r w:rsidRPr="00672243">
        <w:rPr>
          <w:rFonts w:ascii="Arial" w:hAnsi="Arial" w:cs="Arial"/>
          <w:color w:val="000000"/>
        </w:rPr>
        <w:t xml:space="preserve"> there are mainly two suppliers to look into the majority of the production. The suppliers are highly powerful and the bargaining power is low since it is difficult for the company to change the prices. But the bargaining power of the suppliers can be higher if different kinds of planning are decided. The systematic progress of oil supply also has a high power and the overall purpose of fixing prices it's related to the area of looking for the expensive purposes</w:t>
      </w:r>
      <w:sdt>
        <w:sdtPr>
          <w:rPr>
            <w:rFonts w:ascii="Arial" w:hAnsi="Arial" w:cs="Arial"/>
            <w:color w:val="000000"/>
          </w:rPr>
          <w:id w:val="571241206"/>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Bua22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(Buah, et al., 2022)</w:t>
          </w:r>
          <w:r w:rsidR="00982682" w:rsidRPr="00672243">
            <w:rPr>
              <w:rFonts w:ascii="Arial" w:hAnsi="Arial" w:cs="Arial"/>
              <w:color w:val="000000"/>
            </w:rPr>
            <w:fldChar w:fldCharType="end"/>
          </w:r>
        </w:sdtContent>
      </w:sdt>
      <w:r w:rsidRPr="00672243">
        <w:rPr>
          <w:rFonts w:ascii="Arial" w:hAnsi="Arial" w:cs="Arial"/>
          <w:color w:val="000000"/>
        </w:rPr>
        <w:t>.</w:t>
      </w:r>
    </w:p>
    <w:p w14:paraId="078F2793"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57E7236B" w14:textId="24A21BA5" w:rsidR="00672243" w:rsidRP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b/>
          <w:bCs/>
          <w:color w:val="000000"/>
        </w:rPr>
        <w:t>The power of buyers-</w:t>
      </w:r>
      <w:r w:rsidRPr="00672243">
        <w:rPr>
          <w:rFonts w:ascii="Arial" w:hAnsi="Arial" w:cs="Arial"/>
          <w:color w:val="000000"/>
        </w:rPr>
        <w:t xml:space="preserve"> the bargaining power of the buyer is high because the competition becomes intense since the company is intense and it is also easy for the customers to switch to a different organisation which is more suitable. Another idea of the isle of the buyers is found in the changing of the perspective that eventually refers to the cost of agent intervention.</w:t>
      </w:r>
      <w:r w:rsidR="00672243">
        <w:rPr>
          <w:rFonts w:ascii="Arial" w:hAnsi="Arial" w:cs="Arial"/>
          <w:color w:val="000000"/>
        </w:rPr>
        <w:br w:type="page"/>
      </w:r>
    </w:p>
    <w:p w14:paraId="3E0B847E" w14:textId="77777777" w:rsid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b/>
          <w:bCs/>
          <w:color w:val="000000"/>
        </w:rPr>
        <w:lastRenderedPageBreak/>
        <w:t xml:space="preserve">Threat of substitution- </w:t>
      </w:r>
      <w:r w:rsidRPr="00672243">
        <w:rPr>
          <w:rFonts w:ascii="Arial" w:hAnsi="Arial" w:cs="Arial"/>
          <w:color w:val="000000"/>
        </w:rPr>
        <w:t>the threat of substitution is low because the facilities of airlines are not available in any other type of transport. It is also found that the organisation is more important in the way of estimating the decision to take a planning for getting things longer with time. People have the option of availing different kinds of transport but the convenience and the time saving benefit of airlines is not found in trains or buses.</w:t>
      </w:r>
    </w:p>
    <w:p w14:paraId="4CD7FA10" w14:textId="4E556B8B"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w:t>
      </w:r>
    </w:p>
    <w:p w14:paraId="14A107FD"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b/>
          <w:bCs/>
          <w:color w:val="000000"/>
        </w:rPr>
        <w:t>Competitive rivalry-</w:t>
      </w:r>
      <w:r w:rsidRPr="00672243">
        <w:rPr>
          <w:rFonts w:ascii="Arial" w:hAnsi="Arial" w:cs="Arial"/>
          <w:color w:val="000000"/>
        </w:rPr>
        <w:t xml:space="preserve"> the competitive rivalry is specifically high for the direct competitors like RyanAir, FlyBe etc. The competition is extremely intense because each competitor looks into the purpose of attempting dominance over others. Apart from that, different kinds of dominance and also the other business related purposes are also found around. Different traditional airlines are also there as indicate competitors and the different area of market segmentation are also related to the purpose of substitute. The availability of the substitute and also the area of trains are also associated with the purpose of traditional companies</w:t>
      </w:r>
      <w:sdt>
        <w:sdtPr>
          <w:rPr>
            <w:rFonts w:ascii="Arial" w:hAnsi="Arial" w:cs="Arial"/>
            <w:color w:val="000000"/>
          </w:rPr>
          <w:id w:val="-1221594112"/>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Cam19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(Cameron &amp; Green, 2019)</w:t>
          </w:r>
          <w:r w:rsidR="00982682" w:rsidRPr="00672243">
            <w:rPr>
              <w:rFonts w:ascii="Arial" w:hAnsi="Arial" w:cs="Arial"/>
              <w:color w:val="000000"/>
            </w:rPr>
            <w:fldChar w:fldCharType="end"/>
          </w:r>
        </w:sdtContent>
      </w:sdt>
      <w:r w:rsidRPr="00672243">
        <w:rPr>
          <w:rFonts w:ascii="Arial" w:hAnsi="Arial" w:cs="Arial"/>
          <w:color w:val="000000"/>
        </w:rPr>
        <w:t>. </w:t>
      </w:r>
    </w:p>
    <w:p w14:paraId="68F65CDD" w14:textId="77777777" w:rsidR="00672243" w:rsidRPr="00672243" w:rsidRDefault="00672243" w:rsidP="00672243">
      <w:pPr>
        <w:pStyle w:val="NormalWeb"/>
        <w:spacing w:before="0" w:beforeAutospacing="0" w:after="0" w:afterAutospacing="0" w:line="360" w:lineRule="auto"/>
        <w:jc w:val="both"/>
        <w:rPr>
          <w:rFonts w:ascii="Arial" w:hAnsi="Arial" w:cs="Arial"/>
        </w:rPr>
      </w:pPr>
    </w:p>
    <w:p w14:paraId="00BC3607" w14:textId="77777777" w:rsidR="00007CCC" w:rsidRPr="00672243" w:rsidRDefault="00007CCC" w:rsidP="00672243">
      <w:pPr>
        <w:pStyle w:val="NormalWeb"/>
        <w:spacing w:before="0" w:beforeAutospacing="0" w:after="0" w:afterAutospacing="0" w:line="360" w:lineRule="auto"/>
        <w:jc w:val="both"/>
        <w:rPr>
          <w:rFonts w:ascii="Arial" w:hAnsi="Arial" w:cs="Arial"/>
        </w:rPr>
      </w:pPr>
      <w:r w:rsidRPr="00672243">
        <w:rPr>
          <w:rFonts w:ascii="Arial" w:hAnsi="Arial" w:cs="Arial"/>
          <w:b/>
          <w:bCs/>
          <w:color w:val="000000"/>
        </w:rPr>
        <w:t>The key drivers for the change</w:t>
      </w:r>
    </w:p>
    <w:p w14:paraId="1415F465" w14:textId="77777777" w:rsidR="007E41FA"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The identification of external environments and also the identified drivers for the changes are found from the competitive analysis of the organisation. EasyJet has looked into the purpose of different types of changing drivers like passenger traffic, operating expenses, fuel prices, landing and maintenance cost that are related to the changing purpose of different types of initiated low cost carriers</w:t>
      </w:r>
      <w:sdt>
        <w:sdtPr>
          <w:rPr>
            <w:rFonts w:ascii="Arial" w:hAnsi="Arial" w:cs="Arial"/>
            <w:color w:val="000000"/>
          </w:rPr>
          <w:id w:val="807517804"/>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Lar20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(Larsen, et al., 2020)</w:t>
          </w:r>
          <w:r w:rsidR="00982682" w:rsidRPr="00672243">
            <w:rPr>
              <w:rFonts w:ascii="Arial" w:hAnsi="Arial" w:cs="Arial"/>
              <w:color w:val="000000"/>
            </w:rPr>
            <w:fldChar w:fldCharType="end"/>
          </w:r>
        </w:sdtContent>
      </w:sdt>
      <w:r w:rsidRPr="00672243">
        <w:rPr>
          <w:rFonts w:ascii="Arial" w:hAnsi="Arial" w:cs="Arial"/>
          <w:color w:val="000000"/>
        </w:rPr>
        <w:t>.</w:t>
      </w:r>
    </w:p>
    <w:p w14:paraId="4F715819" w14:textId="1F8D8AE3"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 It is also found from the study that the competition and the strategy, types of regulation and policy the execution of open sky agreement, different types of growth in economy, </w:t>
      </w:r>
      <w:r w:rsidR="00DE1D03" w:rsidRPr="00672243">
        <w:rPr>
          <w:rFonts w:ascii="Arial" w:hAnsi="Arial" w:cs="Arial"/>
          <w:color w:val="000000"/>
        </w:rPr>
        <w:t>and the</w:t>
      </w:r>
      <w:r w:rsidRPr="00672243">
        <w:rPr>
          <w:rFonts w:ascii="Arial" w:hAnsi="Arial" w:cs="Arial"/>
          <w:color w:val="000000"/>
        </w:rPr>
        <w:t xml:space="preserve"> rapid purpose of technological change along with the area and purpose of capacity related to the factor Change management. The execution of different drivers and their measurement related to the area of centrality and density that eventually deals with the discovering purpose of key chains drivers’ conceptual framework and also the achievement of high reliability and different coefficient analysis will be helpful for implementing the changes in the overall system of the organisation</w:t>
      </w:r>
      <w:sdt>
        <w:sdtPr>
          <w:rPr>
            <w:rFonts w:ascii="Arial" w:hAnsi="Arial" w:cs="Arial"/>
            <w:color w:val="000000"/>
          </w:rPr>
          <w:id w:val="422149313"/>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dsp19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(dspace, 2019)</w:t>
          </w:r>
          <w:r w:rsidR="00982682" w:rsidRPr="00672243">
            <w:rPr>
              <w:rFonts w:ascii="Arial" w:hAnsi="Arial" w:cs="Arial"/>
              <w:color w:val="000000"/>
            </w:rPr>
            <w:fldChar w:fldCharType="end"/>
          </w:r>
        </w:sdtContent>
      </w:sdt>
      <w:r w:rsidRPr="00672243">
        <w:rPr>
          <w:rFonts w:ascii="Arial" w:hAnsi="Arial" w:cs="Arial"/>
          <w:color w:val="000000"/>
        </w:rPr>
        <w:t>. </w:t>
      </w:r>
    </w:p>
    <w:p w14:paraId="4A4DA1B5" w14:textId="77777777" w:rsidR="00007CCC" w:rsidRPr="00672243" w:rsidRDefault="00007CCC" w:rsidP="00DE1D03">
      <w:pPr>
        <w:pStyle w:val="Heading1"/>
        <w:spacing w:before="0"/>
        <w:rPr>
          <w:rFonts w:ascii="Arial" w:hAnsi="Arial" w:cs="Arial"/>
        </w:rPr>
      </w:pPr>
      <w:bookmarkStart w:id="4" w:name="_Toc132561481"/>
      <w:r w:rsidRPr="00672243">
        <w:rPr>
          <w:rFonts w:ascii="Arial" w:hAnsi="Arial" w:cs="Arial"/>
        </w:rPr>
        <w:lastRenderedPageBreak/>
        <w:t>Explains how EasyJet Plc. has been practising some Ethical approaches as a part of its organisational culture and benefits thereof.</w:t>
      </w:r>
      <w:bookmarkEnd w:id="4"/>
    </w:p>
    <w:p w14:paraId="1F416DE7"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The company has been one of the ethical and socially responsible employers that respect the human rights of the employees, establishing different principles following the legal bindings. </w:t>
      </w:r>
    </w:p>
    <w:p w14:paraId="51396610" w14:textId="77777777" w:rsid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 xml:space="preserve">In the case of maintaining the </w:t>
      </w:r>
      <w:r w:rsidRPr="00672243">
        <w:rPr>
          <w:rFonts w:ascii="Arial" w:hAnsi="Arial" w:cs="Arial"/>
          <w:b/>
          <w:bCs/>
          <w:color w:val="000000"/>
        </w:rPr>
        <w:t>business ethical principle</w:t>
      </w:r>
      <w:r w:rsidRPr="00672243">
        <w:rPr>
          <w:rFonts w:ascii="Arial" w:hAnsi="Arial" w:cs="Arial"/>
          <w:color w:val="000000"/>
        </w:rPr>
        <w:t>, the company has followed a reliable policy of safety first that helps in the maintenance of performance with highest regard for safety for both customer and colleagues. Different types of compromise activity along with the application of laws and regulation are also there to look for the execution of safety along with different kind of article law and regulation.</w:t>
      </w:r>
    </w:p>
    <w:p w14:paraId="2C2205E5" w14:textId="4B4C828E"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 The maintenance integrity is also found in the ethical principle that deals with the customers, partners and communities</w:t>
      </w:r>
      <w:sdt>
        <w:sdtPr>
          <w:rPr>
            <w:rFonts w:ascii="Arial" w:hAnsi="Arial" w:cs="Arial"/>
            <w:color w:val="000000"/>
          </w:rPr>
          <w:id w:val="-1140413884"/>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mag19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(mageplaza, 2019)</w:t>
          </w:r>
          <w:r w:rsidR="00982682" w:rsidRPr="00672243">
            <w:rPr>
              <w:rFonts w:ascii="Arial" w:hAnsi="Arial" w:cs="Arial"/>
              <w:color w:val="000000"/>
            </w:rPr>
            <w:fldChar w:fldCharType="end"/>
          </w:r>
        </w:sdtContent>
      </w:sdt>
      <w:r w:rsidRPr="00672243">
        <w:rPr>
          <w:rFonts w:ascii="Arial" w:hAnsi="Arial" w:cs="Arial"/>
          <w:color w:val="000000"/>
        </w:rPr>
        <w:t>. The overall purpose of using or attempting the position in the organisation along with the obtaining purpose of improper personal benefit also leads to the area of identifying and estimating the family and other person. Different types of compliance along with the act of applicable laws and regulation are also followed for maintaining all types of ethics in the organisation.</w:t>
      </w:r>
    </w:p>
    <w:p w14:paraId="3048E6E7"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The identification and estimation of different type of </w:t>
      </w:r>
      <w:r w:rsidRPr="00672243">
        <w:rPr>
          <w:rFonts w:ascii="Arial" w:hAnsi="Arial" w:cs="Arial"/>
          <w:b/>
          <w:bCs/>
          <w:color w:val="000000"/>
        </w:rPr>
        <w:t>conflict of interest</w:t>
      </w:r>
      <w:r w:rsidRPr="00672243">
        <w:rPr>
          <w:rFonts w:ascii="Arial" w:hAnsi="Arial" w:cs="Arial"/>
          <w:color w:val="000000"/>
        </w:rPr>
        <w:t xml:space="preserve"> are also found and the companies doing the business honestly in order to avoid the area of conflict of interest. The company also tries to do the business without bribery by following the outline standards of the UK bribery act. The overall area of facilitation payment and also the area of expedite performance are also found in the existence by a government official. The overall purpose of f</w:t>
      </w:r>
      <w:r w:rsidRPr="00672243">
        <w:rPr>
          <w:rFonts w:ascii="Arial" w:hAnsi="Arial" w:cs="Arial"/>
          <w:b/>
          <w:bCs/>
          <w:color w:val="000000"/>
        </w:rPr>
        <w:t>acilitation payment</w:t>
      </w:r>
      <w:r w:rsidRPr="00672243">
        <w:rPr>
          <w:rFonts w:ascii="Arial" w:hAnsi="Arial" w:cs="Arial"/>
          <w:color w:val="000000"/>
        </w:rPr>
        <w:t xml:space="preserve"> and also the securities of the performance and why the renting license with the common place in some jurisdictions. </w:t>
      </w:r>
    </w:p>
    <w:p w14:paraId="77CEF50B"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The company also focuses on the purpose of </w:t>
      </w:r>
      <w:r w:rsidR="00982682" w:rsidRPr="00672243">
        <w:rPr>
          <w:rFonts w:ascii="Arial" w:hAnsi="Arial" w:cs="Arial"/>
          <w:color w:val="000000"/>
        </w:rPr>
        <w:t>anti-fraud</w:t>
      </w:r>
      <w:r w:rsidRPr="00672243">
        <w:rPr>
          <w:rFonts w:ascii="Arial" w:hAnsi="Arial" w:cs="Arial"/>
          <w:color w:val="000000"/>
        </w:rPr>
        <w:t xml:space="preserve"> policy by maintaining the commitment of protecting the funds and assets with interested and expected stakeholders. Different types of similarities are also associated with the upholding purpose of high ethical standards that ensure the resources intended for purpose and essential loss. The loss can also be increased by impacting the performance that eventually refer to the performance of being awarded</w:t>
      </w:r>
      <w:sdt>
        <w:sdtPr>
          <w:rPr>
            <w:rFonts w:ascii="Arial" w:hAnsi="Arial" w:cs="Arial"/>
            <w:color w:val="000000"/>
          </w:rPr>
          <w:id w:val="-369606182"/>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Bui21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(Buijtendijk, et al., 2021)</w:t>
          </w:r>
          <w:r w:rsidR="00982682" w:rsidRPr="00672243">
            <w:rPr>
              <w:rFonts w:ascii="Arial" w:hAnsi="Arial" w:cs="Arial"/>
              <w:color w:val="000000"/>
            </w:rPr>
            <w:fldChar w:fldCharType="end"/>
          </w:r>
        </w:sdtContent>
      </w:sdt>
      <w:r w:rsidRPr="00672243">
        <w:rPr>
          <w:rFonts w:ascii="Arial" w:hAnsi="Arial" w:cs="Arial"/>
          <w:color w:val="000000"/>
        </w:rPr>
        <w:t>. </w:t>
      </w:r>
    </w:p>
    <w:p w14:paraId="599BB1FD"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lastRenderedPageBreak/>
        <w:t xml:space="preserve">In case of maintaining the </w:t>
      </w:r>
      <w:r w:rsidRPr="00672243">
        <w:rPr>
          <w:rFonts w:ascii="Arial" w:hAnsi="Arial" w:cs="Arial"/>
          <w:b/>
          <w:bCs/>
          <w:color w:val="000000"/>
        </w:rPr>
        <w:t>standards of business ethics</w:t>
      </w:r>
      <w:r w:rsidRPr="00672243">
        <w:rPr>
          <w:rFonts w:ascii="Arial" w:hAnsi="Arial" w:cs="Arial"/>
          <w:color w:val="000000"/>
        </w:rPr>
        <w:t xml:space="preserve">, the company has created an environment that helps in the purpose of ensuring the value for contribution. All the employees are free from the purpose of harassment and the company also maintenance the commitment of having an equal chance of contribution to all the employees according to their potential. The company also follows the ethical standards of safety, security and complaints policy that is associated to the area of </w:t>
      </w:r>
      <w:r w:rsidR="00982682" w:rsidRPr="00672243">
        <w:rPr>
          <w:rFonts w:ascii="Arial" w:hAnsi="Arial" w:cs="Arial"/>
          <w:color w:val="000000"/>
        </w:rPr>
        <w:t>anti-fraud</w:t>
      </w:r>
      <w:r w:rsidRPr="00672243">
        <w:rPr>
          <w:rFonts w:ascii="Arial" w:hAnsi="Arial" w:cs="Arial"/>
          <w:color w:val="000000"/>
        </w:rPr>
        <w:t xml:space="preserve"> policy and also the overall area of the supplier code of conduct</w:t>
      </w:r>
      <w:sdt>
        <w:sdtPr>
          <w:rPr>
            <w:rFonts w:ascii="Arial" w:hAnsi="Arial" w:cs="Arial"/>
            <w:color w:val="000000"/>
          </w:rPr>
          <w:id w:val="583731378"/>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cor19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(corporate, 2019)</w:t>
          </w:r>
          <w:r w:rsidR="00982682" w:rsidRPr="00672243">
            <w:rPr>
              <w:rFonts w:ascii="Arial" w:hAnsi="Arial" w:cs="Arial"/>
              <w:color w:val="000000"/>
            </w:rPr>
            <w:fldChar w:fldCharType="end"/>
          </w:r>
        </w:sdtContent>
      </w:sdt>
      <w:r w:rsidRPr="00672243">
        <w:rPr>
          <w:rFonts w:ascii="Arial" w:hAnsi="Arial" w:cs="Arial"/>
          <w:color w:val="000000"/>
        </w:rPr>
        <w:t>.</w:t>
      </w:r>
    </w:p>
    <w:p w14:paraId="45080EA7"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The company also maintenance the scope of supply by addressing and following the area of looking for different type of important role in delivering the ambition that also strike for ensuring the align and corporate purpose of responsibility.  </w:t>
      </w:r>
    </w:p>
    <w:p w14:paraId="76BE8AED"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6126EB0B" w14:textId="77777777" w:rsidR="00007CCC" w:rsidRDefault="00007CCC" w:rsidP="00DE1D03">
      <w:pPr>
        <w:pStyle w:val="Heading1"/>
        <w:spacing w:before="0"/>
        <w:rPr>
          <w:rFonts w:ascii="Arial" w:hAnsi="Arial" w:cs="Arial"/>
        </w:rPr>
      </w:pPr>
      <w:bookmarkStart w:id="5" w:name="_Toc132561482"/>
      <w:r w:rsidRPr="00672243">
        <w:rPr>
          <w:rFonts w:ascii="Arial" w:hAnsi="Arial" w:cs="Arial"/>
        </w:rPr>
        <w:t>Based on the environmental and ethical challenges, provide recommendations to EasyJet Plc to improve its performances and justify suggested actions.</w:t>
      </w:r>
      <w:bookmarkEnd w:id="5"/>
    </w:p>
    <w:p w14:paraId="3265EF9B" w14:textId="77777777" w:rsidR="00672243" w:rsidRPr="00672243" w:rsidRDefault="00672243" w:rsidP="00672243">
      <w:pPr>
        <w:rPr>
          <w:lang w:val="en-US"/>
        </w:rPr>
      </w:pPr>
    </w:p>
    <w:p w14:paraId="2D13DEB0"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The overall study helps to look for the identification of different kind of optional purposes and different challenges are also estimated due to the legal areas. The requirement of safety and security is found in the challenging area of the company that will surely be followed with the application of keep principal for sustainable recovery.</w:t>
      </w:r>
    </w:p>
    <w:p w14:paraId="6E52C9AC" w14:textId="77777777" w:rsidR="00007CCC" w:rsidRPr="00672243" w:rsidRDefault="00007CCC" w:rsidP="00007CCC">
      <w:pPr>
        <w:pStyle w:val="NormalWeb"/>
        <w:spacing w:before="0" w:beforeAutospacing="0" w:after="0" w:afterAutospacing="0" w:line="360" w:lineRule="auto"/>
        <w:jc w:val="both"/>
        <w:rPr>
          <w:rFonts w:ascii="Arial" w:hAnsi="Arial" w:cs="Arial"/>
        </w:rPr>
      </w:pPr>
      <w:r w:rsidRPr="00672243">
        <w:rPr>
          <w:rFonts w:ascii="Arial" w:hAnsi="Arial" w:cs="Arial"/>
          <w:color w:val="000000"/>
        </w:rPr>
        <w:t>The protection of the people by following and harmonizing the area of flexible measurement also looks into the systematic area of stating the industry with different kind of mutually accepted risk based measurement for the protection of the passengers. </w:t>
      </w:r>
    </w:p>
    <w:p w14:paraId="790FAD1D"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It is also recommended for the company to look for the respective planning that is associated with different types of International and regional purposes. The industry also complement and support each other in order to look for the requirement of different approaches that eventually harmonize the possible response with standards and policies</w:t>
      </w:r>
      <w:sdt>
        <w:sdtPr>
          <w:rPr>
            <w:rFonts w:ascii="Arial" w:hAnsi="Arial" w:cs="Arial"/>
            <w:color w:val="000000"/>
          </w:rPr>
          <w:id w:val="-192546882"/>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HeR19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(He, et al., 2019)</w:t>
          </w:r>
          <w:r w:rsidR="00982682" w:rsidRPr="00672243">
            <w:rPr>
              <w:rFonts w:ascii="Arial" w:hAnsi="Arial" w:cs="Arial"/>
              <w:color w:val="000000"/>
            </w:rPr>
            <w:fldChar w:fldCharType="end"/>
          </w:r>
        </w:sdtContent>
      </w:sdt>
      <w:r w:rsidRPr="00672243">
        <w:rPr>
          <w:rFonts w:ascii="Arial" w:hAnsi="Arial" w:cs="Arial"/>
          <w:color w:val="000000"/>
        </w:rPr>
        <w:t>. </w:t>
      </w:r>
    </w:p>
    <w:p w14:paraId="69712572"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 xml:space="preserve">The part of ensuring essential connectivity and also the way of maintaining the states and standards of the industry are also followed by the global purpose of supply </w:t>
      </w:r>
      <w:r w:rsidRPr="00672243">
        <w:rPr>
          <w:rFonts w:ascii="Arial" w:hAnsi="Arial" w:cs="Arial"/>
          <w:color w:val="000000"/>
        </w:rPr>
        <w:lastRenderedPageBreak/>
        <w:t xml:space="preserve">chain that is followed with the area of different kinds of remote region and also that isolated in the island. The </w:t>
      </w:r>
      <w:r w:rsidR="00982682" w:rsidRPr="00672243">
        <w:rPr>
          <w:rFonts w:ascii="Arial" w:hAnsi="Arial" w:cs="Arial"/>
          <w:color w:val="000000"/>
        </w:rPr>
        <w:t>overall</w:t>
      </w:r>
      <w:r w:rsidRPr="00672243">
        <w:rPr>
          <w:rFonts w:ascii="Arial" w:hAnsi="Arial" w:cs="Arial"/>
          <w:color w:val="000000"/>
        </w:rPr>
        <w:t xml:space="preserve"> active purpose of safety and security to management along with different kind of health is also found with some data systematic approach that eventually deals with the purpose of operational security and safety, health related risk and recovery and also the adapting purpose of measurement accordingly. </w:t>
      </w:r>
    </w:p>
    <w:p w14:paraId="74EF6200"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34B6869E"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 xml:space="preserve">The recommending purpose also looks into the activity of safety and security management along with health related is that are driven with the systematic approach managing operation safety. The </w:t>
      </w:r>
      <w:r w:rsidR="00982682" w:rsidRPr="00672243">
        <w:rPr>
          <w:rFonts w:ascii="Arial" w:hAnsi="Arial" w:cs="Arial"/>
          <w:color w:val="000000"/>
        </w:rPr>
        <w:t>overall</w:t>
      </w:r>
      <w:r w:rsidRPr="00672243">
        <w:rPr>
          <w:rFonts w:ascii="Arial" w:hAnsi="Arial" w:cs="Arial"/>
          <w:color w:val="000000"/>
        </w:rPr>
        <w:t xml:space="preserve"> purpose of restarting and recovering different phases and also the management of operational safety and securities followed by the measurement accordingly. It is also identified that working with aviation safety and security system also refers to the concept of looking into the purpose accordingly with different types of safety and security systems. The overall system of stating the financial institution and along with the consisting mandates are also instructed for considering the financial relief strategy to help the organisation.</w:t>
      </w:r>
    </w:p>
    <w:p w14:paraId="59572D12" w14:textId="77777777" w:rsidR="00007CCC" w:rsidRPr="00672243" w:rsidRDefault="00007CCC" w:rsidP="00672243">
      <w:pPr>
        <w:pStyle w:val="NormalWeb"/>
        <w:spacing w:before="0" w:beforeAutospacing="0" w:after="0" w:afterAutospacing="0" w:line="360" w:lineRule="auto"/>
        <w:ind w:firstLine="720"/>
        <w:jc w:val="both"/>
        <w:rPr>
          <w:rFonts w:ascii="Arial" w:hAnsi="Arial" w:cs="Arial"/>
        </w:rPr>
      </w:pPr>
      <w:r w:rsidRPr="00672243">
        <w:rPr>
          <w:rFonts w:ascii="Arial" w:hAnsi="Arial" w:cs="Arial"/>
          <w:color w:val="000000"/>
        </w:rPr>
        <w:t>In case of removing the environmental challenges, the company needs to ensure sustainability with business connections that drive the economy and social recovery in a proper way. The overall area of the industry with the striving and ensuring purpose that also safeguard the fair competition with disrupt the market and undermine the diversity of accession</w:t>
      </w:r>
      <w:sdt>
        <w:sdtPr>
          <w:rPr>
            <w:rFonts w:ascii="Arial" w:hAnsi="Arial" w:cs="Arial"/>
            <w:color w:val="000000"/>
          </w:rPr>
          <w:id w:val="1404727179"/>
          <w:citation/>
        </w:sdtPr>
        <w:sdtContent>
          <w:r w:rsidR="00982682" w:rsidRPr="00672243">
            <w:rPr>
              <w:rFonts w:ascii="Arial" w:hAnsi="Arial" w:cs="Arial"/>
              <w:color w:val="000000"/>
            </w:rPr>
            <w:fldChar w:fldCharType="begin"/>
          </w:r>
          <w:r w:rsidR="00982682" w:rsidRPr="00672243">
            <w:rPr>
              <w:rFonts w:ascii="Arial" w:hAnsi="Arial" w:cs="Arial"/>
              <w:color w:val="000000"/>
              <w:lang w:val="en-US"/>
            </w:rPr>
            <w:instrText xml:space="preserve"> CITATION Reh21 \l 1033 </w:instrText>
          </w:r>
          <w:r w:rsidR="00982682" w:rsidRPr="00672243">
            <w:rPr>
              <w:rFonts w:ascii="Arial" w:hAnsi="Arial" w:cs="Arial"/>
              <w:color w:val="000000"/>
            </w:rPr>
            <w:fldChar w:fldCharType="separate"/>
          </w:r>
          <w:r w:rsidR="00982682" w:rsidRPr="00672243">
            <w:rPr>
              <w:rFonts w:ascii="Arial" w:hAnsi="Arial" w:cs="Arial"/>
              <w:noProof/>
              <w:color w:val="000000"/>
              <w:lang w:val="en-US"/>
            </w:rPr>
            <w:t xml:space="preserve"> (Rehman, et al., 2021)</w:t>
          </w:r>
          <w:r w:rsidR="00982682" w:rsidRPr="00672243">
            <w:rPr>
              <w:rFonts w:ascii="Arial" w:hAnsi="Arial" w:cs="Arial"/>
              <w:color w:val="000000"/>
            </w:rPr>
            <w:fldChar w:fldCharType="end"/>
          </w:r>
        </w:sdtContent>
      </w:sdt>
      <w:r w:rsidRPr="00672243">
        <w:rPr>
          <w:rFonts w:ascii="Arial" w:hAnsi="Arial" w:cs="Arial"/>
          <w:color w:val="000000"/>
        </w:rPr>
        <w:t>. </w:t>
      </w:r>
    </w:p>
    <w:p w14:paraId="0068E4EF" w14:textId="77777777" w:rsidR="00007CCC"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It is justified from the market that the work area of cost and airlines management are related to the planning and training programs for the crew in a more effective manner. The maintenance of all the ethical standards and also the execution of essential connectivity and measurement of public health are followed by the area of cost efficiency and better approach. </w:t>
      </w:r>
    </w:p>
    <w:p w14:paraId="074F20E1" w14:textId="77777777" w:rsidR="00672243" w:rsidRPr="00672243" w:rsidRDefault="00672243" w:rsidP="00672243">
      <w:pPr>
        <w:pStyle w:val="NormalWeb"/>
        <w:spacing w:before="0" w:beforeAutospacing="0" w:after="0" w:afterAutospacing="0" w:line="360" w:lineRule="auto"/>
        <w:ind w:firstLine="720"/>
        <w:jc w:val="both"/>
        <w:rPr>
          <w:rFonts w:ascii="Arial" w:hAnsi="Arial" w:cs="Arial"/>
        </w:rPr>
      </w:pPr>
    </w:p>
    <w:p w14:paraId="53234CAF" w14:textId="77777777" w:rsidR="00007CCC" w:rsidRDefault="00007CCC" w:rsidP="00DE1D03">
      <w:pPr>
        <w:pStyle w:val="Heading1"/>
        <w:spacing w:before="0"/>
        <w:rPr>
          <w:rFonts w:ascii="Arial" w:hAnsi="Arial" w:cs="Arial"/>
        </w:rPr>
      </w:pPr>
      <w:bookmarkStart w:id="6" w:name="_Toc132561483"/>
      <w:r w:rsidRPr="00672243">
        <w:rPr>
          <w:rFonts w:ascii="Arial" w:hAnsi="Arial" w:cs="Arial"/>
        </w:rPr>
        <w:t>Conclusion</w:t>
      </w:r>
      <w:bookmarkEnd w:id="6"/>
      <w:r w:rsidRPr="00672243">
        <w:rPr>
          <w:rFonts w:ascii="Arial" w:hAnsi="Arial" w:cs="Arial"/>
        </w:rPr>
        <w:t> </w:t>
      </w:r>
    </w:p>
    <w:p w14:paraId="70E3A3DF" w14:textId="77777777" w:rsidR="00672243" w:rsidRPr="00672243" w:rsidRDefault="00672243" w:rsidP="00672243">
      <w:pPr>
        <w:rPr>
          <w:lang w:val="en-US"/>
        </w:rPr>
      </w:pPr>
    </w:p>
    <w:p w14:paraId="2E75A343" w14:textId="77777777" w:rsid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 xml:space="preserve">It is identified from the study that company focuses the area of maintaining relationship by following the agility of Management and it also refers to the system of looking for adopting different kinds of new changes. The execution of different types of structure and culture and also the explanation of achievement followed for different </w:t>
      </w:r>
      <w:r w:rsidRPr="00672243">
        <w:rPr>
          <w:rFonts w:ascii="Arial" w:hAnsi="Arial" w:cs="Arial"/>
          <w:color w:val="000000"/>
        </w:rPr>
        <w:lastRenderedPageBreak/>
        <w:t xml:space="preserve">types of non-financial performance will eventually look for the practice of continuous process. </w:t>
      </w:r>
    </w:p>
    <w:p w14:paraId="0C41C7B2" w14:textId="6FE53F53" w:rsidR="00982682" w:rsidRPr="00672243" w:rsidRDefault="00007CCC" w:rsidP="00672243">
      <w:pPr>
        <w:pStyle w:val="NormalWeb"/>
        <w:spacing w:before="0" w:beforeAutospacing="0" w:after="0" w:afterAutospacing="0" w:line="360" w:lineRule="auto"/>
        <w:ind w:firstLine="720"/>
        <w:jc w:val="both"/>
        <w:rPr>
          <w:rFonts w:ascii="Arial" w:hAnsi="Arial" w:cs="Arial"/>
          <w:color w:val="000000"/>
        </w:rPr>
      </w:pPr>
      <w:r w:rsidRPr="00672243">
        <w:rPr>
          <w:rFonts w:ascii="Arial" w:hAnsi="Arial" w:cs="Arial"/>
          <w:color w:val="000000"/>
        </w:rPr>
        <w:t xml:space="preserve">The </w:t>
      </w:r>
      <w:r w:rsidR="00672243" w:rsidRPr="00672243">
        <w:rPr>
          <w:rFonts w:ascii="Arial" w:hAnsi="Arial" w:cs="Arial"/>
          <w:color w:val="000000"/>
        </w:rPr>
        <w:t>overall</w:t>
      </w:r>
      <w:r w:rsidRPr="00672243">
        <w:rPr>
          <w:rFonts w:ascii="Arial" w:hAnsi="Arial" w:cs="Arial"/>
          <w:color w:val="000000"/>
        </w:rPr>
        <w:t xml:space="preserve"> purpose of key suppliers and also the area of looking for in depth scrutiny emphasize overall way of building long term business relationship for the management of supply chain. The identified purpose from internal and external environment and also the competitive purpose of the industry help to loop for some recommendations which will be significantly beneficial. Different type of ethical and environmental challenges we will also be resolved following the area of connection and sustainability drive the overall way of ensuring disruption in the market. </w:t>
      </w:r>
    </w:p>
    <w:p w14:paraId="5296ABAA" w14:textId="77777777" w:rsidR="00982682" w:rsidRPr="00672243" w:rsidRDefault="00982682">
      <w:pPr>
        <w:spacing w:line="259" w:lineRule="auto"/>
        <w:jc w:val="left"/>
        <w:rPr>
          <w:rFonts w:ascii="Arial" w:eastAsia="Times New Roman" w:hAnsi="Arial" w:cs="Arial"/>
          <w:color w:val="000000"/>
          <w:szCs w:val="24"/>
          <w:lang w:eastAsia="en-IN"/>
        </w:rPr>
      </w:pPr>
      <w:r w:rsidRPr="00672243">
        <w:rPr>
          <w:rFonts w:ascii="Arial" w:hAnsi="Arial" w:cs="Arial"/>
          <w:color w:val="000000"/>
        </w:rPr>
        <w:br w:type="page"/>
      </w:r>
    </w:p>
    <w:bookmarkStart w:id="7" w:name="_Toc132561484" w:displacedByCustomXml="next"/>
    <w:sdt>
      <w:sdtPr>
        <w:rPr>
          <w:rFonts w:ascii="Arial" w:eastAsiaTheme="minorHAnsi" w:hAnsi="Arial" w:cs="Arial"/>
          <w:b w:val="0"/>
          <w:color w:val="auto"/>
          <w:sz w:val="24"/>
          <w:szCs w:val="22"/>
          <w:lang w:val="en-IN"/>
        </w:rPr>
        <w:id w:val="1907869460"/>
        <w:docPartObj>
          <w:docPartGallery w:val="Bibliographies"/>
          <w:docPartUnique/>
        </w:docPartObj>
      </w:sdtPr>
      <w:sdtContent>
        <w:p w14:paraId="794474D7" w14:textId="77777777" w:rsidR="00982682" w:rsidRPr="00672243" w:rsidRDefault="00982682">
          <w:pPr>
            <w:pStyle w:val="Heading1"/>
            <w:rPr>
              <w:rFonts w:ascii="Arial" w:hAnsi="Arial" w:cs="Arial"/>
            </w:rPr>
          </w:pPr>
          <w:r w:rsidRPr="00672243">
            <w:rPr>
              <w:rFonts w:ascii="Arial" w:hAnsi="Arial" w:cs="Arial"/>
            </w:rPr>
            <w:t>References</w:t>
          </w:r>
          <w:bookmarkEnd w:id="7"/>
        </w:p>
        <w:sdt>
          <w:sdtPr>
            <w:rPr>
              <w:rFonts w:ascii="Arial" w:hAnsi="Arial" w:cs="Arial"/>
            </w:rPr>
            <w:id w:val="-573587230"/>
            <w:bibliography/>
          </w:sdtPr>
          <w:sdtContent>
            <w:p w14:paraId="52436560" w14:textId="77777777" w:rsidR="00982682" w:rsidRPr="00672243" w:rsidRDefault="00982682" w:rsidP="00982682">
              <w:pPr>
                <w:pStyle w:val="Bibliography"/>
                <w:rPr>
                  <w:rFonts w:ascii="Arial" w:hAnsi="Arial" w:cs="Arial"/>
                  <w:noProof/>
                  <w:szCs w:val="24"/>
                  <w:lang w:val="en-US"/>
                </w:rPr>
              </w:pPr>
              <w:r w:rsidRPr="00672243">
                <w:rPr>
                  <w:rFonts w:ascii="Arial" w:hAnsi="Arial" w:cs="Arial"/>
                </w:rPr>
                <w:fldChar w:fldCharType="begin"/>
              </w:r>
              <w:r w:rsidRPr="00672243">
                <w:rPr>
                  <w:rFonts w:ascii="Arial" w:hAnsi="Arial" w:cs="Arial"/>
                </w:rPr>
                <w:instrText xml:space="preserve"> BIBLIOGRAPHY </w:instrText>
              </w:r>
              <w:r w:rsidRPr="00672243">
                <w:rPr>
                  <w:rFonts w:ascii="Arial" w:hAnsi="Arial" w:cs="Arial"/>
                </w:rPr>
                <w:fldChar w:fldCharType="separate"/>
              </w:r>
              <w:r w:rsidRPr="00672243">
                <w:rPr>
                  <w:rFonts w:ascii="Arial" w:hAnsi="Arial" w:cs="Arial"/>
                  <w:noProof/>
                  <w:lang w:val="en-US"/>
                </w:rPr>
                <w:t xml:space="preserve">Abd El-Shafy, I. et al., 2019. Decreased pediatric trauma length of stay and improved disposition with implementation of Lewin's change model.. </w:t>
              </w:r>
              <w:r w:rsidRPr="00672243">
                <w:rPr>
                  <w:rFonts w:ascii="Arial" w:hAnsi="Arial" w:cs="Arial"/>
                  <w:i/>
                  <w:iCs/>
                  <w:noProof/>
                  <w:lang w:val="en-US"/>
                </w:rPr>
                <w:t xml:space="preserve">Journal of Trauma Nursing| JTN, </w:t>
              </w:r>
              <w:r w:rsidRPr="00672243">
                <w:rPr>
                  <w:rFonts w:ascii="Arial" w:hAnsi="Arial" w:cs="Arial"/>
                  <w:noProof/>
                  <w:lang w:val="en-US"/>
                </w:rPr>
                <w:t>26(2), pp. 84-88.</w:t>
              </w:r>
            </w:p>
            <w:p w14:paraId="7E94E4B8"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Buah, M., Temeng, V., Addo, S. &amp; Ziggah, Y., 2022. Application of extreme value theorem in modelling oil consumption of organisation of petroleum exporting countries.. </w:t>
              </w:r>
              <w:r w:rsidRPr="00672243">
                <w:rPr>
                  <w:rFonts w:ascii="Arial" w:hAnsi="Arial" w:cs="Arial"/>
                  <w:i/>
                  <w:iCs/>
                  <w:noProof/>
                  <w:lang w:val="en-US"/>
                </w:rPr>
                <w:t xml:space="preserve">International Journal of Business Forecasting and Marketing Intelligence, </w:t>
              </w:r>
              <w:r w:rsidRPr="00672243">
                <w:rPr>
                  <w:rFonts w:ascii="Arial" w:hAnsi="Arial" w:cs="Arial"/>
                  <w:noProof/>
                  <w:lang w:val="en-US"/>
                </w:rPr>
                <w:t>7(3), pp. 259-276.</w:t>
              </w:r>
            </w:p>
            <w:p w14:paraId="311766AC"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Buijtendijk, H., van Heiningen, J. &amp; Duineveld, M., 2021. The productive role of innovation in a large tourism organisation (TUI).. </w:t>
              </w:r>
              <w:r w:rsidRPr="00672243">
                <w:rPr>
                  <w:rFonts w:ascii="Arial" w:hAnsi="Arial" w:cs="Arial"/>
                  <w:i/>
                  <w:iCs/>
                  <w:noProof/>
                  <w:lang w:val="en-US"/>
                </w:rPr>
                <w:t xml:space="preserve">Tourism Management, </w:t>
              </w:r>
              <w:r w:rsidRPr="00672243">
                <w:rPr>
                  <w:rFonts w:ascii="Arial" w:hAnsi="Arial" w:cs="Arial"/>
                  <w:noProof/>
                  <w:lang w:val="en-US"/>
                </w:rPr>
                <w:t>Volume 85, p. 104312..</w:t>
              </w:r>
            </w:p>
            <w:p w14:paraId="69CAA9D3"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Cameron, E. &amp; Green, M., 2019. </w:t>
              </w:r>
              <w:r w:rsidRPr="00672243">
                <w:rPr>
                  <w:rFonts w:ascii="Arial" w:hAnsi="Arial" w:cs="Arial"/>
                  <w:i/>
                  <w:iCs/>
                  <w:noProof/>
                  <w:lang w:val="en-US"/>
                </w:rPr>
                <w:t xml:space="preserve">Making sense of change management: A complete guide to the models, tools and techniques of organizational change.. </w:t>
              </w:r>
              <w:r w:rsidRPr="00672243">
                <w:rPr>
                  <w:rFonts w:ascii="Arial" w:hAnsi="Arial" w:cs="Arial"/>
                  <w:noProof/>
                  <w:lang w:val="en-US"/>
                </w:rPr>
                <w:t>s.l.:Kogan Page Publishers..</w:t>
              </w:r>
            </w:p>
            <w:p w14:paraId="1EE1FF96"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corporate, 2019. </w:t>
              </w:r>
              <w:r w:rsidRPr="00672243">
                <w:rPr>
                  <w:rFonts w:ascii="Arial" w:hAnsi="Arial" w:cs="Arial"/>
                  <w:i/>
                  <w:iCs/>
                  <w:noProof/>
                  <w:lang w:val="en-US"/>
                </w:rPr>
                <w:t xml:space="preserve">Policies. </w:t>
              </w:r>
              <w:r w:rsidRPr="00672243">
                <w:rPr>
                  <w:rFonts w:ascii="Arial" w:hAnsi="Arial" w:cs="Arial"/>
                  <w:noProof/>
                  <w:lang w:val="en-US"/>
                </w:rPr>
                <w:t xml:space="preserve">[Online] </w:t>
              </w:r>
              <w:r w:rsidRPr="00672243">
                <w:rPr>
                  <w:rFonts w:ascii="Arial" w:hAnsi="Arial" w:cs="Arial"/>
                  <w:noProof/>
                  <w:lang w:val="en-US"/>
                </w:rPr>
                <w:br/>
                <w:t>Available at: https://corporate.easyjet.com/corporate-responsibility/policies</w:t>
              </w:r>
              <w:r w:rsidRPr="00672243">
                <w:rPr>
                  <w:rFonts w:ascii="Arial" w:hAnsi="Arial" w:cs="Arial"/>
                  <w:noProof/>
                  <w:lang w:val="en-US"/>
                </w:rPr>
                <w:br/>
                <w:t>[Accessed 2023].</w:t>
              </w:r>
            </w:p>
            <w:p w14:paraId="5F16E19A"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dspace, 2019. </w:t>
              </w:r>
              <w:r w:rsidRPr="00672243">
                <w:rPr>
                  <w:rFonts w:ascii="Arial" w:hAnsi="Arial" w:cs="Arial"/>
                  <w:i/>
                  <w:iCs/>
                  <w:noProof/>
                  <w:lang w:val="en-US"/>
                </w:rPr>
                <w:t xml:space="preserve">Airline key change drivers and business environmental analysis in the Southeast Asia: strategic planning perspectives. </w:t>
              </w:r>
              <w:r w:rsidRPr="00672243">
                <w:rPr>
                  <w:rFonts w:ascii="Arial" w:hAnsi="Arial" w:cs="Arial"/>
                  <w:noProof/>
                  <w:lang w:val="en-US"/>
                </w:rPr>
                <w:t xml:space="preserve">[Online] </w:t>
              </w:r>
              <w:r w:rsidRPr="00672243">
                <w:rPr>
                  <w:rFonts w:ascii="Arial" w:hAnsi="Arial" w:cs="Arial"/>
                  <w:noProof/>
                  <w:lang w:val="en-US"/>
                </w:rPr>
                <w:br/>
                <w:t>Available at: https://dspace.lib.cranfield.ac.uk/handle/1826/5727#:~:text=The%20research%20reveals%20that%20'market,discovered%20as%20key%20change%20drivers.</w:t>
              </w:r>
              <w:r w:rsidRPr="00672243">
                <w:rPr>
                  <w:rFonts w:ascii="Arial" w:hAnsi="Arial" w:cs="Arial"/>
                  <w:noProof/>
                  <w:lang w:val="en-US"/>
                </w:rPr>
                <w:br/>
                <w:t>[Accessed 2023].</w:t>
              </w:r>
            </w:p>
            <w:p w14:paraId="0BD9AF0F"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He, R. et al., 2019. How the trade barrier changes environmental costs of agricultural production: An implication derived from China's demand for soybean caused by the US-China trade war. </w:t>
              </w:r>
              <w:r w:rsidRPr="00672243">
                <w:rPr>
                  <w:rFonts w:ascii="Arial" w:hAnsi="Arial" w:cs="Arial"/>
                  <w:i/>
                  <w:iCs/>
                  <w:noProof/>
                  <w:lang w:val="en-US"/>
                </w:rPr>
                <w:t xml:space="preserve">Journal of Cleaner Production, </w:t>
              </w:r>
              <w:r w:rsidRPr="00672243">
                <w:rPr>
                  <w:rFonts w:ascii="Arial" w:hAnsi="Arial" w:cs="Arial"/>
                  <w:noProof/>
                  <w:lang w:val="en-US"/>
                </w:rPr>
                <w:t>Volume 227, pp. 578-588.</w:t>
              </w:r>
            </w:p>
            <w:p w14:paraId="391D8B52"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icao, 2020. </w:t>
              </w:r>
              <w:r w:rsidRPr="00672243">
                <w:rPr>
                  <w:rFonts w:ascii="Arial" w:hAnsi="Arial" w:cs="Arial"/>
                  <w:i/>
                  <w:iCs/>
                  <w:noProof/>
                  <w:lang w:val="en-US"/>
                </w:rPr>
                <w:t xml:space="preserve">Key Principles for a Safe, Secure and Sustainable Recovery. </w:t>
              </w:r>
              <w:r w:rsidRPr="00672243">
                <w:rPr>
                  <w:rFonts w:ascii="Arial" w:hAnsi="Arial" w:cs="Arial"/>
                  <w:noProof/>
                  <w:lang w:val="en-US"/>
                </w:rPr>
                <w:t xml:space="preserve">[Online] </w:t>
              </w:r>
              <w:r w:rsidRPr="00672243">
                <w:rPr>
                  <w:rFonts w:ascii="Arial" w:hAnsi="Arial" w:cs="Arial"/>
                  <w:noProof/>
                  <w:lang w:val="en-US"/>
                </w:rPr>
                <w:br/>
                <w:t>Available at: https://www.icao.int/covid/cart/Pages/Recommendations-III.aspx</w:t>
              </w:r>
              <w:r w:rsidRPr="00672243">
                <w:rPr>
                  <w:rFonts w:ascii="Arial" w:hAnsi="Arial" w:cs="Arial"/>
                  <w:noProof/>
                  <w:lang w:val="en-US"/>
                </w:rPr>
                <w:br/>
                <w:t>[Accessed 2023].</w:t>
              </w:r>
            </w:p>
            <w:p w14:paraId="3D769D75"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lastRenderedPageBreak/>
                <w:t xml:space="preserve">Larsen, J., Boje, D. &amp; Bruun, L., 2020. </w:t>
              </w:r>
              <w:r w:rsidRPr="00672243">
                <w:rPr>
                  <w:rFonts w:ascii="Arial" w:hAnsi="Arial" w:cs="Arial"/>
                  <w:i/>
                  <w:iCs/>
                  <w:noProof/>
                  <w:lang w:val="en-US"/>
                </w:rPr>
                <w:t xml:space="preserve">True storytelling: Seven principles for an ethical and sustainable change-management strategy. </w:t>
              </w:r>
              <w:r w:rsidRPr="00672243">
                <w:rPr>
                  <w:rFonts w:ascii="Arial" w:hAnsi="Arial" w:cs="Arial"/>
                  <w:noProof/>
                  <w:lang w:val="en-US"/>
                </w:rPr>
                <w:t>s.l.:Routledge..</w:t>
              </w:r>
            </w:p>
            <w:p w14:paraId="0A837516"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mageplaza, 2019. </w:t>
              </w:r>
              <w:r w:rsidRPr="00672243">
                <w:rPr>
                  <w:rFonts w:ascii="Arial" w:hAnsi="Arial" w:cs="Arial"/>
                  <w:i/>
                  <w:iCs/>
                  <w:noProof/>
                  <w:lang w:val="en-US"/>
                </w:rPr>
                <w:t xml:space="preserve">Top 10 Analytical Tools for Business Analysis. </w:t>
              </w:r>
              <w:r w:rsidRPr="00672243">
                <w:rPr>
                  <w:rFonts w:ascii="Arial" w:hAnsi="Arial" w:cs="Arial"/>
                  <w:noProof/>
                  <w:lang w:val="en-US"/>
                </w:rPr>
                <w:t xml:space="preserve">[Online] </w:t>
              </w:r>
              <w:r w:rsidRPr="00672243">
                <w:rPr>
                  <w:rFonts w:ascii="Arial" w:hAnsi="Arial" w:cs="Arial"/>
                  <w:noProof/>
                  <w:lang w:val="en-US"/>
                </w:rPr>
                <w:br/>
                <w:t>Available at: https://www.mageplaza.com/blog/top-10-analytical-tools-for-business-analysis.html</w:t>
              </w:r>
              <w:r w:rsidRPr="00672243">
                <w:rPr>
                  <w:rFonts w:ascii="Arial" w:hAnsi="Arial" w:cs="Arial"/>
                  <w:noProof/>
                  <w:lang w:val="en-US"/>
                </w:rPr>
                <w:br/>
                <w:t>[Accessed 2023].</w:t>
              </w:r>
            </w:p>
            <w:p w14:paraId="702F8FD3"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Rehman, N. et al., 2021. The psychology of resistance to change: The antidotal effect of organizational justice, support and leader-member exchange.. </w:t>
              </w:r>
              <w:r w:rsidRPr="00672243">
                <w:rPr>
                  <w:rFonts w:ascii="Arial" w:hAnsi="Arial" w:cs="Arial"/>
                  <w:i/>
                  <w:iCs/>
                  <w:noProof/>
                  <w:lang w:val="en-US"/>
                </w:rPr>
                <w:t xml:space="preserve">Frontiers in psychology, </w:t>
              </w:r>
              <w:r w:rsidRPr="00672243">
                <w:rPr>
                  <w:rFonts w:ascii="Arial" w:hAnsi="Arial" w:cs="Arial"/>
                  <w:noProof/>
                  <w:lang w:val="en-US"/>
                </w:rPr>
                <w:t>Volume 12, p. 678952.</w:t>
              </w:r>
            </w:p>
            <w:p w14:paraId="6BAD92C0" w14:textId="77777777" w:rsidR="00982682" w:rsidRPr="00672243" w:rsidRDefault="00982682" w:rsidP="00982682">
              <w:pPr>
                <w:pStyle w:val="Bibliography"/>
                <w:rPr>
                  <w:rFonts w:ascii="Arial" w:hAnsi="Arial" w:cs="Arial"/>
                  <w:noProof/>
                  <w:lang w:val="en-US"/>
                </w:rPr>
              </w:pPr>
              <w:r w:rsidRPr="00672243">
                <w:rPr>
                  <w:rFonts w:ascii="Arial" w:hAnsi="Arial" w:cs="Arial"/>
                  <w:noProof/>
                  <w:lang w:val="en-US"/>
                </w:rPr>
                <w:t xml:space="preserve">whatfix, 2020. </w:t>
              </w:r>
              <w:r w:rsidRPr="00672243">
                <w:rPr>
                  <w:rFonts w:ascii="Arial" w:hAnsi="Arial" w:cs="Arial"/>
                  <w:i/>
                  <w:iCs/>
                  <w:noProof/>
                  <w:lang w:val="en-US"/>
                </w:rPr>
                <w:t xml:space="preserve">10 Proven Change Management Models in 2023. </w:t>
              </w:r>
              <w:r w:rsidRPr="00672243">
                <w:rPr>
                  <w:rFonts w:ascii="Arial" w:hAnsi="Arial" w:cs="Arial"/>
                  <w:noProof/>
                  <w:lang w:val="en-US"/>
                </w:rPr>
                <w:t xml:space="preserve">[Online] </w:t>
              </w:r>
              <w:r w:rsidRPr="00672243">
                <w:rPr>
                  <w:rFonts w:ascii="Arial" w:hAnsi="Arial" w:cs="Arial"/>
                  <w:noProof/>
                  <w:lang w:val="en-US"/>
                </w:rPr>
                <w:br/>
                <w:t>Available at: https://whatfix.com/blog/10-change-management-models/</w:t>
              </w:r>
              <w:r w:rsidRPr="00672243">
                <w:rPr>
                  <w:rFonts w:ascii="Arial" w:hAnsi="Arial" w:cs="Arial"/>
                  <w:noProof/>
                  <w:lang w:val="en-US"/>
                </w:rPr>
                <w:br/>
                <w:t>[Accessed 2023].</w:t>
              </w:r>
            </w:p>
            <w:p w14:paraId="7CE3CEC0" w14:textId="77777777" w:rsidR="00982682" w:rsidRPr="00672243" w:rsidRDefault="00982682" w:rsidP="00982682">
              <w:pPr>
                <w:rPr>
                  <w:rFonts w:ascii="Arial" w:hAnsi="Arial" w:cs="Arial"/>
                </w:rPr>
              </w:pPr>
              <w:r w:rsidRPr="00672243">
                <w:rPr>
                  <w:rFonts w:ascii="Arial" w:hAnsi="Arial" w:cs="Arial"/>
                  <w:b/>
                  <w:bCs/>
                  <w:noProof/>
                </w:rPr>
                <w:fldChar w:fldCharType="end"/>
              </w:r>
            </w:p>
          </w:sdtContent>
        </w:sdt>
      </w:sdtContent>
    </w:sdt>
    <w:p w14:paraId="4A7F9775" w14:textId="77777777" w:rsidR="00007CCC" w:rsidRPr="00672243" w:rsidRDefault="00007CCC" w:rsidP="00007CCC">
      <w:pPr>
        <w:pStyle w:val="NormalWeb"/>
        <w:spacing w:before="0" w:beforeAutospacing="0" w:after="0" w:afterAutospacing="0" w:line="360" w:lineRule="auto"/>
        <w:jc w:val="both"/>
        <w:rPr>
          <w:rFonts w:ascii="Arial" w:hAnsi="Arial" w:cs="Arial"/>
        </w:rPr>
      </w:pPr>
    </w:p>
    <w:p w14:paraId="1BE23926" w14:textId="77777777" w:rsidR="00C47E70" w:rsidRPr="00672243" w:rsidRDefault="00C47E70" w:rsidP="00007CCC">
      <w:pPr>
        <w:rPr>
          <w:rFonts w:ascii="Arial" w:hAnsi="Arial" w:cs="Arial"/>
        </w:rPr>
      </w:pPr>
    </w:p>
    <w:sectPr w:rsidR="00C47E70" w:rsidRPr="0067224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7D3A4" w14:textId="77777777" w:rsidR="00BF19FE" w:rsidRDefault="00BF19FE" w:rsidP="00DE1D03">
      <w:pPr>
        <w:spacing w:after="0" w:line="240" w:lineRule="auto"/>
      </w:pPr>
      <w:r>
        <w:separator/>
      </w:r>
    </w:p>
  </w:endnote>
  <w:endnote w:type="continuationSeparator" w:id="0">
    <w:p w14:paraId="0290BF32" w14:textId="77777777" w:rsidR="00BF19FE" w:rsidRDefault="00BF19FE" w:rsidP="00DE1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399037"/>
      <w:docPartObj>
        <w:docPartGallery w:val="Page Numbers (Bottom of Page)"/>
        <w:docPartUnique/>
      </w:docPartObj>
    </w:sdtPr>
    <w:sdtEndPr>
      <w:rPr>
        <w:noProof/>
      </w:rPr>
    </w:sdtEndPr>
    <w:sdtContent>
      <w:p w14:paraId="04B5CE07" w14:textId="77777777" w:rsidR="00DE1D03" w:rsidRDefault="00DE1D03">
        <w:pPr>
          <w:pStyle w:val="Footer"/>
          <w:jc w:val="right"/>
        </w:pPr>
        <w:r>
          <w:fldChar w:fldCharType="begin"/>
        </w:r>
        <w:r>
          <w:instrText xml:space="preserve"> PAGE   \* MERGEFORMAT </w:instrText>
        </w:r>
        <w:r>
          <w:fldChar w:fldCharType="separate"/>
        </w:r>
        <w:r w:rsidR="00982682">
          <w:rPr>
            <w:noProof/>
          </w:rPr>
          <w:t>12</w:t>
        </w:r>
        <w:r>
          <w:rPr>
            <w:noProof/>
          </w:rPr>
          <w:fldChar w:fldCharType="end"/>
        </w:r>
      </w:p>
    </w:sdtContent>
  </w:sdt>
  <w:p w14:paraId="4DAD8397" w14:textId="77777777" w:rsidR="00DE1D03" w:rsidRDefault="00DE1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ADDAC" w14:textId="77777777" w:rsidR="00BF19FE" w:rsidRDefault="00BF19FE" w:rsidP="00DE1D03">
      <w:pPr>
        <w:spacing w:after="0" w:line="240" w:lineRule="auto"/>
      </w:pPr>
      <w:r>
        <w:separator/>
      </w:r>
    </w:p>
  </w:footnote>
  <w:footnote w:type="continuationSeparator" w:id="0">
    <w:p w14:paraId="278605EC" w14:textId="77777777" w:rsidR="00BF19FE" w:rsidRDefault="00BF19FE" w:rsidP="00DE1D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CCC"/>
    <w:rsid w:val="00007CCC"/>
    <w:rsid w:val="00056338"/>
    <w:rsid w:val="00672243"/>
    <w:rsid w:val="007E41FA"/>
    <w:rsid w:val="00982682"/>
    <w:rsid w:val="00AD18BC"/>
    <w:rsid w:val="00BF19FE"/>
    <w:rsid w:val="00C47E70"/>
    <w:rsid w:val="00D852A0"/>
    <w:rsid w:val="00DE1D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1386"/>
  <w15:chartTrackingRefBased/>
  <w15:docId w15:val="{A8AB6D6B-09FD-48F8-92F5-EF42B5DD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33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56338"/>
    <w:pPr>
      <w:keepNext/>
      <w:keepLines/>
      <w:spacing w:before="240" w:after="0"/>
      <w:outlineLvl w:val="0"/>
    </w:pPr>
    <w:rPr>
      <w:rFonts w:eastAsiaTheme="majorEastAsia" w:cstheme="majorBidi"/>
      <w:b/>
      <w:color w:val="2E74B5" w:themeColor="accent1" w:themeShade="BF"/>
      <w:sz w:val="32"/>
      <w:szCs w:val="32"/>
      <w:lang w:val="en-US"/>
    </w:rPr>
  </w:style>
  <w:style w:type="paragraph" w:styleId="Heading2">
    <w:name w:val="heading 2"/>
    <w:basedOn w:val="Normal"/>
    <w:next w:val="Normal"/>
    <w:link w:val="Heading2Char"/>
    <w:uiPriority w:val="9"/>
    <w:unhideWhenUsed/>
    <w:qFormat/>
    <w:rsid w:val="00056338"/>
    <w:pPr>
      <w:keepNext/>
      <w:keepLines/>
      <w:spacing w:before="40" w:after="0"/>
      <w:outlineLvl w:val="1"/>
    </w:pPr>
    <w:rPr>
      <w:rFonts w:eastAsiaTheme="majorEastAsia" w:cstheme="majorBidi"/>
      <w:b/>
      <w:color w:val="4472C4"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338"/>
    <w:rPr>
      <w:rFonts w:ascii="Times New Roman" w:eastAsiaTheme="majorEastAsia" w:hAnsi="Times New Roman" w:cstheme="majorBidi"/>
      <w:b/>
      <w:color w:val="2E74B5" w:themeColor="accent1" w:themeShade="BF"/>
      <w:sz w:val="32"/>
      <w:szCs w:val="32"/>
      <w:lang w:val="en-US"/>
    </w:rPr>
  </w:style>
  <w:style w:type="character" w:customStyle="1" w:styleId="Heading2Char">
    <w:name w:val="Heading 2 Char"/>
    <w:basedOn w:val="DefaultParagraphFont"/>
    <w:link w:val="Heading2"/>
    <w:uiPriority w:val="9"/>
    <w:rsid w:val="00056338"/>
    <w:rPr>
      <w:rFonts w:ascii="Times New Roman" w:eastAsiaTheme="majorEastAsia" w:hAnsi="Times New Roman" w:cstheme="majorBidi"/>
      <w:b/>
      <w:color w:val="4472C4" w:themeColor="accent5"/>
      <w:sz w:val="28"/>
      <w:szCs w:val="26"/>
    </w:rPr>
  </w:style>
  <w:style w:type="paragraph" w:styleId="NormalWeb">
    <w:name w:val="Normal (Web)"/>
    <w:basedOn w:val="Normal"/>
    <w:uiPriority w:val="99"/>
    <w:unhideWhenUsed/>
    <w:rsid w:val="00007CCC"/>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DE1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D03"/>
    <w:rPr>
      <w:rFonts w:ascii="Times New Roman" w:hAnsi="Times New Roman"/>
      <w:sz w:val="24"/>
    </w:rPr>
  </w:style>
  <w:style w:type="paragraph" w:styleId="Footer">
    <w:name w:val="footer"/>
    <w:basedOn w:val="Normal"/>
    <w:link w:val="FooterChar"/>
    <w:uiPriority w:val="99"/>
    <w:unhideWhenUsed/>
    <w:rsid w:val="00DE1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D03"/>
    <w:rPr>
      <w:rFonts w:ascii="Times New Roman" w:hAnsi="Times New Roman"/>
      <w:sz w:val="24"/>
    </w:rPr>
  </w:style>
  <w:style w:type="paragraph" w:styleId="TOCHeading">
    <w:name w:val="TOC Heading"/>
    <w:basedOn w:val="Heading1"/>
    <w:next w:val="Normal"/>
    <w:uiPriority w:val="39"/>
    <w:unhideWhenUsed/>
    <w:qFormat/>
    <w:rsid w:val="00DE1D03"/>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E1D03"/>
    <w:pPr>
      <w:spacing w:after="100"/>
    </w:pPr>
  </w:style>
  <w:style w:type="character" w:styleId="Hyperlink">
    <w:name w:val="Hyperlink"/>
    <w:basedOn w:val="DefaultParagraphFont"/>
    <w:uiPriority w:val="99"/>
    <w:unhideWhenUsed/>
    <w:rsid w:val="00DE1D03"/>
    <w:rPr>
      <w:color w:val="0563C1" w:themeColor="hyperlink"/>
      <w:u w:val="single"/>
    </w:rPr>
  </w:style>
  <w:style w:type="paragraph" w:styleId="Bibliography">
    <w:name w:val="Bibliography"/>
    <w:basedOn w:val="Normal"/>
    <w:next w:val="Normal"/>
    <w:uiPriority w:val="37"/>
    <w:unhideWhenUsed/>
    <w:rsid w:val="00982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7977">
      <w:bodyDiv w:val="1"/>
      <w:marLeft w:val="0"/>
      <w:marRight w:val="0"/>
      <w:marTop w:val="0"/>
      <w:marBottom w:val="0"/>
      <w:divBdr>
        <w:top w:val="none" w:sz="0" w:space="0" w:color="auto"/>
        <w:left w:val="none" w:sz="0" w:space="0" w:color="auto"/>
        <w:bottom w:val="none" w:sz="0" w:space="0" w:color="auto"/>
        <w:right w:val="none" w:sz="0" w:space="0" w:color="auto"/>
      </w:divBdr>
    </w:div>
    <w:div w:id="253322971">
      <w:bodyDiv w:val="1"/>
      <w:marLeft w:val="0"/>
      <w:marRight w:val="0"/>
      <w:marTop w:val="0"/>
      <w:marBottom w:val="0"/>
      <w:divBdr>
        <w:top w:val="none" w:sz="0" w:space="0" w:color="auto"/>
        <w:left w:val="none" w:sz="0" w:space="0" w:color="auto"/>
        <w:bottom w:val="none" w:sz="0" w:space="0" w:color="auto"/>
        <w:right w:val="none" w:sz="0" w:space="0" w:color="auto"/>
      </w:divBdr>
    </w:div>
    <w:div w:id="558252613">
      <w:bodyDiv w:val="1"/>
      <w:marLeft w:val="0"/>
      <w:marRight w:val="0"/>
      <w:marTop w:val="0"/>
      <w:marBottom w:val="0"/>
      <w:divBdr>
        <w:top w:val="none" w:sz="0" w:space="0" w:color="auto"/>
        <w:left w:val="none" w:sz="0" w:space="0" w:color="auto"/>
        <w:bottom w:val="none" w:sz="0" w:space="0" w:color="auto"/>
        <w:right w:val="none" w:sz="0" w:space="0" w:color="auto"/>
      </w:divBdr>
    </w:div>
    <w:div w:id="644243889">
      <w:bodyDiv w:val="1"/>
      <w:marLeft w:val="0"/>
      <w:marRight w:val="0"/>
      <w:marTop w:val="0"/>
      <w:marBottom w:val="0"/>
      <w:divBdr>
        <w:top w:val="none" w:sz="0" w:space="0" w:color="auto"/>
        <w:left w:val="none" w:sz="0" w:space="0" w:color="auto"/>
        <w:bottom w:val="none" w:sz="0" w:space="0" w:color="auto"/>
        <w:right w:val="none" w:sz="0" w:space="0" w:color="auto"/>
      </w:divBdr>
    </w:div>
    <w:div w:id="671106033">
      <w:bodyDiv w:val="1"/>
      <w:marLeft w:val="0"/>
      <w:marRight w:val="0"/>
      <w:marTop w:val="0"/>
      <w:marBottom w:val="0"/>
      <w:divBdr>
        <w:top w:val="none" w:sz="0" w:space="0" w:color="auto"/>
        <w:left w:val="none" w:sz="0" w:space="0" w:color="auto"/>
        <w:bottom w:val="none" w:sz="0" w:space="0" w:color="auto"/>
        <w:right w:val="none" w:sz="0" w:space="0" w:color="auto"/>
      </w:divBdr>
    </w:div>
    <w:div w:id="697124244">
      <w:bodyDiv w:val="1"/>
      <w:marLeft w:val="0"/>
      <w:marRight w:val="0"/>
      <w:marTop w:val="0"/>
      <w:marBottom w:val="0"/>
      <w:divBdr>
        <w:top w:val="none" w:sz="0" w:space="0" w:color="auto"/>
        <w:left w:val="none" w:sz="0" w:space="0" w:color="auto"/>
        <w:bottom w:val="none" w:sz="0" w:space="0" w:color="auto"/>
        <w:right w:val="none" w:sz="0" w:space="0" w:color="auto"/>
      </w:divBdr>
    </w:div>
    <w:div w:id="791174552">
      <w:bodyDiv w:val="1"/>
      <w:marLeft w:val="0"/>
      <w:marRight w:val="0"/>
      <w:marTop w:val="0"/>
      <w:marBottom w:val="0"/>
      <w:divBdr>
        <w:top w:val="none" w:sz="0" w:space="0" w:color="auto"/>
        <w:left w:val="none" w:sz="0" w:space="0" w:color="auto"/>
        <w:bottom w:val="none" w:sz="0" w:space="0" w:color="auto"/>
        <w:right w:val="none" w:sz="0" w:space="0" w:color="auto"/>
      </w:divBdr>
    </w:div>
    <w:div w:id="936064794">
      <w:bodyDiv w:val="1"/>
      <w:marLeft w:val="0"/>
      <w:marRight w:val="0"/>
      <w:marTop w:val="0"/>
      <w:marBottom w:val="0"/>
      <w:divBdr>
        <w:top w:val="none" w:sz="0" w:space="0" w:color="auto"/>
        <w:left w:val="none" w:sz="0" w:space="0" w:color="auto"/>
        <w:bottom w:val="none" w:sz="0" w:space="0" w:color="auto"/>
        <w:right w:val="none" w:sz="0" w:space="0" w:color="auto"/>
      </w:divBdr>
    </w:div>
    <w:div w:id="964123484">
      <w:bodyDiv w:val="1"/>
      <w:marLeft w:val="0"/>
      <w:marRight w:val="0"/>
      <w:marTop w:val="0"/>
      <w:marBottom w:val="0"/>
      <w:divBdr>
        <w:top w:val="none" w:sz="0" w:space="0" w:color="auto"/>
        <w:left w:val="none" w:sz="0" w:space="0" w:color="auto"/>
        <w:bottom w:val="none" w:sz="0" w:space="0" w:color="auto"/>
        <w:right w:val="none" w:sz="0" w:space="0" w:color="auto"/>
      </w:divBdr>
    </w:div>
    <w:div w:id="1070928103">
      <w:bodyDiv w:val="1"/>
      <w:marLeft w:val="0"/>
      <w:marRight w:val="0"/>
      <w:marTop w:val="0"/>
      <w:marBottom w:val="0"/>
      <w:divBdr>
        <w:top w:val="none" w:sz="0" w:space="0" w:color="auto"/>
        <w:left w:val="none" w:sz="0" w:space="0" w:color="auto"/>
        <w:bottom w:val="none" w:sz="0" w:space="0" w:color="auto"/>
        <w:right w:val="none" w:sz="0" w:space="0" w:color="auto"/>
      </w:divBdr>
    </w:div>
    <w:div w:id="1080516071">
      <w:bodyDiv w:val="1"/>
      <w:marLeft w:val="0"/>
      <w:marRight w:val="0"/>
      <w:marTop w:val="0"/>
      <w:marBottom w:val="0"/>
      <w:divBdr>
        <w:top w:val="none" w:sz="0" w:space="0" w:color="auto"/>
        <w:left w:val="none" w:sz="0" w:space="0" w:color="auto"/>
        <w:bottom w:val="none" w:sz="0" w:space="0" w:color="auto"/>
        <w:right w:val="none" w:sz="0" w:space="0" w:color="auto"/>
      </w:divBdr>
    </w:div>
    <w:div w:id="1243756191">
      <w:bodyDiv w:val="1"/>
      <w:marLeft w:val="0"/>
      <w:marRight w:val="0"/>
      <w:marTop w:val="0"/>
      <w:marBottom w:val="0"/>
      <w:divBdr>
        <w:top w:val="none" w:sz="0" w:space="0" w:color="auto"/>
        <w:left w:val="none" w:sz="0" w:space="0" w:color="auto"/>
        <w:bottom w:val="none" w:sz="0" w:space="0" w:color="auto"/>
        <w:right w:val="none" w:sz="0" w:space="0" w:color="auto"/>
      </w:divBdr>
    </w:div>
    <w:div w:id="1434978173">
      <w:bodyDiv w:val="1"/>
      <w:marLeft w:val="0"/>
      <w:marRight w:val="0"/>
      <w:marTop w:val="0"/>
      <w:marBottom w:val="0"/>
      <w:divBdr>
        <w:top w:val="none" w:sz="0" w:space="0" w:color="auto"/>
        <w:left w:val="none" w:sz="0" w:space="0" w:color="auto"/>
        <w:bottom w:val="none" w:sz="0" w:space="0" w:color="auto"/>
        <w:right w:val="none" w:sz="0" w:space="0" w:color="auto"/>
      </w:divBdr>
    </w:div>
    <w:div w:id="1437408203">
      <w:bodyDiv w:val="1"/>
      <w:marLeft w:val="0"/>
      <w:marRight w:val="0"/>
      <w:marTop w:val="0"/>
      <w:marBottom w:val="0"/>
      <w:divBdr>
        <w:top w:val="none" w:sz="0" w:space="0" w:color="auto"/>
        <w:left w:val="none" w:sz="0" w:space="0" w:color="auto"/>
        <w:bottom w:val="none" w:sz="0" w:space="0" w:color="auto"/>
        <w:right w:val="none" w:sz="0" w:space="0" w:color="auto"/>
      </w:divBdr>
    </w:div>
    <w:div w:id="1441219079">
      <w:bodyDiv w:val="1"/>
      <w:marLeft w:val="0"/>
      <w:marRight w:val="0"/>
      <w:marTop w:val="0"/>
      <w:marBottom w:val="0"/>
      <w:divBdr>
        <w:top w:val="none" w:sz="0" w:space="0" w:color="auto"/>
        <w:left w:val="none" w:sz="0" w:space="0" w:color="auto"/>
        <w:bottom w:val="none" w:sz="0" w:space="0" w:color="auto"/>
        <w:right w:val="none" w:sz="0" w:space="0" w:color="auto"/>
      </w:divBdr>
    </w:div>
    <w:div w:id="1777020039">
      <w:bodyDiv w:val="1"/>
      <w:marLeft w:val="0"/>
      <w:marRight w:val="0"/>
      <w:marTop w:val="0"/>
      <w:marBottom w:val="0"/>
      <w:divBdr>
        <w:top w:val="none" w:sz="0" w:space="0" w:color="auto"/>
        <w:left w:val="none" w:sz="0" w:space="0" w:color="auto"/>
        <w:bottom w:val="none" w:sz="0" w:space="0" w:color="auto"/>
        <w:right w:val="none" w:sz="0" w:space="0" w:color="auto"/>
      </w:divBdr>
    </w:div>
    <w:div w:id="1798260867">
      <w:bodyDiv w:val="1"/>
      <w:marLeft w:val="0"/>
      <w:marRight w:val="0"/>
      <w:marTop w:val="0"/>
      <w:marBottom w:val="0"/>
      <w:divBdr>
        <w:top w:val="none" w:sz="0" w:space="0" w:color="auto"/>
        <w:left w:val="none" w:sz="0" w:space="0" w:color="auto"/>
        <w:bottom w:val="none" w:sz="0" w:space="0" w:color="auto"/>
        <w:right w:val="none" w:sz="0" w:space="0" w:color="auto"/>
      </w:divBdr>
    </w:div>
    <w:div w:id="1867257680">
      <w:bodyDiv w:val="1"/>
      <w:marLeft w:val="0"/>
      <w:marRight w:val="0"/>
      <w:marTop w:val="0"/>
      <w:marBottom w:val="0"/>
      <w:divBdr>
        <w:top w:val="none" w:sz="0" w:space="0" w:color="auto"/>
        <w:left w:val="none" w:sz="0" w:space="0" w:color="auto"/>
        <w:bottom w:val="none" w:sz="0" w:space="0" w:color="auto"/>
        <w:right w:val="none" w:sz="0" w:space="0" w:color="auto"/>
      </w:divBdr>
    </w:div>
    <w:div w:id="2003922014">
      <w:bodyDiv w:val="1"/>
      <w:marLeft w:val="0"/>
      <w:marRight w:val="0"/>
      <w:marTop w:val="0"/>
      <w:marBottom w:val="0"/>
      <w:divBdr>
        <w:top w:val="none" w:sz="0" w:space="0" w:color="auto"/>
        <w:left w:val="none" w:sz="0" w:space="0" w:color="auto"/>
        <w:bottom w:val="none" w:sz="0" w:space="0" w:color="auto"/>
        <w:right w:val="none" w:sz="0" w:space="0" w:color="auto"/>
      </w:divBdr>
    </w:div>
    <w:div w:id="203163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wha20</b:Tag>
    <b:SourceType>InternetSite</b:SourceType>
    <b:Guid>{630F5F37-31FA-47AD-96C8-F5416AAE9EB4}</b:Guid>
    <b:Title>10 Proven Change Management Models in 2023</b:Title>
    <b:Year>2020</b:Year>
    <b:Author>
      <b:Author>
        <b:Corporate>whatfix</b:Corporate>
      </b:Author>
    </b:Author>
    <b:YearAccessed>2023</b:YearAccessed>
    <b:URL>https://whatfix.com/blog/10-change-management-models/</b:URL>
    <b:RefOrder>7</b:RefOrder>
  </b:Source>
  <b:Source>
    <b:Tag>Abd19</b:Tag>
    <b:SourceType>JournalArticle</b:SourceType>
    <b:Guid>{D8CB01B8-CAEF-42F6-877E-568929317142}</b:Guid>
    <b:Title>Decreased pediatric trauma length of stay and improved disposition with implementation of Lewin's change model.</b:Title>
    <b:Year>2019</b:Year>
    <b:Author>
      <b:Author>
        <b:NameList>
          <b:Person>
            <b:Last>Abd El-Shafy</b:Last>
            <b:First>I.</b:First>
          </b:Person>
          <b:Person>
            <b:Last>Zapke</b:Last>
            <b:First>J.</b:First>
          </b:Person>
          <b:Person>
            <b:Last>Sargeant</b:Last>
            <b:First>D.</b:First>
          </b:Person>
          <b:Person>
            <b:Last>Prince</b:Last>
            <b:First>J.M.</b:First>
          </b:Person>
          <b:Person>
            <b:Last>Christopherson</b:Last>
            <b:First>N.A.</b:First>
          </b:Person>
        </b:NameList>
      </b:Author>
    </b:Author>
    <b:JournalName> Journal of Trauma Nursing| JTN</b:JournalName>
    <b:Pages>84-88</b:Pages>
    <b:Volume>26</b:Volume>
    <b:Issue>2</b:Issue>
    <b:RefOrder>2</b:RefOrder>
  </b:Source>
  <b:Source>
    <b:Tag>Cam19</b:Tag>
    <b:SourceType>Book</b:SourceType>
    <b:Guid>{373C0C10-D7C0-47F1-98FD-081913BB888A}</b:Guid>
    <b:Title>Making sense of change management: A complete guide to the models, tools and techniques of organizational change. </b:Title>
    <b:Year>2019</b:Year>
    <b:Author>
      <b:Author>
        <b:NameList>
          <b:Person>
            <b:Last>Cameron</b:Last>
            <b:First>E.</b:First>
          </b:Person>
          <b:Person>
            <b:Last>Green</b:Last>
            <b:First>M.</b:First>
          </b:Person>
        </b:NameList>
      </b:Author>
    </b:Author>
    <b:Publisher>Kogan Page Publishers.</b:Publisher>
    <b:RefOrder>4</b:RefOrder>
  </b:Source>
  <b:Source>
    <b:Tag>HeR19</b:Tag>
    <b:SourceType>JournalArticle</b:SourceType>
    <b:Guid>{54243B49-44FB-4072-9726-E873B3813E2A}</b:Guid>
    <b:Title>How the trade barrier changes environmental costs of agricultural production: An implication derived from China's demand for soybean caused by the US-China trade war</b:Title>
    <b:Year>2019</b:Year>
    <b:Author>
      <b:Author>
        <b:NameList>
          <b:Person>
            <b:Last>He</b:Last>
            <b:First>R.</b:First>
          </b:Person>
          <b:Person>
            <b:Last>Zhu</b:Last>
            <b:First>D.</b:First>
          </b:Person>
          <b:Person>
            <b:Last>Chen</b:Last>
            <b:First>X.</b:First>
          </b:Person>
          <b:Person>
            <b:Last>Cao</b:Last>
            <b:First>Y.</b:First>
          </b:Person>
          <b:Person>
            <b:Last>Chen</b:Last>
            <b:First>Y.</b:First>
          </b:Person>
          <b:Person>
            <b:Last>Wang</b:Last>
            <b:First>X.</b:First>
          </b:Person>
        </b:NameList>
      </b:Author>
    </b:Author>
    <b:JournalName>Journal of Cleaner Production</b:JournalName>
    <b:Pages>578-588</b:Pages>
    <b:Volume>227</b:Volume>
    <b:RefOrder>11</b:RefOrder>
  </b:Source>
  <b:Source>
    <b:Tag>Lar20</b:Tag>
    <b:SourceType>Book</b:SourceType>
    <b:Guid>{EE498232-0F83-4D48-9443-903E055F404A}</b:Guid>
    <b:Author>
      <b:Author>
        <b:NameList>
          <b:Person>
            <b:Last>Larsen</b:Last>
            <b:First>J.</b:First>
          </b:Person>
          <b:Person>
            <b:Last>Boje</b:Last>
            <b:First>D.M.</b:First>
          </b:Person>
          <b:Person>
            <b:Last>Bruun</b:Last>
            <b:First>L.</b:First>
          </b:Person>
        </b:NameList>
      </b:Author>
    </b:Author>
    <b:Title>True storytelling: Seven principles for an ethical and sustainable change-management strategy</b:Title>
    <b:Year>2020</b:Year>
    <b:Publisher>Routledge.</b:Publisher>
    <b:RefOrder>6</b:RefOrder>
  </b:Source>
  <b:Source>
    <b:Tag>Reh21</b:Tag>
    <b:SourceType>JournalArticle</b:SourceType>
    <b:Guid>{127EF167-2D0A-45D2-99FD-F96B5A5497A2}</b:Guid>
    <b:Author>
      <b:Author>
        <b:NameList>
          <b:Person>
            <b:Last>Rehman</b:Last>
            <b:First>N.</b:First>
          </b:Person>
          <b:Person>
            <b:Last>Mahmood</b:Last>
            <b:First>A.</b:First>
          </b:Person>
          <b:Person>
            <b:Last>Ibtasam</b:Last>
            <b:First>M.</b:First>
          </b:Person>
          <b:Person>
            <b:Last>Murtaza</b:Last>
            <b:First>S.A.</b:First>
          </b:Person>
          <b:Person>
            <b:Last>Iqbal</b:Last>
            <b:First>N.</b:First>
          </b:Person>
          <b:Person>
            <b:Last>Molnár</b:Last>
            <b:First>E.</b:First>
          </b:Person>
        </b:NameList>
      </b:Author>
    </b:Author>
    <b:Title>The psychology of resistance to change: The antidotal effect of organizational justice, support and leader-member exchange. </b:Title>
    <b:JournalName>Frontiers in psychology</b:JournalName>
    <b:Year>2021</b:Year>
    <b:Pages>678952</b:Pages>
    <b:Volume>12</b:Volume>
    <b:RefOrder>12</b:RefOrder>
  </b:Source>
  <b:Source>
    <b:Tag>Bua22</b:Tag>
    <b:SourceType>JournalArticle</b:SourceType>
    <b:Guid>{44A8BA8C-607E-4AF8-9AD3-DC061ECC808F}</b:Guid>
    <b:Title>Application of extreme value theorem in modelling oil consumption of organisation of petroleum exporting countries. </b:Title>
    <b:Year>2022</b:Year>
    <b:Author>
      <b:Author>
        <b:NameList>
          <b:Person>
            <b:Last>Buah</b:Last>
            <b:First>M.A.</b:First>
          </b:Person>
          <b:Person>
            <b:Last>Temeng</b:Last>
            <b:First>V.A.</b:First>
          </b:Person>
          <b:Person>
            <b:Last>Addo</b:Last>
            <b:First>S.K.A.</b:First>
          </b:Person>
          <b:Person>
            <b:Last>Ziggah</b:Last>
            <b:First>Y.Y.</b:First>
          </b:Person>
        </b:NameList>
      </b:Author>
    </b:Author>
    <b:JournalName>International Journal of Business Forecasting and Marketing Intelligence</b:JournalName>
    <b:Pages>259-276</b:Pages>
    <b:Volume>7</b:Volume>
    <b:Issue>3</b:Issue>
    <b:RefOrder>3</b:RefOrder>
  </b:Source>
  <b:Source>
    <b:Tag>Bui21</b:Tag>
    <b:SourceType>JournalArticle</b:SourceType>
    <b:Guid>{42525594-5589-495F-98A2-9B9D82C36908}</b:Guid>
    <b:Author>
      <b:Author>
        <b:NameList>
          <b:Person>
            <b:Last>Buijtendijk</b:Last>
            <b:First>H.</b:First>
          </b:Person>
          <b:Person>
            <b:Last>van Heiningen</b:Last>
            <b:First>J.</b:First>
          </b:Person>
          <b:Person>
            <b:Last>Duineveld</b:Last>
            <b:First>M.</b:First>
          </b:Person>
        </b:NameList>
      </b:Author>
    </b:Author>
    <b:Title>The productive role of innovation in a large tourism organisation (TUI). </b:Title>
    <b:JournalName>Tourism Management</b:JournalName>
    <b:Year>2021</b:Year>
    <b:Pages>104312.</b:Pages>
    <b:Volume>85</b:Volume>
    <b:RefOrder>10</b:RefOrder>
  </b:Source>
  <b:Source>
    <b:Tag>dsp19</b:Tag>
    <b:SourceType>InternetSite</b:SourceType>
    <b:Guid>{D966F669-2BA5-4EA2-858D-79C52DC959C1}</b:Guid>
    <b:Title>Airline key change drivers and business environmental analysis in the Southeast Asia: strategic planning perspectives</b:Title>
    <b:Year>2019</b:Year>
    <b:Author>
      <b:Author>
        <b:Corporate>dspace</b:Corporate>
      </b:Author>
    </b:Author>
    <b:YearAccessed>2023</b:YearAccessed>
    <b:URL>https://dspace.lib.cranfield.ac.uk/handle/1826/5727#:~:text=The%20research%20reveals%20that%20'market,discovered%20as%20key%20change%20drivers.</b:URL>
    <b:RefOrder>8</b:RefOrder>
  </b:Source>
  <b:Source>
    <b:Tag>mag19</b:Tag>
    <b:SourceType>InternetSite</b:SourceType>
    <b:Guid>{73BC9DCF-FED9-4E22-B2B6-49748ECD1965}</b:Guid>
    <b:Author>
      <b:Author>
        <b:Corporate>mageplaza</b:Corporate>
      </b:Author>
    </b:Author>
    <b:Title>Top 10 Analytical Tools for Business Analysis</b:Title>
    <b:Year>2019</b:Year>
    <b:YearAccessed>2023</b:YearAccessed>
    <b:URL>https://www.mageplaza.com/blog/top-10-analytical-tools-for-business-analysis.html</b:URL>
    <b:RefOrder>9</b:RefOrder>
  </b:Source>
  <b:Source>
    <b:Tag>cor19</b:Tag>
    <b:SourceType>InternetSite</b:SourceType>
    <b:Guid>{D1A4996F-6A60-4B9A-BBBD-21D0D2EE4274}</b:Guid>
    <b:Author>
      <b:Author>
        <b:Corporate>corporate</b:Corporate>
      </b:Author>
    </b:Author>
    <b:Title>Policies</b:Title>
    <b:Year>2019</b:Year>
    <b:YearAccessed>2023</b:YearAccessed>
    <b:URL>https://corporate.easyjet.com/corporate-responsibility/policies</b:URL>
    <b:RefOrder>1</b:RefOrder>
  </b:Source>
  <b:Source>
    <b:Tag>ica20</b:Tag>
    <b:SourceType>InternetSite</b:SourceType>
    <b:Guid>{BB46C0E4-67DD-4A28-94E3-664A0960AF41}</b:Guid>
    <b:Author>
      <b:Author>
        <b:Corporate>icao</b:Corporate>
      </b:Author>
    </b:Author>
    <b:Title>Key Principles for a Safe, Secure and Sustainable Recovery</b:Title>
    <b:Year>2020</b:Year>
    <b:YearAccessed>2023</b:YearAccessed>
    <b:URL>https://www.icao.int/covid/cart/Pages/Recommendations-III.aspx</b:URL>
    <b:RefOrder>5</b:RefOrder>
  </b:Source>
</b:Sources>
</file>

<file path=customXml/itemProps1.xml><?xml version="1.0" encoding="utf-8"?>
<ds:datastoreItem xmlns:ds="http://schemas.openxmlformats.org/officeDocument/2006/customXml" ds:itemID="{83EDC94D-DEA0-4AAF-AC0C-BFF3F84A0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3870</Words>
  <Characters>22065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Mihaiela Petreanu</cp:lastModifiedBy>
  <cp:revision>13</cp:revision>
  <dcterms:created xsi:type="dcterms:W3CDTF">2023-04-11T11:15:00Z</dcterms:created>
  <dcterms:modified xsi:type="dcterms:W3CDTF">2023-04-16T17:18:00Z</dcterms:modified>
</cp:coreProperties>
</file>