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F60FE" w:rsidRDefault="00FF60FE" w:rsidP="00FF60FE">
      <w:pPr>
        <w:pStyle w:val="Normal1"/>
        <w:pBdr>
          <w:top w:val="nil"/>
          <w:left w:val="nil"/>
          <w:bottom w:val="nil"/>
          <w:right w:val="nil"/>
          <w:between w:val="nil"/>
        </w:pBdr>
        <w:jc w:val="center"/>
        <w:rPr>
          <w:b/>
          <w:color w:val="000000"/>
        </w:rPr>
      </w:pPr>
      <w:r>
        <w:rPr>
          <w:b/>
          <w:noProof/>
          <w:color w:val="000000"/>
          <w:lang w:val="en-IN" w:eastAsia="en-IN"/>
        </w:rPr>
        <w:drawing>
          <wp:inline distT="114300" distB="114300" distL="114300" distR="114300" wp14:anchorId="3BA1DAF1" wp14:editId="4B5917B5">
            <wp:extent cx="4863634" cy="20983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863634" cy="2098375"/>
                    </a:xfrm>
                    <a:prstGeom prst="rect">
                      <a:avLst/>
                    </a:prstGeom>
                  </pic:spPr>
                </pic:pic>
              </a:graphicData>
            </a:graphic>
          </wp:inline>
        </w:drawing>
      </w:r>
    </w:p>
    <w:p w:rsidR="00FF60FE" w:rsidRDefault="00FF60FE" w:rsidP="00FF60FE">
      <w:pPr>
        <w:pStyle w:val="Normal1"/>
        <w:pBdr>
          <w:top w:val="nil"/>
          <w:left w:val="nil"/>
          <w:bottom w:val="nil"/>
          <w:right w:val="nil"/>
          <w:between w:val="nil"/>
        </w:pBdr>
        <w:jc w:val="center"/>
        <w:rPr>
          <w:b/>
          <w:color w:val="000000"/>
          <w:sz w:val="36"/>
          <w:szCs w:val="36"/>
        </w:rPr>
      </w:pPr>
      <w:r>
        <w:rPr>
          <w:b/>
          <w:color w:val="000000"/>
          <w:sz w:val="36"/>
          <w:szCs w:val="36"/>
        </w:rPr>
        <w:t>Module Name: Strategic Management</w:t>
      </w:r>
    </w:p>
    <w:p w:rsidR="00FF60FE" w:rsidRDefault="00FF60FE" w:rsidP="00FF60FE">
      <w:pPr>
        <w:pStyle w:val="Normal1"/>
        <w:pBdr>
          <w:top w:val="nil"/>
          <w:left w:val="nil"/>
          <w:bottom w:val="nil"/>
          <w:right w:val="nil"/>
          <w:between w:val="nil"/>
        </w:pBdr>
        <w:jc w:val="center"/>
        <w:rPr>
          <w:b/>
          <w:color w:val="000000"/>
          <w:sz w:val="36"/>
          <w:szCs w:val="36"/>
        </w:rPr>
      </w:pPr>
      <w:r>
        <w:rPr>
          <w:b/>
          <w:color w:val="000000"/>
          <w:sz w:val="36"/>
          <w:szCs w:val="36"/>
        </w:rPr>
        <w:t>Module code: LCMB7003</w:t>
      </w:r>
    </w:p>
    <w:p w:rsidR="00FF60FE" w:rsidRDefault="00FF60FE" w:rsidP="00FF60FE">
      <w:pPr>
        <w:pStyle w:val="Normal1"/>
        <w:pBdr>
          <w:top w:val="nil"/>
          <w:left w:val="nil"/>
          <w:bottom w:val="nil"/>
          <w:right w:val="nil"/>
          <w:between w:val="nil"/>
        </w:pBdr>
        <w:jc w:val="center"/>
        <w:rPr>
          <w:color w:val="000000"/>
        </w:rPr>
      </w:pPr>
      <w:r>
        <w:rPr>
          <w:color w:val="000000"/>
        </w:rPr>
        <w:t>Student Name:</w:t>
      </w:r>
      <w:r w:rsidR="002A3C0C">
        <w:rPr>
          <w:color w:val="000000"/>
        </w:rPr>
        <w:t xml:space="preserve"> Niral Patel</w:t>
      </w:r>
    </w:p>
    <w:p w:rsidR="00FF60FE" w:rsidRDefault="00FF60FE" w:rsidP="00FF60FE">
      <w:pPr>
        <w:pStyle w:val="Normal1"/>
        <w:pBdr>
          <w:top w:val="nil"/>
          <w:left w:val="nil"/>
          <w:bottom w:val="nil"/>
          <w:right w:val="nil"/>
          <w:between w:val="nil"/>
        </w:pBdr>
        <w:jc w:val="center"/>
        <w:rPr>
          <w:color w:val="000000"/>
        </w:rPr>
      </w:pPr>
      <w:r>
        <w:rPr>
          <w:color w:val="000000"/>
        </w:rPr>
        <w:t>Student ID:</w:t>
      </w:r>
      <w:r w:rsidR="002A3C0C">
        <w:rPr>
          <w:color w:val="000000"/>
        </w:rPr>
        <w:t xml:space="preserve"> 2238953</w:t>
      </w:r>
    </w:p>
    <w:p w:rsidR="00FF60FE" w:rsidRDefault="00FF60FE" w:rsidP="00FF60FE">
      <w:pPr>
        <w:pStyle w:val="Normal1"/>
        <w:pBdr>
          <w:top w:val="nil"/>
          <w:left w:val="nil"/>
          <w:bottom w:val="nil"/>
          <w:right w:val="nil"/>
          <w:between w:val="nil"/>
        </w:pBdr>
        <w:jc w:val="center"/>
        <w:rPr>
          <w:color w:val="000000"/>
        </w:rPr>
      </w:pPr>
      <w:r>
        <w:rPr>
          <w:color w:val="000000"/>
        </w:rPr>
        <w:t>Date:</w:t>
      </w:r>
      <w:r w:rsidR="002A3C0C">
        <w:rPr>
          <w:color w:val="000000"/>
        </w:rPr>
        <w:t xml:space="preserve"> 03/05/2024</w:t>
      </w:r>
    </w:p>
    <w:p w:rsidR="00FF60FE" w:rsidRDefault="00FF60FE" w:rsidP="002A3C0C">
      <w:pPr>
        <w:pStyle w:val="Normal1"/>
        <w:pBdr>
          <w:top w:val="nil"/>
          <w:left w:val="nil"/>
          <w:bottom w:val="nil"/>
          <w:right w:val="nil"/>
          <w:between w:val="nil"/>
        </w:pBdr>
        <w:rPr>
          <w:color w:val="000000"/>
        </w:rPr>
      </w:pPr>
    </w:p>
    <w:p w:rsidR="00FF60FE" w:rsidRDefault="00FF60FE" w:rsidP="00FF60FE">
      <w:pPr>
        <w:pStyle w:val="Normal1"/>
      </w:pPr>
      <w:r>
        <w:br w:type="page"/>
      </w:r>
    </w:p>
    <w:sdt>
      <w:sdtPr>
        <w:id w:val="807753949"/>
        <w:docPartObj>
          <w:docPartGallery w:val="Table of Contents"/>
          <w:docPartUnique/>
        </w:docPartObj>
      </w:sdtPr>
      <w:sdtEndPr>
        <w:rPr>
          <w:b/>
          <w:bCs/>
          <w:noProof/>
        </w:rPr>
      </w:sdtEndPr>
      <w:sdtContent>
        <w:p w:rsidR="00FF60FE" w:rsidRPr="005D7B4E" w:rsidRDefault="00FF60FE" w:rsidP="00FF60FE">
          <w:pPr>
            <w:pStyle w:val="Normal1"/>
            <w:jc w:val="center"/>
            <w:rPr>
              <w:b/>
              <w:sz w:val="28"/>
            </w:rPr>
          </w:pPr>
          <w:r w:rsidRPr="005D7B4E">
            <w:rPr>
              <w:b/>
              <w:sz w:val="28"/>
            </w:rPr>
            <w:t>Table of Contents</w:t>
          </w:r>
        </w:p>
        <w:p w:rsidR="00FF60FE" w:rsidRDefault="00FF60FE" w:rsidP="00FF60FE">
          <w:pPr>
            <w:pStyle w:val="TOC1"/>
            <w:tabs>
              <w:tab w:val="right" w:leader="dot" w:pos="9350"/>
            </w:tabs>
            <w:rPr>
              <w:noProof/>
            </w:rPr>
          </w:pPr>
          <w:r>
            <w:fldChar w:fldCharType="begin"/>
          </w:r>
          <w:r>
            <w:instrText xml:space="preserve"> TOC \o "1-3" \h \z \u </w:instrText>
          </w:r>
          <w:r>
            <w:fldChar w:fldCharType="separate"/>
          </w:r>
          <w:hyperlink w:anchor="_Toc165377609" w:history="1">
            <w:r w:rsidRPr="00B82F1B">
              <w:rPr>
                <w:rStyle w:val="Hyperlink"/>
                <w:noProof/>
              </w:rPr>
              <w:t>Introduction</w:t>
            </w:r>
            <w:r>
              <w:rPr>
                <w:noProof/>
                <w:webHidden/>
              </w:rPr>
              <w:tab/>
            </w:r>
            <w:r>
              <w:rPr>
                <w:noProof/>
                <w:webHidden/>
              </w:rPr>
              <w:fldChar w:fldCharType="begin"/>
            </w:r>
            <w:r>
              <w:rPr>
                <w:noProof/>
                <w:webHidden/>
              </w:rPr>
              <w:instrText xml:space="preserve"> PAGEREF _Toc165377609 \h </w:instrText>
            </w:r>
            <w:r>
              <w:rPr>
                <w:noProof/>
                <w:webHidden/>
              </w:rPr>
            </w:r>
            <w:r>
              <w:rPr>
                <w:noProof/>
                <w:webHidden/>
              </w:rPr>
              <w:fldChar w:fldCharType="separate"/>
            </w:r>
            <w:r>
              <w:rPr>
                <w:noProof/>
                <w:webHidden/>
              </w:rPr>
              <w:t>3</w:t>
            </w:r>
            <w:r>
              <w:rPr>
                <w:noProof/>
                <w:webHidden/>
              </w:rPr>
              <w:fldChar w:fldCharType="end"/>
            </w:r>
          </w:hyperlink>
        </w:p>
        <w:p w:rsidR="00FF60FE" w:rsidRDefault="00000000" w:rsidP="00FF60FE">
          <w:pPr>
            <w:pStyle w:val="TOC1"/>
            <w:tabs>
              <w:tab w:val="right" w:leader="dot" w:pos="9350"/>
            </w:tabs>
            <w:rPr>
              <w:noProof/>
            </w:rPr>
          </w:pPr>
          <w:hyperlink w:anchor="_Toc165377610" w:history="1">
            <w:r w:rsidR="00FF60FE" w:rsidRPr="00B82F1B">
              <w:rPr>
                <w:rStyle w:val="Hyperlink"/>
                <w:noProof/>
              </w:rPr>
              <w:t>Critically evaluation of Organisational Emergency</w:t>
            </w:r>
            <w:r w:rsidR="00FF60FE">
              <w:rPr>
                <w:noProof/>
                <w:webHidden/>
              </w:rPr>
              <w:tab/>
            </w:r>
            <w:r w:rsidR="00FF60FE">
              <w:rPr>
                <w:noProof/>
                <w:webHidden/>
              </w:rPr>
              <w:fldChar w:fldCharType="begin"/>
            </w:r>
            <w:r w:rsidR="00FF60FE">
              <w:rPr>
                <w:noProof/>
                <w:webHidden/>
              </w:rPr>
              <w:instrText xml:space="preserve"> PAGEREF _Toc165377610 \h </w:instrText>
            </w:r>
            <w:r w:rsidR="00FF60FE">
              <w:rPr>
                <w:noProof/>
                <w:webHidden/>
              </w:rPr>
            </w:r>
            <w:r w:rsidR="00FF60FE">
              <w:rPr>
                <w:noProof/>
                <w:webHidden/>
              </w:rPr>
              <w:fldChar w:fldCharType="separate"/>
            </w:r>
            <w:r w:rsidR="00FF60FE">
              <w:rPr>
                <w:noProof/>
                <w:webHidden/>
              </w:rPr>
              <w:t>3</w:t>
            </w:r>
            <w:r w:rsidR="00FF60FE">
              <w:rPr>
                <w:noProof/>
                <w:webHidden/>
              </w:rPr>
              <w:fldChar w:fldCharType="end"/>
            </w:r>
          </w:hyperlink>
        </w:p>
        <w:p w:rsidR="00FF60FE" w:rsidRDefault="00000000" w:rsidP="00FF60FE">
          <w:pPr>
            <w:pStyle w:val="TOC2"/>
            <w:tabs>
              <w:tab w:val="right" w:leader="dot" w:pos="9350"/>
            </w:tabs>
            <w:rPr>
              <w:noProof/>
            </w:rPr>
          </w:pPr>
          <w:hyperlink w:anchor="_Toc165377611" w:history="1">
            <w:r w:rsidR="00FF60FE" w:rsidRPr="00B82F1B">
              <w:rPr>
                <w:rStyle w:val="Hyperlink"/>
                <w:noProof/>
              </w:rPr>
              <w:t>Prevention</w:t>
            </w:r>
            <w:r w:rsidR="00FF60FE">
              <w:rPr>
                <w:noProof/>
                <w:webHidden/>
              </w:rPr>
              <w:tab/>
            </w:r>
            <w:r w:rsidR="00FF60FE">
              <w:rPr>
                <w:noProof/>
                <w:webHidden/>
              </w:rPr>
              <w:fldChar w:fldCharType="begin"/>
            </w:r>
            <w:r w:rsidR="00FF60FE">
              <w:rPr>
                <w:noProof/>
                <w:webHidden/>
              </w:rPr>
              <w:instrText xml:space="preserve"> PAGEREF _Toc165377611 \h </w:instrText>
            </w:r>
            <w:r w:rsidR="00FF60FE">
              <w:rPr>
                <w:noProof/>
                <w:webHidden/>
              </w:rPr>
            </w:r>
            <w:r w:rsidR="00FF60FE">
              <w:rPr>
                <w:noProof/>
                <w:webHidden/>
              </w:rPr>
              <w:fldChar w:fldCharType="separate"/>
            </w:r>
            <w:r w:rsidR="00FF60FE">
              <w:rPr>
                <w:noProof/>
                <w:webHidden/>
              </w:rPr>
              <w:t>3</w:t>
            </w:r>
            <w:r w:rsidR="00FF60FE">
              <w:rPr>
                <w:noProof/>
                <w:webHidden/>
              </w:rPr>
              <w:fldChar w:fldCharType="end"/>
            </w:r>
          </w:hyperlink>
        </w:p>
        <w:p w:rsidR="00FF60FE" w:rsidRDefault="00000000" w:rsidP="00FF60FE">
          <w:pPr>
            <w:pStyle w:val="TOC2"/>
            <w:tabs>
              <w:tab w:val="right" w:leader="dot" w:pos="9350"/>
            </w:tabs>
            <w:rPr>
              <w:noProof/>
            </w:rPr>
          </w:pPr>
          <w:hyperlink w:anchor="_Toc165377612" w:history="1">
            <w:r w:rsidR="00FF60FE" w:rsidRPr="00B82F1B">
              <w:rPr>
                <w:rStyle w:val="Hyperlink"/>
                <w:noProof/>
              </w:rPr>
              <w:t>Mitigation</w:t>
            </w:r>
            <w:r w:rsidR="00FF60FE">
              <w:rPr>
                <w:noProof/>
                <w:webHidden/>
              </w:rPr>
              <w:tab/>
            </w:r>
            <w:r w:rsidR="00FF60FE">
              <w:rPr>
                <w:noProof/>
                <w:webHidden/>
              </w:rPr>
              <w:fldChar w:fldCharType="begin"/>
            </w:r>
            <w:r w:rsidR="00FF60FE">
              <w:rPr>
                <w:noProof/>
                <w:webHidden/>
              </w:rPr>
              <w:instrText xml:space="preserve"> PAGEREF _Toc165377612 \h </w:instrText>
            </w:r>
            <w:r w:rsidR="00FF60FE">
              <w:rPr>
                <w:noProof/>
                <w:webHidden/>
              </w:rPr>
            </w:r>
            <w:r w:rsidR="00FF60FE">
              <w:rPr>
                <w:noProof/>
                <w:webHidden/>
              </w:rPr>
              <w:fldChar w:fldCharType="separate"/>
            </w:r>
            <w:r w:rsidR="00FF60FE">
              <w:rPr>
                <w:noProof/>
                <w:webHidden/>
              </w:rPr>
              <w:t>4</w:t>
            </w:r>
            <w:r w:rsidR="00FF60FE">
              <w:rPr>
                <w:noProof/>
                <w:webHidden/>
              </w:rPr>
              <w:fldChar w:fldCharType="end"/>
            </w:r>
          </w:hyperlink>
        </w:p>
        <w:p w:rsidR="00FF60FE" w:rsidRDefault="00000000" w:rsidP="00FF60FE">
          <w:pPr>
            <w:pStyle w:val="TOC2"/>
            <w:tabs>
              <w:tab w:val="right" w:leader="dot" w:pos="9350"/>
            </w:tabs>
            <w:rPr>
              <w:noProof/>
            </w:rPr>
          </w:pPr>
          <w:hyperlink w:anchor="_Toc165377613" w:history="1">
            <w:r w:rsidR="00FF60FE" w:rsidRPr="00B82F1B">
              <w:rPr>
                <w:rStyle w:val="Hyperlink"/>
                <w:noProof/>
              </w:rPr>
              <w:t>Preparedness</w:t>
            </w:r>
            <w:r w:rsidR="00FF60FE">
              <w:rPr>
                <w:noProof/>
                <w:webHidden/>
              </w:rPr>
              <w:tab/>
            </w:r>
            <w:r w:rsidR="00FF60FE">
              <w:rPr>
                <w:noProof/>
                <w:webHidden/>
              </w:rPr>
              <w:fldChar w:fldCharType="begin"/>
            </w:r>
            <w:r w:rsidR="00FF60FE">
              <w:rPr>
                <w:noProof/>
                <w:webHidden/>
              </w:rPr>
              <w:instrText xml:space="preserve"> PAGEREF _Toc165377613 \h </w:instrText>
            </w:r>
            <w:r w:rsidR="00FF60FE">
              <w:rPr>
                <w:noProof/>
                <w:webHidden/>
              </w:rPr>
            </w:r>
            <w:r w:rsidR="00FF60FE">
              <w:rPr>
                <w:noProof/>
                <w:webHidden/>
              </w:rPr>
              <w:fldChar w:fldCharType="separate"/>
            </w:r>
            <w:r w:rsidR="00FF60FE">
              <w:rPr>
                <w:noProof/>
                <w:webHidden/>
              </w:rPr>
              <w:t>5</w:t>
            </w:r>
            <w:r w:rsidR="00FF60FE">
              <w:rPr>
                <w:noProof/>
                <w:webHidden/>
              </w:rPr>
              <w:fldChar w:fldCharType="end"/>
            </w:r>
          </w:hyperlink>
        </w:p>
        <w:p w:rsidR="00FF60FE" w:rsidRDefault="00000000" w:rsidP="00FF60FE">
          <w:pPr>
            <w:pStyle w:val="TOC2"/>
            <w:tabs>
              <w:tab w:val="right" w:leader="dot" w:pos="9350"/>
            </w:tabs>
            <w:rPr>
              <w:noProof/>
            </w:rPr>
          </w:pPr>
          <w:hyperlink w:anchor="_Toc165377614" w:history="1">
            <w:r w:rsidR="00FF60FE" w:rsidRPr="00B82F1B">
              <w:rPr>
                <w:rStyle w:val="Hyperlink"/>
                <w:noProof/>
              </w:rPr>
              <w:t>Response</w:t>
            </w:r>
            <w:r w:rsidR="00FF60FE">
              <w:rPr>
                <w:noProof/>
                <w:webHidden/>
              </w:rPr>
              <w:tab/>
            </w:r>
            <w:r w:rsidR="00FF60FE">
              <w:rPr>
                <w:noProof/>
                <w:webHidden/>
              </w:rPr>
              <w:fldChar w:fldCharType="begin"/>
            </w:r>
            <w:r w:rsidR="00FF60FE">
              <w:rPr>
                <w:noProof/>
                <w:webHidden/>
              </w:rPr>
              <w:instrText xml:space="preserve"> PAGEREF _Toc165377614 \h </w:instrText>
            </w:r>
            <w:r w:rsidR="00FF60FE">
              <w:rPr>
                <w:noProof/>
                <w:webHidden/>
              </w:rPr>
            </w:r>
            <w:r w:rsidR="00FF60FE">
              <w:rPr>
                <w:noProof/>
                <w:webHidden/>
              </w:rPr>
              <w:fldChar w:fldCharType="separate"/>
            </w:r>
            <w:r w:rsidR="00FF60FE">
              <w:rPr>
                <w:noProof/>
                <w:webHidden/>
              </w:rPr>
              <w:t>6</w:t>
            </w:r>
            <w:r w:rsidR="00FF60FE">
              <w:rPr>
                <w:noProof/>
                <w:webHidden/>
              </w:rPr>
              <w:fldChar w:fldCharType="end"/>
            </w:r>
          </w:hyperlink>
        </w:p>
        <w:p w:rsidR="00FF60FE" w:rsidRDefault="00000000" w:rsidP="00FF60FE">
          <w:pPr>
            <w:pStyle w:val="TOC2"/>
            <w:tabs>
              <w:tab w:val="right" w:leader="dot" w:pos="9350"/>
            </w:tabs>
            <w:rPr>
              <w:noProof/>
            </w:rPr>
          </w:pPr>
          <w:hyperlink w:anchor="_Toc165377615" w:history="1">
            <w:r w:rsidR="00FF60FE" w:rsidRPr="00B82F1B">
              <w:rPr>
                <w:rStyle w:val="Hyperlink"/>
                <w:noProof/>
              </w:rPr>
              <w:t>Recovery</w:t>
            </w:r>
            <w:r w:rsidR="00FF60FE">
              <w:rPr>
                <w:noProof/>
                <w:webHidden/>
              </w:rPr>
              <w:tab/>
            </w:r>
            <w:r w:rsidR="00FF60FE">
              <w:rPr>
                <w:noProof/>
                <w:webHidden/>
              </w:rPr>
              <w:fldChar w:fldCharType="begin"/>
            </w:r>
            <w:r w:rsidR="00FF60FE">
              <w:rPr>
                <w:noProof/>
                <w:webHidden/>
              </w:rPr>
              <w:instrText xml:space="preserve"> PAGEREF _Toc165377615 \h </w:instrText>
            </w:r>
            <w:r w:rsidR="00FF60FE">
              <w:rPr>
                <w:noProof/>
                <w:webHidden/>
              </w:rPr>
            </w:r>
            <w:r w:rsidR="00FF60FE">
              <w:rPr>
                <w:noProof/>
                <w:webHidden/>
              </w:rPr>
              <w:fldChar w:fldCharType="separate"/>
            </w:r>
            <w:r w:rsidR="00FF60FE">
              <w:rPr>
                <w:noProof/>
                <w:webHidden/>
              </w:rPr>
              <w:t>7</w:t>
            </w:r>
            <w:r w:rsidR="00FF60FE">
              <w:rPr>
                <w:noProof/>
                <w:webHidden/>
              </w:rPr>
              <w:fldChar w:fldCharType="end"/>
            </w:r>
          </w:hyperlink>
        </w:p>
        <w:p w:rsidR="00FF60FE" w:rsidRDefault="00000000" w:rsidP="00FF60FE">
          <w:pPr>
            <w:pStyle w:val="TOC2"/>
            <w:tabs>
              <w:tab w:val="right" w:leader="dot" w:pos="9350"/>
            </w:tabs>
            <w:rPr>
              <w:noProof/>
            </w:rPr>
          </w:pPr>
          <w:hyperlink w:anchor="_Toc165377616" w:history="1">
            <w:r w:rsidR="00FF60FE" w:rsidRPr="00B82F1B">
              <w:rPr>
                <w:rStyle w:val="Hyperlink"/>
                <w:noProof/>
              </w:rPr>
              <w:t>Recommendation</w:t>
            </w:r>
            <w:r w:rsidR="00FF60FE">
              <w:rPr>
                <w:noProof/>
                <w:webHidden/>
              </w:rPr>
              <w:tab/>
            </w:r>
            <w:r w:rsidR="00FF60FE">
              <w:rPr>
                <w:noProof/>
                <w:webHidden/>
              </w:rPr>
              <w:fldChar w:fldCharType="begin"/>
            </w:r>
            <w:r w:rsidR="00FF60FE">
              <w:rPr>
                <w:noProof/>
                <w:webHidden/>
              </w:rPr>
              <w:instrText xml:space="preserve"> PAGEREF _Toc165377616 \h </w:instrText>
            </w:r>
            <w:r w:rsidR="00FF60FE">
              <w:rPr>
                <w:noProof/>
                <w:webHidden/>
              </w:rPr>
            </w:r>
            <w:r w:rsidR="00FF60FE">
              <w:rPr>
                <w:noProof/>
                <w:webHidden/>
              </w:rPr>
              <w:fldChar w:fldCharType="separate"/>
            </w:r>
            <w:r w:rsidR="00FF60FE">
              <w:rPr>
                <w:noProof/>
                <w:webHidden/>
              </w:rPr>
              <w:t>7</w:t>
            </w:r>
            <w:r w:rsidR="00FF60FE">
              <w:rPr>
                <w:noProof/>
                <w:webHidden/>
              </w:rPr>
              <w:fldChar w:fldCharType="end"/>
            </w:r>
          </w:hyperlink>
        </w:p>
        <w:p w:rsidR="00FF60FE" w:rsidRDefault="00000000" w:rsidP="00FF60FE">
          <w:pPr>
            <w:pStyle w:val="TOC1"/>
            <w:tabs>
              <w:tab w:val="right" w:leader="dot" w:pos="9350"/>
            </w:tabs>
            <w:rPr>
              <w:noProof/>
            </w:rPr>
          </w:pPr>
          <w:hyperlink w:anchor="_Toc165377617" w:history="1">
            <w:r w:rsidR="00FF60FE" w:rsidRPr="00B82F1B">
              <w:rPr>
                <w:rStyle w:val="Hyperlink"/>
                <w:noProof/>
              </w:rPr>
              <w:t>Conclusion</w:t>
            </w:r>
            <w:r w:rsidR="00FF60FE">
              <w:rPr>
                <w:noProof/>
                <w:webHidden/>
              </w:rPr>
              <w:tab/>
            </w:r>
            <w:r w:rsidR="00FF60FE">
              <w:rPr>
                <w:noProof/>
                <w:webHidden/>
              </w:rPr>
              <w:fldChar w:fldCharType="begin"/>
            </w:r>
            <w:r w:rsidR="00FF60FE">
              <w:rPr>
                <w:noProof/>
                <w:webHidden/>
              </w:rPr>
              <w:instrText xml:space="preserve"> PAGEREF _Toc165377617 \h </w:instrText>
            </w:r>
            <w:r w:rsidR="00FF60FE">
              <w:rPr>
                <w:noProof/>
                <w:webHidden/>
              </w:rPr>
            </w:r>
            <w:r w:rsidR="00FF60FE">
              <w:rPr>
                <w:noProof/>
                <w:webHidden/>
              </w:rPr>
              <w:fldChar w:fldCharType="separate"/>
            </w:r>
            <w:r w:rsidR="00FF60FE">
              <w:rPr>
                <w:noProof/>
                <w:webHidden/>
              </w:rPr>
              <w:t>8</w:t>
            </w:r>
            <w:r w:rsidR="00FF60FE">
              <w:rPr>
                <w:noProof/>
                <w:webHidden/>
              </w:rPr>
              <w:fldChar w:fldCharType="end"/>
            </w:r>
          </w:hyperlink>
          <w:hyperlink w:anchor="_Toc165377618" w:history="1"/>
        </w:p>
        <w:p w:rsidR="00FF60FE" w:rsidRDefault="00000000" w:rsidP="00FF60FE">
          <w:pPr>
            <w:pStyle w:val="TOC1"/>
            <w:tabs>
              <w:tab w:val="right" w:leader="dot" w:pos="9350"/>
            </w:tabs>
            <w:rPr>
              <w:noProof/>
            </w:rPr>
          </w:pPr>
          <w:hyperlink w:anchor="_Toc165377619" w:history="1">
            <w:r w:rsidR="00FF60FE" w:rsidRPr="00B82F1B">
              <w:rPr>
                <w:rStyle w:val="Hyperlink"/>
                <w:noProof/>
              </w:rPr>
              <w:t>Appendix</w:t>
            </w:r>
            <w:r w:rsidR="00FF60FE">
              <w:rPr>
                <w:noProof/>
                <w:webHidden/>
              </w:rPr>
              <w:tab/>
            </w:r>
            <w:r w:rsidR="00D44A35">
              <w:rPr>
                <w:noProof/>
                <w:webHidden/>
              </w:rPr>
              <w:t>9</w:t>
            </w:r>
          </w:hyperlink>
        </w:p>
        <w:p w:rsidR="00FF60FE" w:rsidRDefault="00000000" w:rsidP="00FF60FE">
          <w:pPr>
            <w:pStyle w:val="TOC2"/>
            <w:tabs>
              <w:tab w:val="right" w:leader="dot" w:pos="9350"/>
            </w:tabs>
            <w:rPr>
              <w:noProof/>
            </w:rPr>
          </w:pPr>
          <w:hyperlink w:anchor="_Toc165377620" w:history="1">
            <w:r w:rsidR="00FF60FE" w:rsidRPr="00FF60FE">
              <w:rPr>
                <w:sz w:val="26"/>
                <w:szCs w:val="26"/>
                <w:u w:val="single"/>
              </w:rPr>
              <w:t>Precis</w:t>
            </w:r>
            <w:r w:rsidR="00FF60FE">
              <w:rPr>
                <w:sz w:val="26"/>
                <w:szCs w:val="26"/>
                <w:u w:val="single"/>
              </w:rPr>
              <w:t>(500 Words)</w:t>
            </w:r>
            <w:r w:rsidR="00FF60FE">
              <w:rPr>
                <w:noProof/>
                <w:webHidden/>
              </w:rPr>
              <w:tab/>
            </w:r>
            <w:r w:rsidR="00D44A35">
              <w:rPr>
                <w:noProof/>
                <w:webHidden/>
              </w:rPr>
              <w:t>9</w:t>
            </w:r>
          </w:hyperlink>
        </w:p>
        <w:p w:rsidR="00B52898" w:rsidRDefault="00000000" w:rsidP="002A3C0C">
          <w:pPr>
            <w:pStyle w:val="TOC2"/>
            <w:tabs>
              <w:tab w:val="right" w:leader="dot" w:pos="9350"/>
            </w:tabs>
            <w:rPr>
              <w:b/>
              <w:bCs/>
              <w:noProof/>
            </w:rPr>
          </w:pPr>
          <w:hyperlink w:anchor="_Toc165377621" w:history="1">
            <w:r w:rsidR="00FF60FE">
              <w:rPr>
                <w:rStyle w:val="Hyperlink"/>
                <w:noProof/>
              </w:rPr>
              <w:t>Summ</w:t>
            </w:r>
            <w:r w:rsidR="002A3C0C">
              <w:rPr>
                <w:rStyle w:val="Hyperlink"/>
                <w:noProof/>
              </w:rPr>
              <w:t>ary(1000 Words)</w:t>
            </w:r>
            <w:r w:rsidR="00FF60FE" w:rsidRPr="00B82F1B">
              <w:rPr>
                <w:rStyle w:val="Hyperlink"/>
                <w:noProof/>
              </w:rPr>
              <w:t xml:space="preserve"> </w:t>
            </w:r>
            <w:r w:rsidR="00FF60FE">
              <w:rPr>
                <w:noProof/>
                <w:webHidden/>
              </w:rPr>
              <w:tab/>
            </w:r>
            <w:r w:rsidR="00B52898">
              <w:rPr>
                <w:noProof/>
                <w:webHidden/>
              </w:rPr>
              <w:t>10</w:t>
            </w:r>
          </w:hyperlink>
          <w:r w:rsidR="00FF60FE">
            <w:rPr>
              <w:b/>
              <w:bCs/>
              <w:noProof/>
            </w:rPr>
            <w:fldChar w:fldCharType="end"/>
          </w:r>
        </w:p>
        <w:p w:rsidR="00B52898" w:rsidRDefault="00B52898" w:rsidP="00B52898">
          <w:pPr>
            <w:rPr>
              <w:webHidden/>
            </w:rPr>
          </w:pPr>
          <w:r w:rsidRPr="00B52898">
            <w:t>Reference List</w:t>
          </w:r>
          <w:r w:rsidRPr="00B52898">
            <w:rPr>
              <w:webHidden/>
            </w:rPr>
            <w:tab/>
          </w:r>
          <w:r>
            <w:rPr>
              <w:webHidden/>
            </w:rPr>
            <w:t>……………………………………………………………………………………15</w:t>
          </w:r>
        </w:p>
        <w:p w:rsidR="00FF60FE" w:rsidRPr="00B52898" w:rsidRDefault="00B52898" w:rsidP="00B52898">
          <w:r>
            <w:t>Presentation Slides……………………………………………………………………………….18</w:t>
          </w:r>
        </w:p>
      </w:sdtContent>
    </w:sdt>
    <w:p w:rsidR="00FF60FE" w:rsidRDefault="00FF60FE" w:rsidP="00FF60FE">
      <w:pPr>
        <w:pStyle w:val="Normal1"/>
        <w:rPr>
          <w:b/>
        </w:rPr>
      </w:pPr>
      <w:r>
        <w:br w:type="page"/>
      </w:r>
    </w:p>
    <w:p w:rsidR="00FF60FE" w:rsidRDefault="00FF60FE" w:rsidP="00FF60FE">
      <w:pPr>
        <w:pStyle w:val="Heading1"/>
        <w:rPr>
          <w:b w:val="0"/>
        </w:rPr>
      </w:pPr>
      <w:bookmarkStart w:id="0" w:name="_Toc165377609"/>
      <w:r>
        <w:lastRenderedPageBreak/>
        <w:t>Introduction</w:t>
      </w:r>
      <w:bookmarkEnd w:id="0"/>
      <w:r>
        <w:t xml:space="preserve"> </w:t>
      </w:r>
    </w:p>
    <w:p w:rsidR="00FF60FE" w:rsidRDefault="00FF60FE" w:rsidP="00FF60FE">
      <w:pPr>
        <w:pStyle w:val="Normal1"/>
      </w:pPr>
      <w:r>
        <w:t>The study focuses on highlighting industrial emergencies among different organisations. Organisational emergencies are one of the primary issues for every organisation in other industries. Due to organisational emergencies, companies are facing significant challenges in improving their profit structure and revenue model. Wild is developing an understanding of emergencies. The study includes a virtual organisation and explains its different emergencies.</w:t>
      </w:r>
    </w:p>
    <w:p w:rsidR="00FF60FE" w:rsidRDefault="00FF60FE" w:rsidP="00FF60FE">
      <w:pPr>
        <w:pStyle w:val="Normal1"/>
      </w:pPr>
      <w:r>
        <w:t>Along with the financial performance, the emergency also impacts the sustainable practices of the organisation. The emergency can also affect employees and management. Lack of economic performance is one of the primary emergencies of every organisation; it is observed that multiple organisations reduce their employee's salaries and wages due to their financial emergency. Along with highlighting different emergencies, the study also provides significant recommendations to virtual organisations, which will help them get out of that emergency.</w:t>
      </w:r>
    </w:p>
    <w:p w:rsidR="00FF60FE" w:rsidRDefault="00FF60FE" w:rsidP="00FF60FE">
      <w:pPr>
        <w:pStyle w:val="Heading1"/>
      </w:pPr>
      <w:bookmarkStart w:id="1" w:name="_Toc165377610"/>
      <w:r>
        <w:t>Critically evaluation of Organisational Emergency</w:t>
      </w:r>
      <w:bookmarkEnd w:id="1"/>
    </w:p>
    <w:p w:rsidR="00FF60FE" w:rsidRDefault="00FF60FE" w:rsidP="00FF60FE">
      <w:pPr>
        <w:pStyle w:val="Heading2"/>
      </w:pPr>
      <w:bookmarkStart w:id="2" w:name="_Toc165377611"/>
      <w:r>
        <w:t>Prevention</w:t>
      </w:r>
      <w:bookmarkEnd w:id="2"/>
    </w:p>
    <w:p w:rsidR="00FF60FE" w:rsidRDefault="00FF60FE" w:rsidP="00FF60FE">
      <w:pPr>
        <w:pStyle w:val="Normal1"/>
        <w:pBdr>
          <w:top w:val="nil"/>
          <w:left w:val="nil"/>
          <w:bottom w:val="nil"/>
          <w:right w:val="nil"/>
          <w:between w:val="nil"/>
        </w:pBdr>
        <w:rPr>
          <w:color w:val="000000"/>
        </w:rPr>
      </w:pPr>
      <w:r>
        <w:rPr>
          <w:color w:val="000000"/>
        </w:rPr>
        <w:t xml:space="preserve">The prevention factor for an organisation is considered when analysing the market before launching a new service or a product (Annarelli, Battistella, and Nonino, 2020). However, it is not a considerable element for launching the services or products on a lower scale but recognising the market strategy for a company to introduce a new product or service of larger companies such as Tesco in consumer retail and Aston Martin in automobiles. This element is covered between the supply chain of consumer retail to retain the freshness of products in a longer run by refrigeration and storing in airtight containers. It helps the food items to store their freshness in a safe and longer manner. </w:t>
      </w:r>
    </w:p>
    <w:p w:rsidR="00FF60FE" w:rsidRDefault="00FF60FE" w:rsidP="00FF60FE">
      <w:pPr>
        <w:pStyle w:val="Normal1"/>
        <w:pBdr>
          <w:top w:val="nil"/>
          <w:left w:val="nil"/>
          <w:bottom w:val="nil"/>
          <w:right w:val="nil"/>
          <w:between w:val="nil"/>
        </w:pBdr>
        <w:rPr>
          <w:color w:val="000000"/>
        </w:rPr>
      </w:pPr>
      <w:r>
        <w:rPr>
          <w:color w:val="000000"/>
        </w:rPr>
        <w:t xml:space="preserve">Adapting the business to the trends followed by customers also significantly influences the growth and challenges of the business. For instance, if dairy products are quite popular in a certain area, it is recommended that the business adapts to the customer's preferences to stay up to date in the specified sectors (Yu, 2024). Otherwise, the competitors will take over the market, or the value of the company will be reduced in front of their investors and customers. In this scenario, a business analyst can achieve an advantage in a certain area of the business. In a smaller business, one or </w:t>
      </w:r>
      <w:r>
        <w:rPr>
          <w:color w:val="000000"/>
        </w:rPr>
        <w:lastRenderedPageBreak/>
        <w:t>two business analysts are sufficient to fulfil the needs of customers. However, for larger companies, multiple business analysts are assigned to specify which products and services will be acceptable and compatible with the regulations and customers' needs.</w:t>
      </w:r>
    </w:p>
    <w:p w:rsidR="00FF60FE" w:rsidRDefault="00FF60FE" w:rsidP="00FF60FE">
      <w:pPr>
        <w:pStyle w:val="Normal1"/>
        <w:pBdr>
          <w:top w:val="nil"/>
          <w:left w:val="nil"/>
          <w:bottom w:val="nil"/>
          <w:right w:val="nil"/>
          <w:between w:val="nil"/>
        </w:pBdr>
        <w:rPr>
          <w:color w:val="000000"/>
        </w:rPr>
      </w:pPr>
      <w:r>
        <w:rPr>
          <w:color w:val="000000"/>
        </w:rPr>
        <w:t>For example, in automobile companies, there are many forms of vehicles available to serve their customers according to the load and distance covered by the vehicle. The vehicles are classified as buses for commercial transportation of citizens living in a city. Moreover, citywide buses are capable of working for longer due to larger fuel tanks and strategic seating practices for extra passengers who travel on the bus (Wijaya Umar, 2023). On the other hand, there are other vehicles which are specifically designed to transfer cargo. These vehicles have larger classifications, from smaller cargo to larger marine ship containers. On the contrary, the prevention practice is presented on behalf of consumer goods and automobile vehicles under the brand names Tesco and Aston Martin. There are larger sectors of business available globally, and each of them has different market prevention strategies from competitors to market transitions.</w:t>
      </w:r>
    </w:p>
    <w:p w:rsidR="00FF60FE" w:rsidRDefault="00FF60FE" w:rsidP="00FF60FE">
      <w:pPr>
        <w:pStyle w:val="Heading2"/>
      </w:pPr>
      <w:bookmarkStart w:id="3" w:name="_Toc165377612"/>
      <w:r>
        <w:t>Mitigation</w:t>
      </w:r>
      <w:bookmarkEnd w:id="3"/>
    </w:p>
    <w:p w:rsidR="00FF60FE" w:rsidRDefault="00FF60FE" w:rsidP="00FF60FE">
      <w:pPr>
        <w:pStyle w:val="Normal1"/>
        <w:pBdr>
          <w:top w:val="nil"/>
          <w:left w:val="nil"/>
          <w:bottom w:val="nil"/>
          <w:right w:val="nil"/>
          <w:between w:val="nil"/>
        </w:pBdr>
        <w:rPr>
          <w:color w:val="000000"/>
        </w:rPr>
      </w:pPr>
      <w:r>
        <w:rPr>
          <w:color w:val="000000"/>
        </w:rPr>
        <w:t>In the demanding landscape of the consumer market across the global business. Sainsbury Sainsbury Retail, a UK-based massive grocery retailer, is facing a challenging situation to fulfil the customer's demand (Obermair, 2023). The reason behind this challenge is derived from the company's competitor, Tesco, which offers different forms of consumer product solutions across the UK in smaller quantities in its local shops. Tesco has the largest customer base in local stores compared to conventional supermarkets, which have some limitations in purchasing goods for consumers. The challenge increases while calculating the profits generated from daily customers compared to the weekly shoppers. In order to mitigate this situation, Sainsbury retail can imply dark stores for in-house delivery systems in order to capture more customers in the retail sector.</w:t>
      </w:r>
    </w:p>
    <w:p w:rsidR="00FF60FE" w:rsidRDefault="00FF60FE" w:rsidP="00FF60FE">
      <w:pPr>
        <w:pStyle w:val="Normal1"/>
        <w:pBdr>
          <w:top w:val="nil"/>
          <w:left w:val="nil"/>
          <w:bottom w:val="nil"/>
          <w:right w:val="nil"/>
          <w:between w:val="nil"/>
        </w:pBdr>
        <w:rPr>
          <w:color w:val="000000"/>
        </w:rPr>
      </w:pPr>
      <w:r>
        <w:rPr>
          <w:color w:val="000000"/>
        </w:rPr>
        <w:t xml:space="preserve">On the other hand, in the automobile sector, the automobile brand Ford Motors is facing challenges in a highly competitive market across global countries, considering the manufacturing costs and import duties imposed by different governments (Singh and Saini, 2021). The company's market capitalisation has declined across the UK. In order to expand the operations of Ford Motors across the UK, it is recommended that EVs be applied to their conventional solutions. Furthermore, the vehicle is mostly focused on passenger vehicles and does not consider the scope of goods vehicles. In the UK, the demand for goods vehicles is highly demanding, observing the trend of interstate </w:t>
      </w:r>
      <w:r>
        <w:rPr>
          <w:color w:val="000000"/>
        </w:rPr>
        <w:lastRenderedPageBreak/>
        <w:t xml:space="preserve">transportation of goods in the logistics operation from grocery retail, electronic retail, wooden furniture, and many more (Sarder, 2020). In the UK, SUVs are also in demand as compared to sedan vehicles (Kemp </w:t>
      </w:r>
      <w:r>
        <w:rPr>
          <w:i/>
          <w:color w:val="000000"/>
        </w:rPr>
        <w:t>et al.,</w:t>
      </w:r>
      <w:r>
        <w:rPr>
          <w:color w:val="000000"/>
        </w:rPr>
        <w:t xml:space="preserve"> 2020). On the global customer rate, Ford Motors is known for sedan vehicles in order to achieve sustainability in the automobile market. The company can mitigate its scalability challenges by promoting different types of cars across the country depending on the demands of customers.</w:t>
      </w:r>
    </w:p>
    <w:p w:rsidR="00FF60FE" w:rsidRDefault="00FF60FE" w:rsidP="00FF60FE">
      <w:pPr>
        <w:pStyle w:val="Heading2"/>
      </w:pPr>
      <w:bookmarkStart w:id="4" w:name="_Toc165377613"/>
      <w:r>
        <w:t>Preparedness</w:t>
      </w:r>
      <w:bookmarkEnd w:id="4"/>
    </w:p>
    <w:p w:rsidR="00FF60FE" w:rsidRDefault="00FF60FE" w:rsidP="00FF60FE">
      <w:pPr>
        <w:pStyle w:val="Normal1"/>
      </w:pPr>
      <w:r>
        <w:t>Make a far-reaching arrangement that frames the moves toward taking in an assortment of crisis circumstances. This plan should include methods for moderation, individual tasks and responsibilities, departure plans, and correspondence conventions. Identifying potential emergencies or disasters that could affect your business is the first step. A few models incorporate cataclysmic events, mechanical disappointments, information breaks, and crises, including general well-being (Wang, 2023). Analyse each scenario's likely outcome and probability. Establish connections with emergency responders, government offices, and local associations in the area. Ensure that the organisation is aware of the appropriate conventions and resources available in the area and collaborate on crisis planning.</w:t>
      </w:r>
    </w:p>
    <w:p w:rsidR="00FF60FE" w:rsidRDefault="00FF60FE" w:rsidP="00FF60FE">
      <w:pPr>
        <w:pStyle w:val="Normal1"/>
      </w:pPr>
      <w:r>
        <w:t xml:space="preserve">Regularly review and update your emergency preparedness based on new risks, relevant changes, or insights gained from exercises and real events. Assign individuals in your organisation to act as emergency coordinators who can make decisions quickly and effectively under pressure. Please provide them with the guidance and support they need to carry out their duties. Foster a culture of preparedness and security within your organisation. Encourage employees to be aware of potential risks and actively participate in emergency preparedness (Pescaroli </w:t>
      </w:r>
      <w:r>
        <w:rPr>
          <w:i/>
        </w:rPr>
        <w:t>et al.,</w:t>
      </w:r>
      <w:r>
        <w:t xml:space="preserve"> 2023). All emergency preparedness activities, including risk assessments, plans, drills, and incident reports, should be documented thoroughly. Use this information to identify areas for improvement and monitor long-term progress.</w:t>
      </w:r>
    </w:p>
    <w:p w:rsidR="00FF60FE" w:rsidRDefault="00FF60FE" w:rsidP="00FF60FE">
      <w:pPr>
        <w:pStyle w:val="Normal1"/>
      </w:pPr>
      <w:r>
        <w:t>In holding up, readiness is a steady example of orchestrating, assembling, planning, getting ready, evaluating, and therapeutic action. A foundation of readiness that emphasises being prepared to respond to all dangers, risks, and crises is the preparation and practice plan.</w:t>
      </w:r>
    </w:p>
    <w:p w:rsidR="00FF60FE" w:rsidRDefault="00FF60FE" w:rsidP="00FF60FE">
      <w:pPr>
        <w:pStyle w:val="Heading2"/>
      </w:pPr>
      <w:bookmarkStart w:id="5" w:name="_Toc165377614"/>
      <w:r>
        <w:lastRenderedPageBreak/>
        <w:t>Response</w:t>
      </w:r>
      <w:bookmarkEnd w:id="5"/>
      <w:r>
        <w:t xml:space="preserve"> </w:t>
      </w:r>
    </w:p>
    <w:p w:rsidR="00FF60FE" w:rsidRDefault="00FF60FE" w:rsidP="00FF60FE">
      <w:pPr>
        <w:pStyle w:val="Normal1"/>
      </w:pPr>
      <w:r>
        <w:t>It involves practices that highlight saving lives, diminishing money-related hurt, and alleviating grieving. Utilising an occurrence, the board framework, asset coordination, and the executives are important for the reaction stage. Potential reactions include the enactment of a crisis task focus, the clearing of the populace that is in harm's way, the kickoff of safe houses and the arrangement of mass help, crisis salvage and clinical help, firefighting, and metropolitan hunt and salvage.</w:t>
      </w:r>
    </w:p>
    <w:p w:rsidR="00FF60FE" w:rsidRDefault="00FF60FE" w:rsidP="00FF60FE">
      <w:pPr>
        <w:pStyle w:val="Normal1"/>
      </w:pPr>
      <w:r>
        <w:t xml:space="preserve">The response to an unpleasant emergency or calamity is the response stage. It involves practices that emphasise alleviating moping, reducing financial damage, and saving lives. Using an episode, the board system, the coordination, and the chiefs of resources are fundamental for the response stage (Milton </w:t>
      </w:r>
      <w:r>
        <w:rPr>
          <w:i/>
        </w:rPr>
        <w:t>et al.,</w:t>
      </w:r>
      <w:r>
        <w:t xml:space="preserve"> 2023). The reaction stage is the reaction to a horrifying debacle or emergency. It includes methods for controlling moping, reducing financial loss, and saving lives. The reaction stage relies heavily on an incident, the board framework, asset coordination, and executives. The order of an emergency errands centre, the flight of the in-peril people, the send-off of safe houses, the game plan of mass assistance, emergency rescue and clinical assistance, firefighting, and metropolitan pursuit and rescue are occurrences of expected responses.</w:t>
      </w:r>
    </w:p>
    <w:p w:rsidR="00FF60FE" w:rsidRDefault="00FF60FE" w:rsidP="00FF60FE">
      <w:pPr>
        <w:pStyle w:val="Normal1"/>
      </w:pPr>
      <w:r>
        <w:t>Studying the response after a crisis or debacle is huge. It further develops adaptability and empowers long-haul recuperation. The importance and progress of the reaction, as well as what functioned admirably and why, ought to be the essential focal points of a post-emergency assessment. It should focus on recognising and completing delineations learned in organising, response, and recovery. Accomplices are important allies of the evaluation and can help quickly set goals and conduct assessments. For instance, crisis response organisations may decipher learned examples, and non-benefit or administrative associations associated with scandals may support information collection when they provide types of assistance to local individuals, nearby colleges, and the academic community may also help information collection and assessment.</w:t>
      </w:r>
    </w:p>
    <w:p w:rsidR="00FF60FE" w:rsidRDefault="00FF60FE" w:rsidP="00FF60FE">
      <w:pPr>
        <w:pStyle w:val="Heading2"/>
      </w:pPr>
      <w:bookmarkStart w:id="6" w:name="_Toc165377615"/>
      <w:r>
        <w:t>Recovery</w:t>
      </w:r>
      <w:bookmarkEnd w:id="6"/>
    </w:p>
    <w:p w:rsidR="00FF60FE" w:rsidRDefault="00FF60FE" w:rsidP="00FF60FE">
      <w:pPr>
        <w:pStyle w:val="Normal1"/>
      </w:pPr>
      <w:r>
        <w:t xml:space="preserve">Assess the impact of the emergency on your group as a starting point. This integrates studying mischief to systems, structures, workforce, and other fundamental assets. Recognise the most essential locale of your affiliation that requires speedy thought for recovery. Examples of this include restoring critical services, protecting sensitive information, and ensuring the safety of </w:t>
      </w:r>
      <w:r>
        <w:lastRenderedPageBreak/>
        <w:t xml:space="preserve">employees (Farris </w:t>
      </w:r>
      <w:r>
        <w:rPr>
          <w:i/>
        </w:rPr>
        <w:t>et al.,</w:t>
      </w:r>
      <w:r>
        <w:t xml:space="preserve"> 2024). Determine the expected monetary, human, and material resources to support the recovery cycle. This might involve gaining supplies and hardware, sending exceptional groups, or preparing crisis assets. Maintain open lines of communication with all partners, including employees, customers, suppliers, and the general public. Provide regular updates on the situation, recovery efforts, and potential activity modifications.</w:t>
      </w:r>
    </w:p>
    <w:p w:rsidR="00FF60FE" w:rsidRDefault="00FF60FE" w:rsidP="00FF60FE">
      <w:pPr>
        <w:pStyle w:val="Normal1"/>
      </w:pPr>
      <w:r>
        <w:t>When the threat to human life has passed, the recuperation phase begins. Its inspiration is to restore a hurt district to some level of bankruptcy, to no one's surprise, including modifying fundamental organisations and fixing physical, social, and monetary mischief. The response stage is the response to a grievous disaster or crisis. Recovery is the continuation of activities following the crisis to restore essential community functions and begin leading stabilisation efforts. When the threat to human life has passed, the recuperation phase begins. The goal of the recovery is to restore the hurt district to its, for the most part, anticipated state. A Disaster Recovery Plan is designed to help you create a disaster recovery strategy. The accompanying assets were used in the production of this crash recuperation. Change the calamity recovery design as cared about. The goal of fiasco recovery is to ensure that you can reply in the event of a disaster or other emergency that impacts information systems and cut off its impact on business errands.</w:t>
      </w:r>
    </w:p>
    <w:p w:rsidR="00FF60FE" w:rsidRDefault="00FF60FE" w:rsidP="00FF60FE">
      <w:pPr>
        <w:pStyle w:val="Heading2"/>
      </w:pPr>
      <w:bookmarkStart w:id="7" w:name="_Toc165377616"/>
      <w:r>
        <w:t>Recommendation</w:t>
      </w:r>
      <w:bookmarkEnd w:id="7"/>
    </w:p>
    <w:p w:rsidR="00FF60FE" w:rsidRDefault="00FF60FE" w:rsidP="00FF60FE">
      <w:pPr>
        <w:pStyle w:val="Normal1"/>
        <w:numPr>
          <w:ilvl w:val="0"/>
          <w:numId w:val="1"/>
        </w:numPr>
        <w:spacing w:before="0" w:after="0"/>
      </w:pPr>
      <w:r>
        <w:t>Conduct a comprehensive risk assessment to identify relevant potential risks for your business. As per Novoselova et al. (2023), Take into consideration things like threats to security, technical emergencies, health emergencies, and natural disasters, for instance. Make an extensive, risk-based crisis plan for your business. Integrate clearing, protection, correspondence, and resource the board system. Guarantee all delegates know the course of action through standard arrangements and drills. Experts concur that a well-planned disaster recovery strategy could mean the difference between surviving and going bankrupt. Instead of responding at the time, preparing for a crisis can decrease its effect on your business and workers. There is no most effective way to answer a characteristic or artificial crisis.</w:t>
      </w:r>
    </w:p>
    <w:p w:rsidR="00FF60FE" w:rsidRDefault="00FF60FE" w:rsidP="00FF60FE">
      <w:pPr>
        <w:pStyle w:val="Normal1"/>
        <w:numPr>
          <w:ilvl w:val="0"/>
          <w:numId w:val="1"/>
        </w:numPr>
        <w:spacing w:before="0" w:after="0"/>
      </w:pPr>
      <w:r>
        <w:t xml:space="preserve">In a crisis, direct a beginning-to-end conversation to perceive models learned and regions for development. According to Schulman (2023), these findings should be monitored and incorporated into any subsequent updates to crisis plans. Perceive the typical mental effect </w:t>
      </w:r>
      <w:r>
        <w:lastRenderedPageBreak/>
        <w:t>of crises on specialists and recommend fitting help associations, for example, planning or help programs for workers.</w:t>
      </w:r>
    </w:p>
    <w:p w:rsidR="00FF60FE" w:rsidRDefault="00FF60FE" w:rsidP="00FF60FE">
      <w:pPr>
        <w:pStyle w:val="Normal1"/>
        <w:numPr>
          <w:ilvl w:val="0"/>
          <w:numId w:val="1"/>
        </w:numPr>
        <w:spacing w:before="0" w:after="0"/>
      </w:pPr>
      <w:r>
        <w:t>Making a crisis plan is an essential step toward upgrading crisis management systems. An emergency plan is a record representing the pushes toward take in the event of an emergency. As stated by Khoshimjon et al. (2024), an extensive arrangement that tends to all potential crisis circumstances, like flames, mishaps, clinical issues, and catastrophic events, is fundamental. Regular drills and exercises should be conducted to evaluate the effectiveness of the emergency plan. Give direction on the most capable strategy to manage hazardous materials safely and how to answer in case of a disaster at workplaces where they are used.</w:t>
      </w:r>
    </w:p>
    <w:p w:rsidR="00FF60FE" w:rsidRDefault="00FF60FE" w:rsidP="00FF60FE">
      <w:pPr>
        <w:pStyle w:val="Heading1"/>
      </w:pPr>
      <w:bookmarkStart w:id="8" w:name="_Toc165377617"/>
      <w:r>
        <w:t>Conclusion</w:t>
      </w:r>
      <w:bookmarkEnd w:id="8"/>
    </w:p>
    <w:p w:rsidR="00FF60FE" w:rsidRDefault="00FF60FE" w:rsidP="00FF60FE">
      <w:pPr>
        <w:pStyle w:val="Normal1"/>
      </w:pPr>
      <w:r>
        <w:t xml:space="preserve">The study evaluates that organisational emergency is one of the primary challenges for every organisation. Therefore, it is important to prepare a medication strategy for emergencies in the daily organisation. The study focuses on five pillars of organisational emergency to gain information regarding the emergency. </w:t>
      </w:r>
    </w:p>
    <w:p w:rsidR="00FF60FE" w:rsidRDefault="00FF60FE" w:rsidP="00FF60FE">
      <w:pPr>
        <w:pStyle w:val="Normal1"/>
      </w:pPr>
      <w:r>
        <w:t>The study states that there are five main activities that virtual organisations need to adopt to deal with their organisation's emergencies. At the primary stage, the study develops an understanding of the prevention of emergencies. After that, the study table of mitigation, response, recovery, etc., will be used to deal with the mentioned emergency. After providing the information regarding emergencies, the study also developed a few recommendations for organisations that play a significant role in preventing emergencies.</w:t>
      </w:r>
    </w:p>
    <w:p w:rsidR="00FF60FE" w:rsidRDefault="00FF60FE" w:rsidP="00FF60FE">
      <w:pPr>
        <w:pStyle w:val="Normal1"/>
        <w:rPr>
          <w:b/>
        </w:rPr>
      </w:pPr>
      <w:r>
        <w:br w:type="page"/>
      </w:r>
    </w:p>
    <w:p w:rsidR="00FF60FE" w:rsidRDefault="00FF60FE" w:rsidP="00FF60FE">
      <w:pPr>
        <w:pStyle w:val="Normal1"/>
        <w:pBdr>
          <w:top w:val="nil"/>
          <w:left w:val="nil"/>
          <w:bottom w:val="nil"/>
          <w:right w:val="nil"/>
          <w:between w:val="nil"/>
        </w:pBdr>
        <w:rPr>
          <w:color w:val="222222"/>
        </w:rPr>
      </w:pPr>
    </w:p>
    <w:p w:rsidR="00FF60FE" w:rsidRDefault="00FF60FE" w:rsidP="00FF60FE">
      <w:pPr>
        <w:pStyle w:val="Normal1"/>
        <w:rPr>
          <w:b/>
        </w:rPr>
      </w:pPr>
    </w:p>
    <w:p w:rsidR="002A3C0C" w:rsidRPr="002A3C0C" w:rsidRDefault="002A3C0C" w:rsidP="00FF60FE">
      <w:pPr>
        <w:pStyle w:val="Heading2"/>
        <w:rPr>
          <w:sz w:val="32"/>
          <w:szCs w:val="32"/>
          <w:u w:val="single"/>
        </w:rPr>
      </w:pPr>
      <w:bookmarkStart w:id="9" w:name="_Toc165377619"/>
      <w:r w:rsidRPr="002A3C0C">
        <w:rPr>
          <w:sz w:val="32"/>
          <w:szCs w:val="32"/>
          <w:u w:val="single"/>
        </w:rPr>
        <w:t>Appendix</w:t>
      </w:r>
    </w:p>
    <w:p w:rsidR="00FF60FE" w:rsidRPr="00FF60FE" w:rsidRDefault="00FF60FE" w:rsidP="00FF60FE">
      <w:pPr>
        <w:pStyle w:val="Heading2"/>
        <w:rPr>
          <w:u w:val="single"/>
        </w:rPr>
      </w:pPr>
      <w:r w:rsidRPr="00FF60FE">
        <w:rPr>
          <w:sz w:val="26"/>
          <w:szCs w:val="26"/>
          <w:u w:val="single"/>
        </w:rPr>
        <w:t>Precis</w:t>
      </w:r>
      <w:r>
        <w:rPr>
          <w:sz w:val="26"/>
          <w:szCs w:val="26"/>
          <w:u w:val="single"/>
        </w:rPr>
        <w:t xml:space="preserve">(500 Words) </w:t>
      </w:r>
    </w:p>
    <w:p w:rsidR="00FF60FE" w:rsidRPr="00394BED" w:rsidRDefault="00FF60FE" w:rsidP="00FF60FE">
      <w:pPr>
        <w:rPr>
          <w:sz w:val="36"/>
          <w:szCs w:val="36"/>
          <w:lang w:val="en-IN" w:eastAsia="en-IN"/>
        </w:rPr>
      </w:pPr>
      <w:r w:rsidRPr="00143D99">
        <w:rPr>
          <w:lang w:val="en-IN" w:eastAsia="en-IN"/>
        </w:rPr>
        <w:t>This study provides a unique analytical framework for examining innovation in technological processes that occur across national borders and in international contexts. According to the authors' argument, most theories and policy proposals regarding innovation systems have adopted a national or regional perspective, so lacking to take into account the growing globalisation of innovation efforts across businesses and industries.</w:t>
      </w:r>
      <w:r w:rsidRPr="00143D99">
        <w:rPr>
          <w:lang w:val="en-IN" w:eastAsia="en-IN"/>
        </w:rPr>
        <w:br/>
        <w:t>To address this flaw, the authors draw on fresh insights in the theory of global innovation as well as information from the literature on innovation systems. Their approach is multi-scale, perceiving innovation systems as spanning multiple spatial scales, from small-scale local economies and areas to a large-scale globally interconnected system.</w:t>
      </w:r>
    </w:p>
    <w:p w:rsidR="00FF60FE" w:rsidRPr="00143D99" w:rsidRDefault="00FF60FE" w:rsidP="00FF60FE">
      <w:pPr>
        <w:rPr>
          <w:lang w:val="en-IN" w:eastAsia="en-IN"/>
        </w:rPr>
      </w:pPr>
      <w:r w:rsidRPr="00143D99">
        <w:rPr>
          <w:lang w:val="en-IN" w:eastAsia="en-IN"/>
        </w:rPr>
        <w:t xml:space="preserve">Based on this multi-scalar GIS ideas, the authors propose a typology of four typical configurations that a GIS can have. Two main characteristics set these four groups apart: the form of innovation that occurs (supplier-dominated versus science-based innovation, for example) and the guiding concept of product valuation in a particular market (cost versus unique features). </w:t>
      </w:r>
    </w:p>
    <w:p w:rsidR="00FF60FE" w:rsidRDefault="00FF60FE" w:rsidP="00FF60FE">
      <w:pPr>
        <w:rPr>
          <w:lang w:val="en-IN" w:eastAsia="en-IN"/>
        </w:rPr>
      </w:pPr>
      <w:r w:rsidRPr="00143D99">
        <w:rPr>
          <w:lang w:val="en-IN" w:eastAsia="en-IN"/>
        </w:rPr>
        <w:t>In a supplier-dominated, cost-based busines</w:t>
      </w:r>
      <w:r>
        <w:rPr>
          <w:lang w:val="en-IN" w:eastAsia="en-IN"/>
        </w:rPr>
        <w:t>s</w:t>
      </w:r>
      <w:r w:rsidRPr="00143D99">
        <w:rPr>
          <w:lang w:val="en-IN" w:eastAsia="en-IN"/>
        </w:rPr>
        <w:t xml:space="preserve"> like automobile production as opposed to a science-based, competitive market like pharmaceutical, a GIS, for instance, would be very different. </w:t>
      </w:r>
    </w:p>
    <w:p w:rsidR="00FF60FE" w:rsidRDefault="00FF60FE" w:rsidP="00FF60FE">
      <w:pPr>
        <w:rPr>
          <w:lang w:val="en-IN" w:eastAsia="en-IN"/>
        </w:rPr>
      </w:pPr>
      <w:r w:rsidRPr="00143D99">
        <w:rPr>
          <w:lang w:val="en-IN" w:eastAsia="en-IN"/>
        </w:rPr>
        <w:br/>
        <w:t xml:space="preserve">To demonstrate the analytical worth of their method, the authors examine four emerging clean technology industries: bioethanol, solar energy, wind power, and electric vehicles. Based on qualitative data, they depict how creative activities in various sectors are organised across globally dispersed subsystems of knowledge creation, markets, manufacturing, etc., and how the couplings between these subsystems form an overall GIS. </w:t>
      </w:r>
    </w:p>
    <w:p w:rsidR="00FF60FE" w:rsidRPr="00143D99" w:rsidRDefault="00FF60FE" w:rsidP="00FF60FE">
      <w:pPr>
        <w:rPr>
          <w:lang w:val="en-IN" w:eastAsia="en-IN"/>
        </w:rPr>
      </w:pPr>
      <w:r w:rsidRPr="00143D99">
        <w:rPr>
          <w:lang w:val="en-IN" w:eastAsia="en-IN"/>
        </w:rPr>
        <w:br/>
        <w:t xml:space="preserve">The authors argue that implementing a thorough GIS methodology is necessary for two reasons: </w:t>
      </w:r>
      <w:r w:rsidRPr="00143D99">
        <w:rPr>
          <w:lang w:val="en-IN" w:eastAsia="en-IN"/>
        </w:rPr>
        <w:lastRenderedPageBreak/>
        <w:t>First off, it enables scholars who study innovation systems to develop more thorough justifications for the intricate geographic dynamics present to modern invention processes.</w:t>
      </w:r>
    </w:p>
    <w:p w:rsidR="00FF60FE" w:rsidRPr="00143D99" w:rsidRDefault="00FF60FE" w:rsidP="00FF60FE">
      <w:pPr>
        <w:rPr>
          <w:lang w:val="en-IN" w:eastAsia="en-IN"/>
        </w:rPr>
      </w:pPr>
      <w:r w:rsidRPr="00143D99">
        <w:rPr>
          <w:lang w:val="en-IN" w:eastAsia="en-IN"/>
        </w:rPr>
        <w:t>Theoretical work to date has focused on national or subnational scales.</w:t>
      </w:r>
      <w:r w:rsidRPr="00143D99">
        <w:rPr>
          <w:lang w:val="en-IN" w:eastAsia="en-IN"/>
        </w:rPr>
        <w:br/>
        <w:t xml:space="preserve">Developing innovation policies and interventions that are more suited to the globalised structure of invention across industries can also be helped by a Geographic Information System (GIS) perspective. More specifically, it can guide global innovation assistance through international coordination policies related to laws, finance, labour transfers, intellectual property, and other areas. </w:t>
      </w:r>
      <w:r w:rsidRPr="00143D99">
        <w:rPr>
          <w:lang w:val="en-IN" w:eastAsia="en-IN"/>
        </w:rPr>
        <w:br/>
        <w:t xml:space="preserve">In summary, this work provides a novel multi-scalar model—a conceptual contribution—for the analysis of globally linked but spatially scattered innovation systems. The increasing globalisation of innovation processes across industries highlights the relevance of this kind of approach to policy. The clean-tech business examples highlight the analytical viewpoint that a GIS offers. </w:t>
      </w:r>
    </w:p>
    <w:p w:rsidR="00FF60FE" w:rsidRDefault="00FF60FE" w:rsidP="00FF60FE">
      <w:pPr>
        <w:rPr>
          <w:lang w:val="en-IN" w:eastAsia="en-IN"/>
        </w:rPr>
      </w:pPr>
    </w:p>
    <w:p w:rsidR="00FF60FE" w:rsidRPr="00D318FD" w:rsidRDefault="00FF60FE" w:rsidP="00FF60FE">
      <w:pPr>
        <w:rPr>
          <w:lang w:val="en-IN" w:eastAsia="en-IN"/>
        </w:rPr>
      </w:pPr>
      <w:r w:rsidRPr="00FB372E">
        <w:rPr>
          <w:lang w:val="en-IN" w:eastAsia="en-IN"/>
        </w:rPr>
        <w:t xml:space="preserve">In conclusion, in order to effectively support innovation and industrial development in an increasingly globalized context, governance techniques and institutions must be adapted to the unique characteristics of various GIS arrangements. </w:t>
      </w:r>
      <w:r w:rsidRPr="00D318FD">
        <w:rPr>
          <w:lang w:val="en-IN" w:eastAsia="en-IN"/>
        </w:rPr>
        <w:t xml:space="preserve">Overall, although  GIS are mostly </w:t>
      </w:r>
      <w:r>
        <w:rPr>
          <w:lang w:val="en-IN" w:eastAsia="en-IN"/>
        </w:rPr>
        <w:t xml:space="preserve">natural </w:t>
      </w:r>
      <w:proofErr w:type="spellStart"/>
      <w:r>
        <w:rPr>
          <w:lang w:val="en-IN" w:eastAsia="en-IN"/>
        </w:rPr>
        <w:t>evants</w:t>
      </w:r>
      <w:proofErr w:type="spellEnd"/>
      <w:r w:rsidRPr="00D318FD">
        <w:rPr>
          <w:lang w:val="en-IN" w:eastAsia="en-IN"/>
        </w:rPr>
        <w:t xml:space="preserve"> that are difficult to actively plan or manage top-down, there are many of chances for future studies to create justifications for strategies that better take advantage of the connections that exist across the world in the innovation process.</w:t>
      </w:r>
    </w:p>
    <w:p w:rsidR="00FF60FE" w:rsidRDefault="00FF60FE" w:rsidP="00FF60FE">
      <w:pPr>
        <w:pStyle w:val="Heading1"/>
        <w:rPr>
          <w:u w:val="single"/>
        </w:rPr>
      </w:pPr>
      <w:bookmarkStart w:id="10" w:name="_Toc165377620"/>
      <w:bookmarkEnd w:id="9"/>
    </w:p>
    <w:p w:rsidR="00FF60FE" w:rsidRDefault="00FF60FE" w:rsidP="00FF60FE">
      <w:pPr>
        <w:pStyle w:val="Heading1"/>
        <w:rPr>
          <w:sz w:val="26"/>
          <w:szCs w:val="26"/>
        </w:rPr>
      </w:pPr>
      <w:r w:rsidRPr="00FF60FE">
        <w:rPr>
          <w:u w:val="single"/>
        </w:rPr>
        <w:t>SUMMARY</w:t>
      </w:r>
      <w:r>
        <w:rPr>
          <w:u w:val="single"/>
        </w:rPr>
        <w:t>(1000 Words)</w:t>
      </w:r>
    </w:p>
    <w:p w:rsidR="00FF60FE" w:rsidRPr="00FF60FE" w:rsidRDefault="00FF60FE" w:rsidP="00FF60FE">
      <w:pPr>
        <w:pStyle w:val="Heading1"/>
      </w:pPr>
      <w:r>
        <w:rPr>
          <w:sz w:val="26"/>
          <w:szCs w:val="26"/>
        </w:rPr>
        <w:t xml:space="preserve"> Global Innovation Systems</w:t>
      </w:r>
      <w:bookmarkEnd w:id="10"/>
    </w:p>
    <w:p w:rsidR="00FF60FE" w:rsidRDefault="00FF60FE" w:rsidP="00FF60FE">
      <w:r>
        <w:t xml:space="preserve">The study examines how Global Innovation Systems (GIS) are conceptualized and analysed in light of current viewpoints on innovation systems, particularly in cross-border settings. As with National Innovation Systems (NIS), Regional Innovation Systems (RIS), Sectoral Innovation Systems (SIS), and Technological Innovation Systems (TIS), it tackles the shortcomings of previous conceptualizations. The complexity of innovation processes that cross national </w:t>
      </w:r>
      <w:r>
        <w:lastRenderedPageBreak/>
        <w:t>boundaries was not adequately captured by these earlier frameworks, which frequently concentrated on sectoral or territorial boundaries.</w:t>
      </w:r>
    </w:p>
    <w:p w:rsidR="00FF60FE" w:rsidRDefault="00FF60FE" w:rsidP="00FF60FE">
      <w:r>
        <w:t>The paper aims to provide a more comprehensive understanding of innovation systems operating on a global scale by addressing several key issues. Firstly, it critiques the territorial bias inherent in previous approaches, highlighting the need to consider multi-scalar perspectives in the analysis of GIS. It argues that innovation processes are not confined to national or regional territories but are increasingly influenced by global networks, actors, and institutions.</w:t>
      </w:r>
    </w:p>
    <w:p w:rsidR="00FF60FE" w:rsidRDefault="00FF60FE" w:rsidP="00FF60FE"/>
    <w:p w:rsidR="00FF60FE" w:rsidRDefault="00FF60FE" w:rsidP="00FF60FE">
      <w:r>
        <w:t>Secondly, the paper emphasizes the dynamic nature of innovation systems, advocating for a more nuanced understanding of how new technologies and industries emerge and evolve over time. It suggests that existing frameworks often focus on established sectors and fail to account for the emergence of new technologies and industries, thus necessitating a more dynamic approach.</w:t>
      </w:r>
    </w:p>
    <w:p w:rsidR="00FF60FE" w:rsidRDefault="00FF60FE" w:rsidP="00FF60FE"/>
    <w:p w:rsidR="00FF60FE" w:rsidRDefault="00FF60FE" w:rsidP="00FF60FE">
      <w:r>
        <w:t>Lastly, the paper calls for a systematic consideration of differences between innovation dynamics in various industry types. It suggests that different industries may require different approaches to innovation, and thus, a one-size-fits-all approach may not be appropriate.</w:t>
      </w:r>
    </w:p>
    <w:p w:rsidR="00FF60FE" w:rsidRDefault="00FF60FE" w:rsidP="00FF60FE"/>
    <w:p w:rsidR="00FF60FE" w:rsidRDefault="00FF60FE" w:rsidP="00FF60FE">
      <w:r>
        <w:t>In terms of the motivation or agenda behind this research, several factors can be inferred from the paper. Firstly, there is a clear scholarly ambition to advance the understanding of innovation systems in transnational contexts. The authors aim to build upon existing literature and address its limitations, thereby contributing to theoretical advancements in the field of innovation studies.</w:t>
      </w:r>
    </w:p>
    <w:p w:rsidR="00FF60FE" w:rsidRDefault="00FF60FE" w:rsidP="00FF60FE"/>
    <w:p w:rsidR="00FF60FE" w:rsidRDefault="00FF60FE" w:rsidP="00FF60FE">
      <w:r>
        <w:t>Additionally, the paper reflects a practical concern with the increasingly global nature of innovation processes. In an era characterized by globalization and interconnectedness, understanding how innovation operates across borders is of significant importance for policymakers, industry practitioners, and academics alike.</w:t>
      </w:r>
    </w:p>
    <w:p w:rsidR="00FF60FE" w:rsidRDefault="00FF60FE" w:rsidP="00FF60FE"/>
    <w:p w:rsidR="00FF60FE" w:rsidRDefault="00FF60FE" w:rsidP="00FF60FE">
      <w:r>
        <w:t>Moreover, there seems to be a normative agenda underlying the research, driven by the desire to inform more effective policy interventions and strategic decision-making in the context of global innovation. By offering a more nuanced understanding of GIS, the authors hope to provide insights that can guide efforts to promote innovation and economic development on a global scale.</w:t>
      </w:r>
    </w:p>
    <w:p w:rsidR="00FF60FE" w:rsidRDefault="00FF60FE" w:rsidP="00FF60FE"/>
    <w:p w:rsidR="00FF60FE" w:rsidRDefault="00FF60FE" w:rsidP="00FF60FE">
      <w:r>
        <w:t>In summary, the research paper seeks to address theoretical, practical, and normative concerns surrounding the conceptualization and analysis of Global Innovation Systems. It aims to advance scholarly understanding, inform policymaking, and contribute to more effective strategies for fostering innovation in an increasingly interconnected world.</w:t>
      </w:r>
    </w:p>
    <w:p w:rsidR="00FF60FE" w:rsidRDefault="00FF60FE" w:rsidP="00FF60FE">
      <w:r>
        <w:t>One key problem the research seeks to solve is the identification of distinct GIS configurations that emerge based on the interplay between technological innovation and product valuation. The authors propose a framework that categorizes industries into four generic GIS configurations, each characterized by varying degrees of territorial embeddedness and spatial dynamics. This framework serves as a tool for understanding how industry-specific factors influence the evolution of GIS over time.</w:t>
      </w:r>
    </w:p>
    <w:p w:rsidR="00FF60FE" w:rsidRDefault="00FF60FE" w:rsidP="00FF60FE"/>
    <w:p w:rsidR="00FF60FE" w:rsidRDefault="00FF60FE" w:rsidP="00FF60FE">
      <w:r>
        <w:t>Motivating this research is the recognition of the importance of understanding the underlying drivers of GIS evolution for both theoretical and practical reasons. The authors highlight the need to move beyond traditional supply-side explanations of technological innovation by incorporating insights from the systems of innovation literature. They argue for a more structured view that integrates both supply-side and demand-side perspectives, emphasizing the role of user-producer interactions and institutional embedding in shaping innovation processes.</w:t>
      </w:r>
    </w:p>
    <w:p w:rsidR="00FF60FE" w:rsidRDefault="00FF60FE" w:rsidP="00FF60FE"/>
    <w:p w:rsidR="00FF60FE" w:rsidRDefault="00FF60FE" w:rsidP="00FF60FE">
      <w:r>
        <w:t xml:space="preserve">Furthermore, the research seeks to contribute to ongoing debates in the literature regarding the spatial dynamics of innovation and the role of territorial contexts in shaping GIS configurations. By drawing on insights from industry lifecycle traditions and innovation systems theory, the </w:t>
      </w:r>
      <w:r>
        <w:lastRenderedPageBreak/>
        <w:t>authors aim to provide a nuanced understanding of how industry characteristics influence the spatial organization of innovation activities.</w:t>
      </w:r>
    </w:p>
    <w:p w:rsidR="00FF60FE" w:rsidRDefault="00FF60FE" w:rsidP="00FF60FE"/>
    <w:p w:rsidR="00FF60FE" w:rsidRDefault="00FF60FE" w:rsidP="00FF60FE">
      <w:r>
        <w:t>Overall, the research outlined in the excerpt is driven by a dual agenda: first, to advance theoretical understanding of GIS evolution by integrating insights from different scholarly traditions, and second, to provide practical insights for policymakers and industry practitioners seeking to foster innovation and economic development within specific geographic contexts. By examining the motivations and agendas underlying this research, we gain valuable insights into the broader significance of studying GIS evolution within the context of technological innovation and industry dynamics.</w:t>
      </w:r>
    </w:p>
    <w:p w:rsidR="00FF60FE" w:rsidRDefault="00FF60FE" w:rsidP="00FF60FE">
      <w:r>
        <w:t>Let's dissect the interpretation into its constituent parts:</w:t>
      </w:r>
    </w:p>
    <w:p w:rsidR="00FF60FE" w:rsidRDefault="00FF60FE" w:rsidP="00FF60FE"/>
    <w:p w:rsidR="00FF60FE" w:rsidRDefault="00FF60FE" w:rsidP="00FF60FE">
      <w:r>
        <w:t>Problem Identification: Understanding how GIS configurations change across different industries is the main issue that the research attempts to address. This entails figuring out how product valuation and technological innovation interact intricately and how these influences affect how GIS activities are organized spatially.</w:t>
      </w:r>
    </w:p>
    <w:p w:rsidR="00FF60FE" w:rsidRDefault="00FF60FE" w:rsidP="00FF60FE">
      <w:r>
        <w:t>Motivation: The need to go beyond traditional explanations of technological innovation—which frequently concentrate only on supply-side factors—motivates this research. The authors hope to create a more complete understanding that takes into account both supply-side and demand-side dynamics by integrating insights from the literature on systems of innovation.</w:t>
      </w:r>
    </w:p>
    <w:p w:rsidR="00FF60FE" w:rsidRDefault="00FF60FE" w:rsidP="00FF60FE"/>
    <w:p w:rsidR="00FF60FE" w:rsidRDefault="00FF60FE" w:rsidP="00FF60FE">
      <w:r>
        <w:t>The study offers a framework for classifying industries into four different GIS configurations, which adds to theoretical discussions. This framework incorporates industry lifecycle insights.</w:t>
      </w:r>
    </w:p>
    <w:p w:rsidR="00FF60FE" w:rsidRDefault="00FF60FE" w:rsidP="00FF60FE">
      <w:r>
        <w:t>Theoretical Contribution: The research contributes to theoretical debates by proposing a framework that categorizes industries into four distinct GIS configurations. This framework integrates insights from industry lifecycle traditions and innovation systems theory, offering a more nuanced understanding of how industry characteristics influence GIS evolution.</w:t>
      </w:r>
    </w:p>
    <w:p w:rsidR="00FF60FE" w:rsidRDefault="00FF60FE" w:rsidP="00FF60FE">
      <w:r>
        <w:lastRenderedPageBreak/>
        <w:t>Practical Implications: Beyond theoretical contributions, the research also has practical implications for policymakers and industry practitioners. By shedding light on the spatial dynamics of innovation and the role of territorial contexts, the research provides valuable insights for decision-makers seeking to foster innovation and economic development within specific geographic regions.</w:t>
      </w:r>
    </w:p>
    <w:p w:rsidR="00FF60FE" w:rsidRDefault="00FF60FE" w:rsidP="00FF60FE">
      <w:r>
        <w:t>Agenda: The overarching agenda of the research is twofold: advancing theoretical understanding and providing practical insights. By addressing these dual objectives, the research aims to contribute to scholarly debates while also offering guidance for real-world policy and industry initiatives.</w:t>
      </w:r>
    </w:p>
    <w:p w:rsidR="00FF60FE" w:rsidRDefault="00FF60FE" w:rsidP="00FF60FE">
      <w:r>
        <w:t>In essence, the research endeavours to unravel the intricate tapestry of GIS evolution within different industries, offering both theoretical insights and practical guidance for navigating the complex terrain of technological innovation and economic development.</w:t>
      </w:r>
    </w:p>
    <w:p w:rsidR="00FE70B9" w:rsidRDefault="00FE70B9" w:rsidP="00FF60FE"/>
    <w:p w:rsidR="00FE70B9" w:rsidRDefault="00FE70B9" w:rsidP="00FF60FE"/>
    <w:p w:rsidR="00FE70B9" w:rsidRDefault="00FE70B9" w:rsidP="00FF60FE"/>
    <w:p w:rsidR="00FE70B9" w:rsidRDefault="00FE70B9" w:rsidP="00FF60FE"/>
    <w:p w:rsidR="00FE70B9" w:rsidRDefault="00FE70B9" w:rsidP="00FF60FE"/>
    <w:p w:rsidR="00FE70B9" w:rsidRDefault="00FE70B9" w:rsidP="00FF60FE"/>
    <w:p w:rsidR="00FE70B9" w:rsidRDefault="00FE70B9" w:rsidP="00FF60FE"/>
    <w:p w:rsidR="00FE70B9" w:rsidRDefault="00FE70B9" w:rsidP="00FF60FE"/>
    <w:p w:rsidR="00FE70B9" w:rsidRDefault="00FE70B9" w:rsidP="00FE70B9">
      <w:pPr>
        <w:pStyle w:val="Heading1"/>
      </w:pPr>
      <w:bookmarkStart w:id="11" w:name="_Toc165377618"/>
      <w:r>
        <w:t>Reference List</w:t>
      </w:r>
      <w:bookmarkEnd w:id="11"/>
      <w:r>
        <w:t xml:space="preserve"> </w:t>
      </w:r>
    </w:p>
    <w:p w:rsidR="00FE70B9" w:rsidRDefault="00FE70B9" w:rsidP="00FE70B9">
      <w:pPr>
        <w:pStyle w:val="Normal1"/>
        <w:pBdr>
          <w:top w:val="nil"/>
          <w:left w:val="nil"/>
          <w:bottom w:val="nil"/>
          <w:right w:val="nil"/>
          <w:between w:val="nil"/>
        </w:pBdr>
        <w:rPr>
          <w:color w:val="222222"/>
        </w:rPr>
      </w:pPr>
      <w:r>
        <w:rPr>
          <w:color w:val="222222"/>
        </w:rPr>
        <w:t xml:space="preserve">Annarelli, A., Battistella, C. and Nonino, F., (2020). Competitive advantage implication of different Product Service System business models: Consequences of 'not-replicable ' capabilities. </w:t>
      </w:r>
      <w:r>
        <w:rPr>
          <w:i/>
          <w:color w:val="222222"/>
        </w:rPr>
        <w:t>Journal of Cleaner Production</w:t>
      </w:r>
      <w:r>
        <w:rPr>
          <w:color w:val="222222"/>
        </w:rPr>
        <w:t xml:space="preserve">, </w:t>
      </w:r>
      <w:r>
        <w:rPr>
          <w:i/>
          <w:color w:val="222222"/>
        </w:rPr>
        <w:t>247</w:t>
      </w:r>
      <w:r>
        <w:rPr>
          <w:color w:val="222222"/>
        </w:rPr>
        <w:t xml:space="preserve">, p.119121. </w:t>
      </w:r>
      <w:hyperlink r:id="rId8">
        <w:r>
          <w:rPr>
            <w:color w:val="1155CC"/>
            <w:u w:val="single"/>
          </w:rPr>
          <w:t>https://e-tarjome.com/storage/panel/fileuploads/2020-02-05/1580891347_E14432-e-tarjome.pdf</w:t>
        </w:r>
      </w:hyperlink>
      <w:r>
        <w:rPr>
          <w:color w:val="222222"/>
        </w:rPr>
        <w:t xml:space="preserve"> </w:t>
      </w:r>
      <w:r w:rsidR="00A12D33">
        <w:rPr>
          <w:color w:val="222222"/>
        </w:rPr>
        <w:t xml:space="preserve"> </w:t>
      </w:r>
    </w:p>
    <w:p w:rsidR="00FE70B9" w:rsidRDefault="00FE70B9" w:rsidP="00FE70B9">
      <w:pPr>
        <w:pStyle w:val="Normal1"/>
        <w:pBdr>
          <w:top w:val="nil"/>
          <w:left w:val="nil"/>
          <w:bottom w:val="nil"/>
          <w:right w:val="nil"/>
          <w:between w:val="nil"/>
        </w:pBdr>
        <w:rPr>
          <w:color w:val="222222"/>
        </w:rPr>
      </w:pPr>
      <w:r>
        <w:rPr>
          <w:color w:val="222222"/>
        </w:rPr>
        <w:lastRenderedPageBreak/>
        <w:t xml:space="preserve">Kemp, N.J., Keoleian, G.A., He, X. and Kasliwal, A. (2020). Life cycle greenhouse gas impacts of a connected and automated SUV and van. </w:t>
      </w:r>
      <w:r>
        <w:rPr>
          <w:i/>
          <w:color w:val="222222"/>
        </w:rPr>
        <w:t>Transportation Research Part D: Transport and Environment</w:t>
      </w:r>
      <w:r>
        <w:rPr>
          <w:color w:val="222222"/>
        </w:rPr>
        <w:t xml:space="preserve">, </w:t>
      </w:r>
      <w:r>
        <w:rPr>
          <w:i/>
          <w:color w:val="222222"/>
        </w:rPr>
        <w:t>83</w:t>
      </w:r>
      <w:r>
        <w:rPr>
          <w:color w:val="222222"/>
        </w:rPr>
        <w:t xml:space="preserve">, p.102375. </w:t>
      </w:r>
      <w:hyperlink r:id="rId9">
        <w:r>
          <w:rPr>
            <w:color w:val="1155CC"/>
            <w:u w:val="single"/>
          </w:rPr>
          <w:t>https://www.sciencedirect.com/science/article/am/pii/S1361920920305629</w:t>
        </w:r>
      </w:hyperlink>
      <w:r>
        <w:rPr>
          <w:color w:val="222222"/>
        </w:rPr>
        <w:t xml:space="preserve"> </w:t>
      </w:r>
    </w:p>
    <w:p w:rsidR="00FE70B9" w:rsidRDefault="00FE70B9" w:rsidP="00FE70B9">
      <w:pPr>
        <w:pStyle w:val="Normal1"/>
        <w:pBdr>
          <w:top w:val="nil"/>
          <w:left w:val="nil"/>
          <w:bottom w:val="nil"/>
          <w:right w:val="nil"/>
          <w:between w:val="nil"/>
        </w:pBdr>
        <w:rPr>
          <w:color w:val="222222"/>
        </w:rPr>
      </w:pPr>
      <w:r>
        <w:rPr>
          <w:color w:val="222222"/>
        </w:rPr>
        <w:t xml:space="preserve">Obermair, E., (2023). </w:t>
      </w:r>
      <w:r>
        <w:rPr>
          <w:i/>
          <w:color w:val="222222"/>
        </w:rPr>
        <w:t>Logistics challenges in omni-channel grocery retailing</w:t>
      </w:r>
      <w:r>
        <w:rPr>
          <w:color w:val="222222"/>
        </w:rPr>
        <w:t xml:space="preserve"> (Doctoral dissertation, Hochschule Geisenheim University). </w:t>
      </w:r>
      <w:hyperlink r:id="rId10">
        <w:r>
          <w:rPr>
            <w:color w:val="1155CC"/>
            <w:u w:val="single"/>
          </w:rPr>
          <w:t>https://opus4.kobv.de/opus4-hs-geisenheim/files/61/Dissertation_Obermair_pdfA.pdf</w:t>
        </w:r>
      </w:hyperlink>
    </w:p>
    <w:p w:rsidR="00FE70B9" w:rsidRDefault="00FE70B9" w:rsidP="00FE70B9">
      <w:pPr>
        <w:pStyle w:val="Normal1"/>
        <w:pBdr>
          <w:top w:val="nil"/>
          <w:left w:val="nil"/>
          <w:bottom w:val="nil"/>
          <w:right w:val="nil"/>
          <w:between w:val="nil"/>
        </w:pBdr>
        <w:rPr>
          <w:color w:val="222222"/>
        </w:rPr>
      </w:pPr>
      <w:r>
        <w:rPr>
          <w:color w:val="222222"/>
        </w:rPr>
        <w:t xml:space="preserve">Sarder, M.D., (2020). </w:t>
      </w:r>
      <w:r>
        <w:rPr>
          <w:i/>
          <w:color w:val="222222"/>
        </w:rPr>
        <w:t>Logistics transportation systems</w:t>
      </w:r>
      <w:r>
        <w:rPr>
          <w:color w:val="222222"/>
        </w:rPr>
        <w:t xml:space="preserve">. Elsevier. </w:t>
      </w:r>
      <w:hyperlink r:id="rId11">
        <w:r>
          <w:rPr>
            <w:color w:val="1155CC"/>
            <w:u w:val="single"/>
          </w:rPr>
          <w:t>https://thuvienso.hoasen.edu.vn/bitstream/handle/123456789/12880/Contents.pdf?sequence=1&amp;isAllowed=y</w:t>
        </w:r>
      </w:hyperlink>
      <w:r>
        <w:rPr>
          <w:color w:val="222222"/>
        </w:rPr>
        <w:t xml:space="preserve"> </w:t>
      </w:r>
    </w:p>
    <w:p w:rsidR="00FE70B9" w:rsidRDefault="00FE70B9" w:rsidP="00FE70B9">
      <w:pPr>
        <w:pStyle w:val="Normal1"/>
        <w:pBdr>
          <w:top w:val="nil"/>
          <w:left w:val="nil"/>
          <w:bottom w:val="nil"/>
          <w:right w:val="nil"/>
          <w:between w:val="nil"/>
        </w:pBdr>
        <w:rPr>
          <w:color w:val="222222"/>
        </w:rPr>
      </w:pPr>
      <w:r>
        <w:rPr>
          <w:color w:val="222222"/>
        </w:rPr>
        <w:t xml:space="preserve">Singh, S. and Saini, B.S. (2021). Autonomous cars: Recent developments, challenges, and possible solutions. In </w:t>
      </w:r>
      <w:r>
        <w:rPr>
          <w:i/>
          <w:color w:val="222222"/>
        </w:rPr>
        <w:t>IOP conference series: Materials science and engineering</w:t>
      </w:r>
      <w:r>
        <w:rPr>
          <w:color w:val="222222"/>
        </w:rPr>
        <w:t xml:space="preserve"> (Vol. 1022, No. 1, p. 012028). IOP Publishing.  </w:t>
      </w:r>
      <w:hyperlink r:id="rId12">
        <w:r>
          <w:rPr>
            <w:color w:val="1155CC"/>
            <w:u w:val="single"/>
          </w:rPr>
          <w:t>https://iopscience.iop.org/article/10.1088/1757-899X/1022/1/012028/pdf</w:t>
        </w:r>
      </w:hyperlink>
      <w:r>
        <w:rPr>
          <w:color w:val="222222"/>
        </w:rPr>
        <w:t xml:space="preserve"> </w:t>
      </w:r>
    </w:p>
    <w:p w:rsidR="00FE70B9" w:rsidRDefault="00FE70B9" w:rsidP="00FE70B9">
      <w:pPr>
        <w:pStyle w:val="Normal1"/>
        <w:pBdr>
          <w:top w:val="nil"/>
          <w:left w:val="nil"/>
          <w:bottom w:val="nil"/>
          <w:right w:val="nil"/>
          <w:between w:val="nil"/>
        </w:pBdr>
        <w:rPr>
          <w:color w:val="222222"/>
        </w:rPr>
      </w:pPr>
      <w:r>
        <w:rPr>
          <w:color w:val="222222"/>
        </w:rPr>
        <w:t xml:space="preserve">Wijaya Umar, R., (2023). A vision of smart's strategy to acknowledge sustainable cities deeply in the mobility system- a comparative study of selected cities and Nusantara city, Indonesia. </w:t>
      </w:r>
      <w:hyperlink r:id="rId13">
        <w:r>
          <w:rPr>
            <w:color w:val="1155CC"/>
            <w:u w:val="single"/>
          </w:rPr>
          <w:t>https://theses.ubn.ru.nl/server/api/core/bitstreams/a409f06d-6b32-4f4d-a5b1-8c6700cf2264/content</w:t>
        </w:r>
      </w:hyperlink>
      <w:r>
        <w:rPr>
          <w:color w:val="222222"/>
        </w:rPr>
        <w:t xml:space="preserve">  </w:t>
      </w:r>
    </w:p>
    <w:p w:rsidR="00FE70B9" w:rsidRDefault="00FE70B9" w:rsidP="00FE70B9">
      <w:pPr>
        <w:pStyle w:val="Normal1"/>
        <w:pBdr>
          <w:top w:val="nil"/>
          <w:left w:val="nil"/>
          <w:bottom w:val="nil"/>
          <w:right w:val="nil"/>
          <w:between w:val="nil"/>
        </w:pBdr>
        <w:rPr>
          <w:color w:val="222222"/>
        </w:rPr>
      </w:pPr>
      <w:r>
        <w:rPr>
          <w:color w:val="222222"/>
        </w:rPr>
        <w:t xml:space="preserve">Yu, Y., (2024). Marketing Strategy Research in China's Dairy Industry: A Comparative Analysis between Mengniu and Yili. </w:t>
      </w:r>
      <w:r>
        <w:rPr>
          <w:i/>
          <w:color w:val="222222"/>
        </w:rPr>
        <w:t>Journal of Education, Humanities and Social Sciences</w:t>
      </w:r>
      <w:r>
        <w:rPr>
          <w:color w:val="222222"/>
        </w:rPr>
        <w:t xml:space="preserve">, </w:t>
      </w:r>
      <w:r>
        <w:rPr>
          <w:i/>
          <w:color w:val="222222"/>
        </w:rPr>
        <w:t>27</w:t>
      </w:r>
      <w:r>
        <w:rPr>
          <w:color w:val="222222"/>
        </w:rPr>
        <w:t xml:space="preserve">, pp.384-391. </w:t>
      </w:r>
      <w:hyperlink r:id="rId14">
        <w:r>
          <w:rPr>
            <w:color w:val="1155CC"/>
            <w:u w:val="single"/>
          </w:rPr>
          <w:t>https://drpress.org/ojs/index.php/EHSS/article/download/18242/17775</w:t>
        </w:r>
      </w:hyperlink>
    </w:p>
    <w:p w:rsidR="00FE70B9" w:rsidRDefault="00FE70B9" w:rsidP="00FE70B9">
      <w:pPr>
        <w:pStyle w:val="Normal1"/>
        <w:rPr>
          <w:color w:val="222222"/>
          <w:highlight w:val="white"/>
        </w:rPr>
      </w:pPr>
      <w:r>
        <w:rPr>
          <w:color w:val="222222"/>
          <w:highlight w:val="white"/>
        </w:rPr>
        <w:t xml:space="preserve">Farris, K.L., Dye, L.A., Houser, M.L. and Timmerman, C.E.,( 2024). Faculty computer-mediated communication apprehension during a shift to emergency remote teaching: implications for teacher-student interactions and faculty organisational outcomes. </w:t>
      </w:r>
      <w:r>
        <w:rPr>
          <w:i/>
          <w:color w:val="222222"/>
          <w:highlight w:val="white"/>
        </w:rPr>
        <w:t>Frontiers in communication</w:t>
      </w:r>
      <w:r>
        <w:rPr>
          <w:color w:val="222222"/>
          <w:highlight w:val="white"/>
        </w:rPr>
        <w:t>, </w:t>
      </w:r>
      <w:r>
        <w:rPr>
          <w:i/>
          <w:color w:val="222222"/>
          <w:highlight w:val="white"/>
        </w:rPr>
        <w:t>9</w:t>
      </w:r>
      <w:r>
        <w:rPr>
          <w:color w:val="222222"/>
          <w:highlight w:val="white"/>
        </w:rPr>
        <w:t>, p.1271214.</w:t>
      </w:r>
      <w:r>
        <w:t xml:space="preserve"> </w:t>
      </w:r>
      <w:hyperlink r:id="rId15">
        <w:r>
          <w:rPr>
            <w:color w:val="0000FF"/>
            <w:highlight w:val="white"/>
            <w:u w:val="single"/>
          </w:rPr>
          <w:t>https://www.frontiersin.org/articles/10.3389/fcomm.2024.1271214/full</w:t>
        </w:r>
      </w:hyperlink>
      <w:r>
        <w:rPr>
          <w:color w:val="222222"/>
          <w:highlight w:val="white"/>
        </w:rPr>
        <w:t xml:space="preserve"> </w:t>
      </w:r>
    </w:p>
    <w:p w:rsidR="00FE70B9" w:rsidRDefault="00FE70B9" w:rsidP="00FE70B9">
      <w:pPr>
        <w:pStyle w:val="Normal1"/>
      </w:pPr>
      <w:r>
        <w:rPr>
          <w:color w:val="222222"/>
          <w:highlight w:val="white"/>
        </w:rPr>
        <w:t>Khoshimjon, Y.S., Turgunovna, A.S. and Umarjonovna, D.D.,( 2023). PREPARING THE POPULATION FOR PRACTICAL TRAINING ON CIVIL PROTECTION AND CONDUCTING IT. TRAINING THE POPULATION ON THE CONTENT OF POLITICAL-</w:t>
      </w:r>
      <w:r>
        <w:rPr>
          <w:color w:val="222222"/>
          <w:highlight w:val="white"/>
        </w:rPr>
        <w:lastRenderedPageBreak/>
        <w:t>EDUCATIONAL ACTIVITIES AND PRACTICAL TRAINING CONDUCTED WITH THE UNITS OF CIVIL PROTECTION IN EMERGENCY SITUATIONS. </w:t>
      </w:r>
      <w:r>
        <w:rPr>
          <w:i/>
          <w:color w:val="222222"/>
          <w:highlight w:val="white"/>
        </w:rPr>
        <w:t>JOURNAL OF INNOVATIONS IN SCIENTIFIC AND EDUCATIONAL RESEARCH</w:t>
      </w:r>
      <w:r>
        <w:rPr>
          <w:color w:val="222222"/>
          <w:highlight w:val="white"/>
        </w:rPr>
        <w:t>, </w:t>
      </w:r>
      <w:r>
        <w:rPr>
          <w:i/>
          <w:color w:val="222222"/>
          <w:highlight w:val="white"/>
        </w:rPr>
        <w:t>6</w:t>
      </w:r>
      <w:r>
        <w:rPr>
          <w:color w:val="222222"/>
          <w:highlight w:val="white"/>
        </w:rPr>
        <w:t>(2), pp.97-103.</w:t>
      </w:r>
      <w:r>
        <w:t xml:space="preserve"> </w:t>
      </w:r>
      <w:hyperlink r:id="rId16">
        <w:r>
          <w:rPr>
            <w:color w:val="0000FF"/>
            <w:highlight w:val="white"/>
            <w:u w:val="single"/>
          </w:rPr>
          <w:t>https://bestpublication.org/index.php/jaj/article/view/3981</w:t>
        </w:r>
      </w:hyperlink>
      <w:r>
        <w:rPr>
          <w:color w:val="222222"/>
          <w:highlight w:val="white"/>
        </w:rPr>
        <w:t xml:space="preserve"> </w:t>
      </w:r>
    </w:p>
    <w:p w:rsidR="00FE70B9" w:rsidRDefault="00FE70B9" w:rsidP="00FE70B9">
      <w:pPr>
        <w:pStyle w:val="Normal1"/>
        <w:rPr>
          <w:color w:val="222222"/>
          <w:highlight w:val="white"/>
        </w:rPr>
      </w:pPr>
      <w:r>
        <w:rPr>
          <w:color w:val="222222"/>
          <w:highlight w:val="white"/>
        </w:rPr>
        <w:t xml:space="preserve">Milton, J., M. Gillespie, B., Åberg, D., Erichsen Andersson, A. and Oxelmark, L.,( 2023). Interprofessional teamwork before and after organisational change in a tertiary emergency department: an observational study. </w:t>
      </w:r>
      <w:r>
        <w:rPr>
          <w:i/>
          <w:color w:val="222222"/>
          <w:highlight w:val="white"/>
        </w:rPr>
        <w:t>Journal of Interprofessional Care</w:t>
      </w:r>
      <w:r>
        <w:rPr>
          <w:color w:val="222222"/>
          <w:highlight w:val="white"/>
        </w:rPr>
        <w:t>, </w:t>
      </w:r>
      <w:r>
        <w:rPr>
          <w:i/>
          <w:color w:val="222222"/>
          <w:highlight w:val="white"/>
        </w:rPr>
        <w:t>37</w:t>
      </w:r>
      <w:r>
        <w:rPr>
          <w:color w:val="222222"/>
          <w:highlight w:val="white"/>
        </w:rPr>
        <w:t>(2), pp.300-311.</w:t>
      </w:r>
      <w:r>
        <w:t xml:space="preserve"> </w:t>
      </w:r>
      <w:hyperlink r:id="rId17">
        <w:r>
          <w:rPr>
            <w:color w:val="0000FF"/>
            <w:highlight w:val="white"/>
            <w:u w:val="single"/>
          </w:rPr>
          <w:t>https://www.tandfonline.com/doi/abs/10.1080/13561820.2022.2065250</w:t>
        </w:r>
      </w:hyperlink>
      <w:r>
        <w:rPr>
          <w:color w:val="222222"/>
          <w:highlight w:val="white"/>
        </w:rPr>
        <w:t xml:space="preserve"> </w:t>
      </w:r>
    </w:p>
    <w:p w:rsidR="00FE70B9" w:rsidRDefault="00FE70B9" w:rsidP="00FE70B9">
      <w:pPr>
        <w:pStyle w:val="Normal1"/>
        <w:rPr>
          <w:color w:val="222222"/>
          <w:highlight w:val="white"/>
        </w:rPr>
      </w:pPr>
      <w:r>
        <w:rPr>
          <w:color w:val="222222"/>
          <w:highlight w:val="white"/>
        </w:rPr>
        <w:t xml:space="preserve">Novoselova, I., Petrov, K. and Kalugyan, K., (2023). Organisational and technological approaches to assessing the safety of buildings affected by emergencies. In </w:t>
      </w:r>
      <w:r>
        <w:rPr>
          <w:i/>
          <w:color w:val="222222"/>
          <w:highlight w:val="white"/>
        </w:rPr>
        <w:t>E3S Web of Conferences</w:t>
      </w:r>
      <w:r>
        <w:rPr>
          <w:color w:val="222222"/>
          <w:highlight w:val="white"/>
        </w:rPr>
        <w:t> (Vol. 431, p. 06020). EDP Sciences.</w:t>
      </w:r>
      <w:r>
        <w:t xml:space="preserve"> </w:t>
      </w:r>
      <w:hyperlink r:id="rId18">
        <w:r>
          <w:rPr>
            <w:color w:val="0000FF"/>
            <w:highlight w:val="white"/>
            <w:u w:val="single"/>
          </w:rPr>
          <w:t>https://www.e3s-conferences.org/articles/e3sconf/abs/2023/68/e3sconf_itse2023_06020/e3sconf_itse2023_06020.html</w:t>
        </w:r>
      </w:hyperlink>
      <w:r>
        <w:rPr>
          <w:color w:val="222222"/>
          <w:highlight w:val="white"/>
        </w:rPr>
        <w:t xml:space="preserve"> </w:t>
      </w:r>
    </w:p>
    <w:p w:rsidR="00FE70B9" w:rsidRDefault="00FE70B9" w:rsidP="00FE70B9">
      <w:pPr>
        <w:pStyle w:val="Normal1"/>
        <w:rPr>
          <w:color w:val="222222"/>
          <w:highlight w:val="white"/>
        </w:rPr>
      </w:pPr>
      <w:r>
        <w:rPr>
          <w:color w:val="222222"/>
          <w:highlight w:val="white"/>
        </w:rPr>
        <w:t xml:space="preserve">Pescaroli, G., Guida, K., Reynolds, J., Pulwarty, R.S., Linkov, I. and Alexander, D.E., (2023). Managing systemic risk in emergency management, organisational resilience and climate change adaptation. </w:t>
      </w:r>
      <w:r>
        <w:rPr>
          <w:i/>
          <w:color w:val="222222"/>
          <w:highlight w:val="white"/>
        </w:rPr>
        <w:t>Disaster Prevention and Management: An International Journal</w:t>
      </w:r>
      <w:r>
        <w:rPr>
          <w:color w:val="222222"/>
          <w:highlight w:val="white"/>
        </w:rPr>
        <w:t>, </w:t>
      </w:r>
      <w:r>
        <w:rPr>
          <w:i/>
          <w:color w:val="222222"/>
          <w:highlight w:val="white"/>
        </w:rPr>
        <w:t>32</w:t>
      </w:r>
      <w:r>
        <w:rPr>
          <w:color w:val="222222"/>
          <w:highlight w:val="white"/>
        </w:rPr>
        <w:t>(1), pp.234-251.</w:t>
      </w:r>
      <w:r>
        <w:t xml:space="preserve"> </w:t>
      </w:r>
      <w:hyperlink r:id="rId19">
        <w:r>
          <w:rPr>
            <w:color w:val="0000FF"/>
            <w:highlight w:val="white"/>
            <w:u w:val="single"/>
          </w:rPr>
          <w:t>https://www.emerald.com/insight/content/doi/10.1108/DPM-08-2022-0179/full/html</w:t>
        </w:r>
      </w:hyperlink>
      <w:r>
        <w:rPr>
          <w:color w:val="222222"/>
          <w:highlight w:val="white"/>
        </w:rPr>
        <w:t xml:space="preserve"> </w:t>
      </w:r>
    </w:p>
    <w:p w:rsidR="00FE70B9" w:rsidRDefault="00FE70B9" w:rsidP="00FE70B9">
      <w:pPr>
        <w:pStyle w:val="Normal1"/>
        <w:rPr>
          <w:color w:val="222222"/>
          <w:highlight w:val="white"/>
        </w:rPr>
      </w:pPr>
      <w:r>
        <w:rPr>
          <w:color w:val="222222"/>
          <w:highlight w:val="white"/>
        </w:rPr>
        <w:t xml:space="preserve">Schulman, P.R., (2023). Problems and paradoxes of reliability and resilience in organisational networks. </w:t>
      </w:r>
      <w:r>
        <w:rPr>
          <w:i/>
          <w:color w:val="222222"/>
          <w:highlight w:val="white"/>
        </w:rPr>
        <w:t>Safety Science</w:t>
      </w:r>
      <w:r>
        <w:rPr>
          <w:color w:val="222222"/>
          <w:highlight w:val="white"/>
        </w:rPr>
        <w:t>, </w:t>
      </w:r>
      <w:r>
        <w:rPr>
          <w:i/>
          <w:color w:val="222222"/>
          <w:highlight w:val="white"/>
        </w:rPr>
        <w:t>167</w:t>
      </w:r>
      <w:r>
        <w:rPr>
          <w:color w:val="222222"/>
          <w:highlight w:val="white"/>
        </w:rPr>
        <w:t>, p.106279.</w:t>
      </w:r>
      <w:r>
        <w:t xml:space="preserve"> </w:t>
      </w:r>
      <w:hyperlink r:id="rId20">
        <w:r>
          <w:rPr>
            <w:color w:val="0000FF"/>
            <w:highlight w:val="white"/>
            <w:u w:val="single"/>
          </w:rPr>
          <w:t>https://www.sciencedirect.com/science/article/pii/S0925753523002217</w:t>
        </w:r>
      </w:hyperlink>
      <w:r>
        <w:rPr>
          <w:color w:val="222222"/>
          <w:highlight w:val="white"/>
        </w:rPr>
        <w:t xml:space="preserve"> </w:t>
      </w:r>
    </w:p>
    <w:p w:rsidR="00FE70B9" w:rsidRDefault="00FE70B9" w:rsidP="00FE70B9">
      <w:pPr>
        <w:pStyle w:val="Normal1"/>
        <w:rPr>
          <w:color w:val="222222"/>
          <w:highlight w:val="white"/>
        </w:rPr>
      </w:pPr>
      <w:r>
        <w:rPr>
          <w:color w:val="222222"/>
          <w:highlight w:val="white"/>
        </w:rPr>
        <w:t xml:space="preserve">Wang, J., (2023). Was Leadership Emergency Planning Adequate? How has the Pandemic Reshaped Organizational Emergency Plans? </w:t>
      </w:r>
      <w:r>
        <w:rPr>
          <w:i/>
          <w:color w:val="222222"/>
          <w:highlight w:val="white"/>
        </w:rPr>
        <w:t>Leadership in a Post-COVID Pandemic World</w:t>
      </w:r>
      <w:r>
        <w:rPr>
          <w:color w:val="222222"/>
          <w:highlight w:val="white"/>
        </w:rPr>
        <w:t>, p.33.</w:t>
      </w:r>
      <w:r>
        <w:t xml:space="preserve"> </w:t>
      </w:r>
      <w:hyperlink r:id="rId21">
        <w:r>
          <w:rPr>
            <w:color w:val="0000FF"/>
            <w:highlight w:val="white"/>
            <w:u w:val="single"/>
          </w:rPr>
          <w:t>https://jamanetwork.com/journals/jamanetworkopen/article-abstract/2803785</w:t>
        </w:r>
      </w:hyperlink>
      <w:r>
        <w:rPr>
          <w:color w:val="222222"/>
          <w:highlight w:val="white"/>
        </w:rPr>
        <w:t xml:space="preserve"> </w:t>
      </w:r>
    </w:p>
    <w:p w:rsidR="00B52898" w:rsidRDefault="00B52898" w:rsidP="00FE70B9">
      <w:pPr>
        <w:pStyle w:val="Normal1"/>
        <w:rPr>
          <w:color w:val="222222"/>
          <w:highlight w:val="white"/>
        </w:rPr>
      </w:pPr>
    </w:p>
    <w:p w:rsidR="00B52898" w:rsidRDefault="00B52898" w:rsidP="00FE70B9">
      <w:pPr>
        <w:pStyle w:val="Normal1"/>
        <w:rPr>
          <w:color w:val="222222"/>
          <w:highlight w:val="white"/>
        </w:rPr>
      </w:pPr>
    </w:p>
    <w:p w:rsidR="00B52898" w:rsidRDefault="00B52898" w:rsidP="00FE70B9">
      <w:pPr>
        <w:pStyle w:val="Normal1"/>
        <w:rPr>
          <w:color w:val="222222"/>
          <w:highlight w:val="white"/>
        </w:rPr>
      </w:pPr>
    </w:p>
    <w:p w:rsidR="00B52898" w:rsidRDefault="00B52898" w:rsidP="00FE70B9">
      <w:pPr>
        <w:pStyle w:val="Normal1"/>
        <w:rPr>
          <w:color w:val="222222"/>
          <w:highlight w:val="white"/>
        </w:rPr>
      </w:pPr>
    </w:p>
    <w:p w:rsidR="00B52898" w:rsidRDefault="00B52898" w:rsidP="00FE70B9">
      <w:pPr>
        <w:pStyle w:val="Normal1"/>
        <w:rPr>
          <w:color w:val="222222"/>
          <w:highlight w:val="white"/>
        </w:rPr>
      </w:pPr>
    </w:p>
    <w:p w:rsidR="00B52898" w:rsidRDefault="00B52898" w:rsidP="00FF60FE">
      <w:pPr>
        <w:pStyle w:val="Normal1"/>
        <w:rPr>
          <w:color w:val="222222"/>
          <w:highlight w:val="white"/>
        </w:rPr>
      </w:pPr>
    </w:p>
    <w:p w:rsidR="00B52898" w:rsidRDefault="00B52898" w:rsidP="00FF60FE">
      <w:pPr>
        <w:pStyle w:val="Normal1"/>
        <w:rPr>
          <w:noProof/>
        </w:rPr>
      </w:pPr>
    </w:p>
    <w:p w:rsidR="00FF60FE" w:rsidRDefault="00B52898" w:rsidP="00B52898">
      <w:pPr>
        <w:pStyle w:val="Normal1"/>
        <w:jc w:val="left"/>
      </w:pPr>
      <w:r w:rsidRPr="00B52898">
        <w:rPr>
          <w:b/>
          <w:bCs/>
          <w:noProof/>
          <w:sz w:val="32"/>
          <w:szCs w:val="32"/>
          <w:u w:val="single"/>
        </w:rPr>
        <w:t>Presentation</w:t>
      </w:r>
      <w:r>
        <w:rPr>
          <w:b/>
          <w:bCs/>
          <w:noProof/>
          <w:sz w:val="32"/>
          <w:szCs w:val="32"/>
          <w:u w:val="single"/>
        </w:rPr>
        <w:t xml:space="preserve"> </w:t>
      </w:r>
      <w:r w:rsidRPr="00B52898">
        <w:rPr>
          <w:b/>
          <w:bCs/>
          <w:noProof/>
          <w:sz w:val="32"/>
          <w:szCs w:val="32"/>
          <w:u w:val="single"/>
        </w:rPr>
        <w:t>Slides:</w:t>
      </w:r>
      <w:r w:rsidR="002A3C0C" w:rsidRPr="002A3C0C">
        <w:rPr>
          <w:noProof/>
        </w:rPr>
        <w:t xml:space="preserve"> </w:t>
      </w:r>
      <w:r w:rsidR="002A3C0C" w:rsidRPr="002A3C0C">
        <w:rPr>
          <w:noProof/>
        </w:rPr>
        <w:drawing>
          <wp:inline distT="0" distB="0" distL="0" distR="0" wp14:anchorId="0053E0D0" wp14:editId="6EA3AD2B">
            <wp:extent cx="5943600" cy="33483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8355"/>
                    </a:xfrm>
                    <a:prstGeom prst="rect">
                      <a:avLst/>
                    </a:prstGeom>
                  </pic:spPr>
                </pic:pic>
              </a:graphicData>
            </a:graphic>
          </wp:inline>
        </w:drawing>
      </w:r>
    </w:p>
    <w:p w:rsidR="00FF60FE" w:rsidRDefault="00FF60FE" w:rsidP="00FF60FE"/>
    <w:p w:rsidR="002A3C0C" w:rsidRPr="00143D99" w:rsidRDefault="002A3C0C" w:rsidP="00FF60FE">
      <w:pPr>
        <w:rPr>
          <w:lang w:val="en-IN" w:eastAsia="en-IN"/>
        </w:rPr>
      </w:pPr>
      <w:r w:rsidRPr="002A3C0C">
        <w:rPr>
          <w:noProof/>
          <w:lang w:val="en-IN" w:eastAsia="en-IN"/>
        </w:rPr>
        <w:lastRenderedPageBreak/>
        <w:drawing>
          <wp:inline distT="0" distB="0" distL="0" distR="0" wp14:anchorId="3DF41A47" wp14:editId="548B9665">
            <wp:extent cx="5943600" cy="3336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36925"/>
                    </a:xfrm>
                    <a:prstGeom prst="rect">
                      <a:avLst/>
                    </a:prstGeom>
                  </pic:spPr>
                </pic:pic>
              </a:graphicData>
            </a:graphic>
          </wp:inline>
        </w:drawing>
      </w:r>
    </w:p>
    <w:p w:rsidR="00FF60FE" w:rsidRDefault="00FF60FE" w:rsidP="00FF60FE">
      <w:pPr>
        <w:pStyle w:val="Normal1"/>
        <w:pBdr>
          <w:top w:val="nil"/>
          <w:left w:val="nil"/>
          <w:bottom w:val="nil"/>
          <w:right w:val="nil"/>
          <w:between w:val="nil"/>
        </w:pBdr>
        <w:rPr>
          <w:color w:val="000000"/>
        </w:rPr>
      </w:pPr>
    </w:p>
    <w:p w:rsidR="00BF75D5" w:rsidRDefault="00BF75D5"/>
    <w:sectPr w:rsidR="00BF75D5">
      <w:footerReference w:type="default" r:id="rId24"/>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2411C" w:rsidRDefault="00B2411C">
      <w:pPr>
        <w:spacing w:before="0" w:after="0" w:line="240" w:lineRule="auto"/>
      </w:pPr>
      <w:r>
        <w:separator/>
      </w:r>
    </w:p>
  </w:endnote>
  <w:endnote w:type="continuationSeparator" w:id="0">
    <w:p w:rsidR="00B2411C" w:rsidRDefault="00B241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B52898">
    <w:pPr>
      <w:pStyle w:val="Normal1"/>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16</w:t>
    </w:r>
    <w:r>
      <w:rPr>
        <w:color w:val="000000"/>
      </w:rPr>
      <w:fldChar w:fldCharType="end"/>
    </w:r>
  </w:p>
  <w:p w:rsidR="00000000" w:rsidRDefault="00000000">
    <w:pPr>
      <w:pStyle w:val="Normal1"/>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2411C" w:rsidRDefault="00B2411C">
      <w:pPr>
        <w:spacing w:before="0" w:after="0" w:line="240" w:lineRule="auto"/>
      </w:pPr>
      <w:r>
        <w:separator/>
      </w:r>
    </w:p>
  </w:footnote>
  <w:footnote w:type="continuationSeparator" w:id="0">
    <w:p w:rsidR="00B2411C" w:rsidRDefault="00B241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23C23A"/>
    <w:multiLevelType w:val="hybridMultilevel"/>
    <w:tmpl w:val="00000000"/>
    <w:lvl w:ilvl="0" w:tplc="A1467952">
      <w:start w:val="1"/>
      <w:numFmt w:val="bullet"/>
      <w:lvlText w:val="●"/>
      <w:lvlJc w:val="left"/>
      <w:pPr>
        <w:ind w:left="720" w:hanging="360"/>
      </w:pPr>
      <w:rPr>
        <w:u w:val="none"/>
      </w:rPr>
    </w:lvl>
    <w:lvl w:ilvl="1" w:tplc="E086FEA4">
      <w:start w:val="1"/>
      <w:numFmt w:val="bullet"/>
      <w:lvlText w:val="○"/>
      <w:lvlJc w:val="left"/>
      <w:pPr>
        <w:ind w:left="1440" w:hanging="360"/>
      </w:pPr>
      <w:rPr>
        <w:u w:val="none"/>
      </w:rPr>
    </w:lvl>
    <w:lvl w:ilvl="2" w:tplc="7478B682">
      <w:start w:val="1"/>
      <w:numFmt w:val="bullet"/>
      <w:lvlText w:val="■"/>
      <w:lvlJc w:val="left"/>
      <w:pPr>
        <w:ind w:left="2160" w:hanging="360"/>
      </w:pPr>
      <w:rPr>
        <w:u w:val="none"/>
      </w:rPr>
    </w:lvl>
    <w:lvl w:ilvl="3" w:tplc="4B94F22C">
      <w:start w:val="1"/>
      <w:numFmt w:val="bullet"/>
      <w:lvlText w:val="●"/>
      <w:lvlJc w:val="left"/>
      <w:pPr>
        <w:ind w:left="2880" w:hanging="360"/>
      </w:pPr>
      <w:rPr>
        <w:u w:val="none"/>
      </w:rPr>
    </w:lvl>
    <w:lvl w:ilvl="4" w:tplc="02D4F68C">
      <w:start w:val="1"/>
      <w:numFmt w:val="bullet"/>
      <w:lvlText w:val="○"/>
      <w:lvlJc w:val="left"/>
      <w:pPr>
        <w:ind w:left="3600" w:hanging="360"/>
      </w:pPr>
      <w:rPr>
        <w:u w:val="none"/>
      </w:rPr>
    </w:lvl>
    <w:lvl w:ilvl="5" w:tplc="0F06B744">
      <w:start w:val="1"/>
      <w:numFmt w:val="bullet"/>
      <w:lvlText w:val="■"/>
      <w:lvlJc w:val="left"/>
      <w:pPr>
        <w:ind w:left="4320" w:hanging="360"/>
      </w:pPr>
      <w:rPr>
        <w:u w:val="none"/>
      </w:rPr>
    </w:lvl>
    <w:lvl w:ilvl="6" w:tplc="24682A56">
      <w:start w:val="1"/>
      <w:numFmt w:val="bullet"/>
      <w:lvlText w:val="●"/>
      <w:lvlJc w:val="left"/>
      <w:pPr>
        <w:ind w:left="5040" w:hanging="360"/>
      </w:pPr>
      <w:rPr>
        <w:u w:val="none"/>
      </w:rPr>
    </w:lvl>
    <w:lvl w:ilvl="7" w:tplc="A4700492">
      <w:start w:val="1"/>
      <w:numFmt w:val="bullet"/>
      <w:lvlText w:val="○"/>
      <w:lvlJc w:val="left"/>
      <w:pPr>
        <w:ind w:left="5760" w:hanging="360"/>
      </w:pPr>
      <w:rPr>
        <w:u w:val="none"/>
      </w:rPr>
    </w:lvl>
    <w:lvl w:ilvl="8" w:tplc="B2BA2570">
      <w:start w:val="1"/>
      <w:numFmt w:val="bullet"/>
      <w:lvlText w:val="■"/>
      <w:lvlJc w:val="left"/>
      <w:pPr>
        <w:ind w:left="6480" w:hanging="360"/>
      </w:pPr>
      <w:rPr>
        <w:u w:val="none"/>
      </w:rPr>
    </w:lvl>
  </w:abstractNum>
  <w:num w:numId="1" w16cid:durableId="1272590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0FE"/>
    <w:rsid w:val="00184F1A"/>
    <w:rsid w:val="002A3C0C"/>
    <w:rsid w:val="00A12D33"/>
    <w:rsid w:val="00B2411C"/>
    <w:rsid w:val="00B52898"/>
    <w:rsid w:val="00BF75D5"/>
    <w:rsid w:val="00D44A35"/>
    <w:rsid w:val="00FE70B9"/>
    <w:rsid w:val="00FF60FE"/>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C9F1C"/>
  <w15:chartTrackingRefBased/>
  <w15:docId w15:val="{B2DF42FE-EC05-4DD4-8477-C1207A87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gu-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0FE"/>
    <w:pPr>
      <w:spacing w:before="240" w:after="240" w:line="360" w:lineRule="auto"/>
      <w:jc w:val="both"/>
    </w:pPr>
    <w:rPr>
      <w:rFonts w:ascii="Times New Roman" w:eastAsia="Times New Roman" w:hAnsi="Times New Roman" w:cs="Times New Roman"/>
      <w:sz w:val="24"/>
      <w:szCs w:val="24"/>
      <w:lang w:val="" w:bidi="ar-SA"/>
    </w:rPr>
  </w:style>
  <w:style w:type="paragraph" w:styleId="Heading1">
    <w:name w:val="heading 1"/>
    <w:basedOn w:val="Normal1"/>
    <w:next w:val="Normal1"/>
    <w:link w:val="Heading1Char"/>
    <w:rsid w:val="00FF60FE"/>
    <w:pPr>
      <w:keepNext/>
      <w:keepLines/>
      <w:pBdr>
        <w:top w:val="nil"/>
        <w:left w:val="nil"/>
        <w:bottom w:val="nil"/>
        <w:right w:val="nil"/>
        <w:between w:val="nil"/>
      </w:pBdr>
      <w:outlineLvl w:val="0"/>
    </w:pPr>
    <w:rPr>
      <w:b/>
      <w:color w:val="000000"/>
      <w:sz w:val="28"/>
      <w:szCs w:val="28"/>
    </w:rPr>
  </w:style>
  <w:style w:type="paragraph" w:styleId="Heading2">
    <w:name w:val="heading 2"/>
    <w:basedOn w:val="Normal1"/>
    <w:next w:val="Normal1"/>
    <w:link w:val="Heading2Char"/>
    <w:rsid w:val="00FF60FE"/>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60FE"/>
    <w:rPr>
      <w:rFonts w:ascii="Times New Roman" w:eastAsia="Times New Roman" w:hAnsi="Times New Roman" w:cs="Times New Roman"/>
      <w:b/>
      <w:color w:val="000000"/>
      <w:sz w:val="28"/>
      <w:szCs w:val="28"/>
      <w:lang w:val="" w:bidi="ar-SA"/>
    </w:rPr>
  </w:style>
  <w:style w:type="character" w:customStyle="1" w:styleId="Heading2Char">
    <w:name w:val="Heading 2 Char"/>
    <w:basedOn w:val="DefaultParagraphFont"/>
    <w:link w:val="Heading2"/>
    <w:rsid w:val="00FF60FE"/>
    <w:rPr>
      <w:rFonts w:ascii="Times New Roman" w:eastAsia="Times New Roman" w:hAnsi="Times New Roman" w:cs="Times New Roman"/>
      <w:b/>
      <w:sz w:val="24"/>
      <w:szCs w:val="24"/>
      <w:lang w:val="" w:bidi="ar-SA"/>
    </w:rPr>
  </w:style>
  <w:style w:type="paragraph" w:customStyle="1" w:styleId="Normal1">
    <w:name w:val="Normal1"/>
    <w:rsid w:val="00FF60FE"/>
    <w:pPr>
      <w:spacing w:before="240" w:after="240" w:line="360" w:lineRule="auto"/>
      <w:jc w:val="both"/>
    </w:pPr>
    <w:rPr>
      <w:rFonts w:ascii="Times New Roman" w:eastAsia="Times New Roman" w:hAnsi="Times New Roman" w:cs="Times New Roman"/>
      <w:sz w:val="24"/>
      <w:szCs w:val="24"/>
      <w:lang w:val="" w:bidi="ar-SA"/>
    </w:rPr>
  </w:style>
  <w:style w:type="paragraph" w:styleId="TOC1">
    <w:name w:val="toc 1"/>
    <w:basedOn w:val="Normal"/>
    <w:next w:val="Normal"/>
    <w:autoRedefine/>
    <w:uiPriority w:val="39"/>
    <w:unhideWhenUsed/>
    <w:rsid w:val="00FF60FE"/>
    <w:pPr>
      <w:spacing w:after="100"/>
    </w:pPr>
  </w:style>
  <w:style w:type="paragraph" w:styleId="TOC2">
    <w:name w:val="toc 2"/>
    <w:basedOn w:val="Normal"/>
    <w:next w:val="Normal"/>
    <w:autoRedefine/>
    <w:uiPriority w:val="39"/>
    <w:unhideWhenUsed/>
    <w:rsid w:val="00FF60FE"/>
    <w:pPr>
      <w:spacing w:after="100"/>
      <w:ind w:left="240"/>
    </w:pPr>
  </w:style>
  <w:style w:type="character" w:styleId="Hyperlink">
    <w:name w:val="Hyperlink"/>
    <w:basedOn w:val="DefaultParagraphFont"/>
    <w:uiPriority w:val="99"/>
    <w:unhideWhenUsed/>
    <w:rsid w:val="00FF60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arjome.com/storage/panel/fileuploads/2020-02-05/1580891347_E14432-e-tarjome.pdf" TargetMode="External" /><Relationship Id="rId13" Type="http://schemas.openxmlformats.org/officeDocument/2006/relationships/hyperlink" Target="https://theses.ubn.ru.nl/server/api/core/bitstreams/a409f06d-6b32-4f4d-a5b1-8c6700cf2264/content" TargetMode="External" /><Relationship Id="rId18" Type="http://schemas.openxmlformats.org/officeDocument/2006/relationships/hyperlink" Target="https://www.e3s-conferences.org/articles/e3sconf/abs/2023/68/e3sconf_itse2023_06020/e3sconf_itse2023_06020.html" TargetMode="External"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s://jamanetwork.com/journals/jamanetworkopen/article-abstract/2803785" TargetMode="External" /><Relationship Id="rId7" Type="http://schemas.openxmlformats.org/officeDocument/2006/relationships/image" Target="media/image1.png" /><Relationship Id="rId12" Type="http://schemas.openxmlformats.org/officeDocument/2006/relationships/hyperlink" Target="https://iopscience.iop.org/article/10.1088/1757-899X/1022/1/012028/pdf" TargetMode="External" /><Relationship Id="rId17" Type="http://schemas.openxmlformats.org/officeDocument/2006/relationships/hyperlink" Target="https://www.tandfonline.com/doi/abs/10.1080/13561820.2022.2065250" TargetMode="External"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bestpublication.org/index.php/jaj/article/view/3981" TargetMode="External" /><Relationship Id="rId20" Type="http://schemas.openxmlformats.org/officeDocument/2006/relationships/hyperlink" Target="https://www.sciencedirect.com/science/article/pii/S0925753523002217"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thuvienso.hoasen.edu.vn/bitstream/handle/123456789/12880/Contents.pdf?sequence=1&amp;isAllowed=y" TargetMode="External" /><Relationship Id="rId24"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hyperlink" Target="https://www.frontiersin.org/articles/10.3389/fcomm.2024.1271214/full" TargetMode="External" /><Relationship Id="rId23" Type="http://schemas.openxmlformats.org/officeDocument/2006/relationships/image" Target="media/image3.png" /><Relationship Id="rId10" Type="http://schemas.openxmlformats.org/officeDocument/2006/relationships/hyperlink" Target="https://opus4.kobv.de/opus4-hs-geisenheim/files/61/Dissertation_Obermair_pdfA.pdf" TargetMode="External" /><Relationship Id="rId19" Type="http://schemas.openxmlformats.org/officeDocument/2006/relationships/hyperlink" Target="https://www.emerald.com/insight/content/doi/10.1108/DPM-08-2022-0179/full/html" TargetMode="External" /><Relationship Id="rId4" Type="http://schemas.openxmlformats.org/officeDocument/2006/relationships/webSettings" Target="webSettings.xml" /><Relationship Id="rId9" Type="http://schemas.openxmlformats.org/officeDocument/2006/relationships/hyperlink" Target="https://www.sciencedirect.com/science/article/am/pii/S1361920920305629" TargetMode="External" /><Relationship Id="rId14" Type="http://schemas.openxmlformats.org/officeDocument/2006/relationships/hyperlink" Target="https://drpress.org/ojs/index.php/EHSS/article/download/18242/17775" TargetMode="External" /><Relationship Id="rId2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18</Pages>
  <Words>4784</Words>
  <Characters>27274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Niral Patel</dc:creator>
  <cp:keywords/>
  <dc:description/>
  <cp:lastModifiedBy>Niral patel</cp:lastModifiedBy>
  <cp:revision>3</cp:revision>
  <dcterms:created xsi:type="dcterms:W3CDTF">2024-05-03T08:31:00Z</dcterms:created>
  <dcterms:modified xsi:type="dcterms:W3CDTF">2024-05-03T10:33:00Z</dcterms:modified>
</cp:coreProperties>
</file>