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F06DF" w14:textId="77777777" w:rsidR="0060506B" w:rsidRDefault="005F42B1">
      <w:pPr>
        <w:spacing w:line="360" w:lineRule="auto"/>
        <w:jc w:val="center"/>
        <w:rPr>
          <w:rFonts w:ascii="Aptos" w:eastAsia="Aptos" w:hAnsi="Aptos" w:cs="Aptos"/>
          <w:sz w:val="24"/>
          <w:szCs w:val="24"/>
        </w:rPr>
      </w:pPr>
      <w:r>
        <w:rPr>
          <w:rFonts w:ascii="Aptos" w:eastAsia="Aptos" w:hAnsi="Aptos" w:cs="Aptos"/>
          <w:noProof/>
          <w:sz w:val="24"/>
          <w:szCs w:val="24"/>
        </w:rPr>
        <w:drawing>
          <wp:inline distT="0" distB="0" distL="0" distR="0" wp14:anchorId="71A25BB1" wp14:editId="7CA4840B">
            <wp:extent cx="2998772" cy="1195431"/>
            <wp:effectExtent l="0" t="0" r="0" b="0"/>
            <wp:docPr id="1" name="image1.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close-up of black text&#10;&#10;AI-generated content may be incorrect."/>
                    <pic:cNvPicPr preferRelativeResize="0"/>
                  </pic:nvPicPr>
                  <pic:blipFill>
                    <a:blip r:embed="rId7"/>
                    <a:srcRect/>
                    <a:stretch>
                      <a:fillRect/>
                    </a:stretch>
                  </pic:blipFill>
                  <pic:spPr>
                    <a:xfrm>
                      <a:off x="0" y="0"/>
                      <a:ext cx="2998772" cy="1195431"/>
                    </a:xfrm>
                    <a:prstGeom prst="rect">
                      <a:avLst/>
                    </a:prstGeom>
                    <a:ln/>
                  </pic:spPr>
                </pic:pic>
              </a:graphicData>
            </a:graphic>
          </wp:inline>
        </w:drawing>
      </w:r>
    </w:p>
    <w:p w14:paraId="5E578189" w14:textId="77777777" w:rsidR="0060506B" w:rsidRDefault="005F42B1">
      <w:pPr>
        <w:spacing w:line="360" w:lineRule="auto"/>
        <w:jc w:val="center"/>
        <w:rPr>
          <w:rFonts w:ascii="Arial" w:eastAsia="Arial" w:hAnsi="Arial" w:cs="Arial"/>
          <w:sz w:val="24"/>
          <w:szCs w:val="24"/>
        </w:rPr>
      </w:pPr>
      <w:r>
        <w:rPr>
          <w:rFonts w:ascii="Arial" w:eastAsia="Arial" w:hAnsi="Arial" w:cs="Arial"/>
          <w:b/>
          <w:bCs/>
          <w:sz w:val="24"/>
          <w:szCs w:val="24"/>
        </w:rPr>
        <w:t>Module Name:</w:t>
      </w:r>
      <w:r>
        <w:rPr>
          <w:rFonts w:ascii="Arial" w:eastAsia="Arial" w:hAnsi="Arial" w:cs="Arial"/>
          <w:sz w:val="24"/>
          <w:szCs w:val="24"/>
        </w:rPr>
        <w:t xml:space="preserve"> Academic Skills in the Digital Era </w:t>
      </w:r>
    </w:p>
    <w:p w14:paraId="5E114D85" w14:textId="77777777" w:rsidR="0060506B" w:rsidRDefault="005F42B1">
      <w:pPr>
        <w:spacing w:line="360" w:lineRule="auto"/>
        <w:jc w:val="center"/>
        <w:rPr>
          <w:rFonts w:ascii="Arial" w:eastAsia="Arial" w:hAnsi="Arial" w:cs="Arial"/>
          <w:sz w:val="24"/>
          <w:szCs w:val="24"/>
        </w:rPr>
      </w:pPr>
      <w:r>
        <w:rPr>
          <w:rFonts w:ascii="Arial" w:eastAsia="Arial" w:hAnsi="Arial" w:cs="Arial"/>
          <w:b/>
          <w:bCs/>
          <w:sz w:val="24"/>
          <w:szCs w:val="24"/>
        </w:rPr>
        <w:t xml:space="preserve">Module Code: </w:t>
      </w:r>
      <w:r>
        <w:rPr>
          <w:rFonts w:ascii="Arial" w:eastAsia="Arial" w:hAnsi="Arial" w:cs="Arial"/>
          <w:sz w:val="24"/>
          <w:szCs w:val="24"/>
        </w:rPr>
        <w:t>BMSW4013</w:t>
      </w:r>
    </w:p>
    <w:p w14:paraId="58D7BE9B" w14:textId="77777777" w:rsidR="0060506B" w:rsidRDefault="005F42B1">
      <w:pPr>
        <w:spacing w:line="360" w:lineRule="auto"/>
        <w:jc w:val="center"/>
        <w:rPr>
          <w:rFonts w:ascii="Arial" w:eastAsia="Arial" w:hAnsi="Arial" w:cs="Arial"/>
          <w:sz w:val="24"/>
          <w:szCs w:val="24"/>
        </w:rPr>
      </w:pPr>
      <w:r>
        <w:rPr>
          <w:rFonts w:ascii="Arial" w:eastAsia="Arial" w:hAnsi="Arial" w:cs="Arial"/>
          <w:b/>
          <w:bCs/>
          <w:sz w:val="24"/>
          <w:szCs w:val="24"/>
        </w:rPr>
        <w:t>Assessment 2:</w:t>
      </w:r>
      <w:r>
        <w:rPr>
          <w:rFonts w:ascii="Arial" w:eastAsia="Arial" w:hAnsi="Arial" w:cs="Arial"/>
          <w:sz w:val="24"/>
          <w:szCs w:val="24"/>
        </w:rPr>
        <w:t xml:space="preserve"> Reflective Essay </w:t>
      </w:r>
    </w:p>
    <w:p w14:paraId="67B83199" w14:textId="77777777" w:rsidR="0060506B" w:rsidRDefault="005F42B1">
      <w:pPr>
        <w:spacing w:line="360" w:lineRule="auto"/>
        <w:jc w:val="center"/>
        <w:rPr>
          <w:rFonts w:ascii="Arial" w:eastAsia="Arial" w:hAnsi="Arial" w:cs="Arial"/>
          <w:sz w:val="24"/>
          <w:szCs w:val="24"/>
        </w:rPr>
      </w:pPr>
      <w:r>
        <w:rPr>
          <w:rFonts w:ascii="Arial" w:eastAsia="Arial" w:hAnsi="Arial" w:cs="Arial"/>
          <w:b/>
          <w:bCs/>
          <w:sz w:val="24"/>
          <w:szCs w:val="24"/>
        </w:rPr>
        <w:t>Student Name:</w:t>
      </w:r>
      <w:r>
        <w:rPr>
          <w:rFonts w:ascii="Arial" w:eastAsia="Arial" w:hAnsi="Arial" w:cs="Arial"/>
          <w:sz w:val="24"/>
          <w:szCs w:val="24"/>
        </w:rPr>
        <w:t xml:space="preserve"> Elena Alexandra Benghiac </w:t>
      </w:r>
    </w:p>
    <w:p w14:paraId="2053AD00" w14:textId="11EF485E" w:rsidR="0060506B" w:rsidRPr="00B533E8" w:rsidRDefault="005F42B1">
      <w:pPr>
        <w:spacing w:line="360" w:lineRule="auto"/>
        <w:jc w:val="center"/>
        <w:rPr>
          <w:rFonts w:ascii="Arial" w:eastAsia="Arial" w:hAnsi="Arial" w:cs="Arial"/>
          <w:sz w:val="24"/>
          <w:szCs w:val="24"/>
        </w:rPr>
      </w:pPr>
      <w:r>
        <w:rPr>
          <w:rFonts w:ascii="Arial" w:eastAsia="Arial" w:hAnsi="Arial" w:cs="Arial"/>
          <w:b/>
          <w:bCs/>
          <w:sz w:val="24"/>
          <w:szCs w:val="24"/>
        </w:rPr>
        <w:t xml:space="preserve">Student Number: </w:t>
      </w:r>
      <w:r w:rsidR="00F05332" w:rsidRPr="00B533E8">
        <w:rPr>
          <w:rFonts w:ascii="Arial" w:eastAsia="Arial" w:hAnsi="Arial" w:cs="Arial"/>
          <w:sz w:val="24"/>
          <w:szCs w:val="24"/>
        </w:rPr>
        <w:t>1812479</w:t>
      </w:r>
    </w:p>
    <w:p w14:paraId="45209A7D" w14:textId="33ACD7AF" w:rsidR="0060506B" w:rsidRDefault="005F42B1">
      <w:pPr>
        <w:spacing w:line="360" w:lineRule="auto"/>
        <w:jc w:val="center"/>
        <w:rPr>
          <w:rFonts w:ascii="Arial" w:eastAsia="Arial" w:hAnsi="Arial" w:cs="Arial"/>
          <w:b/>
          <w:bCs/>
          <w:sz w:val="24"/>
          <w:szCs w:val="24"/>
        </w:rPr>
      </w:pPr>
      <w:r>
        <w:rPr>
          <w:rFonts w:ascii="Arial" w:eastAsia="Arial" w:hAnsi="Arial" w:cs="Arial"/>
          <w:b/>
          <w:bCs/>
          <w:sz w:val="24"/>
          <w:szCs w:val="24"/>
        </w:rPr>
        <w:t>Lecture</w:t>
      </w:r>
      <w:r w:rsidRPr="00B533E8">
        <w:rPr>
          <w:rFonts w:ascii="Arial" w:eastAsia="Arial" w:hAnsi="Arial" w:cs="Arial"/>
          <w:b/>
          <w:bCs/>
          <w:sz w:val="24"/>
          <w:szCs w:val="24"/>
        </w:rPr>
        <w:t>r:</w:t>
      </w:r>
      <w:r w:rsidR="00F05332" w:rsidRPr="00B533E8">
        <w:rPr>
          <w:rFonts w:ascii="Arial" w:eastAsia="Arial" w:hAnsi="Arial" w:cs="Arial"/>
          <w:sz w:val="24"/>
          <w:szCs w:val="24"/>
        </w:rPr>
        <w:t xml:space="preserve"> Ffion Cumberpatch</w:t>
      </w:r>
    </w:p>
    <w:p w14:paraId="0ED37DD0" w14:textId="353D6E4E" w:rsidR="0060506B" w:rsidRDefault="005F42B1">
      <w:pPr>
        <w:spacing w:line="360" w:lineRule="auto"/>
        <w:jc w:val="center"/>
        <w:rPr>
          <w:rFonts w:ascii="Arial" w:eastAsia="Arial" w:hAnsi="Arial" w:cs="Arial"/>
          <w:b/>
          <w:bCs/>
          <w:sz w:val="24"/>
          <w:szCs w:val="24"/>
        </w:rPr>
      </w:pPr>
      <w:r>
        <w:rPr>
          <w:rFonts w:ascii="Arial" w:eastAsia="Arial" w:hAnsi="Arial" w:cs="Arial"/>
          <w:b/>
          <w:bCs/>
          <w:sz w:val="24"/>
          <w:szCs w:val="24"/>
        </w:rPr>
        <w:t xml:space="preserve">Deadline: </w:t>
      </w:r>
      <w:r w:rsidR="00B533E8" w:rsidRPr="00B533E8">
        <w:rPr>
          <w:rFonts w:ascii="Arial" w:eastAsia="Arial" w:hAnsi="Arial" w:cs="Arial"/>
          <w:sz w:val="24"/>
          <w:szCs w:val="24"/>
        </w:rPr>
        <w:t>27.02.2026</w:t>
      </w:r>
      <w:r>
        <w:br w:type="page"/>
      </w:r>
    </w:p>
    <w:p w14:paraId="628E4437" w14:textId="77777777" w:rsidR="0060506B" w:rsidRDefault="005F42B1">
      <w:pPr>
        <w:spacing w:line="360" w:lineRule="auto"/>
        <w:rPr>
          <w:rFonts w:ascii="Arial" w:eastAsia="Arial" w:hAnsi="Arial" w:cs="Arial"/>
          <w:b/>
          <w:bCs/>
          <w:sz w:val="24"/>
          <w:szCs w:val="24"/>
        </w:rPr>
      </w:pPr>
      <w:r>
        <w:rPr>
          <w:rFonts w:ascii="Arial" w:eastAsia="Arial" w:hAnsi="Arial" w:cs="Arial"/>
          <w:b/>
          <w:bCs/>
          <w:sz w:val="24"/>
          <w:szCs w:val="24"/>
        </w:rPr>
        <w:lastRenderedPageBreak/>
        <w:t xml:space="preserve">AI Acknowledgement </w:t>
      </w:r>
    </w:p>
    <w:p w14:paraId="06DBDFE7" w14:textId="77777777" w:rsidR="0060506B" w:rsidRDefault="005F42B1">
      <w:pPr>
        <w:spacing w:line="278" w:lineRule="auto"/>
        <w:jc w:val="both"/>
        <w:rPr>
          <w:rFonts w:ascii="Arial" w:eastAsia="Arial" w:hAnsi="Arial" w:cs="Arial"/>
          <w:sz w:val="24"/>
          <w:szCs w:val="24"/>
        </w:rPr>
      </w:pPr>
      <w:r>
        <w:rPr>
          <w:rFonts w:ascii="Arial" w:eastAsia="Arial" w:hAnsi="Arial" w:cs="Arial"/>
          <w:sz w:val="24"/>
          <w:szCs w:val="24"/>
        </w:rPr>
        <w:t xml:space="preserve">I confirm that I have not presented any AI generated materials as my own work. </w:t>
      </w:r>
    </w:p>
    <w:p w14:paraId="3C29664D" w14:textId="77777777" w:rsidR="0060506B" w:rsidRDefault="005F42B1">
      <w:pPr>
        <w:spacing w:line="278" w:lineRule="auto"/>
        <w:jc w:val="both"/>
        <w:rPr>
          <w:rFonts w:ascii="Arial" w:eastAsia="Arial" w:hAnsi="Arial" w:cs="Arial"/>
          <w:sz w:val="24"/>
          <w:szCs w:val="24"/>
        </w:rPr>
      </w:pPr>
      <w:r>
        <w:rPr>
          <w:rFonts w:ascii="Arial" w:eastAsia="Arial" w:hAnsi="Arial" w:cs="Arial"/>
          <w:sz w:val="24"/>
          <w:szCs w:val="24"/>
        </w:rPr>
        <w:t>I confirm that I have copies of my drafts, notes, and other resources I used, which I may be asked to provide in evidence.</w:t>
      </w:r>
    </w:p>
    <w:p w14:paraId="1B467975" w14:textId="77777777" w:rsidR="0060506B" w:rsidRDefault="0060506B">
      <w:pPr>
        <w:spacing w:line="360" w:lineRule="auto"/>
        <w:rPr>
          <w:rFonts w:ascii="Arial" w:eastAsia="Arial" w:hAnsi="Arial" w:cs="Arial"/>
          <w:b/>
          <w:bCs/>
          <w:sz w:val="24"/>
          <w:szCs w:val="24"/>
        </w:rPr>
      </w:pPr>
    </w:p>
    <w:p w14:paraId="79AE3D0A" w14:textId="77777777" w:rsidR="0060506B" w:rsidRDefault="005F42B1">
      <w:pPr>
        <w:spacing w:line="360" w:lineRule="auto"/>
        <w:jc w:val="center"/>
        <w:rPr>
          <w:rFonts w:ascii="Arial" w:eastAsia="Arial" w:hAnsi="Arial" w:cs="Arial"/>
          <w:sz w:val="24"/>
          <w:szCs w:val="24"/>
        </w:rPr>
      </w:pPr>
      <w:r>
        <w:br w:type="page"/>
      </w:r>
    </w:p>
    <w:p w14:paraId="2C68AA09" w14:textId="77777777" w:rsidR="0060506B" w:rsidRDefault="005F42B1">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In this reflective report, I would like to reflect on one of my experiences related to development of an academic skill that I encountered in one of the modules. To structure my reflection, I took help of </w:t>
      </w:r>
      <w:r>
        <w:rPr>
          <w:rFonts w:ascii="Arial" w:eastAsia="Arial" w:hAnsi="Arial" w:cs="Arial"/>
          <w:i/>
          <w:iCs/>
          <w:sz w:val="24"/>
          <w:szCs w:val="24"/>
        </w:rPr>
        <w:t>Gibbs’ Reflective Cycle</w:t>
      </w:r>
      <w:r>
        <w:rPr>
          <w:rFonts w:ascii="Arial" w:eastAsia="Arial" w:hAnsi="Arial" w:cs="Arial"/>
          <w:sz w:val="24"/>
          <w:szCs w:val="24"/>
        </w:rPr>
        <w:t xml:space="preserve">. After reflection, I highlighted my action </w:t>
      </w:r>
      <w:proofErr w:type="gramStart"/>
      <w:r>
        <w:rPr>
          <w:rFonts w:ascii="Arial" w:eastAsia="Arial" w:hAnsi="Arial" w:cs="Arial"/>
          <w:sz w:val="24"/>
          <w:szCs w:val="24"/>
        </w:rPr>
        <w:t>plan for the future</w:t>
      </w:r>
      <w:proofErr w:type="gramEnd"/>
      <w:r>
        <w:rPr>
          <w:rFonts w:ascii="Arial" w:eastAsia="Arial" w:hAnsi="Arial" w:cs="Arial"/>
          <w:sz w:val="24"/>
          <w:szCs w:val="24"/>
        </w:rPr>
        <w:t xml:space="preserve"> using the SMART goals template. </w:t>
      </w:r>
    </w:p>
    <w:p w14:paraId="464FE96B" w14:textId="77777777" w:rsidR="0060506B" w:rsidRDefault="005F42B1">
      <w:pPr>
        <w:spacing w:line="360" w:lineRule="auto"/>
        <w:jc w:val="both"/>
        <w:rPr>
          <w:rFonts w:ascii="Arial" w:eastAsia="Arial" w:hAnsi="Arial" w:cs="Arial"/>
          <w:sz w:val="24"/>
          <w:szCs w:val="24"/>
        </w:rPr>
      </w:pPr>
      <w:r>
        <w:rPr>
          <w:rFonts w:ascii="Arial" w:eastAsia="Arial" w:hAnsi="Arial" w:cs="Arial"/>
          <w:sz w:val="24"/>
          <w:szCs w:val="24"/>
        </w:rPr>
        <w:t xml:space="preserve">For one of my modules, I was expected to submit an essay. The task meant to assess my academic writing skills, especially my ability to draw and synthesise information from academic journal articles. The topic was related to a contemporary debate in the field of pedagogical science. To conduct research, I took help from both the digital library of my university and other credible bibliographic databases like Google Scholar. As I reflect on that exercise, I recall that I relied too much on the sources that are easily accessible. In other words, my research was based almost entirely on website sources and articles that are everything but </w:t>
      </w:r>
      <w:proofErr w:type="gramStart"/>
      <w:r>
        <w:rPr>
          <w:rFonts w:ascii="Arial" w:eastAsia="Arial" w:hAnsi="Arial" w:cs="Arial"/>
          <w:sz w:val="24"/>
          <w:szCs w:val="24"/>
        </w:rPr>
        <w:t>peer-reviewed</w:t>
      </w:r>
      <w:proofErr w:type="gramEnd"/>
      <w:r>
        <w:rPr>
          <w:rFonts w:ascii="Arial" w:eastAsia="Arial" w:hAnsi="Arial" w:cs="Arial"/>
          <w:sz w:val="24"/>
          <w:szCs w:val="24"/>
        </w:rPr>
        <w:t xml:space="preserve">. In the formative feedback, I saw that, though the teacher has appraised the way I structured my task, s/he also pointed out that my sources lacked required academic rigour. The teacher specifically flagged my use of accessible online articles instead of peer-reviewed journal articles. The teacher also advised me to focus on the sources I choose </w:t>
      </w:r>
      <w:proofErr w:type="gramStart"/>
      <w:r>
        <w:rPr>
          <w:rFonts w:ascii="Arial" w:eastAsia="Arial" w:hAnsi="Arial" w:cs="Arial"/>
          <w:sz w:val="24"/>
          <w:szCs w:val="24"/>
        </w:rPr>
        <w:t>and also</w:t>
      </w:r>
      <w:proofErr w:type="gramEnd"/>
      <w:r>
        <w:rPr>
          <w:rFonts w:ascii="Arial" w:eastAsia="Arial" w:hAnsi="Arial" w:cs="Arial"/>
          <w:sz w:val="24"/>
          <w:szCs w:val="24"/>
        </w:rPr>
        <w:t xml:space="preserve"> asked to develop a critical engagement with them. Hence, I realised that, though I was confident about navigating these databases, I am in the want of advanced research skills, especially in a digital learning environment.   </w:t>
      </w:r>
    </w:p>
    <w:p w14:paraId="02BA9906" w14:textId="77777777" w:rsidR="0060506B" w:rsidRDefault="005F42B1">
      <w:pPr>
        <w:spacing w:line="360" w:lineRule="auto"/>
        <w:jc w:val="both"/>
        <w:rPr>
          <w:rFonts w:ascii="Arial" w:eastAsia="Arial" w:hAnsi="Arial" w:cs="Arial"/>
          <w:sz w:val="24"/>
          <w:szCs w:val="24"/>
        </w:rPr>
      </w:pPr>
      <w:r>
        <w:rPr>
          <w:rFonts w:ascii="Arial" w:eastAsia="Arial" w:hAnsi="Arial" w:cs="Arial"/>
          <w:sz w:val="24"/>
          <w:szCs w:val="24"/>
        </w:rPr>
        <w:t xml:space="preserve">As highlighted above, initially, I was confident that my exposure to digital tools will make me automatically component when it comes to navigating through online databases. However, after seeing the feedback from my teacher, I was a little abashed and disappointed. Later, I realised that this disappointment is coming from the fact that the feedback has challenged my assumptions about myself. As I said above, I used to feel myself digitally competent and thus was under the impression that I am adequately equipped for conducting academic research flawlessly. I was so badly disappointed that it took me some time to recover fully. Nevertheless, I felt indeed grateful for the feedback, as it enabled me to see myself in a new light. It simultaneously eradicated my false pride </w:t>
      </w:r>
      <w:proofErr w:type="gramStart"/>
      <w:r>
        <w:rPr>
          <w:rFonts w:ascii="Arial" w:eastAsia="Arial" w:hAnsi="Arial" w:cs="Arial"/>
          <w:sz w:val="24"/>
          <w:szCs w:val="24"/>
        </w:rPr>
        <w:t>and also</w:t>
      </w:r>
      <w:proofErr w:type="gramEnd"/>
      <w:r>
        <w:rPr>
          <w:rFonts w:ascii="Arial" w:eastAsia="Arial" w:hAnsi="Arial" w:cs="Arial"/>
          <w:sz w:val="24"/>
          <w:szCs w:val="24"/>
        </w:rPr>
        <w:t xml:space="preserve"> prepared me to accept my mistakes. Though I indeed took time to recover, I came back with a motivation to improve. I started re-appreciating the situation not as a failure but an opportunity to hone one of the crucial skills in the context of higher education: the skill of digital research. In a nutshell, I am indeed </w:t>
      </w:r>
      <w:r>
        <w:rPr>
          <w:rFonts w:ascii="Arial" w:eastAsia="Arial" w:hAnsi="Arial" w:cs="Arial"/>
          <w:sz w:val="24"/>
          <w:szCs w:val="24"/>
        </w:rPr>
        <w:lastRenderedPageBreak/>
        <w:t xml:space="preserve">indebted to this experience, as it made me realise one of the major life lessons - every failure can be seen as an opportunity. </w:t>
      </w:r>
    </w:p>
    <w:p w14:paraId="4B8D24EA" w14:textId="77777777" w:rsidR="0060506B" w:rsidRDefault="005F42B1">
      <w:pPr>
        <w:spacing w:line="360" w:lineRule="auto"/>
        <w:jc w:val="both"/>
        <w:rPr>
          <w:rFonts w:ascii="Arial" w:eastAsia="Arial" w:hAnsi="Arial" w:cs="Arial"/>
          <w:sz w:val="24"/>
          <w:szCs w:val="24"/>
        </w:rPr>
      </w:pPr>
      <w:r>
        <w:rPr>
          <w:rFonts w:ascii="Arial" w:eastAsia="Arial" w:hAnsi="Arial" w:cs="Arial"/>
          <w:sz w:val="24"/>
          <w:szCs w:val="24"/>
        </w:rPr>
        <w:t xml:space="preserve">I have seen scholars like Altmiller et al. (2018) who always praise constructive feedback, especially in terms of how it can drive the learner in the path of improvement. Similarly, I took the formative feedback that I received from my teacher as constructive feedback. In other words, without this feedback, I would not be able to decipher that there is indeed scope for improvement. In my experience, I felt this constructive feedback as the solely positive thing. There are indeed negative aspects associated with my experience too. The first is that I was complacent, which can also be read as overconfidence. Though I was indeed capable of navigating these digital tools back then, I took it uncritically and thus failed to look at the loopholes. Furthermore, this complacence, I reckon, led me to overestimate convenience, which is evident from my practice of accepting the easily accessible sources without assessing their validity of trustworthiness. It is not true that by then I was not exposed to the means to assess credibility and reliability of online sources. However, now I realise, my complacence prevented me from exercising while conducting research for the task. In other words, I would like to highlight this complacence and overreliance on convenience as the two negative aspects. While evaluating the feelings that I had, I also identified one major mistake: I took familiarity with digital tools as sufficient for what can be termed academic digital literacy (Holm, 2025). In other words, though I was made aware of the difference between easily accessible website sources and peer-reviewed journal articles in terms of what Bridges (2019) called ‘academic rigour’ in one of our modules, now I think I have not internalised the difference properly.  </w:t>
      </w:r>
    </w:p>
    <w:p w14:paraId="00CE0586" w14:textId="77777777" w:rsidR="0060506B" w:rsidRDefault="005F42B1">
      <w:pPr>
        <w:spacing w:line="360" w:lineRule="auto"/>
        <w:jc w:val="both"/>
        <w:rPr>
          <w:rFonts w:ascii="Arial" w:eastAsia="Arial" w:hAnsi="Arial" w:cs="Arial"/>
          <w:sz w:val="24"/>
          <w:szCs w:val="24"/>
        </w:rPr>
      </w:pPr>
      <w:r>
        <w:rPr>
          <w:rFonts w:ascii="Arial" w:eastAsia="Arial" w:hAnsi="Arial" w:cs="Arial"/>
          <w:sz w:val="24"/>
          <w:szCs w:val="24"/>
        </w:rPr>
        <w:t xml:space="preserve">In one word, evaluation of the feelings led me to conclude that critical digital literacy is way more than the basic ability to search sources online. For example, from an academic standpoint, critical digital literacy involves applying advanced searching strategies, which include (but not limited to) keywords search, filter and use of search strings using Boolean operators (Lowe et al., 2020). A digitally literate person, furthermore, must also be able to assess the trustworthiness and impact (e.g., peer-reviewed journals usually have Impact </w:t>
      </w:r>
      <w:proofErr w:type="gramStart"/>
      <w:r>
        <w:rPr>
          <w:rFonts w:ascii="Arial" w:eastAsia="Arial" w:hAnsi="Arial" w:cs="Arial"/>
          <w:sz w:val="24"/>
          <w:szCs w:val="24"/>
        </w:rPr>
        <w:t>Factors)  of</w:t>
      </w:r>
      <w:proofErr w:type="gramEnd"/>
      <w:r>
        <w:rPr>
          <w:rFonts w:ascii="Arial" w:eastAsia="Arial" w:hAnsi="Arial" w:cs="Arial"/>
          <w:sz w:val="24"/>
          <w:szCs w:val="24"/>
        </w:rPr>
        <w:t xml:space="preserve"> a journal article by subjecting it to various texts (e.g., CASP tool) (Long, French and Brooks, 2020). In any case, this analysis of my feelings led me to understand that the sources I used in the task lacked critical depth since I have not evaluated them critically. As I admitted earlier, my search </w:t>
      </w:r>
      <w:r>
        <w:rPr>
          <w:rFonts w:ascii="Arial" w:eastAsia="Arial" w:hAnsi="Arial" w:cs="Arial"/>
          <w:sz w:val="24"/>
          <w:szCs w:val="24"/>
        </w:rPr>
        <w:lastRenderedPageBreak/>
        <w:t xml:space="preserve">was governed more by convenience than academic rigour. This I reckon is the major cause that my analytical framework and arguments became weak. Though I have more to do (will demonstrate in the SMART action plan below), the fact that I was motivated to improve is manifested in me enrolling in a digital library skills workshop. There I got the chance to search for articles in databases in a structured fashion. As one </w:t>
      </w:r>
      <w:proofErr w:type="gramStart"/>
      <w:r>
        <w:rPr>
          <w:rFonts w:ascii="Arial" w:eastAsia="Arial" w:hAnsi="Arial" w:cs="Arial"/>
          <w:sz w:val="24"/>
          <w:szCs w:val="24"/>
        </w:rPr>
        <w:t>has to</w:t>
      </w:r>
      <w:proofErr w:type="gramEnd"/>
      <w:r>
        <w:rPr>
          <w:rFonts w:ascii="Arial" w:eastAsia="Arial" w:hAnsi="Arial" w:cs="Arial"/>
          <w:sz w:val="24"/>
          <w:szCs w:val="24"/>
        </w:rPr>
        <w:t xml:space="preserve"> submit a research article as a token of partial fulfilment of the workshop, there I approached my research more strategically. Though nowadays identifying peer-reviewed articles has also become convenient thanks to the Filter feature in advanced search, I did not fall for convenience this time and, for instance, cross-evaluated the findings with other articles before including them in my research.     </w:t>
      </w:r>
    </w:p>
    <w:p w14:paraId="7AB687FE" w14:textId="77777777" w:rsidR="0060506B" w:rsidRDefault="005F42B1">
      <w:pPr>
        <w:spacing w:line="360" w:lineRule="auto"/>
        <w:jc w:val="both"/>
        <w:rPr>
          <w:rFonts w:ascii="Arial" w:eastAsia="Arial" w:hAnsi="Arial" w:cs="Arial"/>
          <w:sz w:val="24"/>
          <w:szCs w:val="24"/>
        </w:rPr>
      </w:pPr>
      <w:r>
        <w:rPr>
          <w:rFonts w:ascii="Arial" w:eastAsia="Arial" w:hAnsi="Arial" w:cs="Arial"/>
          <w:sz w:val="24"/>
          <w:szCs w:val="24"/>
        </w:rPr>
        <w:t xml:space="preserve">To conclude, I would again like to express my gratitude to the constructive feedback that I got from my teacher. I now consider it, as might be evident from this report by now, a pivotal moment that drove me to learn and master critical digital literacy. The first thing that I learned is that, as also hinted above briefly, elementary confidence about navigating digital tools is not adequate or at least must not be counted for digital competence. In other words, digital competence is a journey where one is blessed if s/he gets constructive feedback at every stage. </w:t>
      </w:r>
      <w:proofErr w:type="gramStart"/>
      <w:r>
        <w:rPr>
          <w:rFonts w:ascii="Arial" w:eastAsia="Arial" w:hAnsi="Arial" w:cs="Arial"/>
          <w:sz w:val="24"/>
          <w:szCs w:val="24"/>
        </w:rPr>
        <w:t>Needless to say, I</w:t>
      </w:r>
      <w:proofErr w:type="gramEnd"/>
      <w:r>
        <w:rPr>
          <w:rFonts w:ascii="Arial" w:eastAsia="Arial" w:hAnsi="Arial" w:cs="Arial"/>
          <w:sz w:val="24"/>
          <w:szCs w:val="24"/>
        </w:rPr>
        <w:t xml:space="preserve"> have not repeated the mistakes, though this is not a certificate for the fact that my learning is complete. For instance, at least I do not go by convenience now, as I already confessed above. In other words, if I was then what I am now, I would have retrieved academic articles from peer-reviewed journals and at least tested their methodological clarity and potential inconsistencies in findings by comparing with other similar articles. This would have, as I realise now, improved my academic writing essentially in the sense that improvement of critical thinking skills would have been reflected there. Interestingly, this failure has not diminished my confidence. On the contrary, it set me on a journey from where I came back more confident. Currently, I find myself able to do research independently without major mistakes as above. </w:t>
      </w:r>
    </w:p>
    <w:p w14:paraId="478C22D2" w14:textId="77777777" w:rsidR="0060506B" w:rsidRDefault="005F42B1">
      <w:pPr>
        <w:spacing w:line="360" w:lineRule="auto"/>
        <w:jc w:val="both"/>
        <w:rPr>
          <w:rFonts w:ascii="Arial" w:eastAsia="Arial" w:hAnsi="Arial" w:cs="Arial"/>
          <w:sz w:val="24"/>
          <w:szCs w:val="24"/>
        </w:rPr>
      </w:pPr>
      <w:r>
        <w:rPr>
          <w:rFonts w:ascii="Arial" w:eastAsia="Arial" w:hAnsi="Arial" w:cs="Arial"/>
          <w:sz w:val="24"/>
          <w:szCs w:val="24"/>
        </w:rPr>
        <w:t xml:space="preserve">Looking forward, I plan to hone this skill further. The major thing that I experienced is that, though deep evaluation of sources is possible, it takes time. Thus, I thought of improving my time management skills more where I will ensure that I must have enough time before I start working on </w:t>
      </w:r>
      <w:proofErr w:type="gramStart"/>
      <w:r>
        <w:rPr>
          <w:rFonts w:ascii="Arial" w:eastAsia="Arial" w:hAnsi="Arial" w:cs="Arial"/>
          <w:sz w:val="24"/>
          <w:szCs w:val="24"/>
        </w:rPr>
        <w:t>an academic research</w:t>
      </w:r>
      <w:proofErr w:type="gramEnd"/>
      <w:r>
        <w:rPr>
          <w:rFonts w:ascii="Arial" w:eastAsia="Arial" w:hAnsi="Arial" w:cs="Arial"/>
          <w:sz w:val="24"/>
          <w:szCs w:val="24"/>
        </w:rPr>
        <w:t xml:space="preserve">. Furthermore, as I learned from the workshop, now I formulate search strategies after a cursory glance at its features, which I will continue to work on in the future. This search strategy often leads </w:t>
      </w:r>
      <w:r>
        <w:rPr>
          <w:rFonts w:ascii="Arial" w:eastAsia="Arial" w:hAnsi="Arial" w:cs="Arial"/>
          <w:sz w:val="24"/>
          <w:szCs w:val="24"/>
        </w:rPr>
        <w:lastRenderedPageBreak/>
        <w:t xml:space="preserve">me to generate what in academia is called an ‘inclusion criteria’ i.e., a set of parameters that determine the inclusion of an article in </w:t>
      </w:r>
      <w:proofErr w:type="gramStart"/>
      <w:r>
        <w:rPr>
          <w:rFonts w:ascii="Arial" w:eastAsia="Arial" w:hAnsi="Arial" w:cs="Arial"/>
          <w:sz w:val="24"/>
          <w:szCs w:val="24"/>
        </w:rPr>
        <w:t>a research (Booth, 2016)</w:t>
      </w:r>
      <w:proofErr w:type="gramEnd"/>
      <w:r>
        <w:rPr>
          <w:rFonts w:ascii="Arial" w:eastAsia="Arial" w:hAnsi="Arial" w:cs="Arial"/>
          <w:sz w:val="24"/>
          <w:szCs w:val="24"/>
        </w:rPr>
        <w:t xml:space="preserve">. To achieve academic depth in my research further, I have already finalised upon a </w:t>
      </w:r>
      <w:proofErr w:type="gramStart"/>
      <w:r>
        <w:rPr>
          <w:rFonts w:ascii="Arial" w:eastAsia="Arial" w:hAnsi="Arial" w:cs="Arial"/>
          <w:sz w:val="24"/>
          <w:szCs w:val="24"/>
        </w:rPr>
        <w:t>set inclusion criteria</w:t>
      </w:r>
      <w:proofErr w:type="gramEnd"/>
      <w:r>
        <w:rPr>
          <w:rFonts w:ascii="Arial" w:eastAsia="Arial" w:hAnsi="Arial" w:cs="Arial"/>
          <w:sz w:val="24"/>
          <w:szCs w:val="24"/>
        </w:rPr>
        <w:t xml:space="preserve"> that include methodological quality, relevance, currency and credibility. In future, I wish to expand this set of parameters further. In this regard, as I feel now, I need to either physically enrol or sign in to other virtual academic skills workshops to get additional insights on research practice. I recently discovered the importance of keeping a reflective log to monitor progress against my set goals (Stevens and Cooper, 2023). This, I feel, will also be there in my future action plan. In summary, if I manage to apply these strategies consistently, my research practices are bound to improve. </w:t>
      </w:r>
    </w:p>
    <w:p w14:paraId="6620A7EE" w14:textId="77777777" w:rsidR="0060506B" w:rsidRDefault="005F42B1">
      <w:pPr>
        <w:spacing w:line="360" w:lineRule="auto"/>
        <w:jc w:val="both"/>
        <w:rPr>
          <w:rFonts w:ascii="Arial" w:eastAsia="Arial" w:hAnsi="Arial" w:cs="Arial"/>
          <w:sz w:val="24"/>
          <w:szCs w:val="24"/>
        </w:rPr>
      </w:pPr>
      <w:r>
        <w:br w:type="page"/>
      </w:r>
    </w:p>
    <w:p w14:paraId="0DD746E8" w14:textId="77777777" w:rsidR="0060506B" w:rsidRPr="00CF5721" w:rsidRDefault="005F42B1">
      <w:pPr>
        <w:spacing w:line="360" w:lineRule="auto"/>
        <w:jc w:val="both"/>
        <w:rPr>
          <w:rFonts w:ascii="Arial" w:eastAsia="Arial" w:hAnsi="Arial" w:cs="Arial"/>
          <w:b/>
          <w:bCs/>
          <w:sz w:val="24"/>
          <w:szCs w:val="24"/>
        </w:rPr>
      </w:pPr>
      <w:r w:rsidRPr="00CF5721">
        <w:rPr>
          <w:rFonts w:ascii="Arial" w:eastAsia="Arial" w:hAnsi="Arial" w:cs="Arial"/>
          <w:b/>
          <w:bCs/>
          <w:sz w:val="24"/>
          <w:szCs w:val="24"/>
        </w:rPr>
        <w:lastRenderedPageBreak/>
        <w:t>SMART Action Plan</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5"/>
        <w:gridCol w:w="1505"/>
        <w:gridCol w:w="1504"/>
        <w:gridCol w:w="1504"/>
        <w:gridCol w:w="1504"/>
        <w:gridCol w:w="1504"/>
      </w:tblGrid>
      <w:tr w:rsidR="0060506B" w14:paraId="3BFC7872" w14:textId="77777777">
        <w:tc>
          <w:tcPr>
            <w:tcW w:w="1504" w:type="dxa"/>
            <w:tcMar>
              <w:top w:w="100" w:type="dxa"/>
              <w:left w:w="100" w:type="dxa"/>
              <w:bottom w:w="100" w:type="dxa"/>
              <w:right w:w="100" w:type="dxa"/>
            </w:tcMar>
          </w:tcPr>
          <w:p w14:paraId="16C7E5E9" w14:textId="6500555A" w:rsidR="0060506B" w:rsidRDefault="005F42B1">
            <w:pPr>
              <w:widowControl w:val="0"/>
              <w:pBdr>
                <w:top w:val="nil"/>
                <w:left w:val="nil"/>
                <w:bottom w:val="nil"/>
                <w:right w:val="nil"/>
                <w:between w:val="nil"/>
              </w:pBdr>
              <w:spacing w:after="0" w:line="360" w:lineRule="auto"/>
              <w:rPr>
                <w:rFonts w:ascii="Arial" w:eastAsia="Arial" w:hAnsi="Arial" w:cs="Arial"/>
                <w:b/>
                <w:bCs/>
                <w:sz w:val="24"/>
                <w:szCs w:val="24"/>
              </w:rPr>
            </w:pPr>
            <w:r>
              <w:rPr>
                <w:rFonts w:ascii="Arial" w:eastAsia="Arial" w:hAnsi="Arial" w:cs="Arial"/>
                <w:b/>
                <w:bCs/>
                <w:sz w:val="24"/>
                <w:szCs w:val="24"/>
              </w:rPr>
              <w:t xml:space="preserve">Goals </w:t>
            </w:r>
          </w:p>
        </w:tc>
        <w:tc>
          <w:tcPr>
            <w:tcW w:w="1504" w:type="dxa"/>
            <w:tcMar>
              <w:top w:w="100" w:type="dxa"/>
              <w:left w:w="100" w:type="dxa"/>
              <w:bottom w:w="100" w:type="dxa"/>
              <w:right w:w="100" w:type="dxa"/>
            </w:tcMar>
          </w:tcPr>
          <w:p w14:paraId="0DCBD4E5" w14:textId="77777777" w:rsidR="0060506B" w:rsidRDefault="005F42B1">
            <w:pPr>
              <w:widowControl w:val="0"/>
              <w:pBdr>
                <w:top w:val="nil"/>
                <w:left w:val="nil"/>
                <w:bottom w:val="nil"/>
                <w:right w:val="nil"/>
                <w:between w:val="nil"/>
              </w:pBdr>
              <w:spacing w:after="0" w:line="360" w:lineRule="auto"/>
              <w:rPr>
                <w:rFonts w:ascii="Arial" w:eastAsia="Arial" w:hAnsi="Arial" w:cs="Arial"/>
                <w:b/>
                <w:bCs/>
                <w:sz w:val="24"/>
                <w:szCs w:val="24"/>
              </w:rPr>
            </w:pPr>
            <w:r>
              <w:rPr>
                <w:rFonts w:ascii="Arial" w:eastAsia="Arial" w:hAnsi="Arial" w:cs="Arial"/>
                <w:b/>
                <w:bCs/>
                <w:sz w:val="24"/>
                <w:szCs w:val="24"/>
              </w:rPr>
              <w:t>Specific</w:t>
            </w:r>
          </w:p>
        </w:tc>
        <w:tc>
          <w:tcPr>
            <w:tcW w:w="1504" w:type="dxa"/>
            <w:tcMar>
              <w:top w:w="100" w:type="dxa"/>
              <w:left w:w="100" w:type="dxa"/>
              <w:bottom w:w="100" w:type="dxa"/>
              <w:right w:w="100" w:type="dxa"/>
            </w:tcMar>
          </w:tcPr>
          <w:p w14:paraId="5FB2FFF9" w14:textId="77777777" w:rsidR="0060506B" w:rsidRDefault="005F42B1">
            <w:pPr>
              <w:widowControl w:val="0"/>
              <w:pBdr>
                <w:top w:val="nil"/>
                <w:left w:val="nil"/>
                <w:bottom w:val="nil"/>
                <w:right w:val="nil"/>
                <w:between w:val="nil"/>
              </w:pBdr>
              <w:spacing w:after="0" w:line="360" w:lineRule="auto"/>
              <w:rPr>
                <w:rFonts w:ascii="Arial" w:eastAsia="Arial" w:hAnsi="Arial" w:cs="Arial"/>
                <w:b/>
                <w:bCs/>
                <w:sz w:val="24"/>
                <w:szCs w:val="24"/>
              </w:rPr>
            </w:pPr>
            <w:r>
              <w:rPr>
                <w:rFonts w:ascii="Arial" w:eastAsia="Arial" w:hAnsi="Arial" w:cs="Arial"/>
                <w:b/>
                <w:bCs/>
                <w:sz w:val="24"/>
                <w:szCs w:val="24"/>
              </w:rPr>
              <w:t>Measurable</w:t>
            </w:r>
          </w:p>
        </w:tc>
        <w:tc>
          <w:tcPr>
            <w:tcW w:w="1504" w:type="dxa"/>
            <w:tcMar>
              <w:top w:w="100" w:type="dxa"/>
              <w:left w:w="100" w:type="dxa"/>
              <w:bottom w:w="100" w:type="dxa"/>
              <w:right w:w="100" w:type="dxa"/>
            </w:tcMar>
          </w:tcPr>
          <w:p w14:paraId="7112E8CB" w14:textId="77777777" w:rsidR="0060506B" w:rsidRDefault="005F42B1">
            <w:pPr>
              <w:widowControl w:val="0"/>
              <w:pBdr>
                <w:top w:val="nil"/>
                <w:left w:val="nil"/>
                <w:bottom w:val="nil"/>
                <w:right w:val="nil"/>
                <w:between w:val="nil"/>
              </w:pBdr>
              <w:spacing w:after="0" w:line="360" w:lineRule="auto"/>
              <w:rPr>
                <w:rFonts w:ascii="Arial" w:eastAsia="Arial" w:hAnsi="Arial" w:cs="Arial"/>
                <w:b/>
                <w:bCs/>
                <w:sz w:val="24"/>
                <w:szCs w:val="24"/>
              </w:rPr>
            </w:pPr>
            <w:r>
              <w:rPr>
                <w:rFonts w:ascii="Arial" w:eastAsia="Arial" w:hAnsi="Arial" w:cs="Arial"/>
                <w:b/>
                <w:bCs/>
                <w:sz w:val="24"/>
                <w:szCs w:val="24"/>
              </w:rPr>
              <w:t>Achievable</w:t>
            </w:r>
          </w:p>
        </w:tc>
        <w:tc>
          <w:tcPr>
            <w:tcW w:w="1504" w:type="dxa"/>
            <w:tcMar>
              <w:top w:w="100" w:type="dxa"/>
              <w:left w:w="100" w:type="dxa"/>
              <w:bottom w:w="100" w:type="dxa"/>
              <w:right w:w="100" w:type="dxa"/>
            </w:tcMar>
          </w:tcPr>
          <w:p w14:paraId="7D799ED1" w14:textId="77777777" w:rsidR="0060506B" w:rsidRDefault="005F42B1">
            <w:pPr>
              <w:widowControl w:val="0"/>
              <w:pBdr>
                <w:top w:val="nil"/>
                <w:left w:val="nil"/>
                <w:bottom w:val="nil"/>
                <w:right w:val="nil"/>
                <w:between w:val="nil"/>
              </w:pBdr>
              <w:spacing w:after="0" w:line="360" w:lineRule="auto"/>
              <w:rPr>
                <w:rFonts w:ascii="Arial" w:eastAsia="Arial" w:hAnsi="Arial" w:cs="Arial"/>
                <w:b/>
                <w:bCs/>
                <w:sz w:val="24"/>
                <w:szCs w:val="24"/>
              </w:rPr>
            </w:pPr>
            <w:r>
              <w:rPr>
                <w:rFonts w:ascii="Arial" w:eastAsia="Arial" w:hAnsi="Arial" w:cs="Arial"/>
                <w:b/>
                <w:bCs/>
                <w:sz w:val="24"/>
                <w:szCs w:val="24"/>
              </w:rPr>
              <w:t>Relevant</w:t>
            </w:r>
          </w:p>
        </w:tc>
        <w:tc>
          <w:tcPr>
            <w:tcW w:w="1504" w:type="dxa"/>
            <w:tcMar>
              <w:top w:w="100" w:type="dxa"/>
              <w:left w:w="100" w:type="dxa"/>
              <w:bottom w:w="100" w:type="dxa"/>
              <w:right w:w="100" w:type="dxa"/>
            </w:tcMar>
          </w:tcPr>
          <w:p w14:paraId="3DCEA77F" w14:textId="77777777" w:rsidR="0060506B" w:rsidRDefault="005F42B1">
            <w:pPr>
              <w:widowControl w:val="0"/>
              <w:pBdr>
                <w:top w:val="nil"/>
                <w:left w:val="nil"/>
                <w:bottom w:val="nil"/>
                <w:right w:val="nil"/>
                <w:between w:val="nil"/>
              </w:pBdr>
              <w:spacing w:after="0" w:line="360" w:lineRule="auto"/>
              <w:rPr>
                <w:rFonts w:ascii="Arial" w:eastAsia="Arial" w:hAnsi="Arial" w:cs="Arial"/>
                <w:b/>
                <w:bCs/>
                <w:sz w:val="24"/>
                <w:szCs w:val="24"/>
              </w:rPr>
            </w:pPr>
            <w:r>
              <w:rPr>
                <w:rFonts w:ascii="Arial" w:eastAsia="Arial" w:hAnsi="Arial" w:cs="Arial"/>
                <w:b/>
                <w:bCs/>
                <w:sz w:val="24"/>
                <w:szCs w:val="24"/>
              </w:rPr>
              <w:t>Time-bound</w:t>
            </w:r>
          </w:p>
        </w:tc>
      </w:tr>
      <w:tr w:rsidR="0060506B" w14:paraId="6BFA6F63" w14:textId="77777777">
        <w:tc>
          <w:tcPr>
            <w:tcW w:w="1504" w:type="dxa"/>
            <w:tcMar>
              <w:top w:w="100" w:type="dxa"/>
              <w:left w:w="100" w:type="dxa"/>
              <w:bottom w:w="100" w:type="dxa"/>
              <w:right w:w="100" w:type="dxa"/>
            </w:tcMar>
          </w:tcPr>
          <w:p w14:paraId="5FA587ED"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Improve academic article selection </w:t>
            </w:r>
          </w:p>
        </w:tc>
        <w:tc>
          <w:tcPr>
            <w:tcW w:w="1504" w:type="dxa"/>
            <w:tcMar>
              <w:top w:w="100" w:type="dxa"/>
              <w:left w:w="100" w:type="dxa"/>
              <w:bottom w:w="100" w:type="dxa"/>
              <w:right w:w="100" w:type="dxa"/>
            </w:tcMar>
          </w:tcPr>
          <w:p w14:paraId="6C5C791E"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Ensuring they are peer-reviewed or academic books</w:t>
            </w:r>
          </w:p>
        </w:tc>
        <w:tc>
          <w:tcPr>
            <w:tcW w:w="1504" w:type="dxa"/>
            <w:tcMar>
              <w:top w:w="100" w:type="dxa"/>
              <w:left w:w="100" w:type="dxa"/>
              <w:bottom w:w="100" w:type="dxa"/>
              <w:right w:w="100" w:type="dxa"/>
            </w:tcMar>
          </w:tcPr>
          <w:p w14:paraId="329F74ED"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At least 80% of my references are from peer-reviewed journals</w:t>
            </w:r>
          </w:p>
        </w:tc>
        <w:tc>
          <w:tcPr>
            <w:tcW w:w="1504" w:type="dxa"/>
            <w:tcMar>
              <w:top w:w="100" w:type="dxa"/>
              <w:left w:w="100" w:type="dxa"/>
              <w:bottom w:w="100" w:type="dxa"/>
              <w:right w:w="100" w:type="dxa"/>
            </w:tcMar>
          </w:tcPr>
          <w:p w14:paraId="2A5579D9"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Yes, through application of advanced search filters</w:t>
            </w:r>
          </w:p>
        </w:tc>
        <w:tc>
          <w:tcPr>
            <w:tcW w:w="1504" w:type="dxa"/>
            <w:tcMar>
              <w:top w:w="100" w:type="dxa"/>
              <w:left w:w="100" w:type="dxa"/>
              <w:bottom w:w="100" w:type="dxa"/>
              <w:right w:w="100" w:type="dxa"/>
            </w:tcMar>
          </w:tcPr>
          <w:p w14:paraId="2C3033D4"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Directly address critical digital literacy</w:t>
            </w:r>
          </w:p>
        </w:tc>
        <w:tc>
          <w:tcPr>
            <w:tcW w:w="1504" w:type="dxa"/>
            <w:tcMar>
              <w:top w:w="100" w:type="dxa"/>
              <w:left w:w="100" w:type="dxa"/>
              <w:bottom w:w="100" w:type="dxa"/>
              <w:right w:w="100" w:type="dxa"/>
            </w:tcMar>
          </w:tcPr>
          <w:p w14:paraId="5041161E"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For every upcoming assignment</w:t>
            </w:r>
          </w:p>
        </w:tc>
      </w:tr>
      <w:tr w:rsidR="0060506B" w14:paraId="1389C3B6" w14:textId="77777777">
        <w:tc>
          <w:tcPr>
            <w:tcW w:w="1504" w:type="dxa"/>
            <w:tcMar>
              <w:top w:w="100" w:type="dxa"/>
              <w:left w:w="100" w:type="dxa"/>
              <w:bottom w:w="100" w:type="dxa"/>
              <w:right w:w="100" w:type="dxa"/>
            </w:tcMar>
          </w:tcPr>
          <w:p w14:paraId="019017CA"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Develop advanced search skills</w:t>
            </w:r>
          </w:p>
        </w:tc>
        <w:tc>
          <w:tcPr>
            <w:tcW w:w="1504" w:type="dxa"/>
            <w:tcMar>
              <w:top w:w="100" w:type="dxa"/>
              <w:left w:w="100" w:type="dxa"/>
              <w:bottom w:w="100" w:type="dxa"/>
              <w:right w:w="100" w:type="dxa"/>
            </w:tcMar>
          </w:tcPr>
          <w:p w14:paraId="0FED4660"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Improving ability to conduct structured research </w:t>
            </w:r>
          </w:p>
        </w:tc>
        <w:tc>
          <w:tcPr>
            <w:tcW w:w="1504" w:type="dxa"/>
            <w:tcMar>
              <w:top w:w="100" w:type="dxa"/>
              <w:left w:w="100" w:type="dxa"/>
              <w:bottom w:w="100" w:type="dxa"/>
              <w:right w:w="100" w:type="dxa"/>
            </w:tcMar>
          </w:tcPr>
          <w:p w14:paraId="1CB187E0"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Completing two (2) academic workshops </w:t>
            </w:r>
          </w:p>
        </w:tc>
        <w:tc>
          <w:tcPr>
            <w:tcW w:w="1504" w:type="dxa"/>
            <w:tcMar>
              <w:top w:w="100" w:type="dxa"/>
              <w:left w:w="100" w:type="dxa"/>
              <w:bottom w:w="100" w:type="dxa"/>
              <w:right w:w="100" w:type="dxa"/>
            </w:tcMar>
          </w:tcPr>
          <w:p w14:paraId="61B667CA"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Workshops are easily accessible online </w:t>
            </w:r>
          </w:p>
        </w:tc>
        <w:tc>
          <w:tcPr>
            <w:tcW w:w="1504" w:type="dxa"/>
            <w:tcMar>
              <w:top w:w="100" w:type="dxa"/>
              <w:left w:w="100" w:type="dxa"/>
              <w:bottom w:w="100" w:type="dxa"/>
              <w:right w:w="100" w:type="dxa"/>
            </w:tcMar>
          </w:tcPr>
          <w:p w14:paraId="2DB8968D"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Improves depth of research </w:t>
            </w:r>
          </w:p>
        </w:tc>
        <w:tc>
          <w:tcPr>
            <w:tcW w:w="1504" w:type="dxa"/>
            <w:tcMar>
              <w:top w:w="100" w:type="dxa"/>
              <w:left w:w="100" w:type="dxa"/>
              <w:bottom w:w="100" w:type="dxa"/>
              <w:right w:w="100" w:type="dxa"/>
            </w:tcMar>
          </w:tcPr>
          <w:p w14:paraId="1D745912"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8 weeks</w:t>
            </w:r>
          </w:p>
        </w:tc>
      </w:tr>
      <w:tr w:rsidR="0060506B" w14:paraId="1E0D1BD1" w14:textId="77777777">
        <w:tc>
          <w:tcPr>
            <w:tcW w:w="1504" w:type="dxa"/>
            <w:tcMar>
              <w:top w:w="100" w:type="dxa"/>
              <w:left w:w="100" w:type="dxa"/>
              <w:bottom w:w="100" w:type="dxa"/>
              <w:right w:w="100" w:type="dxa"/>
            </w:tcMar>
          </w:tcPr>
          <w:p w14:paraId="2725CB20"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Improve ability to evaluate sources critically </w:t>
            </w:r>
          </w:p>
        </w:tc>
        <w:tc>
          <w:tcPr>
            <w:tcW w:w="1504" w:type="dxa"/>
            <w:tcMar>
              <w:top w:w="100" w:type="dxa"/>
              <w:left w:w="100" w:type="dxa"/>
              <w:bottom w:w="100" w:type="dxa"/>
              <w:right w:w="100" w:type="dxa"/>
            </w:tcMar>
          </w:tcPr>
          <w:p w14:paraId="6FEE5254"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Systematic evaluation of each </w:t>
            </w:r>
            <w:proofErr w:type="gramStart"/>
            <w:r>
              <w:rPr>
                <w:rFonts w:ascii="Arial" w:eastAsia="Arial" w:hAnsi="Arial" w:cs="Arial"/>
                <w:sz w:val="24"/>
                <w:szCs w:val="24"/>
              </w:rPr>
              <w:t>sources</w:t>
            </w:r>
            <w:proofErr w:type="gramEnd"/>
          </w:p>
        </w:tc>
        <w:tc>
          <w:tcPr>
            <w:tcW w:w="1504" w:type="dxa"/>
            <w:tcMar>
              <w:top w:w="100" w:type="dxa"/>
              <w:left w:w="100" w:type="dxa"/>
              <w:bottom w:w="100" w:type="dxa"/>
              <w:right w:w="100" w:type="dxa"/>
            </w:tcMar>
          </w:tcPr>
          <w:p w14:paraId="24D95A33"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Annotated summary highlighting credibility status (10 key resources) </w:t>
            </w:r>
          </w:p>
        </w:tc>
        <w:tc>
          <w:tcPr>
            <w:tcW w:w="1504" w:type="dxa"/>
            <w:tcMar>
              <w:top w:w="100" w:type="dxa"/>
              <w:left w:w="100" w:type="dxa"/>
              <w:bottom w:w="100" w:type="dxa"/>
              <w:right w:w="100" w:type="dxa"/>
            </w:tcMar>
          </w:tcPr>
          <w:p w14:paraId="41662FC4"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Part of my elaborate research preparation process</w:t>
            </w:r>
          </w:p>
        </w:tc>
        <w:tc>
          <w:tcPr>
            <w:tcW w:w="1504" w:type="dxa"/>
            <w:tcMar>
              <w:top w:w="100" w:type="dxa"/>
              <w:left w:w="100" w:type="dxa"/>
              <w:bottom w:w="100" w:type="dxa"/>
              <w:right w:w="100" w:type="dxa"/>
            </w:tcMar>
          </w:tcPr>
          <w:p w14:paraId="084358DC"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Develops ability to synthesise findings</w:t>
            </w:r>
          </w:p>
        </w:tc>
        <w:tc>
          <w:tcPr>
            <w:tcW w:w="1504" w:type="dxa"/>
            <w:tcMar>
              <w:top w:w="100" w:type="dxa"/>
              <w:left w:w="100" w:type="dxa"/>
              <w:bottom w:w="100" w:type="dxa"/>
              <w:right w:w="100" w:type="dxa"/>
            </w:tcMar>
          </w:tcPr>
          <w:p w14:paraId="1AB49D8E"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For next three (3) major assignments</w:t>
            </w:r>
          </w:p>
        </w:tc>
      </w:tr>
      <w:tr w:rsidR="0060506B" w14:paraId="70399248" w14:textId="77777777">
        <w:tc>
          <w:tcPr>
            <w:tcW w:w="1504" w:type="dxa"/>
            <w:tcMar>
              <w:top w:w="100" w:type="dxa"/>
              <w:left w:w="100" w:type="dxa"/>
              <w:bottom w:w="100" w:type="dxa"/>
              <w:right w:w="100" w:type="dxa"/>
            </w:tcMar>
          </w:tcPr>
          <w:p w14:paraId="77F0E27C"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Keeping reflective log </w:t>
            </w:r>
          </w:p>
        </w:tc>
        <w:tc>
          <w:tcPr>
            <w:tcW w:w="1504" w:type="dxa"/>
            <w:tcMar>
              <w:top w:w="100" w:type="dxa"/>
              <w:left w:w="100" w:type="dxa"/>
              <w:bottom w:w="100" w:type="dxa"/>
              <w:right w:w="100" w:type="dxa"/>
            </w:tcMar>
          </w:tcPr>
          <w:p w14:paraId="6F2DACC6"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Maintaining a digital reflective log </w:t>
            </w:r>
          </w:p>
        </w:tc>
        <w:tc>
          <w:tcPr>
            <w:tcW w:w="1504" w:type="dxa"/>
            <w:tcMar>
              <w:top w:w="100" w:type="dxa"/>
              <w:left w:w="100" w:type="dxa"/>
              <w:bottom w:w="100" w:type="dxa"/>
              <w:right w:w="100" w:type="dxa"/>
            </w:tcMar>
          </w:tcPr>
          <w:p w14:paraId="464A2057"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Once per week, especially when assignments are due</w:t>
            </w:r>
          </w:p>
        </w:tc>
        <w:tc>
          <w:tcPr>
            <w:tcW w:w="1504" w:type="dxa"/>
            <w:tcMar>
              <w:top w:w="100" w:type="dxa"/>
              <w:left w:w="100" w:type="dxa"/>
              <w:bottom w:w="100" w:type="dxa"/>
              <w:right w:w="100" w:type="dxa"/>
            </w:tcMar>
          </w:tcPr>
          <w:p w14:paraId="24C77F8D"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Through a digital document</w:t>
            </w:r>
          </w:p>
        </w:tc>
        <w:tc>
          <w:tcPr>
            <w:tcW w:w="1504" w:type="dxa"/>
            <w:tcMar>
              <w:top w:w="100" w:type="dxa"/>
              <w:left w:w="100" w:type="dxa"/>
              <w:bottom w:w="100" w:type="dxa"/>
              <w:right w:w="100" w:type="dxa"/>
            </w:tcMar>
          </w:tcPr>
          <w:p w14:paraId="147504D0" w14:textId="7777777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Supports monitoring progress against set goals</w:t>
            </w:r>
          </w:p>
        </w:tc>
        <w:tc>
          <w:tcPr>
            <w:tcW w:w="1504" w:type="dxa"/>
            <w:tcMar>
              <w:top w:w="100" w:type="dxa"/>
              <w:left w:w="100" w:type="dxa"/>
              <w:bottom w:w="100" w:type="dxa"/>
              <w:right w:w="100" w:type="dxa"/>
            </w:tcMar>
          </w:tcPr>
          <w:p w14:paraId="68466911" w14:textId="3264EDB7" w:rsidR="0060506B" w:rsidRDefault="005F42B1">
            <w:pPr>
              <w:widowControl w:val="0"/>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Across the academic year</w:t>
            </w:r>
          </w:p>
        </w:tc>
      </w:tr>
    </w:tbl>
    <w:p w14:paraId="6BADBD94" w14:textId="77777777" w:rsidR="0060506B" w:rsidRDefault="005F42B1">
      <w:pPr>
        <w:spacing w:line="360" w:lineRule="auto"/>
        <w:jc w:val="both"/>
        <w:rPr>
          <w:rFonts w:ascii="Arial" w:eastAsia="Arial" w:hAnsi="Arial" w:cs="Arial"/>
          <w:sz w:val="24"/>
          <w:szCs w:val="24"/>
        </w:rPr>
      </w:pPr>
      <w:r>
        <w:br w:type="page"/>
      </w:r>
    </w:p>
    <w:p w14:paraId="034EC67D" w14:textId="77777777" w:rsidR="0060506B" w:rsidRPr="00CF5721" w:rsidRDefault="005F42B1">
      <w:pPr>
        <w:spacing w:line="360" w:lineRule="auto"/>
        <w:jc w:val="both"/>
        <w:rPr>
          <w:rFonts w:ascii="Arial" w:eastAsia="Arial" w:hAnsi="Arial" w:cs="Arial"/>
          <w:b/>
          <w:bCs/>
          <w:sz w:val="24"/>
          <w:szCs w:val="24"/>
        </w:rPr>
      </w:pPr>
      <w:r w:rsidRPr="00CF5721">
        <w:rPr>
          <w:rFonts w:ascii="Arial" w:eastAsia="Arial" w:hAnsi="Arial" w:cs="Arial"/>
          <w:b/>
          <w:bCs/>
          <w:sz w:val="24"/>
          <w:szCs w:val="24"/>
        </w:rPr>
        <w:lastRenderedPageBreak/>
        <w:t xml:space="preserve">Reference List </w:t>
      </w:r>
    </w:p>
    <w:p w14:paraId="0021564C" w14:textId="77777777" w:rsidR="0060506B" w:rsidRDefault="005F42B1">
      <w:pPr>
        <w:spacing w:before="240" w:after="240" w:line="360" w:lineRule="auto"/>
        <w:jc w:val="both"/>
        <w:rPr>
          <w:rFonts w:ascii="Arial" w:eastAsia="Arial" w:hAnsi="Arial" w:cs="Arial"/>
          <w:sz w:val="24"/>
          <w:szCs w:val="24"/>
        </w:rPr>
      </w:pPr>
      <w:r>
        <w:rPr>
          <w:rFonts w:ascii="Arial" w:eastAsia="Arial" w:hAnsi="Arial" w:cs="Arial"/>
          <w:sz w:val="24"/>
          <w:szCs w:val="24"/>
        </w:rPr>
        <w:t xml:space="preserve">Altmiller, G., Deal, B., Ebersole, N., Flexner, R., Jordan, J., Jowell, V., Norris, T., </w:t>
      </w:r>
      <w:proofErr w:type="spellStart"/>
      <w:r>
        <w:rPr>
          <w:rFonts w:ascii="Arial" w:eastAsia="Arial" w:hAnsi="Arial" w:cs="Arial"/>
          <w:sz w:val="24"/>
          <w:szCs w:val="24"/>
        </w:rPr>
        <w:t>Risetter</w:t>
      </w:r>
      <w:proofErr w:type="spellEnd"/>
      <w:r>
        <w:rPr>
          <w:rFonts w:ascii="Arial" w:eastAsia="Arial" w:hAnsi="Arial" w:cs="Arial"/>
          <w:sz w:val="24"/>
          <w:szCs w:val="24"/>
        </w:rPr>
        <w:t xml:space="preserve">, M.J., Schuler, M., Szymanski, K. and Vottero, B. (2018) ‘Constructive feedback teaching strategy: A multisite study of its effectiveness,’ </w:t>
      </w:r>
      <w:r>
        <w:rPr>
          <w:rFonts w:ascii="Arial" w:eastAsia="Arial" w:hAnsi="Arial" w:cs="Arial"/>
          <w:i/>
          <w:iCs/>
          <w:sz w:val="24"/>
          <w:szCs w:val="24"/>
        </w:rPr>
        <w:t>Nursing education perspectives</w:t>
      </w:r>
      <w:r>
        <w:rPr>
          <w:rFonts w:ascii="Arial" w:eastAsia="Arial" w:hAnsi="Arial" w:cs="Arial"/>
          <w:sz w:val="24"/>
          <w:szCs w:val="24"/>
        </w:rPr>
        <w:t>, 39(5), pp. 291-296.</w:t>
      </w:r>
    </w:p>
    <w:p w14:paraId="19F84D86" w14:textId="77777777" w:rsidR="0060506B" w:rsidRDefault="005F42B1">
      <w:pPr>
        <w:spacing w:before="240" w:after="240" w:line="360" w:lineRule="auto"/>
        <w:jc w:val="both"/>
        <w:rPr>
          <w:rFonts w:ascii="Arial" w:eastAsia="Arial" w:hAnsi="Arial" w:cs="Arial"/>
          <w:sz w:val="24"/>
          <w:szCs w:val="24"/>
        </w:rPr>
      </w:pPr>
      <w:r>
        <w:rPr>
          <w:rFonts w:ascii="Arial" w:eastAsia="Arial" w:hAnsi="Arial" w:cs="Arial"/>
          <w:sz w:val="24"/>
          <w:szCs w:val="24"/>
        </w:rPr>
        <w:t xml:space="preserve">Booth, A. (2016) ‘Searching for qualitative research for inclusion in systematic reviews: a structured methodological review,’ </w:t>
      </w:r>
      <w:r>
        <w:rPr>
          <w:rFonts w:ascii="Arial" w:eastAsia="Arial" w:hAnsi="Arial" w:cs="Arial"/>
          <w:i/>
          <w:iCs/>
          <w:sz w:val="24"/>
          <w:szCs w:val="24"/>
        </w:rPr>
        <w:t>Systematic reviews</w:t>
      </w:r>
      <w:r>
        <w:rPr>
          <w:rFonts w:ascii="Arial" w:eastAsia="Arial" w:hAnsi="Arial" w:cs="Arial"/>
          <w:sz w:val="24"/>
          <w:szCs w:val="24"/>
        </w:rPr>
        <w:t>, 5(1).</w:t>
      </w:r>
    </w:p>
    <w:p w14:paraId="65C2C2B9" w14:textId="77777777" w:rsidR="0060506B" w:rsidRDefault="005F42B1">
      <w:pPr>
        <w:spacing w:before="240" w:after="240" w:line="360" w:lineRule="auto"/>
        <w:jc w:val="both"/>
        <w:rPr>
          <w:rFonts w:ascii="Arial" w:eastAsia="Arial" w:hAnsi="Arial" w:cs="Arial"/>
          <w:sz w:val="24"/>
          <w:szCs w:val="24"/>
        </w:rPr>
      </w:pPr>
      <w:r>
        <w:rPr>
          <w:rFonts w:ascii="Arial" w:eastAsia="Arial" w:hAnsi="Arial" w:cs="Arial"/>
          <w:sz w:val="24"/>
          <w:szCs w:val="24"/>
        </w:rPr>
        <w:t xml:space="preserve">Bridges, D. (2019) ‘‘Rigour,’ ‘discipline’ and the ‘systematic’ in educational research–and why they matter,’ </w:t>
      </w:r>
      <w:r>
        <w:rPr>
          <w:rFonts w:ascii="Arial" w:eastAsia="Arial" w:hAnsi="Arial" w:cs="Arial"/>
          <w:i/>
          <w:iCs/>
          <w:sz w:val="24"/>
          <w:szCs w:val="24"/>
        </w:rPr>
        <w:t>European Educational Research Journal</w:t>
      </w:r>
      <w:r>
        <w:rPr>
          <w:rFonts w:ascii="Arial" w:eastAsia="Arial" w:hAnsi="Arial" w:cs="Arial"/>
          <w:sz w:val="24"/>
          <w:szCs w:val="24"/>
        </w:rPr>
        <w:t>, 18(5), pp. 499-512.</w:t>
      </w:r>
    </w:p>
    <w:p w14:paraId="7BB513DC" w14:textId="77777777" w:rsidR="0060506B" w:rsidRDefault="005F42B1">
      <w:pPr>
        <w:spacing w:before="240" w:after="240" w:line="360" w:lineRule="auto"/>
        <w:jc w:val="both"/>
        <w:rPr>
          <w:rFonts w:ascii="Arial" w:eastAsia="Arial" w:hAnsi="Arial" w:cs="Arial"/>
          <w:sz w:val="24"/>
          <w:szCs w:val="24"/>
        </w:rPr>
      </w:pPr>
      <w:r>
        <w:rPr>
          <w:rFonts w:ascii="Arial" w:eastAsia="Arial" w:hAnsi="Arial" w:cs="Arial"/>
          <w:sz w:val="24"/>
          <w:szCs w:val="24"/>
        </w:rPr>
        <w:t xml:space="preserve">Holm, P. (2025) ‘Impact of digital literacy on academic achievement: Evidence from an online anatomy and physiology course,’ </w:t>
      </w:r>
      <w:r>
        <w:rPr>
          <w:rFonts w:ascii="Arial" w:eastAsia="Arial" w:hAnsi="Arial" w:cs="Arial"/>
          <w:i/>
          <w:iCs/>
          <w:sz w:val="24"/>
          <w:szCs w:val="24"/>
        </w:rPr>
        <w:t>E-Learning and Digital Media</w:t>
      </w:r>
      <w:r>
        <w:rPr>
          <w:rFonts w:ascii="Arial" w:eastAsia="Arial" w:hAnsi="Arial" w:cs="Arial"/>
          <w:sz w:val="24"/>
          <w:szCs w:val="24"/>
        </w:rPr>
        <w:t>, 22(2), pp. 139-155.</w:t>
      </w:r>
    </w:p>
    <w:p w14:paraId="6CC7EB43" w14:textId="77777777" w:rsidR="0060506B" w:rsidRDefault="005F42B1">
      <w:pPr>
        <w:spacing w:before="240" w:after="240" w:line="360" w:lineRule="auto"/>
        <w:jc w:val="both"/>
        <w:rPr>
          <w:rFonts w:ascii="Arial" w:eastAsia="Arial" w:hAnsi="Arial" w:cs="Arial"/>
          <w:sz w:val="24"/>
          <w:szCs w:val="24"/>
        </w:rPr>
      </w:pPr>
      <w:r>
        <w:rPr>
          <w:rFonts w:ascii="Arial" w:eastAsia="Arial" w:hAnsi="Arial" w:cs="Arial"/>
          <w:sz w:val="24"/>
          <w:szCs w:val="24"/>
        </w:rPr>
        <w:t xml:space="preserve">Long, H.A., French, D.P. and Brooks, J.M. (2020) ‘Optimising the value of the critical appraisal skills programme (CASP) tool for quality appraisal in qualitative evidence synthesis,’ </w:t>
      </w:r>
      <w:r>
        <w:rPr>
          <w:rFonts w:ascii="Arial" w:eastAsia="Arial" w:hAnsi="Arial" w:cs="Arial"/>
          <w:i/>
          <w:iCs/>
          <w:sz w:val="24"/>
          <w:szCs w:val="24"/>
        </w:rPr>
        <w:t>Research Methods in Medicine &amp; Health Sciences</w:t>
      </w:r>
      <w:r>
        <w:rPr>
          <w:rFonts w:ascii="Arial" w:eastAsia="Arial" w:hAnsi="Arial" w:cs="Arial"/>
          <w:sz w:val="24"/>
          <w:szCs w:val="24"/>
        </w:rPr>
        <w:t>, 1(1), pp. 31-42.</w:t>
      </w:r>
    </w:p>
    <w:p w14:paraId="4C994B6C" w14:textId="77777777" w:rsidR="0060506B" w:rsidRDefault="005F42B1">
      <w:pPr>
        <w:spacing w:before="240" w:after="240" w:line="360" w:lineRule="auto"/>
        <w:jc w:val="both"/>
        <w:rPr>
          <w:rFonts w:ascii="Arial" w:eastAsia="Arial" w:hAnsi="Arial" w:cs="Arial"/>
          <w:sz w:val="24"/>
          <w:szCs w:val="24"/>
        </w:rPr>
      </w:pPr>
      <w:r>
        <w:rPr>
          <w:rFonts w:ascii="Arial" w:eastAsia="Arial" w:hAnsi="Arial" w:cs="Arial"/>
          <w:sz w:val="24"/>
          <w:szCs w:val="24"/>
        </w:rPr>
        <w:t xml:space="preserve">Lowe, M.S., Stone, S.M., Maxson, B.K., </w:t>
      </w:r>
      <w:proofErr w:type="spellStart"/>
      <w:r>
        <w:rPr>
          <w:rFonts w:ascii="Arial" w:eastAsia="Arial" w:hAnsi="Arial" w:cs="Arial"/>
          <w:sz w:val="24"/>
          <w:szCs w:val="24"/>
        </w:rPr>
        <w:t>Snajdr</w:t>
      </w:r>
      <w:proofErr w:type="spellEnd"/>
      <w:r>
        <w:rPr>
          <w:rFonts w:ascii="Arial" w:eastAsia="Arial" w:hAnsi="Arial" w:cs="Arial"/>
          <w:sz w:val="24"/>
          <w:szCs w:val="24"/>
        </w:rPr>
        <w:t xml:space="preserve">, E. and Miller, W. (2020) ‘Boolean redux: Performance of advanced versus simple </w:t>
      </w:r>
      <w:proofErr w:type="spellStart"/>
      <w:r>
        <w:rPr>
          <w:rFonts w:ascii="Arial" w:eastAsia="Arial" w:hAnsi="Arial" w:cs="Arial"/>
          <w:sz w:val="24"/>
          <w:szCs w:val="24"/>
        </w:rPr>
        <w:t>boolean</w:t>
      </w:r>
      <w:proofErr w:type="spellEnd"/>
      <w:r>
        <w:rPr>
          <w:rFonts w:ascii="Arial" w:eastAsia="Arial" w:hAnsi="Arial" w:cs="Arial"/>
          <w:sz w:val="24"/>
          <w:szCs w:val="24"/>
        </w:rPr>
        <w:t xml:space="preserve"> searches and implications for upper-level instruction,’ </w:t>
      </w:r>
      <w:r>
        <w:rPr>
          <w:rFonts w:ascii="Arial" w:eastAsia="Arial" w:hAnsi="Arial" w:cs="Arial"/>
          <w:i/>
          <w:iCs/>
          <w:sz w:val="24"/>
          <w:szCs w:val="24"/>
        </w:rPr>
        <w:t>The Journal of Academic Librarianship</w:t>
      </w:r>
      <w:r>
        <w:rPr>
          <w:rFonts w:ascii="Arial" w:eastAsia="Arial" w:hAnsi="Arial" w:cs="Arial"/>
          <w:sz w:val="24"/>
          <w:szCs w:val="24"/>
        </w:rPr>
        <w:t>, 46(6).</w:t>
      </w:r>
    </w:p>
    <w:p w14:paraId="2FEF3F3C" w14:textId="77777777" w:rsidR="0060506B" w:rsidRDefault="005F42B1">
      <w:pPr>
        <w:spacing w:before="240" w:after="240" w:line="360" w:lineRule="auto"/>
        <w:jc w:val="both"/>
        <w:rPr>
          <w:rFonts w:ascii="Arial" w:eastAsia="Arial" w:hAnsi="Arial" w:cs="Arial"/>
          <w:sz w:val="24"/>
          <w:szCs w:val="24"/>
        </w:rPr>
      </w:pPr>
      <w:r>
        <w:rPr>
          <w:rFonts w:ascii="Arial" w:eastAsia="Arial" w:hAnsi="Arial" w:cs="Arial"/>
          <w:sz w:val="24"/>
          <w:szCs w:val="24"/>
        </w:rPr>
        <w:t xml:space="preserve">Stevens, D.D. and Cooper, J.E. (2023) </w:t>
      </w:r>
      <w:r>
        <w:rPr>
          <w:rFonts w:ascii="Arial" w:eastAsia="Arial" w:hAnsi="Arial" w:cs="Arial"/>
          <w:i/>
          <w:iCs/>
          <w:sz w:val="24"/>
          <w:szCs w:val="24"/>
        </w:rPr>
        <w:t>Journal keeping: How to use reflective writing for learning, teaching, professional insight and positive change</w:t>
      </w:r>
      <w:r>
        <w:rPr>
          <w:rFonts w:ascii="Arial" w:eastAsia="Arial" w:hAnsi="Arial" w:cs="Arial"/>
          <w:sz w:val="24"/>
          <w:szCs w:val="24"/>
        </w:rPr>
        <w:t>. Taylor &amp; Francis.</w:t>
      </w:r>
    </w:p>
    <w:p w14:paraId="0859A1D7" w14:textId="77777777" w:rsidR="0060506B" w:rsidRDefault="0060506B">
      <w:pPr>
        <w:spacing w:line="360" w:lineRule="auto"/>
        <w:jc w:val="both"/>
        <w:rPr>
          <w:rFonts w:ascii="Arial" w:eastAsia="Arial" w:hAnsi="Arial" w:cs="Arial"/>
          <w:sz w:val="24"/>
          <w:szCs w:val="24"/>
        </w:rPr>
      </w:pPr>
    </w:p>
    <w:sectPr w:rsidR="0060506B">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83B90" w14:textId="77777777" w:rsidR="0033270B" w:rsidRDefault="0033270B" w:rsidP="00CF5721">
      <w:pPr>
        <w:spacing w:after="0" w:line="240" w:lineRule="auto"/>
      </w:pPr>
      <w:r>
        <w:separator/>
      </w:r>
    </w:p>
  </w:endnote>
  <w:endnote w:type="continuationSeparator" w:id="0">
    <w:p w14:paraId="0821F0D5" w14:textId="77777777" w:rsidR="0033270B" w:rsidRDefault="0033270B" w:rsidP="00CF5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9AEADF9F-8C1D-4343-910A-2B244195DDA7}"/>
    <w:embedItalic r:id="rId2" w:fontKey="{87B72372-DBF5-4898-94A9-71E4D98882D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3" w:fontKey="{67092917-96FA-4320-AE22-5F6E9F547DDC}"/>
  </w:font>
  <w:font w:name="Aptos">
    <w:charset w:val="00"/>
    <w:family w:val="swiss"/>
    <w:pitch w:val="variable"/>
    <w:sig w:usb0="20000287" w:usb1="00000003" w:usb2="00000000" w:usb3="00000000" w:csb0="0000019F" w:csb1="00000000"/>
    <w:embedRegular r:id="rId4" w:fontKey="{51D3A075-63FF-4BFA-9C86-0959041C18C4}"/>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5033796"/>
      <w:docPartObj>
        <w:docPartGallery w:val="Page Numbers (Bottom of Page)"/>
        <w:docPartUnique/>
      </w:docPartObj>
    </w:sdtPr>
    <w:sdtEndPr>
      <w:rPr>
        <w:rFonts w:ascii="Arial" w:hAnsi="Arial" w:cs="Arial"/>
        <w:noProof/>
        <w:sz w:val="24"/>
        <w:szCs w:val="24"/>
      </w:rPr>
    </w:sdtEndPr>
    <w:sdtContent>
      <w:p w14:paraId="539CCE88" w14:textId="7FE51DA7" w:rsidR="00CF5721" w:rsidRPr="00CF5721" w:rsidRDefault="00CF5721" w:rsidP="00CF5721">
        <w:pPr>
          <w:pStyle w:val="Footer"/>
          <w:spacing w:line="360" w:lineRule="auto"/>
          <w:jc w:val="right"/>
          <w:rPr>
            <w:rFonts w:ascii="Arial" w:hAnsi="Arial" w:cs="Arial"/>
            <w:sz w:val="24"/>
            <w:szCs w:val="24"/>
          </w:rPr>
        </w:pPr>
        <w:r w:rsidRPr="00CF5721">
          <w:rPr>
            <w:rFonts w:ascii="Arial" w:hAnsi="Arial" w:cs="Arial"/>
            <w:sz w:val="24"/>
            <w:szCs w:val="24"/>
          </w:rPr>
          <w:fldChar w:fldCharType="begin"/>
        </w:r>
        <w:r w:rsidRPr="00CF5721">
          <w:rPr>
            <w:rFonts w:ascii="Arial" w:hAnsi="Arial" w:cs="Arial"/>
            <w:sz w:val="24"/>
            <w:szCs w:val="24"/>
          </w:rPr>
          <w:instrText xml:space="preserve"> PAGE   \* MERGEFORMAT </w:instrText>
        </w:r>
        <w:r w:rsidRPr="00CF5721">
          <w:rPr>
            <w:rFonts w:ascii="Arial" w:hAnsi="Arial" w:cs="Arial"/>
            <w:sz w:val="24"/>
            <w:szCs w:val="24"/>
          </w:rPr>
          <w:fldChar w:fldCharType="separate"/>
        </w:r>
        <w:r w:rsidRPr="00CF5721">
          <w:rPr>
            <w:rFonts w:ascii="Arial" w:hAnsi="Arial" w:cs="Arial"/>
            <w:noProof/>
            <w:sz w:val="24"/>
            <w:szCs w:val="24"/>
          </w:rPr>
          <w:t>2</w:t>
        </w:r>
        <w:r w:rsidRPr="00CF5721">
          <w:rPr>
            <w:rFonts w:ascii="Arial" w:hAnsi="Arial" w:cs="Arial"/>
            <w:noProof/>
            <w:sz w:val="24"/>
            <w:szCs w:val="24"/>
          </w:rPr>
          <w:fldChar w:fldCharType="end"/>
        </w:r>
      </w:p>
    </w:sdtContent>
  </w:sdt>
  <w:p w14:paraId="1845E1E9" w14:textId="77777777" w:rsidR="00CF5721" w:rsidRDefault="00CF57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C2A58" w14:textId="77777777" w:rsidR="0033270B" w:rsidRDefault="0033270B" w:rsidP="00CF5721">
      <w:pPr>
        <w:spacing w:after="0" w:line="240" w:lineRule="auto"/>
      </w:pPr>
      <w:r>
        <w:separator/>
      </w:r>
    </w:p>
  </w:footnote>
  <w:footnote w:type="continuationSeparator" w:id="0">
    <w:p w14:paraId="2724CC3F" w14:textId="77777777" w:rsidR="0033270B" w:rsidRDefault="0033270B" w:rsidP="00CF57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506B"/>
    <w:rsid w:val="00290425"/>
    <w:rsid w:val="0033270B"/>
    <w:rsid w:val="00466712"/>
    <w:rsid w:val="00545B39"/>
    <w:rsid w:val="005F42B1"/>
    <w:rsid w:val="0060506B"/>
    <w:rsid w:val="00B533E8"/>
    <w:rsid w:val="00C51232"/>
    <w:rsid w:val="00CF5721"/>
    <w:rsid w:val="00F053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44956"/>
  <w15:docId w15:val="{F949629B-78FC-4DC9-B490-C98752E86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color w:val="2F5496"/>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E960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0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0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sz w:val="56"/>
      <w:szCs w:val="56"/>
    </w:rPr>
  </w:style>
  <w:style w:type="character" w:customStyle="1" w:styleId="Heading1Char">
    <w:name w:val="Heading 1 Char"/>
    <w:basedOn w:val="DefaultParagraphFont"/>
    <w:link w:val="Heading1"/>
    <w:uiPriority w:val="9"/>
    <w:rsid w:val="00E960ED"/>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E960ED"/>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E960ED"/>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960ED"/>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960ED"/>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960E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960E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960E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960ED"/>
    <w:rPr>
      <w:rFonts w:eastAsiaTheme="majorEastAsia" w:cstheme="majorBidi"/>
      <w:color w:val="272727" w:themeColor="text1" w:themeTint="D8"/>
      <w:lang w:val="en-GB"/>
    </w:rPr>
  </w:style>
  <w:style w:type="character" w:customStyle="1" w:styleId="TitleChar">
    <w:name w:val="Title Char"/>
    <w:basedOn w:val="DefaultParagraphFont"/>
    <w:link w:val="Title"/>
    <w:uiPriority w:val="10"/>
    <w:rsid w:val="00E960ED"/>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E960E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960ED"/>
    <w:pPr>
      <w:spacing w:before="160"/>
      <w:jc w:val="center"/>
    </w:pPr>
    <w:rPr>
      <w:i/>
      <w:iCs/>
      <w:color w:val="404040" w:themeColor="text1" w:themeTint="BF"/>
    </w:rPr>
  </w:style>
  <w:style w:type="character" w:customStyle="1" w:styleId="QuoteChar">
    <w:name w:val="Quote Char"/>
    <w:basedOn w:val="DefaultParagraphFont"/>
    <w:link w:val="Quote"/>
    <w:uiPriority w:val="29"/>
    <w:rsid w:val="00E960ED"/>
    <w:rPr>
      <w:i/>
      <w:iCs/>
      <w:color w:val="404040" w:themeColor="text1" w:themeTint="BF"/>
      <w:lang w:val="en-GB"/>
    </w:rPr>
  </w:style>
  <w:style w:type="paragraph" w:styleId="ListParagraph">
    <w:name w:val="List Paragraph"/>
    <w:basedOn w:val="Normal"/>
    <w:uiPriority w:val="34"/>
    <w:qFormat/>
    <w:rsid w:val="00E960ED"/>
    <w:pPr>
      <w:ind w:left="720"/>
      <w:contextualSpacing/>
    </w:pPr>
  </w:style>
  <w:style w:type="character" w:styleId="IntenseEmphasis">
    <w:name w:val="Intense Emphasis"/>
    <w:basedOn w:val="DefaultParagraphFont"/>
    <w:uiPriority w:val="21"/>
    <w:qFormat/>
    <w:rsid w:val="00E960ED"/>
    <w:rPr>
      <w:i/>
      <w:iCs/>
      <w:color w:val="2F5496" w:themeColor="accent1" w:themeShade="BF"/>
    </w:rPr>
  </w:style>
  <w:style w:type="paragraph" w:styleId="IntenseQuote">
    <w:name w:val="Intense Quote"/>
    <w:basedOn w:val="Normal"/>
    <w:next w:val="Normal"/>
    <w:link w:val="IntenseQuoteChar"/>
    <w:uiPriority w:val="30"/>
    <w:qFormat/>
    <w:rsid w:val="00E960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60ED"/>
    <w:rPr>
      <w:i/>
      <w:iCs/>
      <w:color w:val="2F5496" w:themeColor="accent1" w:themeShade="BF"/>
      <w:lang w:val="en-GB"/>
    </w:rPr>
  </w:style>
  <w:style w:type="character" w:styleId="IntenseReference">
    <w:name w:val="Intense Reference"/>
    <w:basedOn w:val="DefaultParagraphFont"/>
    <w:uiPriority w:val="32"/>
    <w:qFormat/>
    <w:rsid w:val="00E960ED"/>
    <w:rPr>
      <w:b/>
      <w:bCs/>
      <w:smallCaps/>
      <w:color w:val="2F5496" w:themeColor="accent1" w:themeShade="BF"/>
      <w:spacing w:val="5"/>
    </w:r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tblPr>
      <w:tblStyleRowBandSize w:val="1"/>
      <w:tblStyleColBandSize w:val="1"/>
    </w:tblPr>
  </w:style>
  <w:style w:type="paragraph" w:styleId="Header">
    <w:name w:val="header"/>
    <w:basedOn w:val="Normal"/>
    <w:link w:val="HeaderChar"/>
    <w:uiPriority w:val="99"/>
    <w:unhideWhenUsed/>
    <w:rsid w:val="00CF57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721"/>
  </w:style>
  <w:style w:type="paragraph" w:styleId="Footer">
    <w:name w:val="footer"/>
    <w:basedOn w:val="Normal"/>
    <w:link w:val="FooterChar"/>
    <w:uiPriority w:val="99"/>
    <w:unhideWhenUsed/>
    <w:rsid w:val="00CF5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Vvt2wfEHJgPTGidsW/qHNxuRSA==">CgMxLjAaHwoBMBIaChgICVIUChJ0YWJsZS53cmU5eTZxdXA3Yng4AHIhMWhxcWpMeGlkblNtTzh4YkMtcTJnSkpwVkJzRkNhQXRf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1797</Words>
  <Characters>10248</Characters>
  <Application>Microsoft Office Word</Application>
  <DocSecurity>0</DocSecurity>
  <Lines>85</Lines>
  <Paragraphs>24</Paragraphs>
  <ScaleCrop>false</ScaleCrop>
  <Company/>
  <LinksUpToDate>false</LinksUpToDate>
  <CharactersWithSpaces>12021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Benghiac</cp:lastModifiedBy>
  <cp:revision>4</cp:revision>
  <dcterms:created xsi:type="dcterms:W3CDTF">2026-02-27T21:20:00Z</dcterms:created>
  <dcterms:modified xsi:type="dcterms:W3CDTF">2026-02-27T21:30:00Z</dcterms:modified>
</cp:coreProperties>
</file>