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E1031" w14:textId="13BA88D7" w:rsidR="007667C8" w:rsidRPr="007667C8" w:rsidRDefault="007667C8" w:rsidP="007667C8">
      <w:pPr>
        <w:jc w:val="center"/>
        <w:rPr>
          <w:u w:val="single"/>
        </w:rPr>
      </w:pPr>
      <w:r w:rsidRPr="007667C8">
        <w:rPr>
          <w:u w:val="single"/>
        </w:rPr>
        <w:t xml:space="preserve">Give a detailed account, including variants, of Alexander’s encounter with </w:t>
      </w:r>
      <w:proofErr w:type="spellStart"/>
      <w:r w:rsidRPr="007667C8">
        <w:rPr>
          <w:u w:val="single"/>
        </w:rPr>
        <w:t>Talestris</w:t>
      </w:r>
      <w:proofErr w:type="spellEnd"/>
      <w:r w:rsidRPr="007667C8">
        <w:rPr>
          <w:u w:val="single"/>
        </w:rPr>
        <w:t xml:space="preserve"> in the sources.</w:t>
      </w:r>
      <w:r w:rsidR="00FD2BEF">
        <w:rPr>
          <w:u w:val="single"/>
        </w:rPr>
        <w:t xml:space="preserve"> (500 words)</w:t>
      </w:r>
    </w:p>
    <w:p w14:paraId="1C3FDFDD" w14:textId="77777777" w:rsidR="009D036C" w:rsidRDefault="009D036C" w:rsidP="007667C8"/>
    <w:p w14:paraId="4626C1A6" w14:textId="1BE7F5E7" w:rsidR="005F7158" w:rsidRDefault="005F7158" w:rsidP="003C0830">
      <w:r>
        <w:t xml:space="preserve">Quintus </w:t>
      </w:r>
      <w:proofErr w:type="spellStart"/>
      <w:r>
        <w:t>Curtius</w:t>
      </w:r>
      <w:proofErr w:type="spellEnd"/>
      <w:r>
        <w:t xml:space="preserve"> Rufus is thought to have been writing in the first century CE.</w:t>
      </w:r>
      <w:r>
        <w:rPr>
          <w:rStyle w:val="FootnoteReference"/>
        </w:rPr>
        <w:footnoteReference w:id="1"/>
      </w:r>
      <w:r>
        <w:t xml:space="preserve"> The exact time of his writing has been rigorously debated but has been narrowed down.</w:t>
      </w:r>
      <w:r>
        <w:rPr>
          <w:rStyle w:val="FootnoteReference"/>
        </w:rPr>
        <w:footnoteReference w:id="2"/>
      </w:r>
      <w:r>
        <w:t xml:space="preserve"> From the information he writes throughout the book, giving the limits to the Roman empire at the time of his writing, his time period can be narrowed down to under the rule of either Augustus, Claudius or Vespasian. Further details give an image of Rome that does not fit that of Augustus or Vespasian, leaving the only possible option to be Claudius.</w:t>
      </w:r>
      <w:r>
        <w:rPr>
          <w:rStyle w:val="FootnoteReference"/>
        </w:rPr>
        <w:footnoteReference w:id="3"/>
      </w:r>
      <w:r>
        <w:t xml:space="preserve"> </w:t>
      </w:r>
      <w:proofErr w:type="spellStart"/>
      <w:r>
        <w:t>Curtius</w:t>
      </w:r>
      <w:proofErr w:type="spellEnd"/>
      <w:r>
        <w:t xml:space="preserve"> Rufus writes a history of Alexanders life, meaning what was written was believed to be true and accurate. This gives an interesting view of the Amazons as they were, and still are, seen as a mythological race. Including them in this historical account could be showing some believe of their existence within the Roman world. It has been said that </w:t>
      </w:r>
      <w:proofErr w:type="spellStart"/>
      <w:r>
        <w:t>Curtius</w:t>
      </w:r>
      <w:proofErr w:type="spellEnd"/>
      <w:r>
        <w:t xml:space="preserve"> Rufus may have added in this section to show the change in Alexander’s character, which would explain the reason for its presence.</w:t>
      </w:r>
      <w:r>
        <w:rPr>
          <w:rStyle w:val="FootnoteReference"/>
        </w:rPr>
        <w:footnoteReference w:id="4"/>
      </w:r>
      <w:r>
        <w:t xml:space="preserve"> There is an emphasis on how </w:t>
      </w:r>
      <w:proofErr w:type="spellStart"/>
      <w:r>
        <w:t>Talestris</w:t>
      </w:r>
      <w:proofErr w:type="spellEnd"/>
      <w:r>
        <w:t xml:space="preserve"> is different within the section. The most notable way this is shown is through the description of her dress. This style of clothing and removal of one breast</w:t>
      </w:r>
      <w:r>
        <w:rPr>
          <w:rStyle w:val="FootnoteReference"/>
        </w:rPr>
        <w:footnoteReference w:id="5"/>
      </w:r>
      <w:r>
        <w:t xml:space="preserve"> being mentioned shows that these were not the Roman style and emphasises the otherness of </w:t>
      </w:r>
      <w:proofErr w:type="spellStart"/>
      <w:r>
        <w:t>Talestris</w:t>
      </w:r>
      <w:proofErr w:type="spellEnd"/>
      <w:r>
        <w:t xml:space="preserve">. This is also backed up by her forwardness and capability to handle </w:t>
      </w:r>
      <w:r>
        <w:lastRenderedPageBreak/>
        <w:t>herself. While in the text this presented as barbarism</w:t>
      </w:r>
      <w:r>
        <w:rPr>
          <w:rStyle w:val="FootnoteReference"/>
        </w:rPr>
        <w:footnoteReference w:id="6"/>
      </w:r>
      <w:r>
        <w:t>, there is a possibility that this assertiveness plays into a male fantasy. As a result, Alexander is changed in character when he gives into this wanting woman.</w:t>
      </w:r>
    </w:p>
    <w:p w14:paraId="65232416" w14:textId="75ABDA5A" w:rsidR="003C0830" w:rsidRDefault="00AF7B58" w:rsidP="003C0830">
      <w:r>
        <w:t xml:space="preserve">Walter of </w:t>
      </w:r>
      <w:proofErr w:type="spellStart"/>
      <w:r>
        <w:t>Ch</w:t>
      </w:r>
      <w:r w:rsidR="006527FB">
        <w:t>â</w:t>
      </w:r>
      <w:r>
        <w:t>tillon</w:t>
      </w:r>
      <w:proofErr w:type="spellEnd"/>
      <w:r>
        <w:t xml:space="preserve"> was writing during the twelfth century CE.</w:t>
      </w:r>
      <w:r>
        <w:rPr>
          <w:rStyle w:val="FootnoteReference"/>
        </w:rPr>
        <w:footnoteReference w:id="7"/>
      </w:r>
      <w:r w:rsidR="0039322C">
        <w:t xml:space="preserve"> </w:t>
      </w:r>
      <w:r w:rsidR="00CB246B">
        <w:t>This section of his work is from a ten-book epic poem.</w:t>
      </w:r>
      <w:r w:rsidR="00CB246B">
        <w:rPr>
          <w:rStyle w:val="FootnoteReference"/>
        </w:rPr>
        <w:footnoteReference w:id="8"/>
      </w:r>
      <w:r w:rsidR="0039322C">
        <w:t xml:space="preserve"> </w:t>
      </w:r>
      <w:r w:rsidR="00CB246B">
        <w:t>This poem was made a school text and was well received.</w:t>
      </w:r>
      <w:r w:rsidR="00CB246B">
        <w:rPr>
          <w:rStyle w:val="FootnoteReference"/>
        </w:rPr>
        <w:footnoteReference w:id="9"/>
      </w:r>
      <w:r w:rsidR="0039322C">
        <w:t xml:space="preserve"> </w:t>
      </w:r>
      <w:r w:rsidR="00CB246B">
        <w:t xml:space="preserve">His writing is taken directly from Quintus </w:t>
      </w:r>
      <w:proofErr w:type="spellStart"/>
      <w:r w:rsidR="00CB246B">
        <w:t>Curtius</w:t>
      </w:r>
      <w:proofErr w:type="spellEnd"/>
      <w:r w:rsidR="00CB246B">
        <w:t xml:space="preserve"> Rufus</w:t>
      </w:r>
      <w:r w:rsidR="008E142C">
        <w:rPr>
          <w:rStyle w:val="FootnoteReference"/>
        </w:rPr>
        <w:footnoteReference w:id="10"/>
      </w:r>
      <w:r w:rsidR="00CB246B">
        <w:t xml:space="preserve"> but is written in more poetic and flowery language to suit the style he is writing in.</w:t>
      </w:r>
      <w:r w:rsidR="006527FB">
        <w:t xml:space="preserve"> There is also more development of the meeting between the two. One addition Walter of </w:t>
      </w:r>
      <w:proofErr w:type="spellStart"/>
      <w:r w:rsidR="006527FB">
        <w:t>Châtillon</w:t>
      </w:r>
      <w:proofErr w:type="spellEnd"/>
      <w:r w:rsidR="006527FB">
        <w:t xml:space="preserve"> makes to </w:t>
      </w:r>
      <w:proofErr w:type="spellStart"/>
      <w:r w:rsidR="006527FB">
        <w:t>Curtius</w:t>
      </w:r>
      <w:proofErr w:type="spellEnd"/>
      <w:r w:rsidR="006527FB">
        <w:t xml:space="preserve"> Rufus’ text is that the three hundred women who accompany </w:t>
      </w:r>
      <w:proofErr w:type="spellStart"/>
      <w:r w:rsidR="006527FB">
        <w:t>Talestris</w:t>
      </w:r>
      <w:proofErr w:type="spellEnd"/>
      <w:r w:rsidR="006527FB">
        <w:t xml:space="preserve"> are all virgins.</w:t>
      </w:r>
      <w:r w:rsidR="003E2BB1">
        <w:rPr>
          <w:rStyle w:val="FootnoteReference"/>
        </w:rPr>
        <w:footnoteReference w:id="11"/>
      </w:r>
      <w:r w:rsidR="006527FB">
        <w:t xml:space="preserve"> </w:t>
      </w:r>
      <w:r w:rsidR="005F7158">
        <w:t xml:space="preserve">This is most likely added in order to fit with the time period it was written, further contextualising the piece. </w:t>
      </w:r>
      <w:r w:rsidR="003C0830">
        <w:t>The title of the work is done in a way to make it feel like a classical era text.</w:t>
      </w:r>
      <w:r w:rsidR="003C0830">
        <w:rPr>
          <w:rStyle w:val="FootnoteReference"/>
        </w:rPr>
        <w:footnoteReference w:id="12"/>
      </w:r>
      <w:r w:rsidR="0057502B">
        <w:t xml:space="preserve"> </w:t>
      </w:r>
      <w:r w:rsidR="0039322C">
        <w:t>This classical feel is reciprocated through the element of comparison between a contemporary figur</w:t>
      </w:r>
      <w:r w:rsidR="003E2BB1">
        <w:t>e and the subject.</w:t>
      </w:r>
      <w:r w:rsidR="003E2BB1">
        <w:rPr>
          <w:rStyle w:val="FootnoteReference"/>
        </w:rPr>
        <w:footnoteReference w:id="13"/>
      </w:r>
      <w:r w:rsidR="003E2BB1">
        <w:t xml:space="preserve"> The influence of classical era writers can be seen throughout the poem, with William of </w:t>
      </w:r>
      <w:proofErr w:type="spellStart"/>
      <w:r w:rsidR="003E2BB1">
        <w:t>Ch</w:t>
      </w:r>
      <w:r w:rsidR="003E2BB1">
        <w:t>â</w:t>
      </w:r>
      <w:r w:rsidR="003E2BB1">
        <w:t>tillon</w:t>
      </w:r>
      <w:proofErr w:type="spellEnd"/>
      <w:r w:rsidR="003E2BB1">
        <w:t xml:space="preserve"> using a different style</w:t>
      </w:r>
      <w:r w:rsidR="003E2BB1">
        <w:rPr>
          <w:rStyle w:val="FootnoteReference"/>
        </w:rPr>
        <w:footnoteReference w:id="14"/>
      </w:r>
      <w:r w:rsidR="003E2BB1">
        <w:t xml:space="preserve"> to his contemporary writers in order to have the rhythmic feel of authors such as Virgil</w:t>
      </w:r>
      <w:r w:rsidR="005F7158">
        <w:t>.</w:t>
      </w:r>
      <w:r w:rsidR="003E2BB1">
        <w:rPr>
          <w:rStyle w:val="FootnoteReference"/>
        </w:rPr>
        <w:footnoteReference w:id="15"/>
      </w:r>
    </w:p>
    <w:p w14:paraId="4B84ADA7" w14:textId="77777777" w:rsidR="00AD2122" w:rsidRDefault="00AD2122" w:rsidP="003C0830">
      <w:pPr>
        <w:rPr>
          <w:u w:val="single"/>
        </w:rPr>
      </w:pPr>
    </w:p>
    <w:p w14:paraId="5CE4A1C9" w14:textId="6437CB72" w:rsidR="005F7158" w:rsidRPr="005F7158" w:rsidRDefault="005F7158" w:rsidP="003C0830">
      <w:pPr>
        <w:rPr>
          <w:u w:val="single"/>
        </w:rPr>
      </w:pPr>
      <w:bookmarkStart w:id="0" w:name="_GoBack"/>
      <w:bookmarkEnd w:id="0"/>
      <w:r w:rsidRPr="005F7158">
        <w:rPr>
          <w:u w:val="single"/>
        </w:rPr>
        <w:lastRenderedPageBreak/>
        <w:t>Bibliography</w:t>
      </w:r>
    </w:p>
    <w:p w14:paraId="73368B73" w14:textId="77777777" w:rsidR="00AD2122" w:rsidRDefault="00AD2122" w:rsidP="003C0830">
      <w:pPr>
        <w:rPr>
          <w:i/>
          <w:iCs/>
        </w:rPr>
      </w:pPr>
      <w:r>
        <w:t xml:space="preserve">Bridges, V. (2015) </w:t>
      </w:r>
      <w:r>
        <w:rPr>
          <w:i/>
          <w:iCs/>
        </w:rPr>
        <w:t xml:space="preserve">Reading Walter of </w:t>
      </w:r>
      <w:proofErr w:type="spellStart"/>
      <w:r>
        <w:rPr>
          <w:i/>
          <w:iCs/>
        </w:rPr>
        <w:t>Ch</w:t>
      </w:r>
      <w:r w:rsidRPr="005F7158">
        <w:rPr>
          <w:i/>
          <w:iCs/>
        </w:rPr>
        <w:t>â</w:t>
      </w:r>
      <w:r>
        <w:rPr>
          <w:i/>
          <w:iCs/>
        </w:rPr>
        <w:t>tillon’s</w:t>
      </w:r>
      <w:proofErr w:type="spellEnd"/>
      <w:r>
        <w:rPr>
          <w:i/>
          <w:iCs/>
        </w:rPr>
        <w:t xml:space="preserve"> </w:t>
      </w:r>
      <w:proofErr w:type="spellStart"/>
      <w:r>
        <w:rPr>
          <w:i/>
          <w:iCs/>
        </w:rPr>
        <w:t>Alexandreis</w:t>
      </w:r>
      <w:proofErr w:type="spellEnd"/>
      <w:r>
        <w:rPr>
          <w:i/>
          <w:iCs/>
        </w:rPr>
        <w:t xml:space="preserve"> in Medieval Anthologies</w:t>
      </w:r>
    </w:p>
    <w:p w14:paraId="0E90A64E" w14:textId="77777777" w:rsidR="00AD2122" w:rsidRPr="00882A2D" w:rsidRDefault="00AD2122" w:rsidP="003C0830">
      <w:proofErr w:type="spellStart"/>
      <w:r>
        <w:t>Heckel</w:t>
      </w:r>
      <w:proofErr w:type="spellEnd"/>
      <w:r>
        <w:t xml:space="preserve">, W. (1984) </w:t>
      </w:r>
      <w:r>
        <w:rPr>
          <w:i/>
          <w:iCs/>
        </w:rPr>
        <w:t xml:space="preserve">The History of Alexander </w:t>
      </w:r>
      <w:r>
        <w:t>London: Penguin Books Ltd</w:t>
      </w:r>
    </w:p>
    <w:p w14:paraId="5E48A49F" w14:textId="77777777" w:rsidR="00AD2122" w:rsidRDefault="00AD2122" w:rsidP="003C0830">
      <w:r>
        <w:t>Lafferty, M. (2011) ‘</w:t>
      </w:r>
      <w:r w:rsidRPr="00882A2D">
        <w:t xml:space="preserve">Walter of </w:t>
      </w:r>
      <w:proofErr w:type="spellStart"/>
      <w:r w:rsidRPr="00882A2D">
        <w:t>Ch</w:t>
      </w:r>
      <w:r w:rsidRPr="00882A2D">
        <w:t>â</w:t>
      </w:r>
      <w:r w:rsidRPr="00882A2D">
        <w:t>tillon’s</w:t>
      </w:r>
      <w:proofErr w:type="spellEnd"/>
      <w:r w:rsidRPr="00882A2D">
        <w:t xml:space="preserve"> </w:t>
      </w:r>
      <w:proofErr w:type="spellStart"/>
      <w:r w:rsidRPr="00882A2D">
        <w:t>Alexandreis</w:t>
      </w:r>
      <w:proofErr w:type="spellEnd"/>
      <w:r>
        <w:t xml:space="preserve">’ in </w:t>
      </w:r>
      <w:proofErr w:type="spellStart"/>
      <w:r>
        <w:t>Zuwiyya</w:t>
      </w:r>
      <w:proofErr w:type="spellEnd"/>
      <w:r>
        <w:t xml:space="preserve">, Z.D. (ed.) </w:t>
      </w:r>
      <w:r>
        <w:rPr>
          <w:i/>
          <w:iCs/>
        </w:rPr>
        <w:t xml:space="preserve">A Companion to Alexander Literature in the Middle Ages </w:t>
      </w:r>
      <w:r>
        <w:t xml:space="preserve">Leiden: </w:t>
      </w:r>
      <w:proofErr w:type="spellStart"/>
      <w:r>
        <w:t>Koninklijke</w:t>
      </w:r>
      <w:proofErr w:type="spellEnd"/>
      <w:r>
        <w:t xml:space="preserve"> Brill NV</w:t>
      </w:r>
    </w:p>
    <w:p w14:paraId="23E060FF" w14:textId="77777777" w:rsidR="00AD2122" w:rsidRPr="00AD2122" w:rsidRDefault="00AD2122" w:rsidP="003C0830">
      <w:proofErr w:type="spellStart"/>
      <w:r>
        <w:t>Roisman</w:t>
      </w:r>
      <w:proofErr w:type="spellEnd"/>
      <w:r>
        <w:t xml:space="preserve">, J. (2017) ‘Alexander and the Amazon Queen: Truth and Fiction’ in </w:t>
      </w:r>
      <w:proofErr w:type="spellStart"/>
      <w:r>
        <w:t>Hau</w:t>
      </w:r>
      <w:proofErr w:type="spellEnd"/>
      <w:r>
        <w:t xml:space="preserve">, L and </w:t>
      </w:r>
      <w:proofErr w:type="spellStart"/>
      <w:r>
        <w:t>Ruffell</w:t>
      </w:r>
      <w:proofErr w:type="spellEnd"/>
      <w:r>
        <w:t xml:space="preserve">, I. (ed.) </w:t>
      </w:r>
      <w:r>
        <w:rPr>
          <w:i/>
          <w:iCs/>
        </w:rPr>
        <w:t xml:space="preserve">Truth and History in the Ancient World: Pluralising the Past </w:t>
      </w:r>
      <w:r>
        <w:t>New York: Routledge</w:t>
      </w:r>
    </w:p>
    <w:p w14:paraId="71F5EC6D" w14:textId="77777777" w:rsidR="00AD2122" w:rsidRDefault="00AD2122" w:rsidP="003C0830">
      <w:r>
        <w:t xml:space="preserve">Townsend, D. (1996) </w:t>
      </w:r>
      <w:r>
        <w:rPr>
          <w:i/>
          <w:iCs/>
        </w:rPr>
        <w:t xml:space="preserve">The </w:t>
      </w:r>
      <w:proofErr w:type="spellStart"/>
      <w:r>
        <w:rPr>
          <w:i/>
          <w:iCs/>
        </w:rPr>
        <w:t>Alexandreis</w:t>
      </w:r>
      <w:proofErr w:type="spellEnd"/>
      <w:r>
        <w:rPr>
          <w:i/>
          <w:iCs/>
        </w:rPr>
        <w:t xml:space="preserve"> of Walter of </w:t>
      </w:r>
      <w:proofErr w:type="spellStart"/>
      <w:r>
        <w:rPr>
          <w:i/>
          <w:iCs/>
        </w:rPr>
        <w:t>Ch</w:t>
      </w:r>
      <w:r w:rsidRPr="00882A2D">
        <w:rPr>
          <w:i/>
          <w:iCs/>
        </w:rPr>
        <w:t>â</w:t>
      </w:r>
      <w:r w:rsidRPr="00882A2D">
        <w:rPr>
          <w:i/>
          <w:iCs/>
        </w:rPr>
        <w:t>tillon</w:t>
      </w:r>
      <w:proofErr w:type="spellEnd"/>
      <w:r>
        <w:rPr>
          <w:i/>
          <w:iCs/>
        </w:rPr>
        <w:t xml:space="preserve"> </w:t>
      </w:r>
      <w:r>
        <w:t>Philadelphia: University of Pennsylvania Press</w:t>
      </w:r>
    </w:p>
    <w:p w14:paraId="73394F45" w14:textId="4AD2A4B7" w:rsidR="009D036C" w:rsidRDefault="00AD2122" w:rsidP="009D036C">
      <w:pPr>
        <w:rPr>
          <w:u w:val="single"/>
        </w:rPr>
      </w:pPr>
      <w:r w:rsidRPr="00AD2122">
        <w:rPr>
          <w:u w:val="single"/>
        </w:rPr>
        <w:t>Ancient Sources</w:t>
      </w:r>
    </w:p>
    <w:p w14:paraId="0C31D871" w14:textId="77777777" w:rsidR="00AD2122" w:rsidRDefault="00AD2122" w:rsidP="009D036C">
      <w:r>
        <w:t xml:space="preserve">Quintus </w:t>
      </w:r>
      <w:proofErr w:type="spellStart"/>
      <w:r>
        <w:t>Curtius</w:t>
      </w:r>
      <w:proofErr w:type="spellEnd"/>
      <w:r>
        <w:t xml:space="preserve"> Rufus, </w:t>
      </w:r>
      <w:r>
        <w:rPr>
          <w:i/>
          <w:iCs/>
        </w:rPr>
        <w:t xml:space="preserve">The History of Alexander </w:t>
      </w:r>
      <w:r>
        <w:t>J. Yardley (trans) 1984. London: Penguin Books Ltd</w:t>
      </w:r>
    </w:p>
    <w:p w14:paraId="6F4925B0" w14:textId="77777777" w:rsidR="00AD2122" w:rsidRPr="00AD2122" w:rsidRDefault="00AD2122" w:rsidP="009D036C">
      <w:r>
        <w:t xml:space="preserve">William of </w:t>
      </w:r>
      <w:proofErr w:type="spellStart"/>
      <w:r>
        <w:t>Ch</w:t>
      </w:r>
      <w:r>
        <w:t>â</w:t>
      </w:r>
      <w:r>
        <w:t>tillon</w:t>
      </w:r>
      <w:proofErr w:type="spellEnd"/>
      <w:r>
        <w:t xml:space="preserve">, </w:t>
      </w:r>
      <w:proofErr w:type="spellStart"/>
      <w:r>
        <w:rPr>
          <w:i/>
          <w:iCs/>
        </w:rPr>
        <w:t>Alexandreis</w:t>
      </w:r>
      <w:proofErr w:type="spellEnd"/>
      <w:r>
        <w:rPr>
          <w:i/>
          <w:iCs/>
        </w:rPr>
        <w:t xml:space="preserve"> </w:t>
      </w:r>
      <w:r>
        <w:t>D. Townsend (trans) 1996. Philadelphia: University of Pennsylvania Press</w:t>
      </w:r>
    </w:p>
    <w:sectPr w:rsidR="00AD2122" w:rsidRPr="00AD21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4C105" w14:textId="77777777" w:rsidR="0024547B" w:rsidRDefault="0024547B" w:rsidP="00544C6B">
      <w:pPr>
        <w:spacing w:after="0" w:line="240" w:lineRule="auto"/>
      </w:pPr>
      <w:r>
        <w:separator/>
      </w:r>
    </w:p>
  </w:endnote>
  <w:endnote w:type="continuationSeparator" w:id="0">
    <w:p w14:paraId="006055B9" w14:textId="77777777" w:rsidR="0024547B" w:rsidRDefault="0024547B" w:rsidP="00544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0E019" w14:textId="77777777" w:rsidR="0024547B" w:rsidRDefault="0024547B" w:rsidP="00544C6B">
      <w:pPr>
        <w:spacing w:after="0" w:line="240" w:lineRule="auto"/>
      </w:pPr>
      <w:r>
        <w:separator/>
      </w:r>
    </w:p>
  </w:footnote>
  <w:footnote w:type="continuationSeparator" w:id="0">
    <w:p w14:paraId="63A33F04" w14:textId="77777777" w:rsidR="0024547B" w:rsidRDefault="0024547B" w:rsidP="00544C6B">
      <w:pPr>
        <w:spacing w:after="0" w:line="240" w:lineRule="auto"/>
      </w:pPr>
      <w:r>
        <w:continuationSeparator/>
      </w:r>
    </w:p>
  </w:footnote>
  <w:footnote w:id="1">
    <w:p w14:paraId="4084412B" w14:textId="77777777" w:rsidR="005F7158" w:rsidRDefault="005F7158" w:rsidP="005F7158">
      <w:pPr>
        <w:pStyle w:val="FootnoteText"/>
      </w:pPr>
      <w:r>
        <w:rPr>
          <w:rStyle w:val="FootnoteReference"/>
        </w:rPr>
        <w:footnoteRef/>
      </w:r>
      <w:r>
        <w:t xml:space="preserve"> </w:t>
      </w:r>
      <w:proofErr w:type="spellStart"/>
      <w:r>
        <w:t>Heckel</w:t>
      </w:r>
      <w:proofErr w:type="spellEnd"/>
      <w:r>
        <w:t>, p.2</w:t>
      </w:r>
    </w:p>
  </w:footnote>
  <w:footnote w:id="2">
    <w:p w14:paraId="2CC4D594" w14:textId="77777777" w:rsidR="005F7158" w:rsidRDefault="005F7158" w:rsidP="005F7158">
      <w:pPr>
        <w:pStyle w:val="FootnoteText"/>
      </w:pPr>
      <w:r>
        <w:rPr>
          <w:rStyle w:val="FootnoteReference"/>
        </w:rPr>
        <w:footnoteRef/>
      </w:r>
      <w:r>
        <w:t xml:space="preserve"> </w:t>
      </w:r>
      <w:proofErr w:type="spellStart"/>
      <w:r>
        <w:t>Heckel</w:t>
      </w:r>
      <w:proofErr w:type="spellEnd"/>
      <w:r>
        <w:t>, p.1</w:t>
      </w:r>
    </w:p>
  </w:footnote>
  <w:footnote w:id="3">
    <w:p w14:paraId="16426922" w14:textId="77777777" w:rsidR="005F7158" w:rsidRDefault="005F7158" w:rsidP="005F7158">
      <w:pPr>
        <w:pStyle w:val="FootnoteText"/>
      </w:pPr>
      <w:r>
        <w:rPr>
          <w:rStyle w:val="FootnoteReference"/>
        </w:rPr>
        <w:footnoteRef/>
      </w:r>
      <w:r>
        <w:t xml:space="preserve"> </w:t>
      </w:r>
      <w:proofErr w:type="spellStart"/>
      <w:r>
        <w:t>Heckel</w:t>
      </w:r>
      <w:proofErr w:type="spellEnd"/>
      <w:r>
        <w:t>, p.2</w:t>
      </w:r>
    </w:p>
  </w:footnote>
  <w:footnote w:id="4">
    <w:p w14:paraId="0CC7F314" w14:textId="77777777" w:rsidR="005F7158" w:rsidRDefault="005F7158" w:rsidP="005F7158">
      <w:pPr>
        <w:pStyle w:val="FootnoteText"/>
      </w:pPr>
      <w:r>
        <w:rPr>
          <w:rStyle w:val="FootnoteReference"/>
        </w:rPr>
        <w:footnoteRef/>
      </w:r>
      <w:r>
        <w:t xml:space="preserve"> </w:t>
      </w:r>
      <w:proofErr w:type="spellStart"/>
      <w:r>
        <w:t>Roisman</w:t>
      </w:r>
      <w:proofErr w:type="spellEnd"/>
      <w:r>
        <w:t>, p.258</w:t>
      </w:r>
    </w:p>
  </w:footnote>
  <w:footnote w:id="5">
    <w:p w14:paraId="6DC502CE" w14:textId="77777777" w:rsidR="005F7158" w:rsidRPr="00DC302A" w:rsidRDefault="005F7158" w:rsidP="005F7158">
      <w:pPr>
        <w:pStyle w:val="FootnoteText"/>
      </w:pPr>
      <w:r>
        <w:rPr>
          <w:rStyle w:val="FootnoteReference"/>
        </w:rPr>
        <w:footnoteRef/>
      </w:r>
      <w:r>
        <w:t xml:space="preserve"> Curt. </w:t>
      </w:r>
      <w:r>
        <w:rPr>
          <w:i/>
          <w:iCs/>
        </w:rPr>
        <w:t>The History of Alexander</w:t>
      </w:r>
      <w:r>
        <w:t xml:space="preserve"> 128, 27-28</w:t>
      </w:r>
    </w:p>
  </w:footnote>
  <w:footnote w:id="6">
    <w:p w14:paraId="3A09900C" w14:textId="77777777" w:rsidR="005F7158" w:rsidRPr="0039322C" w:rsidRDefault="005F7158" w:rsidP="005F7158">
      <w:pPr>
        <w:pStyle w:val="FootnoteText"/>
        <w:ind w:left="720" w:hanging="720"/>
      </w:pPr>
      <w:r>
        <w:rPr>
          <w:rStyle w:val="FootnoteReference"/>
        </w:rPr>
        <w:footnoteRef/>
      </w:r>
      <w:r>
        <w:t xml:space="preserve"> Curt, </w:t>
      </w:r>
      <w:r>
        <w:rPr>
          <w:i/>
          <w:iCs/>
        </w:rPr>
        <w:t xml:space="preserve">The History of Alexander </w:t>
      </w:r>
      <w:r>
        <w:t>128, 29</w:t>
      </w:r>
    </w:p>
  </w:footnote>
  <w:footnote w:id="7">
    <w:p w14:paraId="1ED0C36C" w14:textId="77777777" w:rsidR="00AF7B58" w:rsidRDefault="00AF7B58" w:rsidP="00AF7B58">
      <w:pPr>
        <w:pStyle w:val="FootnoteText"/>
      </w:pPr>
      <w:r>
        <w:rPr>
          <w:rStyle w:val="FootnoteReference"/>
        </w:rPr>
        <w:footnoteRef/>
      </w:r>
      <w:r>
        <w:t xml:space="preserve"> Townsend, </w:t>
      </w:r>
      <w:proofErr w:type="spellStart"/>
      <w:r>
        <w:t>p.xi</w:t>
      </w:r>
      <w:proofErr w:type="spellEnd"/>
    </w:p>
  </w:footnote>
  <w:footnote w:id="8">
    <w:p w14:paraId="0A59CDF8" w14:textId="27A21217" w:rsidR="00CB246B" w:rsidRDefault="00CB246B">
      <w:pPr>
        <w:pStyle w:val="FootnoteText"/>
      </w:pPr>
      <w:r>
        <w:rPr>
          <w:rStyle w:val="FootnoteReference"/>
        </w:rPr>
        <w:footnoteRef/>
      </w:r>
      <w:r>
        <w:t xml:space="preserve"> Townsend, </w:t>
      </w:r>
      <w:proofErr w:type="spellStart"/>
      <w:r>
        <w:t>p.xi</w:t>
      </w:r>
      <w:proofErr w:type="spellEnd"/>
    </w:p>
  </w:footnote>
  <w:footnote w:id="9">
    <w:p w14:paraId="30F0259E" w14:textId="09E7FE7D" w:rsidR="00CB246B" w:rsidRDefault="00CB246B">
      <w:pPr>
        <w:pStyle w:val="FootnoteText"/>
      </w:pPr>
      <w:r>
        <w:rPr>
          <w:rStyle w:val="FootnoteReference"/>
        </w:rPr>
        <w:footnoteRef/>
      </w:r>
      <w:r>
        <w:t xml:space="preserve"> Lafferty, p.183</w:t>
      </w:r>
    </w:p>
  </w:footnote>
  <w:footnote w:id="10">
    <w:p w14:paraId="04C89785" w14:textId="3A7687A9" w:rsidR="008E142C" w:rsidRDefault="008E142C">
      <w:pPr>
        <w:pStyle w:val="FootnoteText"/>
      </w:pPr>
      <w:r>
        <w:rPr>
          <w:rStyle w:val="FootnoteReference"/>
        </w:rPr>
        <w:footnoteRef/>
      </w:r>
      <w:r>
        <w:t xml:space="preserve"> Bridges, </w:t>
      </w:r>
      <w:r w:rsidR="005F7158">
        <w:t xml:space="preserve">2015, </w:t>
      </w:r>
      <w:r>
        <w:t>p.5</w:t>
      </w:r>
    </w:p>
  </w:footnote>
  <w:footnote w:id="11">
    <w:p w14:paraId="255AC0BC" w14:textId="5B250D2B" w:rsidR="003E2BB1" w:rsidRPr="005F7158" w:rsidRDefault="003E2BB1">
      <w:pPr>
        <w:pStyle w:val="FootnoteText"/>
      </w:pPr>
      <w:r>
        <w:rPr>
          <w:rStyle w:val="FootnoteReference"/>
        </w:rPr>
        <w:footnoteRef/>
      </w:r>
      <w:r>
        <w:t xml:space="preserve"> William of Chat</w:t>
      </w:r>
      <w:r w:rsidR="005F7158">
        <w:t xml:space="preserve">illon </w:t>
      </w:r>
      <w:proofErr w:type="spellStart"/>
      <w:r w:rsidR="005F7158">
        <w:rPr>
          <w:i/>
          <w:iCs/>
        </w:rPr>
        <w:t>Alexandreis</w:t>
      </w:r>
      <w:proofErr w:type="spellEnd"/>
      <w:r w:rsidR="005F7158">
        <w:rPr>
          <w:i/>
          <w:iCs/>
        </w:rPr>
        <w:t xml:space="preserve"> </w:t>
      </w:r>
      <w:r w:rsidR="005F7158">
        <w:t>8, 11</w:t>
      </w:r>
    </w:p>
  </w:footnote>
  <w:footnote w:id="12">
    <w:p w14:paraId="21E0F87D" w14:textId="1B2D2AD2" w:rsidR="003C0830" w:rsidRDefault="003C0830">
      <w:pPr>
        <w:pStyle w:val="FootnoteText"/>
      </w:pPr>
      <w:r>
        <w:rPr>
          <w:rStyle w:val="FootnoteReference"/>
        </w:rPr>
        <w:footnoteRef/>
      </w:r>
      <w:r>
        <w:t xml:space="preserve"> Lafferty, p.181</w:t>
      </w:r>
    </w:p>
  </w:footnote>
  <w:footnote w:id="13">
    <w:p w14:paraId="1EFC40DB" w14:textId="33E7ECB0" w:rsidR="003E2BB1" w:rsidRDefault="003E2BB1">
      <w:pPr>
        <w:pStyle w:val="FootnoteText"/>
      </w:pPr>
      <w:r>
        <w:rPr>
          <w:rStyle w:val="FootnoteReference"/>
        </w:rPr>
        <w:footnoteRef/>
      </w:r>
      <w:r>
        <w:t xml:space="preserve"> Lafferty, p.182-183</w:t>
      </w:r>
    </w:p>
  </w:footnote>
  <w:footnote w:id="14">
    <w:p w14:paraId="73637E65" w14:textId="11CC5553" w:rsidR="003E2BB1" w:rsidRDefault="003E2BB1">
      <w:pPr>
        <w:pStyle w:val="FootnoteText"/>
      </w:pPr>
      <w:r>
        <w:rPr>
          <w:rStyle w:val="FootnoteReference"/>
        </w:rPr>
        <w:footnoteRef/>
      </w:r>
      <w:r>
        <w:t xml:space="preserve"> Lafferty, p.193</w:t>
      </w:r>
    </w:p>
  </w:footnote>
  <w:footnote w:id="15">
    <w:p w14:paraId="6D3B2B12" w14:textId="1B384DA2" w:rsidR="003E2BB1" w:rsidRDefault="003E2BB1">
      <w:pPr>
        <w:pStyle w:val="FootnoteText"/>
      </w:pPr>
      <w:r>
        <w:rPr>
          <w:rStyle w:val="FootnoteReference"/>
        </w:rPr>
        <w:footnoteRef/>
      </w:r>
      <w:r>
        <w:t xml:space="preserve"> Lafferty, p.185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670FB"/>
    <w:multiLevelType w:val="hybridMultilevel"/>
    <w:tmpl w:val="D6F298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C8"/>
    <w:rsid w:val="000E663A"/>
    <w:rsid w:val="00166007"/>
    <w:rsid w:val="00173AF1"/>
    <w:rsid w:val="00223A78"/>
    <w:rsid w:val="0024547B"/>
    <w:rsid w:val="00331B3B"/>
    <w:rsid w:val="0039322C"/>
    <w:rsid w:val="003C0830"/>
    <w:rsid w:val="003E2BB1"/>
    <w:rsid w:val="003E7535"/>
    <w:rsid w:val="004B6350"/>
    <w:rsid w:val="004D1C1D"/>
    <w:rsid w:val="00544C6B"/>
    <w:rsid w:val="0057502B"/>
    <w:rsid w:val="005F7158"/>
    <w:rsid w:val="00637458"/>
    <w:rsid w:val="00640467"/>
    <w:rsid w:val="006527FB"/>
    <w:rsid w:val="007667C8"/>
    <w:rsid w:val="007C75AC"/>
    <w:rsid w:val="00882A2D"/>
    <w:rsid w:val="008E142C"/>
    <w:rsid w:val="009D036C"/>
    <w:rsid w:val="009E700C"/>
    <w:rsid w:val="00AD2122"/>
    <w:rsid w:val="00AF7B58"/>
    <w:rsid w:val="00BF283D"/>
    <w:rsid w:val="00C0043C"/>
    <w:rsid w:val="00C96C2B"/>
    <w:rsid w:val="00CB246B"/>
    <w:rsid w:val="00DC28FC"/>
    <w:rsid w:val="00DC302A"/>
    <w:rsid w:val="00FD2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4C8D"/>
  <w15:chartTrackingRefBased/>
  <w15:docId w15:val="{AAD423FE-0854-4F2E-9B44-85BF1F63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Arial"/>
        <w:color w:val="222222"/>
        <w:spacing w:val="20"/>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7C8"/>
    <w:pPr>
      <w:ind w:left="720"/>
      <w:contextualSpacing/>
    </w:pPr>
  </w:style>
  <w:style w:type="paragraph" w:styleId="FootnoteText">
    <w:name w:val="footnote text"/>
    <w:basedOn w:val="Normal"/>
    <w:link w:val="FootnoteTextChar"/>
    <w:uiPriority w:val="99"/>
    <w:semiHidden/>
    <w:unhideWhenUsed/>
    <w:rsid w:val="00544C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4C6B"/>
    <w:rPr>
      <w:sz w:val="20"/>
      <w:szCs w:val="20"/>
    </w:rPr>
  </w:style>
  <w:style w:type="character" w:styleId="FootnoteReference">
    <w:name w:val="footnote reference"/>
    <w:basedOn w:val="DefaultParagraphFont"/>
    <w:uiPriority w:val="99"/>
    <w:semiHidden/>
    <w:unhideWhenUsed/>
    <w:rsid w:val="00544C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4134B-015A-4E87-8817-32390CF3B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3</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 (1801842)</dc:creator>
  <cp:keywords/>
  <dc:description/>
  <cp:lastModifiedBy>Rhiannon Watts-robinson (1801842)</cp:lastModifiedBy>
  <cp:revision>7</cp:revision>
  <dcterms:created xsi:type="dcterms:W3CDTF">2020-01-06T14:10:00Z</dcterms:created>
  <dcterms:modified xsi:type="dcterms:W3CDTF">2020-01-13T21:55:00Z</dcterms:modified>
</cp:coreProperties>
</file>