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BFBA3" w14:textId="12ED7CE2" w:rsidR="00EC4C1C" w:rsidRDefault="00EC4C1C" w:rsidP="00EC4C1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EC4C1C">
        <w:rPr>
          <w:rFonts w:ascii="Times New Roman" w:eastAsia="Times New Roman" w:hAnsi="Times New Roman" w:cs="Times New Roman"/>
          <w:b/>
          <w:bCs/>
          <w:kern w:val="36"/>
          <w:sz w:val="48"/>
          <w:szCs w:val="48"/>
          <w:lang w:eastAsia="en-GB"/>
        </w:rPr>
        <w:t>Reflection Report on Learning in Service Integration and Partnership Working in Health and Social Care Practice</w:t>
      </w:r>
    </w:p>
    <w:p w14:paraId="5E6151B6"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Introduction</w:t>
      </w:r>
    </w:p>
    <w:p w14:paraId="5688A77B"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The reflective report focuses on what I learned about service integration and partnership in the practice of health and social care by studying it. It relies on my group work on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an integrated model of diabetes care and prevention among adults aged 17 and above in Luton who are living with or at risk of Type 2 diabetes. The group proposal was addressing a well-defined local issue, namely, the fact that the rate of diabetes in Luton was higher than the national one, and the disjointed services, insufficient prevention, and broader social determinants of health were affecting the poor performance.</w:t>
      </w:r>
    </w:p>
    <w:p w14:paraId="538DF6E5"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I was familiar with partnership work in a general sense before going to this study, but I was not aware of the extent to which integrated care can be viewed as a demanding and multi-layered undertaking. This assignment helped me to understand that a successful integration is not merely a matter of a number of organisations being engaged in the same service. It involves shared vision, defined roles, strategic leadership, effective communication, multidisciplinary collaboration, digital coordination, and the person-centred philosophy, where the service user is central to the planning and delivery process (World Health Organization, 2016; Goodwin, 2016). This learning mattered to me given that it transformed my perception of care to an approach that was predominantly service-based to a systems-based approach.</w:t>
      </w:r>
    </w:p>
    <w:p w14:paraId="08458789"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The brief required the report to be organized under the headings of Context, Input, Process and Product, which it does. In each part, I consider what I learnt, how my perception of the topic shifted, what difficulties came to my attention, and how this experience will impact my practice in the future. Instead of merely reporting the group task, I will be critical in assessing its applicability to integrated health and social care and my personal growth.</w:t>
      </w:r>
    </w:p>
    <w:p w14:paraId="6E6D4C29"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Context</w:t>
      </w:r>
    </w:p>
    <w:p w14:paraId="720FC657"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Among the key lessons that I have learned during this assignment was that in the process of successful service integration I need to start with a solid grasp of local need. In the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case study, the population of interest consisted of adults aged 17 and over and living in Luton and at risk of or living with Type 2 diabetes. The group work found that the local diabetes prevalence had risen to 9.6, against the national average of 7.5 and also cited associated issues like obesity, sedentary living, deprivation and poor prevention programmes. Such information allowed me to realize that diabetes in Luton is not an isolated medical problem. It is as well a broader public health and social care issue.</w:t>
      </w:r>
    </w:p>
    <w:p w14:paraId="6238E4C6"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Considering this, I realised that knowing more about context in health and social care is not just about statistics. It also involves having an insight into why a condition is more prevalent in a given population and local factors that complicate prevention and management. The problem, in this instance, was associated with both clinical care and social factors, including </w:t>
      </w:r>
      <w:r w:rsidRPr="00EC4C1C">
        <w:rPr>
          <w:rFonts w:ascii="Times New Roman" w:eastAsia="Times New Roman" w:hAnsi="Times New Roman" w:cs="Times New Roman"/>
          <w:sz w:val="24"/>
          <w:szCs w:val="24"/>
          <w:lang w:eastAsia="en-GB"/>
        </w:rPr>
        <w:lastRenderedPageBreak/>
        <w:t xml:space="preserve">housing, economic stress, lifestyle, and community support access (Gunter et al., 2023; Chen, </w:t>
      </w:r>
      <w:proofErr w:type="spellStart"/>
      <w:r w:rsidRPr="00EC4C1C">
        <w:rPr>
          <w:rFonts w:ascii="Times New Roman" w:eastAsia="Times New Roman" w:hAnsi="Times New Roman" w:cs="Times New Roman"/>
          <w:sz w:val="24"/>
          <w:szCs w:val="24"/>
          <w:lang w:eastAsia="en-GB"/>
        </w:rPr>
        <w:t>Su</w:t>
      </w:r>
      <w:proofErr w:type="spellEnd"/>
      <w:r w:rsidRPr="00EC4C1C">
        <w:rPr>
          <w:rFonts w:ascii="Times New Roman" w:eastAsia="Times New Roman" w:hAnsi="Times New Roman" w:cs="Times New Roman"/>
          <w:sz w:val="24"/>
          <w:szCs w:val="24"/>
          <w:lang w:eastAsia="en-GB"/>
        </w:rPr>
        <w:t xml:space="preserve"> and Liu, 2024). This was a significant revelation to me as it revealed that integrated care is required when the health needs of a person are influenced by a combination of systems simultaneously.</w:t>
      </w:r>
    </w:p>
    <w:p w14:paraId="3BAD72CC"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I also discovered that finding context implies finding opportunities not just problems.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model suggested a one-stop, community-based model that enables inhabitants to obtain glucose monitoring, housing recommendations, lifestyle assistance, social prescribing, and integrated professional advocacy within a single location. This assisted me in learning how service integration can enhance service-user experience. When the organisation of care is </w:t>
      </w:r>
      <w:proofErr w:type="spellStart"/>
      <w:r w:rsidRPr="00EC4C1C">
        <w:rPr>
          <w:rFonts w:ascii="Times New Roman" w:eastAsia="Times New Roman" w:hAnsi="Times New Roman" w:cs="Times New Roman"/>
          <w:sz w:val="24"/>
          <w:szCs w:val="24"/>
          <w:lang w:eastAsia="en-GB"/>
        </w:rPr>
        <w:t>centered</w:t>
      </w:r>
      <w:proofErr w:type="spellEnd"/>
      <w:r w:rsidRPr="00EC4C1C">
        <w:rPr>
          <w:rFonts w:ascii="Times New Roman" w:eastAsia="Times New Roman" w:hAnsi="Times New Roman" w:cs="Times New Roman"/>
          <w:sz w:val="24"/>
          <w:szCs w:val="24"/>
          <w:lang w:eastAsia="en-GB"/>
        </w:rPr>
        <w:t xml:space="preserve"> on the person rather than on distinct organisations, the service will be more accessible and possibly effective. This is in line with the concept of integrated, people-centred, health services, which focuses on co-ordination based on individual and community need, but not on professional or institutional lines (World Health Organization, 2016).</w:t>
      </w:r>
    </w:p>
    <w:p w14:paraId="0819C10C"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Value of having clear aims and objectives was another area of learning. In our group work, the objectives suggested were to decrease the disparity between the prevalence of diabetes in the country and nationally, enhance holistic care plans, enhance early intervention, and implement a common digital records system to avoid fragmentation. Considering this, I realized that integrated care cannot work by mere cloudy ambition. It must have quantifiable and attainable objectives. This is significant since when there are no clear objectives, it becomes hard to determine whether partnership working is making any tangible difference.</w:t>
      </w:r>
    </w:p>
    <w:p w14:paraId="5F0FA108"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On the whole, the context section helped me to learn how integrated services should commence. They have to be constructed on the basis of need evidence, local inequality, and feasible opportunities of improvement. Next time I will be more attentive to the fact that I should not think only about the service that a person needs, but also about the broader context that influences their wellbeing and health.</w:t>
      </w:r>
    </w:p>
    <w:p w14:paraId="75A1882B"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Input</w:t>
      </w:r>
    </w:p>
    <w:p w14:paraId="50F1D8C6"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The input section enriched my insights into what it takes to be able to integrate. The first key learning to me was that I needed to find the right partners. The primary care, Luton Borough Council public health and adult social care, the Bedfordshire, Luton and Milton Keynes Integrated Care Board and the community organisations of Active Luton and the voluntary sector were the key partners in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These partners were considered since they dealt with a different aspect of the diabetes pathway: diagnosis and treatment, social determinants of health, strategic planning and finance, and community engagement.</w:t>
      </w:r>
    </w:p>
    <w:p w14:paraId="69160735"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This made me realize that collaboration in principle is not the only thing in partnership working. It is concerned with intentional partnership with organisations that contribute different, yet complementary inputs. I learnt that the integrated care may easily get lost or become ineffective when the roles are not defined. In comparison, coordinated working is more feasible and more lasting when partners know what they need to do (</w:t>
      </w:r>
      <w:proofErr w:type="spellStart"/>
      <w:r w:rsidRPr="00EC4C1C">
        <w:rPr>
          <w:rFonts w:ascii="Times New Roman" w:eastAsia="Times New Roman" w:hAnsi="Times New Roman" w:cs="Times New Roman"/>
          <w:sz w:val="24"/>
          <w:szCs w:val="24"/>
          <w:lang w:eastAsia="en-GB"/>
        </w:rPr>
        <w:t>Liapi</w:t>
      </w:r>
      <w:proofErr w:type="spellEnd"/>
      <w:r w:rsidRPr="00EC4C1C">
        <w:rPr>
          <w:rFonts w:ascii="Times New Roman" w:eastAsia="Times New Roman" w:hAnsi="Times New Roman" w:cs="Times New Roman"/>
          <w:sz w:val="24"/>
          <w:szCs w:val="24"/>
          <w:lang w:eastAsia="en-GB"/>
        </w:rPr>
        <w:t xml:space="preserve"> et al., 2025; Khatri et al., 2023). The point is significant to my future practice as it demonstrates that any professional cooperation should not be presumed but designed.</w:t>
      </w:r>
    </w:p>
    <w:p w14:paraId="0D1F6FF2"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The other important learning was the importance of policy and legislation. The group work has connected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with the NHS Long Term Plan, Integrated Care Systems </w:t>
      </w:r>
      <w:r w:rsidRPr="00EC4C1C">
        <w:rPr>
          <w:rFonts w:ascii="Times New Roman" w:eastAsia="Times New Roman" w:hAnsi="Times New Roman" w:cs="Times New Roman"/>
          <w:sz w:val="24"/>
          <w:szCs w:val="24"/>
          <w:lang w:eastAsia="en-GB"/>
        </w:rPr>
        <w:lastRenderedPageBreak/>
        <w:t>guidance, and Health and Care Act 2022, which promotes collaborative and preventive health and social care (NHS England, 2019; NHS England, 2022; Legislation, 2025). This made me realize that integration is not just a local taste. It forms part of the broader strategic direction of health and care system in England. Nevertheless, I also realized that the national policy is not a guarantee of local success. Policy establishes a framework, but it is leadership, implementation, and resource allocation that makes the difference between whether or not integrated care can be practiced.</w:t>
      </w:r>
    </w:p>
    <w:p w14:paraId="0A165BC7"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My thinking was also changed in the section on resources. Prior to doing this work, I primarily thought of resources in the context of finance. This assignment helped me to understand that the workforce, digital systems, physical community space, educational material, data infrastructure, and the time required to jointly plan and coordinate cases constitute resources. The group proposal involved GPs, nurses in diabetes specialty, endocrinologists, podiatrists, pharmacists, dietitians, social workers, public health practitioners, and wellbeing officers, indicating that the multidisciplinary approach to diabetes care requires a wide group. This has led me to learn that integration is costly and that person-centred care needs to be practically invested in, not just goodwill.</w:t>
      </w:r>
    </w:p>
    <w:p w14:paraId="16CB9200"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The obstacles that were revealed in our group work were particularly critical to my critical concept. These were organisational silos, lack of workforce, financial constraints, and GDPR/data-sharing issues. Considering these obstacles, I learned that service integration may not be successful not due to weak idea, but due to the challenging conditions of operations. Various organisations might possess different priorities or cultures, systems, and degrees of preparedness. This made me understand that tension and complexity must be actively managed when it comes to integrated care.</w:t>
      </w:r>
    </w:p>
    <w:p w14:paraId="1AACC007"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Meanwhile, I also came to know that it is important to think about alternatives and solutions. The shared care planning, digital information systems, annual review, patient feedback, and gradual implementation over a few years were suggested by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To elaborate, I believe that further solutions would involve training the staff about collaborative practice, effective inter-agency governance, enhanced community outreach to underserved populations, and regular multidisciplinary review meetings. I found this reflection helpful, as it helped me remember that critical thinking in health and social care must go beyond problem identification to come up with realistic improvement strategies.</w:t>
      </w:r>
    </w:p>
    <w:p w14:paraId="704F7E98"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Altogether, the input section allowed me to comprehend that the integrated care relies on the close coordination of partners, policies, resources, barriers, and solutions. I now view input as the practical basis, which enables person-centred and coordinated care to be realised.</w:t>
      </w:r>
    </w:p>
    <w:p w14:paraId="34B873F2"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Process</w:t>
      </w:r>
    </w:p>
    <w:p w14:paraId="2344E5F4"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One of the most significant sections of this reflection was the process section as it enabled me to relate academic group work with professional teamwork in health and social care. To complete the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task, there had to be a discussion, planning, cooperation, and a common goal. I discovered that this reflected the reality of working in multidisciplinary settings whereby people possess varying knowledge, however results of the work are determined by how well they work together.</w:t>
      </w:r>
    </w:p>
    <w:p w14:paraId="25368FB8"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lastRenderedPageBreak/>
        <w:t>Through this experience, I have learned that teamwork can be not only rewarding, but also challenging. This was an advantage since collaborating with other people enabled us to share ideas and generate a more comprehensive and lifelike service model than I would have done individually. The various members brought in various strengths and this made the end product more comprehensive. Simultaneously, I came to understand that teamwork should be patient, adaptable, and effective in communication. Members of the group do not have to work at the same pace or to contribute ideas in the same manner. This made me realize that teamwork does not only entail sharing responsibilities. It is also concerned with relationship management, uncertainty resolution, and ensuring that the focus is on the common goal.</w:t>
      </w:r>
    </w:p>
    <w:p w14:paraId="393443A9"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Writing about myself, I realized better how I can play my role in a team. I participated in the process of service model development, in the concept of organising diabetes care around the individual, and not around distinct systems. With the help of it, I enhanced my knowledge of person-centred practice and the necessity of connecting clinical support with the social and community-based contribution (World Health Organization, 2016; Chen, </w:t>
      </w:r>
      <w:proofErr w:type="spellStart"/>
      <w:r w:rsidRPr="00EC4C1C">
        <w:rPr>
          <w:rFonts w:ascii="Times New Roman" w:eastAsia="Times New Roman" w:hAnsi="Times New Roman" w:cs="Times New Roman"/>
          <w:sz w:val="24"/>
          <w:szCs w:val="24"/>
          <w:lang w:eastAsia="en-GB"/>
        </w:rPr>
        <w:t>Su</w:t>
      </w:r>
      <w:proofErr w:type="spellEnd"/>
      <w:r w:rsidRPr="00EC4C1C">
        <w:rPr>
          <w:rFonts w:ascii="Times New Roman" w:eastAsia="Times New Roman" w:hAnsi="Times New Roman" w:cs="Times New Roman"/>
          <w:sz w:val="24"/>
          <w:szCs w:val="24"/>
          <w:lang w:eastAsia="en-GB"/>
        </w:rPr>
        <w:t xml:space="preserve"> and Liu, 2024). I also identified the ways in which I could improve as a person, particularly in articulating critical academic thoughts more assertively and in demonstrating more assessment instead of description. This self-awareness is significant, as the reflective practice involves both being truthful regarding strengths and weaknesses.</w:t>
      </w:r>
    </w:p>
    <w:p w14:paraId="25147E9E"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Accountability was the other significant learning during the process. Various partners have to perform their roles in an integrated care in a transparent way in order to ensure that the service works. I found a similarity in group work, where the quality of the completed product was based on the ability of the members to meet the deadlines and do their work. This made me realize that teamwork responsibility is a personal and a collective one. I would use this in future professional practice by communicating earlier, being more explicit about expectations, and making frequent progress checks instead of making assumptions that everyone understands.</w:t>
      </w:r>
    </w:p>
    <w:p w14:paraId="1E4A2D2C"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Interpersonal competencies were also important in the process. Integrated care does not have communication, active listening, adaptability, respectful contribution of others as optional extras. They constitute fundamental professional needs (NHS England, 2022). This assignment taught me that a well-designed service model will not work well, unless the professionals working on it collaborate effectively. This has helped me to be more conscious that integration is more about relationships than it is about structure.</w:t>
      </w:r>
    </w:p>
    <w:p w14:paraId="1EB3A630"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In general, this work completion process allowed me to realize that partnership working is not a policy concept only. It is an experience practice that relies on trust, communication, accountability and cross-boundary willingness to work. This understanding will be very applicable in my future practice of health and social care.</w:t>
      </w:r>
    </w:p>
    <w:p w14:paraId="6CFB3190"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Product</w:t>
      </w:r>
    </w:p>
    <w:p w14:paraId="7BA94F01"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Considering the final product, I think that the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model succeeded in a number of key aspects. It focused on a real local health issue, had a definite target audience, connected the model with the existing policy, engaged the relevant partners, and suggested a tri-sector model that integrates healthcare, social care, and the input of the voluntary sector. It also contained a multidisciplinary framework, joint digital records, prevention initiatives, yearly </w:t>
      </w:r>
      <w:r w:rsidRPr="00EC4C1C">
        <w:rPr>
          <w:rFonts w:ascii="Times New Roman" w:eastAsia="Times New Roman" w:hAnsi="Times New Roman" w:cs="Times New Roman"/>
          <w:sz w:val="24"/>
          <w:szCs w:val="24"/>
          <w:lang w:eastAsia="en-GB"/>
        </w:rPr>
        <w:lastRenderedPageBreak/>
        <w:t>evaluation, and patient feedback systems. These aspects rendered the product consistent and demonstrated that our team had taken the concepts of service integration seriously.</w:t>
      </w:r>
    </w:p>
    <w:p w14:paraId="2948D692"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But to be able to be critical at Level 7, it is also necessary to look at what might have been more powerful. The model was person-centred in purpose but I believe that the end product could have been more explicit about service-user voice. It could have been more convincing had it elaborate how individuals with diabetes in LU4 would be engaged in co-design, continuous feedback, and service review. This is important since truly integrated care should not just plan the services to be offered to people, but also engage people in planning the services (World Health Organization, 2016).</w:t>
      </w:r>
    </w:p>
    <w:p w14:paraId="6A5C6698"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The second weakness was that we had recognized the barriers to implementation, but we could have delved deeper into mitigation. The issue of workforce deficits, difficulties in sharing data and financial limitations were evidently recognised, yet more critical thinking would have involved how to deal with organisational resistance, how to safeguard the wellbeing of staff in the course of change, and how to assess the long-term consequences in a more systematic manner. The consideration of this has made me realize that a good service proposal must not just be the one with a vision, but also implementation thinking.</w:t>
      </w:r>
    </w:p>
    <w:p w14:paraId="75D8C0F6"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The product also assisted me to determine the competencies required in integrated care. Our team practice encouraged team-oriented decision-making, communication, cultural competence, and strategic planning. Considering more, I would include leadership, empathy, digital literacy, problem-solving, and reflective practice. This learning is significant as it has demonstrated to me that integrated care professionals need to be capable of operating in organisational and disciplinary boundaries whilst being heavily focused on the overall journey of the service user.</w:t>
      </w:r>
    </w:p>
    <w:p w14:paraId="176FA537"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The most important thing that I learned after assessing the product was, maybe, my reformed perception of quality. I have now understood that quality in health and social care is not just about the ability of individual professionals. It is also the extent to which services relate around the individual. Even quality individual practice may be disrupted by fragmentation. Integrated care must, therefore, be evaluated based on the criteria of enhancing continuity, decreasing inequality, and experiencing better outcomes and experiences overtime (Goodwin, 2016).</w:t>
      </w:r>
    </w:p>
    <w:p w14:paraId="3121EE99"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This learning will be incorporated into my practice in the future, influencing my approach to care planning and collaboration. I will consider service-user need in a more holistic way considering both health and social factors. I will appreciate more multidisciplinary collaboration, and I will be more attentive to the impacts of policies, digital systems, and leadership on daily practice. Above all, I will strive to make a contribution to services that will de-fragment and facilitate joined-up care.</w:t>
      </w:r>
    </w:p>
    <w:p w14:paraId="7DCB1F39" w14:textId="77777777" w:rsidR="00EC4C1C" w:rsidRPr="00EC4C1C" w:rsidRDefault="00EC4C1C" w:rsidP="00EC4C1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EC4C1C">
        <w:rPr>
          <w:rFonts w:ascii="Times New Roman" w:eastAsia="Times New Roman" w:hAnsi="Times New Roman" w:cs="Times New Roman"/>
          <w:b/>
          <w:bCs/>
          <w:sz w:val="36"/>
          <w:szCs w:val="36"/>
          <w:lang w:eastAsia="en-GB"/>
        </w:rPr>
        <w:t>Conclusion</w:t>
      </w:r>
    </w:p>
    <w:p w14:paraId="7479BE06"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In summary, the </w:t>
      </w:r>
      <w:proofErr w:type="spellStart"/>
      <w:r w:rsidRPr="00EC4C1C">
        <w:rPr>
          <w:rFonts w:ascii="Times New Roman" w:eastAsia="Times New Roman" w:hAnsi="Times New Roman" w:cs="Times New Roman"/>
          <w:sz w:val="24"/>
          <w:szCs w:val="24"/>
          <w:lang w:eastAsia="en-GB"/>
        </w:rPr>
        <w:t>DiaWell</w:t>
      </w:r>
      <w:proofErr w:type="spellEnd"/>
      <w:r w:rsidRPr="00EC4C1C">
        <w:rPr>
          <w:rFonts w:ascii="Times New Roman" w:eastAsia="Times New Roman" w:hAnsi="Times New Roman" w:cs="Times New Roman"/>
          <w:sz w:val="24"/>
          <w:szCs w:val="24"/>
          <w:lang w:eastAsia="en-GB"/>
        </w:rPr>
        <w:t xml:space="preserve"> LU4 group task has demonstrated how my perspectives on service integration and partnership working have evolved because of the given task. I studied that integrated care has to start with a clear understanding of population need and has to address both clinical and social determinants of health. The Luton diabetes situation has illustrated </w:t>
      </w:r>
      <w:r w:rsidRPr="00EC4C1C">
        <w:rPr>
          <w:rFonts w:ascii="Times New Roman" w:eastAsia="Times New Roman" w:hAnsi="Times New Roman" w:cs="Times New Roman"/>
          <w:sz w:val="24"/>
          <w:szCs w:val="24"/>
          <w:lang w:eastAsia="en-GB"/>
        </w:rPr>
        <w:lastRenderedPageBreak/>
        <w:t xml:space="preserve">the inadequacy of fragmented services in the </w:t>
      </w:r>
      <w:proofErr w:type="gramStart"/>
      <w:r w:rsidRPr="00EC4C1C">
        <w:rPr>
          <w:rFonts w:ascii="Times New Roman" w:eastAsia="Times New Roman" w:hAnsi="Times New Roman" w:cs="Times New Roman"/>
          <w:sz w:val="24"/>
          <w:szCs w:val="24"/>
          <w:lang w:eastAsia="en-GB"/>
        </w:rPr>
        <w:t>long term</w:t>
      </w:r>
      <w:proofErr w:type="gramEnd"/>
      <w:r w:rsidRPr="00EC4C1C">
        <w:rPr>
          <w:rFonts w:ascii="Times New Roman" w:eastAsia="Times New Roman" w:hAnsi="Times New Roman" w:cs="Times New Roman"/>
          <w:sz w:val="24"/>
          <w:szCs w:val="24"/>
          <w:lang w:eastAsia="en-GB"/>
        </w:rPr>
        <w:t xml:space="preserve"> conditions like Type 2 diabetes and the need to create coordinated community-based responses.</w:t>
      </w:r>
    </w:p>
    <w:p w14:paraId="7D7BD0CE"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I also came to know that effective integration requires effective input such as; the right partners, the good policy, adequate resources, good leadership and realistic solutions to problems. In the process of group work I was able to appreciate more the values of communication, accountability, teamwork and reflective </w:t>
      </w:r>
      <w:proofErr w:type="spellStart"/>
      <w:r w:rsidRPr="00EC4C1C">
        <w:rPr>
          <w:rFonts w:ascii="Times New Roman" w:eastAsia="Times New Roman" w:hAnsi="Times New Roman" w:cs="Times New Roman"/>
          <w:sz w:val="24"/>
          <w:szCs w:val="24"/>
          <w:lang w:eastAsia="en-GB"/>
        </w:rPr>
        <w:t>self awareness</w:t>
      </w:r>
      <w:proofErr w:type="spellEnd"/>
      <w:r w:rsidRPr="00EC4C1C">
        <w:rPr>
          <w:rFonts w:ascii="Times New Roman" w:eastAsia="Times New Roman" w:hAnsi="Times New Roman" w:cs="Times New Roman"/>
          <w:sz w:val="24"/>
          <w:szCs w:val="24"/>
          <w:lang w:eastAsia="en-GB"/>
        </w:rPr>
        <w:t>. By assessing the product, I found the competencies required to practice integrated care, such as collaboration, cultural competence, strategic thinking, and person-centred practice.</w:t>
      </w:r>
    </w:p>
    <w:p w14:paraId="12066CF2" w14:textId="1095B8C5" w:rsid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Most significantly, this learning has enabled me to know that service integration is structural and relational. It relies on systems, governance and digital coordination, yet trust, communication and purpose. I will use this learning in my practice in the future by working more as a holistic practitioner, investing in multidisciplinary collaboration, and understanding that more results are often realised when services are coordinated as systems and not as disjointed components.</w:t>
      </w:r>
    </w:p>
    <w:p w14:paraId="3D23E71D"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5B36A9E3"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038E6D4D"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4E6F60A8"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0FAFE299"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080D14D1"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69E37A73"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08B454DD"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6D9112F0"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4D53C702"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6E678084"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68C5E270"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55402C2B"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7565C5E7"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559AFBE9"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7919D305"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091C04B6" w14:textId="77777777" w:rsid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
    <w:p w14:paraId="5ADE1CA8" w14:textId="6EC14FB7" w:rsidR="00EC4C1C" w:rsidRPr="00EC4C1C" w:rsidRDefault="00EC4C1C" w:rsidP="00EC4C1C">
      <w:pPr>
        <w:spacing w:before="100" w:beforeAutospacing="1" w:after="100" w:afterAutospacing="1" w:line="240" w:lineRule="auto"/>
        <w:rPr>
          <w:rFonts w:ascii="Times New Roman" w:eastAsia="Times New Roman" w:hAnsi="Times New Roman" w:cs="Times New Roman"/>
          <w:b/>
          <w:bCs/>
          <w:sz w:val="24"/>
          <w:szCs w:val="24"/>
          <w:lang w:eastAsia="en-GB"/>
        </w:rPr>
      </w:pPr>
      <w:proofErr w:type="gramStart"/>
      <w:r w:rsidRPr="00EC4C1C">
        <w:rPr>
          <w:rFonts w:ascii="Times New Roman" w:eastAsia="Times New Roman" w:hAnsi="Times New Roman" w:cs="Times New Roman"/>
          <w:b/>
          <w:bCs/>
          <w:sz w:val="24"/>
          <w:szCs w:val="24"/>
          <w:lang w:eastAsia="en-GB"/>
        </w:rPr>
        <w:lastRenderedPageBreak/>
        <w:t>Reference</w:t>
      </w:r>
      <w:r>
        <w:rPr>
          <w:rFonts w:ascii="Times New Roman" w:eastAsia="Times New Roman" w:hAnsi="Times New Roman" w:cs="Times New Roman"/>
          <w:b/>
          <w:bCs/>
          <w:sz w:val="24"/>
          <w:szCs w:val="24"/>
          <w:lang w:eastAsia="en-GB"/>
        </w:rPr>
        <w:t>:-</w:t>
      </w:r>
      <w:proofErr w:type="gramEnd"/>
    </w:p>
    <w:p w14:paraId="05CC9C84"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Bedfordshire, Luton and Milton Keynes Integrated Care Board (2024) </w:t>
      </w:r>
      <w:r w:rsidRPr="00EC4C1C">
        <w:rPr>
          <w:rFonts w:ascii="Times New Roman" w:eastAsia="Times New Roman" w:hAnsi="Times New Roman" w:cs="Times New Roman"/>
          <w:i/>
          <w:iCs/>
          <w:sz w:val="24"/>
          <w:szCs w:val="24"/>
          <w:lang w:eastAsia="en-GB"/>
        </w:rPr>
        <w:t>About the ICB</w:t>
      </w:r>
      <w:r w:rsidRPr="00EC4C1C">
        <w:rPr>
          <w:rFonts w:ascii="Times New Roman" w:eastAsia="Times New Roman" w:hAnsi="Times New Roman" w:cs="Times New Roman"/>
          <w:sz w:val="24"/>
          <w:szCs w:val="24"/>
          <w:lang w:eastAsia="en-GB"/>
        </w:rPr>
        <w:t>.</w:t>
      </w:r>
    </w:p>
    <w:p w14:paraId="159D2B2E"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Chen, T.T., </w:t>
      </w:r>
      <w:proofErr w:type="spellStart"/>
      <w:r w:rsidRPr="00EC4C1C">
        <w:rPr>
          <w:rFonts w:ascii="Times New Roman" w:eastAsia="Times New Roman" w:hAnsi="Times New Roman" w:cs="Times New Roman"/>
          <w:sz w:val="24"/>
          <w:szCs w:val="24"/>
          <w:lang w:eastAsia="en-GB"/>
        </w:rPr>
        <w:t>Su</w:t>
      </w:r>
      <w:proofErr w:type="spellEnd"/>
      <w:r w:rsidRPr="00EC4C1C">
        <w:rPr>
          <w:rFonts w:ascii="Times New Roman" w:eastAsia="Times New Roman" w:hAnsi="Times New Roman" w:cs="Times New Roman"/>
          <w:sz w:val="24"/>
          <w:szCs w:val="24"/>
          <w:lang w:eastAsia="en-GB"/>
        </w:rPr>
        <w:t>, W.C. and Liu, M.I. (2024) ‘Patient-</w:t>
      </w:r>
      <w:proofErr w:type="spellStart"/>
      <w:r w:rsidRPr="00EC4C1C">
        <w:rPr>
          <w:rFonts w:ascii="Times New Roman" w:eastAsia="Times New Roman" w:hAnsi="Times New Roman" w:cs="Times New Roman"/>
          <w:sz w:val="24"/>
          <w:szCs w:val="24"/>
          <w:lang w:eastAsia="en-GB"/>
        </w:rPr>
        <w:t>centered</w:t>
      </w:r>
      <w:proofErr w:type="spellEnd"/>
      <w:r w:rsidRPr="00EC4C1C">
        <w:rPr>
          <w:rFonts w:ascii="Times New Roman" w:eastAsia="Times New Roman" w:hAnsi="Times New Roman" w:cs="Times New Roman"/>
          <w:sz w:val="24"/>
          <w:szCs w:val="24"/>
          <w:lang w:eastAsia="en-GB"/>
        </w:rPr>
        <w:t xml:space="preserve"> care in diabetes care-concepts, relationships and practice’, </w:t>
      </w:r>
      <w:r w:rsidRPr="00EC4C1C">
        <w:rPr>
          <w:rFonts w:ascii="Times New Roman" w:eastAsia="Times New Roman" w:hAnsi="Times New Roman" w:cs="Times New Roman"/>
          <w:i/>
          <w:iCs/>
          <w:sz w:val="24"/>
          <w:szCs w:val="24"/>
          <w:lang w:eastAsia="en-GB"/>
        </w:rPr>
        <w:t>World Journal of Diabetes</w:t>
      </w:r>
      <w:r w:rsidRPr="00EC4C1C">
        <w:rPr>
          <w:rFonts w:ascii="Times New Roman" w:eastAsia="Times New Roman" w:hAnsi="Times New Roman" w:cs="Times New Roman"/>
          <w:sz w:val="24"/>
          <w:szCs w:val="24"/>
          <w:lang w:eastAsia="en-GB"/>
        </w:rPr>
        <w:t>, 15(7), p. 1417.</w:t>
      </w:r>
    </w:p>
    <w:p w14:paraId="498E322B"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Diabetes UK (2023) </w:t>
      </w:r>
      <w:r w:rsidRPr="00EC4C1C">
        <w:rPr>
          <w:rFonts w:ascii="Times New Roman" w:eastAsia="Times New Roman" w:hAnsi="Times New Roman" w:cs="Times New Roman"/>
          <w:i/>
          <w:iCs/>
          <w:sz w:val="24"/>
          <w:szCs w:val="24"/>
          <w:lang w:eastAsia="en-GB"/>
        </w:rPr>
        <w:t>How many people in the UK have diabetes?</w:t>
      </w:r>
    </w:p>
    <w:p w14:paraId="6F2766C6"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Goodwin, N. (2016) </w:t>
      </w:r>
      <w:r w:rsidRPr="00EC4C1C">
        <w:rPr>
          <w:rFonts w:ascii="Times New Roman" w:eastAsia="Times New Roman" w:hAnsi="Times New Roman" w:cs="Times New Roman"/>
          <w:i/>
          <w:iCs/>
          <w:sz w:val="24"/>
          <w:szCs w:val="24"/>
          <w:lang w:eastAsia="en-GB"/>
        </w:rPr>
        <w:t>Understanding integrated care: a complex process, a fundamental principle</w:t>
      </w:r>
      <w:r w:rsidRPr="00EC4C1C">
        <w:rPr>
          <w:rFonts w:ascii="Times New Roman" w:eastAsia="Times New Roman" w:hAnsi="Times New Roman" w:cs="Times New Roman"/>
          <w:sz w:val="24"/>
          <w:szCs w:val="24"/>
          <w:lang w:eastAsia="en-GB"/>
        </w:rPr>
        <w:t>.</w:t>
      </w:r>
    </w:p>
    <w:p w14:paraId="559E9AE3"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Gunter, K.E., </w:t>
      </w:r>
      <w:proofErr w:type="spellStart"/>
      <w:r w:rsidRPr="00EC4C1C">
        <w:rPr>
          <w:rFonts w:ascii="Times New Roman" w:eastAsia="Times New Roman" w:hAnsi="Times New Roman" w:cs="Times New Roman"/>
          <w:sz w:val="24"/>
          <w:szCs w:val="24"/>
          <w:lang w:eastAsia="en-GB"/>
        </w:rPr>
        <w:t>Tanumihardjo</w:t>
      </w:r>
      <w:proofErr w:type="spellEnd"/>
      <w:r w:rsidRPr="00EC4C1C">
        <w:rPr>
          <w:rFonts w:ascii="Times New Roman" w:eastAsia="Times New Roman" w:hAnsi="Times New Roman" w:cs="Times New Roman"/>
          <w:sz w:val="24"/>
          <w:szCs w:val="24"/>
          <w:lang w:eastAsia="en-GB"/>
        </w:rPr>
        <w:t xml:space="preserve">, J.P., O’Neal, Y., Peek, M.E. and Chin, M.H. (2023) ‘Integrated interventions to bridge medical and social care for people living with diabetes’, </w:t>
      </w:r>
      <w:r w:rsidRPr="00EC4C1C">
        <w:rPr>
          <w:rFonts w:ascii="Times New Roman" w:eastAsia="Times New Roman" w:hAnsi="Times New Roman" w:cs="Times New Roman"/>
          <w:i/>
          <w:iCs/>
          <w:sz w:val="24"/>
          <w:szCs w:val="24"/>
          <w:lang w:eastAsia="en-GB"/>
        </w:rPr>
        <w:t>Journal of General Internal Medicine</w:t>
      </w:r>
      <w:r w:rsidRPr="00EC4C1C">
        <w:rPr>
          <w:rFonts w:ascii="Times New Roman" w:eastAsia="Times New Roman" w:hAnsi="Times New Roman" w:cs="Times New Roman"/>
          <w:sz w:val="24"/>
          <w:szCs w:val="24"/>
          <w:lang w:eastAsia="en-GB"/>
        </w:rPr>
        <w:t>, 38(</w:t>
      </w:r>
      <w:proofErr w:type="spellStart"/>
      <w:r w:rsidRPr="00EC4C1C">
        <w:rPr>
          <w:rFonts w:ascii="Times New Roman" w:eastAsia="Times New Roman" w:hAnsi="Times New Roman" w:cs="Times New Roman"/>
          <w:sz w:val="24"/>
          <w:szCs w:val="24"/>
          <w:lang w:eastAsia="en-GB"/>
        </w:rPr>
        <w:t>Suppl</w:t>
      </w:r>
      <w:proofErr w:type="spellEnd"/>
      <w:r w:rsidRPr="00EC4C1C">
        <w:rPr>
          <w:rFonts w:ascii="Times New Roman" w:eastAsia="Times New Roman" w:hAnsi="Times New Roman" w:cs="Times New Roman"/>
          <w:sz w:val="24"/>
          <w:szCs w:val="24"/>
          <w:lang w:eastAsia="en-GB"/>
        </w:rPr>
        <w:t xml:space="preserve"> 1), pp. 4–10.</w:t>
      </w:r>
    </w:p>
    <w:p w14:paraId="40A8D21A"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Khatri, R., </w:t>
      </w:r>
      <w:proofErr w:type="spellStart"/>
      <w:r w:rsidRPr="00EC4C1C">
        <w:rPr>
          <w:rFonts w:ascii="Times New Roman" w:eastAsia="Times New Roman" w:hAnsi="Times New Roman" w:cs="Times New Roman"/>
          <w:sz w:val="24"/>
          <w:szCs w:val="24"/>
          <w:lang w:eastAsia="en-GB"/>
        </w:rPr>
        <w:t>Endalamaw</w:t>
      </w:r>
      <w:proofErr w:type="spellEnd"/>
      <w:r w:rsidRPr="00EC4C1C">
        <w:rPr>
          <w:rFonts w:ascii="Times New Roman" w:eastAsia="Times New Roman" w:hAnsi="Times New Roman" w:cs="Times New Roman"/>
          <w:sz w:val="24"/>
          <w:szCs w:val="24"/>
          <w:lang w:eastAsia="en-GB"/>
        </w:rPr>
        <w:t xml:space="preserve">, A., </w:t>
      </w:r>
      <w:proofErr w:type="spellStart"/>
      <w:r w:rsidRPr="00EC4C1C">
        <w:rPr>
          <w:rFonts w:ascii="Times New Roman" w:eastAsia="Times New Roman" w:hAnsi="Times New Roman" w:cs="Times New Roman"/>
          <w:sz w:val="24"/>
          <w:szCs w:val="24"/>
          <w:lang w:eastAsia="en-GB"/>
        </w:rPr>
        <w:t>Erku</w:t>
      </w:r>
      <w:proofErr w:type="spellEnd"/>
      <w:r w:rsidRPr="00EC4C1C">
        <w:rPr>
          <w:rFonts w:ascii="Times New Roman" w:eastAsia="Times New Roman" w:hAnsi="Times New Roman" w:cs="Times New Roman"/>
          <w:sz w:val="24"/>
          <w:szCs w:val="24"/>
          <w:lang w:eastAsia="en-GB"/>
        </w:rPr>
        <w:t xml:space="preserve">, D., </w:t>
      </w:r>
      <w:proofErr w:type="spellStart"/>
      <w:r w:rsidRPr="00EC4C1C">
        <w:rPr>
          <w:rFonts w:ascii="Times New Roman" w:eastAsia="Times New Roman" w:hAnsi="Times New Roman" w:cs="Times New Roman"/>
          <w:sz w:val="24"/>
          <w:szCs w:val="24"/>
          <w:lang w:eastAsia="en-GB"/>
        </w:rPr>
        <w:t>Wolka</w:t>
      </w:r>
      <w:proofErr w:type="spellEnd"/>
      <w:r w:rsidRPr="00EC4C1C">
        <w:rPr>
          <w:rFonts w:ascii="Times New Roman" w:eastAsia="Times New Roman" w:hAnsi="Times New Roman" w:cs="Times New Roman"/>
          <w:sz w:val="24"/>
          <w:szCs w:val="24"/>
          <w:lang w:eastAsia="en-GB"/>
        </w:rPr>
        <w:t xml:space="preserve">, E., Nigatu, F., Zewdie, A. and Assefa, Y. (2023) ‘Continuity and care coordination of primary health care: a scoping review’, </w:t>
      </w:r>
      <w:r w:rsidRPr="00EC4C1C">
        <w:rPr>
          <w:rFonts w:ascii="Times New Roman" w:eastAsia="Times New Roman" w:hAnsi="Times New Roman" w:cs="Times New Roman"/>
          <w:i/>
          <w:iCs/>
          <w:sz w:val="24"/>
          <w:szCs w:val="24"/>
          <w:lang w:eastAsia="en-GB"/>
        </w:rPr>
        <w:t>BMC Health Services Research</w:t>
      </w:r>
      <w:r w:rsidRPr="00EC4C1C">
        <w:rPr>
          <w:rFonts w:ascii="Times New Roman" w:eastAsia="Times New Roman" w:hAnsi="Times New Roman" w:cs="Times New Roman"/>
          <w:sz w:val="24"/>
          <w:szCs w:val="24"/>
          <w:lang w:eastAsia="en-GB"/>
        </w:rPr>
        <w:t>, 23(1), p. 750.</w:t>
      </w:r>
    </w:p>
    <w:p w14:paraId="27910EE8"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Legislation (2025) </w:t>
      </w:r>
      <w:r w:rsidRPr="00EC4C1C">
        <w:rPr>
          <w:rFonts w:ascii="Times New Roman" w:eastAsia="Times New Roman" w:hAnsi="Times New Roman" w:cs="Times New Roman"/>
          <w:i/>
          <w:iCs/>
          <w:sz w:val="24"/>
          <w:szCs w:val="24"/>
          <w:lang w:eastAsia="en-GB"/>
        </w:rPr>
        <w:t>Health and Care Act 2022</w:t>
      </w:r>
      <w:r w:rsidRPr="00EC4C1C">
        <w:rPr>
          <w:rFonts w:ascii="Times New Roman" w:eastAsia="Times New Roman" w:hAnsi="Times New Roman" w:cs="Times New Roman"/>
          <w:sz w:val="24"/>
          <w:szCs w:val="24"/>
          <w:lang w:eastAsia="en-GB"/>
        </w:rPr>
        <w:t>.</w:t>
      </w:r>
    </w:p>
    <w:p w14:paraId="02F59D7F"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EC4C1C">
        <w:rPr>
          <w:rFonts w:ascii="Times New Roman" w:eastAsia="Times New Roman" w:hAnsi="Times New Roman" w:cs="Times New Roman"/>
          <w:sz w:val="24"/>
          <w:szCs w:val="24"/>
          <w:lang w:eastAsia="en-GB"/>
        </w:rPr>
        <w:t>Liapi</w:t>
      </w:r>
      <w:proofErr w:type="spellEnd"/>
      <w:r w:rsidRPr="00EC4C1C">
        <w:rPr>
          <w:rFonts w:ascii="Times New Roman" w:eastAsia="Times New Roman" w:hAnsi="Times New Roman" w:cs="Times New Roman"/>
          <w:sz w:val="24"/>
          <w:szCs w:val="24"/>
          <w:lang w:eastAsia="en-GB"/>
        </w:rPr>
        <w:t xml:space="preserve">, F., </w:t>
      </w:r>
      <w:proofErr w:type="spellStart"/>
      <w:r w:rsidRPr="00EC4C1C">
        <w:rPr>
          <w:rFonts w:ascii="Times New Roman" w:eastAsia="Times New Roman" w:hAnsi="Times New Roman" w:cs="Times New Roman"/>
          <w:sz w:val="24"/>
          <w:szCs w:val="24"/>
          <w:lang w:eastAsia="en-GB"/>
        </w:rPr>
        <w:t>Chater</w:t>
      </w:r>
      <w:proofErr w:type="spellEnd"/>
      <w:r w:rsidRPr="00EC4C1C">
        <w:rPr>
          <w:rFonts w:ascii="Times New Roman" w:eastAsia="Times New Roman" w:hAnsi="Times New Roman" w:cs="Times New Roman"/>
          <w:sz w:val="24"/>
          <w:szCs w:val="24"/>
          <w:lang w:eastAsia="en-GB"/>
        </w:rPr>
        <w:t xml:space="preserve">, A.M., Randhawa, G., Stephenson, A. and Pappas, Y. (2025) ‘Factors that influence inter-organisational integration: a qualitative exploration of service providers’ perspectives from an integrated care initiative’, </w:t>
      </w:r>
      <w:r w:rsidRPr="00EC4C1C">
        <w:rPr>
          <w:rFonts w:ascii="Times New Roman" w:eastAsia="Times New Roman" w:hAnsi="Times New Roman" w:cs="Times New Roman"/>
          <w:i/>
          <w:iCs/>
          <w:sz w:val="24"/>
          <w:szCs w:val="24"/>
          <w:lang w:eastAsia="en-GB"/>
        </w:rPr>
        <w:t>BMC Health Services Research</w:t>
      </w:r>
      <w:r w:rsidRPr="00EC4C1C">
        <w:rPr>
          <w:rFonts w:ascii="Times New Roman" w:eastAsia="Times New Roman" w:hAnsi="Times New Roman" w:cs="Times New Roman"/>
          <w:sz w:val="24"/>
          <w:szCs w:val="24"/>
          <w:lang w:eastAsia="en-GB"/>
        </w:rPr>
        <w:t>, 25(1), p. 947.</w:t>
      </w:r>
    </w:p>
    <w:p w14:paraId="23A7C1FE"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Lippman, D., Stump, M., </w:t>
      </w:r>
      <w:proofErr w:type="spellStart"/>
      <w:r w:rsidRPr="00EC4C1C">
        <w:rPr>
          <w:rFonts w:ascii="Times New Roman" w:eastAsia="Times New Roman" w:hAnsi="Times New Roman" w:cs="Times New Roman"/>
          <w:sz w:val="24"/>
          <w:szCs w:val="24"/>
          <w:lang w:eastAsia="en-GB"/>
        </w:rPr>
        <w:t>Veazey</w:t>
      </w:r>
      <w:proofErr w:type="spellEnd"/>
      <w:r w:rsidRPr="00EC4C1C">
        <w:rPr>
          <w:rFonts w:ascii="Times New Roman" w:eastAsia="Times New Roman" w:hAnsi="Times New Roman" w:cs="Times New Roman"/>
          <w:sz w:val="24"/>
          <w:szCs w:val="24"/>
          <w:lang w:eastAsia="en-GB"/>
        </w:rPr>
        <w:t xml:space="preserve">, E., </w:t>
      </w:r>
      <w:proofErr w:type="spellStart"/>
      <w:r w:rsidRPr="00EC4C1C">
        <w:rPr>
          <w:rFonts w:ascii="Times New Roman" w:eastAsia="Times New Roman" w:hAnsi="Times New Roman" w:cs="Times New Roman"/>
          <w:sz w:val="24"/>
          <w:szCs w:val="24"/>
          <w:lang w:eastAsia="en-GB"/>
        </w:rPr>
        <w:t>Guimarães</w:t>
      </w:r>
      <w:proofErr w:type="spellEnd"/>
      <w:r w:rsidRPr="00EC4C1C">
        <w:rPr>
          <w:rFonts w:ascii="Times New Roman" w:eastAsia="Times New Roman" w:hAnsi="Times New Roman" w:cs="Times New Roman"/>
          <w:sz w:val="24"/>
          <w:szCs w:val="24"/>
          <w:lang w:eastAsia="en-GB"/>
        </w:rPr>
        <w:t xml:space="preserve">, S.T., Rosenfeld, R., Kelly, J.H., </w:t>
      </w:r>
      <w:proofErr w:type="spellStart"/>
      <w:r w:rsidRPr="00EC4C1C">
        <w:rPr>
          <w:rFonts w:ascii="Times New Roman" w:eastAsia="Times New Roman" w:hAnsi="Times New Roman" w:cs="Times New Roman"/>
          <w:sz w:val="24"/>
          <w:szCs w:val="24"/>
          <w:lang w:eastAsia="en-GB"/>
        </w:rPr>
        <w:t>Ornish</w:t>
      </w:r>
      <w:proofErr w:type="spellEnd"/>
      <w:r w:rsidRPr="00EC4C1C">
        <w:rPr>
          <w:rFonts w:ascii="Times New Roman" w:eastAsia="Times New Roman" w:hAnsi="Times New Roman" w:cs="Times New Roman"/>
          <w:sz w:val="24"/>
          <w:szCs w:val="24"/>
          <w:lang w:eastAsia="en-GB"/>
        </w:rPr>
        <w:t xml:space="preserve">, D. and Katz, D.L. (2024) ‘Foundations of lifestyle medicine and its evolution’, </w:t>
      </w:r>
      <w:r w:rsidRPr="00EC4C1C">
        <w:rPr>
          <w:rFonts w:ascii="Times New Roman" w:eastAsia="Times New Roman" w:hAnsi="Times New Roman" w:cs="Times New Roman"/>
          <w:i/>
          <w:iCs/>
          <w:sz w:val="24"/>
          <w:szCs w:val="24"/>
          <w:lang w:eastAsia="en-GB"/>
        </w:rPr>
        <w:t>Mayo Clinic Proceedings: Innovations, Quality &amp; Outcomes</w:t>
      </w:r>
      <w:r w:rsidRPr="00EC4C1C">
        <w:rPr>
          <w:rFonts w:ascii="Times New Roman" w:eastAsia="Times New Roman" w:hAnsi="Times New Roman" w:cs="Times New Roman"/>
          <w:sz w:val="24"/>
          <w:szCs w:val="24"/>
          <w:lang w:eastAsia="en-GB"/>
        </w:rPr>
        <w:t>, 8(1), pp. 97–111.</w:t>
      </w:r>
    </w:p>
    <w:p w14:paraId="75C9F13C"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Luton Borough Council (2024) </w:t>
      </w:r>
      <w:r w:rsidRPr="00EC4C1C">
        <w:rPr>
          <w:rFonts w:ascii="Times New Roman" w:eastAsia="Times New Roman" w:hAnsi="Times New Roman" w:cs="Times New Roman"/>
          <w:i/>
          <w:iCs/>
          <w:sz w:val="24"/>
          <w:szCs w:val="24"/>
          <w:lang w:eastAsia="en-GB"/>
        </w:rPr>
        <w:t>Joint Strategic Needs Assessment (JSNA): Health and Wellbeing</w:t>
      </w:r>
      <w:r w:rsidRPr="00EC4C1C">
        <w:rPr>
          <w:rFonts w:ascii="Times New Roman" w:eastAsia="Times New Roman" w:hAnsi="Times New Roman" w:cs="Times New Roman"/>
          <w:sz w:val="24"/>
          <w:szCs w:val="24"/>
          <w:lang w:eastAsia="en-GB"/>
        </w:rPr>
        <w:t>.</w:t>
      </w:r>
    </w:p>
    <w:p w14:paraId="5F3871F9"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NHS England (2019) </w:t>
      </w:r>
      <w:r w:rsidRPr="00EC4C1C">
        <w:rPr>
          <w:rFonts w:ascii="Times New Roman" w:eastAsia="Times New Roman" w:hAnsi="Times New Roman" w:cs="Times New Roman"/>
          <w:i/>
          <w:iCs/>
          <w:sz w:val="24"/>
          <w:szCs w:val="24"/>
          <w:lang w:eastAsia="en-GB"/>
        </w:rPr>
        <w:t>The NHS Long Term Plan</w:t>
      </w:r>
      <w:r w:rsidRPr="00EC4C1C">
        <w:rPr>
          <w:rFonts w:ascii="Times New Roman" w:eastAsia="Times New Roman" w:hAnsi="Times New Roman" w:cs="Times New Roman"/>
          <w:sz w:val="24"/>
          <w:szCs w:val="24"/>
          <w:lang w:eastAsia="en-GB"/>
        </w:rPr>
        <w:t>.</w:t>
      </w:r>
    </w:p>
    <w:p w14:paraId="13793BF2"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NHS England (2022) </w:t>
      </w:r>
      <w:r w:rsidRPr="00EC4C1C">
        <w:rPr>
          <w:rFonts w:ascii="Times New Roman" w:eastAsia="Times New Roman" w:hAnsi="Times New Roman" w:cs="Times New Roman"/>
          <w:i/>
          <w:iCs/>
          <w:sz w:val="24"/>
          <w:szCs w:val="24"/>
          <w:lang w:eastAsia="en-GB"/>
        </w:rPr>
        <w:t>Integrated Care Systems: guidance for partnerships</w:t>
      </w:r>
      <w:r w:rsidRPr="00EC4C1C">
        <w:rPr>
          <w:rFonts w:ascii="Times New Roman" w:eastAsia="Times New Roman" w:hAnsi="Times New Roman" w:cs="Times New Roman"/>
          <w:sz w:val="24"/>
          <w:szCs w:val="24"/>
          <w:lang w:eastAsia="en-GB"/>
        </w:rPr>
        <w:t>.</w:t>
      </w:r>
    </w:p>
    <w:p w14:paraId="2CFD6844" w14:textId="77777777" w:rsidR="00EC4C1C" w:rsidRPr="00EC4C1C" w:rsidRDefault="00EC4C1C" w:rsidP="00EC4C1C">
      <w:pPr>
        <w:spacing w:before="100" w:beforeAutospacing="1" w:after="100" w:afterAutospacing="1" w:line="240" w:lineRule="auto"/>
        <w:rPr>
          <w:rFonts w:ascii="Times New Roman" w:eastAsia="Times New Roman" w:hAnsi="Times New Roman" w:cs="Times New Roman"/>
          <w:sz w:val="24"/>
          <w:szCs w:val="24"/>
          <w:lang w:eastAsia="en-GB"/>
        </w:rPr>
      </w:pPr>
      <w:r w:rsidRPr="00EC4C1C">
        <w:rPr>
          <w:rFonts w:ascii="Times New Roman" w:eastAsia="Times New Roman" w:hAnsi="Times New Roman" w:cs="Times New Roman"/>
          <w:sz w:val="24"/>
          <w:szCs w:val="24"/>
          <w:lang w:eastAsia="en-GB"/>
        </w:rPr>
        <w:t xml:space="preserve">World Health Organization (2016) </w:t>
      </w:r>
      <w:r w:rsidRPr="00EC4C1C">
        <w:rPr>
          <w:rFonts w:ascii="Times New Roman" w:eastAsia="Times New Roman" w:hAnsi="Times New Roman" w:cs="Times New Roman"/>
          <w:i/>
          <w:iCs/>
          <w:sz w:val="24"/>
          <w:szCs w:val="24"/>
          <w:lang w:eastAsia="en-GB"/>
        </w:rPr>
        <w:t>Framework on integrated, people-centred health services</w:t>
      </w:r>
      <w:r w:rsidRPr="00EC4C1C">
        <w:rPr>
          <w:rFonts w:ascii="Times New Roman" w:eastAsia="Times New Roman" w:hAnsi="Times New Roman" w:cs="Times New Roman"/>
          <w:sz w:val="24"/>
          <w:szCs w:val="24"/>
          <w:lang w:eastAsia="en-GB"/>
        </w:rPr>
        <w:t>.</w:t>
      </w:r>
    </w:p>
    <w:p w14:paraId="58A040C8" w14:textId="77777777" w:rsidR="001A464A" w:rsidRDefault="001A464A"/>
    <w:sectPr w:rsidR="001A464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D6BD4" w14:textId="77777777" w:rsidR="005F5B16" w:rsidRDefault="005F5B16" w:rsidP="00EC4C1C">
      <w:pPr>
        <w:spacing w:after="0" w:line="240" w:lineRule="auto"/>
      </w:pPr>
      <w:r>
        <w:separator/>
      </w:r>
    </w:p>
  </w:endnote>
  <w:endnote w:type="continuationSeparator" w:id="0">
    <w:p w14:paraId="2C8F5D1A" w14:textId="77777777" w:rsidR="005F5B16" w:rsidRDefault="005F5B16" w:rsidP="00EC4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535812"/>
      <w:docPartObj>
        <w:docPartGallery w:val="Page Numbers (Bottom of Page)"/>
        <w:docPartUnique/>
      </w:docPartObj>
    </w:sdtPr>
    <w:sdtEndPr>
      <w:rPr>
        <w:noProof/>
      </w:rPr>
    </w:sdtEndPr>
    <w:sdtContent>
      <w:p w14:paraId="44E4C814" w14:textId="02CD296A" w:rsidR="00EC4C1C" w:rsidRDefault="00EC4C1C">
        <w:pPr>
          <w:pStyle w:val="Footer"/>
        </w:pPr>
        <w:r>
          <w:fldChar w:fldCharType="begin"/>
        </w:r>
        <w:r>
          <w:instrText xml:space="preserve"> PAGE   \* MERGEFORMAT </w:instrText>
        </w:r>
        <w:r>
          <w:fldChar w:fldCharType="separate"/>
        </w:r>
        <w:r>
          <w:rPr>
            <w:noProof/>
          </w:rPr>
          <w:t>2</w:t>
        </w:r>
        <w:r>
          <w:rPr>
            <w:noProof/>
          </w:rPr>
          <w:fldChar w:fldCharType="end"/>
        </w:r>
      </w:p>
    </w:sdtContent>
  </w:sdt>
  <w:p w14:paraId="2221CA0F" w14:textId="77777777" w:rsidR="00EC4C1C" w:rsidRDefault="00EC4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3D853" w14:textId="77777777" w:rsidR="005F5B16" w:rsidRDefault="005F5B16" w:rsidP="00EC4C1C">
      <w:pPr>
        <w:spacing w:after="0" w:line="240" w:lineRule="auto"/>
      </w:pPr>
      <w:r>
        <w:separator/>
      </w:r>
    </w:p>
  </w:footnote>
  <w:footnote w:type="continuationSeparator" w:id="0">
    <w:p w14:paraId="7DAEAE04" w14:textId="77777777" w:rsidR="005F5B16" w:rsidRDefault="005F5B16" w:rsidP="00EC4C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1C"/>
    <w:rsid w:val="001A464A"/>
    <w:rsid w:val="005F5B16"/>
    <w:rsid w:val="00C82311"/>
    <w:rsid w:val="00EC4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13F98"/>
  <w15:chartTrackingRefBased/>
  <w15:docId w15:val="{DDE95BCE-A6E1-4D58-9A25-58A637D39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4C1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C4C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4C1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C4C1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C4C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C4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C1C"/>
  </w:style>
  <w:style w:type="paragraph" w:styleId="Footer">
    <w:name w:val="footer"/>
    <w:basedOn w:val="Normal"/>
    <w:link w:val="FooterChar"/>
    <w:uiPriority w:val="99"/>
    <w:unhideWhenUsed/>
    <w:rsid w:val="00EC4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370241">
      <w:bodyDiv w:val="1"/>
      <w:marLeft w:val="0"/>
      <w:marRight w:val="0"/>
      <w:marTop w:val="0"/>
      <w:marBottom w:val="0"/>
      <w:divBdr>
        <w:top w:val="none" w:sz="0" w:space="0" w:color="auto"/>
        <w:left w:val="none" w:sz="0" w:space="0" w:color="auto"/>
        <w:bottom w:val="none" w:sz="0" w:space="0" w:color="auto"/>
        <w:right w:val="none" w:sz="0" w:space="0" w:color="auto"/>
      </w:divBdr>
    </w:div>
    <w:div w:id="207428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2981</Words>
  <Characters>16997</Characters>
  <Application>Microsoft Office Word</Application>
  <DocSecurity>0</DocSecurity>
  <Lines>141</Lines>
  <Paragraphs>39</Paragraphs>
  <ScaleCrop>false</ScaleCrop>
  <Company/>
  <LinksUpToDate>false</LinksUpToDate>
  <CharactersWithSpaces>19939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 M</dc:creator>
  <cp:keywords/>
  <dc:description/>
  <cp:lastModifiedBy>Y M</cp:lastModifiedBy>
  <cp:revision>2</cp:revision>
  <cp:lastPrinted>2026-04-09T10:18:00Z</cp:lastPrinted>
  <dcterms:created xsi:type="dcterms:W3CDTF">2026-04-09T10:19:00Z</dcterms:created>
  <dcterms:modified xsi:type="dcterms:W3CDTF">2026-04-09T10:19:00Z</dcterms:modified>
</cp:coreProperties>
</file>