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B3796" w14:textId="77777777" w:rsidR="00D47ACA" w:rsidRDefault="00D47ACA" w:rsidP="00D47ACA">
      <w:pPr>
        <w:jc w:val="center"/>
      </w:pPr>
    </w:p>
    <w:p w14:paraId="33481A11" w14:textId="77777777" w:rsidR="00D47ACA" w:rsidRDefault="00D47ACA" w:rsidP="00D47ACA">
      <w:pPr>
        <w:jc w:val="center"/>
      </w:pPr>
    </w:p>
    <w:p w14:paraId="5746DCA0" w14:textId="42402E96" w:rsidR="00D47ACA" w:rsidRDefault="00D47ACA" w:rsidP="00D47ACA">
      <w:pPr>
        <w:jc w:val="center"/>
      </w:pPr>
      <w:r>
        <w:rPr>
          <w:noProof/>
        </w:rPr>
        <w:drawing>
          <wp:inline distT="0" distB="0" distL="0" distR="0" wp14:anchorId="6D065838" wp14:editId="2773574E">
            <wp:extent cx="2293620" cy="762000"/>
            <wp:effectExtent l="0" t="0" r="0" b="0"/>
            <wp:docPr id="1291566014" name="Picture 1" descr="Home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p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3620" cy="762000"/>
                    </a:xfrm>
                    <a:prstGeom prst="rect">
                      <a:avLst/>
                    </a:prstGeom>
                    <a:noFill/>
                    <a:ln>
                      <a:noFill/>
                    </a:ln>
                  </pic:spPr>
                </pic:pic>
              </a:graphicData>
            </a:graphic>
          </wp:inline>
        </w:drawing>
      </w:r>
    </w:p>
    <w:p w14:paraId="548AC1D6" w14:textId="77777777" w:rsidR="00D47ACA" w:rsidRDefault="00D47ACA" w:rsidP="00D47ACA"/>
    <w:p w14:paraId="6A3B152B" w14:textId="77777777" w:rsidR="00D47ACA" w:rsidRDefault="00D47ACA" w:rsidP="00D47ACA"/>
    <w:p w14:paraId="77A7F812" w14:textId="77777777" w:rsidR="00D47ACA" w:rsidRDefault="00D47ACA" w:rsidP="00D47ACA"/>
    <w:p w14:paraId="01E4C87F" w14:textId="77777777" w:rsidR="00D47ACA" w:rsidRPr="00913B69" w:rsidRDefault="00D47ACA" w:rsidP="00D47ACA"/>
    <w:p w14:paraId="40EC70A6" w14:textId="77777777" w:rsidR="00D47ACA" w:rsidRPr="00913B69" w:rsidRDefault="00D47ACA" w:rsidP="00D47ACA">
      <w:pPr>
        <w:rPr>
          <w:rFonts w:ascii="Arial" w:hAnsi="Arial" w:cs="Arial"/>
          <w:b/>
          <w:bCs/>
          <w:lang w:val="nl-NL"/>
        </w:rPr>
      </w:pPr>
      <w:r w:rsidRPr="00913B69">
        <w:rPr>
          <w:rFonts w:ascii="Arial" w:hAnsi="Arial" w:cs="Arial"/>
          <w:b/>
          <w:bCs/>
          <w:lang w:val="nl-NL"/>
        </w:rPr>
        <w:t>Student Name: Xec Sikander Xeculi</w:t>
      </w:r>
      <w:r w:rsidRPr="00913B69">
        <w:rPr>
          <w:rFonts w:ascii="Arial" w:hAnsi="Arial" w:cs="Arial"/>
          <w:b/>
          <w:bCs/>
          <w:lang w:val="nl-NL"/>
        </w:rPr>
        <w:br/>
      </w:r>
    </w:p>
    <w:p w14:paraId="49AA7935" w14:textId="77777777" w:rsidR="00D47ACA" w:rsidRPr="00913B69" w:rsidRDefault="00D47ACA" w:rsidP="00D47ACA">
      <w:pPr>
        <w:rPr>
          <w:rFonts w:ascii="Arial" w:hAnsi="Arial" w:cs="Arial"/>
          <w:b/>
          <w:bCs/>
          <w:lang w:val="nl-NL"/>
        </w:rPr>
      </w:pPr>
      <w:r w:rsidRPr="00913B69">
        <w:rPr>
          <w:rFonts w:ascii="Arial" w:hAnsi="Arial" w:cs="Arial"/>
          <w:b/>
          <w:bCs/>
          <w:lang w:val="nl-NL"/>
        </w:rPr>
        <w:t>Student ID: 2413387</w:t>
      </w:r>
      <w:r w:rsidRPr="00913B69">
        <w:rPr>
          <w:rFonts w:ascii="Arial" w:hAnsi="Arial" w:cs="Arial"/>
          <w:b/>
          <w:bCs/>
          <w:lang w:val="nl-NL"/>
        </w:rPr>
        <w:br/>
      </w:r>
    </w:p>
    <w:p w14:paraId="4035C60C" w14:textId="77777777" w:rsidR="009B36A3" w:rsidRPr="00913B69" w:rsidRDefault="00D47ACA" w:rsidP="009B36A3">
      <w:pPr>
        <w:spacing w:before="120" w:after="120"/>
        <w:rPr>
          <w:rFonts w:ascii="Arial" w:hAnsi="Arial" w:cs="Arial"/>
          <w:b/>
          <w:bCs/>
        </w:rPr>
      </w:pPr>
      <w:r w:rsidRPr="00913B69">
        <w:rPr>
          <w:rFonts w:ascii="Arial" w:hAnsi="Arial" w:cs="Arial"/>
          <w:b/>
          <w:bCs/>
        </w:rPr>
        <w:t xml:space="preserve">Programme: </w:t>
      </w:r>
      <w:r w:rsidR="009B36A3" w:rsidRPr="00913B69">
        <w:rPr>
          <w:rFonts w:ascii="Arial" w:hAnsi="Arial" w:cs="Arial"/>
          <w:b/>
          <w:bCs/>
        </w:rPr>
        <w:t xml:space="preserve">BA (Hons) Leadership and Management Skills for the Workplace </w:t>
      </w:r>
      <w:r w:rsidR="009B36A3" w:rsidRPr="00913B69">
        <w:rPr>
          <w:rFonts w:ascii="Arial" w:eastAsia="Calibri" w:hAnsi="Arial" w:cs="Arial"/>
          <w:b/>
          <w:bCs/>
        </w:rPr>
        <w:t xml:space="preserve">  </w:t>
      </w:r>
      <w:r w:rsidRPr="00913B69">
        <w:rPr>
          <w:rFonts w:ascii="Arial" w:hAnsi="Arial" w:cs="Arial"/>
          <w:b/>
          <w:bCs/>
        </w:rPr>
        <w:br/>
      </w:r>
    </w:p>
    <w:p w14:paraId="60099447" w14:textId="156E36B7" w:rsidR="009B36A3" w:rsidRPr="00913B69" w:rsidRDefault="00D47ACA" w:rsidP="009B36A3">
      <w:pPr>
        <w:spacing w:before="120" w:after="120"/>
        <w:rPr>
          <w:rFonts w:ascii="Arial" w:hAnsi="Arial" w:cs="Arial"/>
          <w:b/>
          <w:bCs/>
        </w:rPr>
      </w:pPr>
      <w:r w:rsidRPr="00913B69">
        <w:rPr>
          <w:rFonts w:ascii="Arial" w:hAnsi="Arial" w:cs="Arial"/>
          <w:b/>
          <w:bCs/>
        </w:rPr>
        <w:t xml:space="preserve">Module: </w:t>
      </w:r>
      <w:r w:rsidR="009B36A3" w:rsidRPr="00913B69">
        <w:rPr>
          <w:rFonts w:ascii="Arial" w:hAnsi="Arial" w:cs="Arial"/>
          <w:b/>
          <w:bCs/>
        </w:rPr>
        <w:t>Understanding and Engaging Stakeholders   </w:t>
      </w:r>
      <w:r w:rsidR="009B36A3" w:rsidRPr="00913B69">
        <w:rPr>
          <w:rFonts w:ascii="Arial" w:hAnsi="Arial" w:cs="Arial"/>
          <w:b/>
          <w:bCs/>
        </w:rPr>
        <w:t xml:space="preserve"> </w:t>
      </w:r>
    </w:p>
    <w:p w14:paraId="5240F739" w14:textId="21592C10" w:rsidR="009B36A3" w:rsidRPr="00913B69" w:rsidRDefault="00D47ACA" w:rsidP="009B36A3">
      <w:pPr>
        <w:spacing w:before="100" w:beforeAutospacing="1" w:after="100" w:afterAutospacing="1" w:line="240" w:lineRule="auto"/>
        <w:rPr>
          <w:rFonts w:ascii="Arial" w:hAnsi="Arial" w:cs="Arial"/>
          <w:b/>
          <w:bCs/>
        </w:rPr>
      </w:pPr>
      <w:r w:rsidRPr="00913B69">
        <w:rPr>
          <w:rFonts w:ascii="Arial" w:hAnsi="Arial" w:cs="Arial"/>
          <w:b/>
          <w:bCs/>
        </w:rPr>
        <w:t>Module Code:</w:t>
      </w:r>
      <w:r w:rsidR="009B36A3" w:rsidRPr="00913B69">
        <w:rPr>
          <w:rFonts w:ascii="Arial" w:hAnsi="Arial" w:cs="Arial"/>
          <w:b/>
          <w:bCs/>
        </w:rPr>
        <w:t xml:space="preserve"> </w:t>
      </w:r>
      <w:r w:rsidRPr="00913B69">
        <w:rPr>
          <w:rFonts w:ascii="Arial" w:hAnsi="Arial" w:cs="Arial"/>
          <w:b/>
          <w:bCs/>
        </w:rPr>
        <w:t xml:space="preserve"> </w:t>
      </w:r>
      <w:r w:rsidR="009B36A3" w:rsidRPr="00913B69">
        <w:rPr>
          <w:rFonts w:ascii="Arial" w:hAnsi="Arial" w:cs="Arial"/>
          <w:b/>
          <w:bCs/>
        </w:rPr>
        <w:t>LCLM5001 </w:t>
      </w:r>
    </w:p>
    <w:p w14:paraId="4D172153" w14:textId="6034E29E" w:rsidR="00D47ACA" w:rsidRPr="00913B69" w:rsidRDefault="00D47ACA" w:rsidP="00D47ACA">
      <w:pPr>
        <w:spacing w:before="120" w:after="120"/>
        <w:rPr>
          <w:rFonts w:ascii="Arial" w:hAnsi="Arial" w:cs="Arial"/>
          <w:b/>
          <w:bCs/>
          <w:lang w:val="fr-FR"/>
        </w:rPr>
      </w:pPr>
      <w:proofErr w:type="spellStart"/>
      <w:r w:rsidRPr="00913B69">
        <w:rPr>
          <w:rFonts w:ascii="Arial" w:hAnsi="Arial" w:cs="Arial"/>
          <w:b/>
          <w:bCs/>
          <w:lang w:val="fr-FR"/>
        </w:rPr>
        <w:t>Lecturer</w:t>
      </w:r>
      <w:proofErr w:type="spellEnd"/>
      <w:r w:rsidRPr="00913B69">
        <w:rPr>
          <w:rFonts w:ascii="Arial" w:hAnsi="Arial" w:cs="Arial"/>
          <w:b/>
          <w:bCs/>
          <w:lang w:val="fr-FR"/>
        </w:rPr>
        <w:t>:</w:t>
      </w:r>
      <w:r w:rsidRPr="00913B69">
        <w:rPr>
          <w:rFonts w:ascii="Arial" w:hAnsi="Arial" w:cs="Arial"/>
          <w:b/>
          <w:bCs/>
          <w:lang w:val="fr-FR"/>
        </w:rPr>
        <w:t xml:space="preserve">  </w:t>
      </w:r>
      <w:r w:rsidRPr="00913B69">
        <w:rPr>
          <w:rFonts w:ascii="Arial" w:hAnsi="Arial" w:cs="Arial"/>
          <w:b/>
          <w:bCs/>
          <w:lang w:val="fr-FR"/>
        </w:rPr>
        <w:t>Alastair</w:t>
      </w:r>
      <w:r w:rsidRPr="00913B69">
        <w:rPr>
          <w:rFonts w:ascii="Arial" w:hAnsi="Arial" w:cs="Arial"/>
          <w:b/>
          <w:bCs/>
          <w:lang w:val="fr-FR"/>
        </w:rPr>
        <w:t xml:space="preserve"> </w:t>
      </w:r>
      <w:r w:rsidRPr="00913B69">
        <w:rPr>
          <w:rFonts w:ascii="Arial" w:hAnsi="Arial" w:cs="Arial"/>
          <w:b/>
          <w:bCs/>
          <w:lang w:val="fr-FR"/>
        </w:rPr>
        <w:t>Moyes</w:t>
      </w:r>
    </w:p>
    <w:p w14:paraId="154F167D" w14:textId="3CB522CB" w:rsidR="00574C73" w:rsidRPr="00913B69" w:rsidRDefault="00D47ACA" w:rsidP="00D47ACA">
      <w:pPr>
        <w:spacing w:before="100" w:beforeAutospacing="1" w:after="100" w:afterAutospacing="1" w:line="240" w:lineRule="auto"/>
        <w:rPr>
          <w:b/>
          <w:bCs/>
        </w:rPr>
      </w:pPr>
      <w:r w:rsidRPr="00913B69">
        <w:rPr>
          <w:rFonts w:ascii="Arial" w:hAnsi="Arial" w:cs="Arial"/>
          <w:b/>
          <w:bCs/>
        </w:rPr>
        <w:t xml:space="preserve">Assignment Title: </w:t>
      </w:r>
      <w:r w:rsidRPr="00913B69">
        <w:rPr>
          <w:rFonts w:ascii="Arial" w:hAnsi="Arial" w:cs="Arial"/>
          <w:b/>
          <w:bCs/>
        </w:rPr>
        <w:t xml:space="preserve"> </w:t>
      </w:r>
      <w:r w:rsidRPr="00913B69">
        <w:rPr>
          <w:rFonts w:ascii="Arial" w:hAnsi="Arial" w:cs="Arial"/>
          <w:b/>
          <w:bCs/>
        </w:rPr>
        <w:t>Understanding the importance of Stakeholder Engagement in successful commencement and completion of project. </w:t>
      </w:r>
    </w:p>
    <w:p w14:paraId="29A5A23B" w14:textId="77777777" w:rsidR="00574C73" w:rsidRPr="009B36A3" w:rsidRDefault="00574C73">
      <w:pPr>
        <w:pStyle w:val="TOCHeading"/>
        <w:rPr>
          <w:rFonts w:asciiTheme="minorHAnsi" w:eastAsiaTheme="minorHAnsi" w:hAnsiTheme="minorHAnsi" w:cstheme="minorBidi"/>
          <w:b/>
          <w:bCs/>
          <w:color w:val="auto"/>
          <w:kern w:val="2"/>
          <w:sz w:val="24"/>
          <w:szCs w:val="24"/>
          <w:lang w:val="en-GB"/>
          <w14:ligatures w14:val="standardContextual"/>
        </w:rPr>
      </w:pPr>
    </w:p>
    <w:p w14:paraId="029A3CFA" w14:textId="77777777" w:rsidR="00574C73" w:rsidRDefault="00574C73">
      <w:pPr>
        <w:pStyle w:val="TOCHeading"/>
        <w:rPr>
          <w:rFonts w:asciiTheme="minorHAnsi" w:eastAsiaTheme="minorHAnsi" w:hAnsiTheme="minorHAnsi" w:cstheme="minorBidi"/>
          <w:color w:val="auto"/>
          <w:kern w:val="2"/>
          <w:sz w:val="24"/>
          <w:szCs w:val="24"/>
          <w:lang w:val="en-GB"/>
          <w14:ligatures w14:val="standardContextual"/>
        </w:rPr>
      </w:pPr>
    </w:p>
    <w:p w14:paraId="1DE99CA7" w14:textId="77777777" w:rsidR="00574C73" w:rsidRDefault="00574C73">
      <w:pPr>
        <w:pStyle w:val="TOCHeading"/>
        <w:rPr>
          <w:rFonts w:asciiTheme="minorHAnsi" w:eastAsiaTheme="minorHAnsi" w:hAnsiTheme="minorHAnsi" w:cstheme="minorBidi"/>
          <w:color w:val="auto"/>
          <w:kern w:val="2"/>
          <w:sz w:val="24"/>
          <w:szCs w:val="24"/>
          <w:lang w:val="en-GB"/>
          <w14:ligatures w14:val="standardContextual"/>
        </w:rPr>
      </w:pPr>
    </w:p>
    <w:p w14:paraId="6E83B6DD" w14:textId="77777777" w:rsidR="00574C73" w:rsidRDefault="00574C73">
      <w:pPr>
        <w:pStyle w:val="TOCHeading"/>
        <w:rPr>
          <w:rFonts w:asciiTheme="minorHAnsi" w:eastAsiaTheme="minorHAnsi" w:hAnsiTheme="minorHAnsi" w:cstheme="minorBidi"/>
          <w:color w:val="auto"/>
          <w:kern w:val="2"/>
          <w:sz w:val="24"/>
          <w:szCs w:val="24"/>
          <w:lang w:val="en-GB"/>
          <w14:ligatures w14:val="standardContextual"/>
        </w:rPr>
      </w:pPr>
    </w:p>
    <w:p w14:paraId="22A092F3" w14:textId="77777777" w:rsidR="00477C4D" w:rsidRPr="00477C4D" w:rsidRDefault="00477C4D" w:rsidP="00477C4D"/>
    <w:p w14:paraId="152F418F" w14:textId="77777777" w:rsidR="00574C73" w:rsidRDefault="00574C73">
      <w:pPr>
        <w:pStyle w:val="TOCHeading"/>
        <w:rPr>
          <w:rFonts w:asciiTheme="minorHAnsi" w:eastAsiaTheme="minorHAnsi" w:hAnsiTheme="minorHAnsi" w:cstheme="minorBidi"/>
          <w:color w:val="auto"/>
          <w:kern w:val="2"/>
          <w:sz w:val="24"/>
          <w:szCs w:val="24"/>
          <w:lang w:val="en-GB"/>
          <w14:ligatures w14:val="standardContextual"/>
        </w:rPr>
      </w:pPr>
    </w:p>
    <w:p w14:paraId="7E11D38D" w14:textId="77777777" w:rsidR="00D47ACA" w:rsidRDefault="00D47ACA" w:rsidP="00D47ACA"/>
    <w:p w14:paraId="2D6D3D4E" w14:textId="77777777" w:rsidR="00477C4D" w:rsidRDefault="00477C4D" w:rsidP="00D47ACA"/>
    <w:p w14:paraId="1768A3C8" w14:textId="77777777" w:rsidR="00D47ACA" w:rsidRPr="00D47ACA" w:rsidRDefault="00D47ACA" w:rsidP="00D47ACA"/>
    <w:sdt>
      <w:sdtPr>
        <w:rPr>
          <w:rFonts w:ascii="Arial" w:eastAsiaTheme="minorHAnsi" w:hAnsi="Arial" w:cs="Arial"/>
          <w:b/>
          <w:bCs/>
          <w:color w:val="auto"/>
          <w:kern w:val="2"/>
          <w:sz w:val="22"/>
          <w:szCs w:val="22"/>
          <w:lang w:val="en-GB"/>
          <w14:ligatures w14:val="standardContextual"/>
        </w:rPr>
        <w:id w:val="-1103962780"/>
        <w:docPartObj>
          <w:docPartGallery w:val="Table of Contents"/>
          <w:docPartUnique/>
        </w:docPartObj>
      </w:sdtPr>
      <w:sdtEndPr>
        <w:rPr>
          <w:noProof/>
        </w:rPr>
      </w:sdtEndPr>
      <w:sdtContent>
        <w:p w14:paraId="79BE2C1A" w14:textId="0EF62D29" w:rsidR="001A4270" w:rsidRPr="00913B69" w:rsidRDefault="001A4270">
          <w:pPr>
            <w:pStyle w:val="TOCHeading"/>
            <w:rPr>
              <w:rFonts w:ascii="Arial" w:hAnsi="Arial" w:cs="Arial"/>
              <w:b/>
              <w:bCs/>
              <w:sz w:val="22"/>
              <w:szCs w:val="22"/>
            </w:rPr>
          </w:pPr>
          <w:r w:rsidRPr="00913B69">
            <w:rPr>
              <w:rFonts w:ascii="Arial" w:hAnsi="Arial" w:cs="Arial"/>
              <w:b/>
              <w:bCs/>
              <w:sz w:val="22"/>
              <w:szCs w:val="22"/>
            </w:rPr>
            <w:t>Table of Contents</w:t>
          </w:r>
        </w:p>
        <w:p w14:paraId="053D6310" w14:textId="107429DC" w:rsidR="001A4270" w:rsidRPr="00477C4D" w:rsidRDefault="001A4270">
          <w:pPr>
            <w:pStyle w:val="TOC1"/>
            <w:tabs>
              <w:tab w:val="right" w:leader="dot" w:pos="9016"/>
            </w:tabs>
            <w:rPr>
              <w:rFonts w:ascii="Arial" w:hAnsi="Arial" w:cs="Arial"/>
              <w:noProof/>
              <w:kern w:val="2"/>
              <w:lang w:val="en-IN" w:eastAsia="en-IN"/>
              <w14:ligatures w14:val="standardContextual"/>
            </w:rPr>
          </w:pPr>
          <w:r w:rsidRPr="00477C4D">
            <w:rPr>
              <w:rFonts w:ascii="Arial" w:hAnsi="Arial" w:cs="Arial"/>
            </w:rPr>
            <w:fldChar w:fldCharType="begin"/>
          </w:r>
          <w:r w:rsidRPr="00477C4D">
            <w:rPr>
              <w:rFonts w:ascii="Arial" w:hAnsi="Arial" w:cs="Arial"/>
            </w:rPr>
            <w:instrText xml:space="preserve"> TOC \o "1-3" \h \z \u </w:instrText>
          </w:r>
          <w:r w:rsidRPr="00477C4D">
            <w:rPr>
              <w:rFonts w:ascii="Arial" w:hAnsi="Arial" w:cs="Arial"/>
            </w:rPr>
            <w:fldChar w:fldCharType="separate"/>
          </w:r>
          <w:hyperlink w:anchor="_Toc214570796" w:history="1">
            <w:r w:rsidRPr="00477C4D">
              <w:rPr>
                <w:rStyle w:val="Hyperlink"/>
                <w:rFonts w:ascii="Arial" w:hAnsi="Arial" w:cs="Arial"/>
                <w:noProof/>
              </w:rPr>
              <w:t>Introduction of the Company</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_Toc214570796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3</w:t>
            </w:r>
            <w:r w:rsidRPr="00477C4D">
              <w:rPr>
                <w:rFonts w:ascii="Arial" w:hAnsi="Arial" w:cs="Arial"/>
                <w:noProof/>
                <w:webHidden/>
              </w:rPr>
              <w:fldChar w:fldCharType="end"/>
            </w:r>
          </w:hyperlink>
        </w:p>
        <w:p w14:paraId="1F0E0739" w14:textId="0A0C6283"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797" w:history="1">
            <w:r w:rsidRPr="00477C4D">
              <w:rPr>
                <w:rStyle w:val="Hyperlink"/>
                <w:rFonts w:ascii="Arial" w:hAnsi="Arial" w:cs="Arial"/>
                <w:noProof/>
              </w:rPr>
              <w:t>Strategic Appraisal Using SWOT Analysis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_Toc214570797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3</w:t>
            </w:r>
            <w:r w:rsidRPr="00477C4D">
              <w:rPr>
                <w:rFonts w:ascii="Arial" w:hAnsi="Arial" w:cs="Arial"/>
                <w:noProof/>
                <w:webHidden/>
              </w:rPr>
              <w:fldChar w:fldCharType="end"/>
            </w:r>
          </w:hyperlink>
        </w:p>
        <w:p w14:paraId="7837E833" w14:textId="66152CA7"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798" w:history="1">
            <w:r w:rsidRPr="00477C4D">
              <w:rPr>
                <w:rStyle w:val="Hyperlink"/>
                <w:rFonts w:ascii="Arial" w:eastAsia="Times New Roman" w:hAnsi="Arial" w:cs="Arial"/>
                <w:noProof/>
                <w:lang w:val="en-IN" w:eastAsia="en-IN"/>
              </w:rPr>
              <w:t>PESTLE Analysis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_Toc214570798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4</w:t>
            </w:r>
            <w:r w:rsidRPr="00477C4D">
              <w:rPr>
                <w:rFonts w:ascii="Arial" w:hAnsi="Arial" w:cs="Arial"/>
                <w:noProof/>
                <w:webHidden/>
              </w:rPr>
              <w:fldChar w:fldCharType="end"/>
            </w:r>
          </w:hyperlink>
        </w:p>
        <w:p w14:paraId="13D3EC35" w14:textId="33B9D357"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799" w:history="1">
            <w:r w:rsidRPr="00477C4D">
              <w:rPr>
                <w:rStyle w:val="Hyperlink"/>
                <w:rFonts w:ascii="Arial" w:eastAsia="Times New Roman" w:hAnsi="Arial" w:cs="Arial"/>
                <w:noProof/>
                <w:lang w:val="en-IN" w:eastAsia="en-IN"/>
              </w:rPr>
              <w:t>SMART Objectives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_Toc214570799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5</w:t>
            </w:r>
            <w:r w:rsidRPr="00477C4D">
              <w:rPr>
                <w:rFonts w:ascii="Arial" w:hAnsi="Arial" w:cs="Arial"/>
                <w:noProof/>
                <w:webHidden/>
              </w:rPr>
              <w:fldChar w:fldCharType="end"/>
            </w:r>
          </w:hyperlink>
        </w:p>
        <w:p w14:paraId="44197483" w14:textId="024492DD"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00" w:history="1">
            <w:r w:rsidRPr="00477C4D">
              <w:rPr>
                <w:rStyle w:val="Hyperlink"/>
                <w:rFonts w:ascii="Arial" w:eastAsia="Times New Roman" w:hAnsi="Arial" w:cs="Arial"/>
                <w:noProof/>
                <w:lang w:eastAsia="en-IN"/>
              </w:rPr>
              <w:t>Power–Interest Matrix</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_Toc214570800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5</w:t>
            </w:r>
            <w:r w:rsidRPr="00477C4D">
              <w:rPr>
                <w:rFonts w:ascii="Arial" w:hAnsi="Arial" w:cs="Arial"/>
                <w:noProof/>
                <w:webHidden/>
              </w:rPr>
              <w:fldChar w:fldCharType="end"/>
            </w:r>
          </w:hyperlink>
        </w:p>
        <w:p w14:paraId="1F979577" w14:textId="1BA9AE35"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01" w:history="1">
            <w:r w:rsidRPr="00477C4D">
              <w:rPr>
                <w:rStyle w:val="Hyperlink"/>
                <w:rFonts w:ascii="Arial" w:hAnsi="Arial" w:cs="Arial"/>
                <w:noProof/>
              </w:rPr>
              <w:t>Key Internal and External Stakeholders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_Toc214570801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5</w:t>
            </w:r>
            <w:r w:rsidRPr="00477C4D">
              <w:rPr>
                <w:rFonts w:ascii="Arial" w:hAnsi="Arial" w:cs="Arial"/>
                <w:noProof/>
                <w:webHidden/>
              </w:rPr>
              <w:fldChar w:fldCharType="end"/>
            </w:r>
          </w:hyperlink>
        </w:p>
        <w:p w14:paraId="154DC1D6" w14:textId="56253643"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02" w:history="1">
            <w:r w:rsidRPr="00477C4D">
              <w:rPr>
                <w:rStyle w:val="Hyperlink"/>
                <w:rFonts w:ascii="Arial" w:hAnsi="Arial" w:cs="Arial"/>
                <w:noProof/>
                <w:lang w:val="en-IN"/>
              </w:rPr>
              <w:t>Internal Stakeholders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_Toc214570802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6311ECC8" w14:textId="4048F9C0"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3" w:history="1">
            <w:r w:rsidRPr="00477C4D">
              <w:rPr>
                <w:rStyle w:val="Hyperlink"/>
                <w:rFonts w:ascii="Arial" w:hAnsi="Arial" w:cs="Arial"/>
                <w:noProof/>
              </w:rPr>
              <w:t>Product Development Team</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_Toc214570803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41B59DC8" w14:textId="481669DA"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4" w:history="1">
            <w:r w:rsidRPr="00477C4D">
              <w:rPr>
                <w:rStyle w:val="Hyperlink"/>
                <w:rFonts w:ascii="Arial" w:hAnsi="Arial" w:cs="Arial"/>
                <w:noProof/>
              </w:rPr>
              <w:t>Marketing Team</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_Toc214570804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6F72D56C" w14:textId="3B194E6C"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5" w:history="1">
            <w:r w:rsidRPr="00477C4D">
              <w:rPr>
                <w:rStyle w:val="Hyperlink"/>
                <w:rFonts w:ascii="Arial" w:hAnsi="Arial" w:cs="Arial"/>
                <w:noProof/>
              </w:rPr>
              <w:t>Sales Department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_Toc214570805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23729349" w14:textId="094F85A2"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6" w:history="1">
            <w:r w:rsidRPr="00477C4D">
              <w:rPr>
                <w:rStyle w:val="Hyperlink"/>
                <w:rFonts w:ascii="Arial" w:hAnsi="Arial" w:cs="Arial"/>
                <w:noProof/>
              </w:rPr>
              <w:t>IT and Data Security Teams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_Toc214570806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7D892584" w14:textId="3416A942"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7" w:history="1">
            <w:r w:rsidRPr="00477C4D">
              <w:rPr>
                <w:rStyle w:val="Hyperlink"/>
                <w:rFonts w:ascii="Arial" w:hAnsi="Arial" w:cs="Arial"/>
                <w:noProof/>
              </w:rPr>
              <w:t>Senior Management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_Toc214570807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11713C88" w14:textId="085D5100"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08" w:history="1">
            <w:r w:rsidRPr="00477C4D">
              <w:rPr>
                <w:rStyle w:val="Hyperlink"/>
                <w:rFonts w:ascii="Arial" w:hAnsi="Arial" w:cs="Arial"/>
                <w:noProof/>
                <w:lang w:val="en-IN"/>
              </w:rPr>
              <w:t>External Stakeholders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_Toc214570808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402BDF62" w14:textId="36F53345"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09" w:history="1">
            <w:r w:rsidRPr="00477C4D">
              <w:rPr>
                <w:rStyle w:val="Hyperlink"/>
                <w:rFonts w:ascii="Arial" w:hAnsi="Arial" w:cs="Arial"/>
                <w:noProof/>
              </w:rPr>
              <w:t>Customers / End Users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_Toc214570809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6</w:t>
            </w:r>
            <w:r w:rsidRPr="00477C4D">
              <w:rPr>
                <w:rFonts w:ascii="Arial" w:hAnsi="Arial" w:cs="Arial"/>
                <w:noProof/>
                <w:webHidden/>
              </w:rPr>
              <w:fldChar w:fldCharType="end"/>
            </w:r>
          </w:hyperlink>
        </w:p>
        <w:p w14:paraId="6E25925C" w14:textId="1A7E3845"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0" w:history="1">
            <w:r w:rsidRPr="00477C4D">
              <w:rPr>
                <w:rStyle w:val="Hyperlink"/>
                <w:rFonts w:ascii="Arial" w:hAnsi="Arial" w:cs="Arial"/>
                <w:noProof/>
              </w:rPr>
              <w:t>Regulators (MHRA, ICO)</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_Toc214570810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326CB282" w14:textId="2628953C"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1" w:history="1">
            <w:r w:rsidRPr="00477C4D">
              <w:rPr>
                <w:rStyle w:val="Hyperlink"/>
                <w:rFonts w:ascii="Arial" w:hAnsi="Arial" w:cs="Arial"/>
                <w:noProof/>
              </w:rPr>
              <w:t>Healthcare Providers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_Toc214570811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0F08EC0A" w14:textId="42FF8360"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2" w:history="1">
            <w:r w:rsidRPr="00477C4D">
              <w:rPr>
                <w:rStyle w:val="Hyperlink"/>
                <w:rFonts w:ascii="Arial" w:hAnsi="Arial" w:cs="Arial"/>
                <w:noProof/>
              </w:rPr>
              <w:t>Retailers / Distributors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_Toc214570812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6453E1B2" w14:textId="79F968C5"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3" w:history="1">
            <w:r w:rsidRPr="00477C4D">
              <w:rPr>
                <w:rStyle w:val="Hyperlink"/>
                <w:rFonts w:ascii="Arial" w:hAnsi="Arial" w:cs="Arial"/>
                <w:noProof/>
              </w:rPr>
              <w:t>Insurance Companies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_Toc214570813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01064DFF" w14:textId="47EF9092"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4" w:history="1">
            <w:r w:rsidRPr="00477C4D">
              <w:rPr>
                <w:rStyle w:val="Hyperlink"/>
                <w:rFonts w:ascii="Arial" w:hAnsi="Arial" w:cs="Arial"/>
                <w:noProof/>
              </w:rPr>
              <w:t>Technology Partners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_Toc214570814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69EAEB6D" w14:textId="690951CD"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15" w:history="1">
            <w:r w:rsidRPr="00477C4D">
              <w:rPr>
                <w:rStyle w:val="Hyperlink"/>
                <w:rFonts w:ascii="Arial" w:hAnsi="Arial" w:cs="Arial"/>
                <w:noProof/>
              </w:rPr>
              <w:t>Roles, Responsibilities, Benefits &amp; Challenges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_Toc214570815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7</w:t>
            </w:r>
            <w:r w:rsidRPr="00477C4D">
              <w:rPr>
                <w:rFonts w:ascii="Arial" w:hAnsi="Arial" w:cs="Arial"/>
                <w:noProof/>
                <w:webHidden/>
              </w:rPr>
              <w:fldChar w:fldCharType="end"/>
            </w:r>
          </w:hyperlink>
        </w:p>
        <w:p w14:paraId="7456B2DA" w14:textId="3DD84225"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16" w:history="1">
            <w:r w:rsidRPr="00477C4D">
              <w:rPr>
                <w:rStyle w:val="Hyperlink"/>
                <w:rFonts w:ascii="Arial" w:hAnsi="Arial" w:cs="Arial"/>
                <w:noProof/>
                <w:lang w:val="en-IN"/>
              </w:rPr>
              <w:t>Internal Stakeholders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_Toc214570816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8</w:t>
            </w:r>
            <w:r w:rsidRPr="00477C4D">
              <w:rPr>
                <w:rFonts w:ascii="Arial" w:hAnsi="Arial" w:cs="Arial"/>
                <w:noProof/>
                <w:webHidden/>
              </w:rPr>
              <w:fldChar w:fldCharType="end"/>
            </w:r>
          </w:hyperlink>
        </w:p>
        <w:p w14:paraId="3D183CF9" w14:textId="1E2B02C8"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7" w:history="1">
            <w:r w:rsidRPr="00477C4D">
              <w:rPr>
                <w:rStyle w:val="Hyperlink"/>
                <w:rFonts w:ascii="Arial" w:hAnsi="Arial" w:cs="Arial"/>
                <w:noProof/>
                <w:lang w:val="en-IN"/>
              </w:rPr>
              <w:t>Product Development Team</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_Toc214570817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8</w:t>
            </w:r>
            <w:r w:rsidRPr="00477C4D">
              <w:rPr>
                <w:rFonts w:ascii="Arial" w:hAnsi="Arial" w:cs="Arial"/>
                <w:noProof/>
                <w:webHidden/>
              </w:rPr>
              <w:fldChar w:fldCharType="end"/>
            </w:r>
          </w:hyperlink>
        </w:p>
        <w:p w14:paraId="65E7E5F6" w14:textId="423E3FA3"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8" w:history="1">
            <w:r w:rsidRPr="00477C4D">
              <w:rPr>
                <w:rStyle w:val="Hyperlink"/>
                <w:rFonts w:ascii="Arial" w:hAnsi="Arial" w:cs="Arial"/>
                <w:noProof/>
                <w:lang w:val="en-IN"/>
              </w:rPr>
              <w:t>Marketing Team</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_Toc214570818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8</w:t>
            </w:r>
            <w:r w:rsidRPr="00477C4D">
              <w:rPr>
                <w:rFonts w:ascii="Arial" w:hAnsi="Arial" w:cs="Arial"/>
                <w:noProof/>
                <w:webHidden/>
              </w:rPr>
              <w:fldChar w:fldCharType="end"/>
            </w:r>
          </w:hyperlink>
        </w:p>
        <w:p w14:paraId="0C6DEF7A" w14:textId="796C2269"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19" w:history="1">
            <w:r w:rsidRPr="00477C4D">
              <w:rPr>
                <w:rStyle w:val="Hyperlink"/>
                <w:rFonts w:ascii="Arial" w:hAnsi="Arial" w:cs="Arial"/>
                <w:noProof/>
                <w:lang w:val="en-IN"/>
              </w:rPr>
              <w:t>Sales Department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_Toc214570819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8</w:t>
            </w:r>
            <w:r w:rsidRPr="00477C4D">
              <w:rPr>
                <w:rFonts w:ascii="Arial" w:hAnsi="Arial" w:cs="Arial"/>
                <w:noProof/>
                <w:webHidden/>
              </w:rPr>
              <w:fldChar w:fldCharType="end"/>
            </w:r>
          </w:hyperlink>
        </w:p>
        <w:p w14:paraId="7088DE61" w14:textId="3DF80E2C"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0" w:history="1">
            <w:r w:rsidRPr="00477C4D">
              <w:rPr>
                <w:rStyle w:val="Hyperlink"/>
                <w:rFonts w:ascii="Arial" w:hAnsi="Arial" w:cs="Arial"/>
                <w:noProof/>
                <w:lang w:val="en-IN"/>
              </w:rPr>
              <w:t>IT &amp; Data Security Teams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_Toc214570820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9</w:t>
            </w:r>
            <w:r w:rsidRPr="00477C4D">
              <w:rPr>
                <w:rFonts w:ascii="Arial" w:hAnsi="Arial" w:cs="Arial"/>
                <w:noProof/>
                <w:webHidden/>
              </w:rPr>
              <w:fldChar w:fldCharType="end"/>
            </w:r>
          </w:hyperlink>
        </w:p>
        <w:p w14:paraId="4DC81EE2" w14:textId="0D107E60"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1" w:history="1">
            <w:r w:rsidRPr="00477C4D">
              <w:rPr>
                <w:rStyle w:val="Hyperlink"/>
                <w:rFonts w:ascii="Arial" w:hAnsi="Arial" w:cs="Arial"/>
                <w:noProof/>
                <w:lang w:val="en-IN"/>
              </w:rPr>
              <w:t>Senior Management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_Toc214570821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9</w:t>
            </w:r>
            <w:r w:rsidRPr="00477C4D">
              <w:rPr>
                <w:rFonts w:ascii="Arial" w:hAnsi="Arial" w:cs="Arial"/>
                <w:noProof/>
                <w:webHidden/>
              </w:rPr>
              <w:fldChar w:fldCharType="end"/>
            </w:r>
          </w:hyperlink>
        </w:p>
        <w:p w14:paraId="11559075" w14:textId="6AC3B3A4"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22" w:history="1">
            <w:r w:rsidRPr="00477C4D">
              <w:rPr>
                <w:rStyle w:val="Hyperlink"/>
                <w:rFonts w:ascii="Arial" w:hAnsi="Arial" w:cs="Arial"/>
                <w:noProof/>
                <w:lang w:val="en-IN"/>
              </w:rPr>
              <w:t>External Stakeholders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_Toc214570822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9</w:t>
            </w:r>
            <w:r w:rsidRPr="00477C4D">
              <w:rPr>
                <w:rFonts w:ascii="Arial" w:hAnsi="Arial" w:cs="Arial"/>
                <w:noProof/>
                <w:webHidden/>
              </w:rPr>
              <w:fldChar w:fldCharType="end"/>
            </w:r>
          </w:hyperlink>
        </w:p>
        <w:p w14:paraId="1A938F81" w14:textId="640223E6"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3" w:history="1">
            <w:r w:rsidRPr="00477C4D">
              <w:rPr>
                <w:rStyle w:val="Hyperlink"/>
                <w:rFonts w:ascii="Arial" w:hAnsi="Arial" w:cs="Arial"/>
                <w:noProof/>
                <w:lang w:val="en-IN"/>
              </w:rPr>
              <w:t>Regulators (MHRA, ICO)</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_Toc214570823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9</w:t>
            </w:r>
            <w:r w:rsidRPr="00477C4D">
              <w:rPr>
                <w:rFonts w:ascii="Arial" w:hAnsi="Arial" w:cs="Arial"/>
                <w:noProof/>
                <w:webHidden/>
              </w:rPr>
              <w:fldChar w:fldCharType="end"/>
            </w:r>
          </w:hyperlink>
        </w:p>
        <w:p w14:paraId="29F507C7" w14:textId="3CC7A376"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4" w:history="1">
            <w:r w:rsidRPr="00477C4D">
              <w:rPr>
                <w:rStyle w:val="Hyperlink"/>
                <w:rFonts w:ascii="Arial" w:hAnsi="Arial" w:cs="Arial"/>
                <w:noProof/>
                <w:lang w:val="en-IN"/>
              </w:rPr>
              <w:t>Customers / End Users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_Toc214570824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10</w:t>
            </w:r>
            <w:r w:rsidRPr="00477C4D">
              <w:rPr>
                <w:rFonts w:ascii="Arial" w:hAnsi="Arial" w:cs="Arial"/>
                <w:noProof/>
                <w:webHidden/>
              </w:rPr>
              <w:fldChar w:fldCharType="end"/>
            </w:r>
          </w:hyperlink>
        </w:p>
        <w:p w14:paraId="383834CF" w14:textId="34ED26CB"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5" w:history="1">
            <w:r w:rsidRPr="00477C4D">
              <w:rPr>
                <w:rStyle w:val="Hyperlink"/>
                <w:rFonts w:ascii="Arial" w:hAnsi="Arial" w:cs="Arial"/>
                <w:noProof/>
                <w:lang w:val="en-IN"/>
              </w:rPr>
              <w:t>Healthcare Providers / NHS Partners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_Toc214570825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10</w:t>
            </w:r>
            <w:r w:rsidRPr="00477C4D">
              <w:rPr>
                <w:rFonts w:ascii="Arial" w:hAnsi="Arial" w:cs="Arial"/>
                <w:noProof/>
                <w:webHidden/>
              </w:rPr>
              <w:fldChar w:fldCharType="end"/>
            </w:r>
          </w:hyperlink>
        </w:p>
        <w:p w14:paraId="5F4EC908" w14:textId="5EFEE557"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6" w:history="1">
            <w:r w:rsidRPr="00477C4D">
              <w:rPr>
                <w:rStyle w:val="Hyperlink"/>
                <w:rFonts w:ascii="Arial" w:hAnsi="Arial" w:cs="Arial"/>
                <w:noProof/>
                <w:lang w:val="en-IN"/>
              </w:rPr>
              <w:t>Retailers &amp; Distributors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_Toc214570826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10</w:t>
            </w:r>
            <w:r w:rsidRPr="00477C4D">
              <w:rPr>
                <w:rFonts w:ascii="Arial" w:hAnsi="Arial" w:cs="Arial"/>
                <w:noProof/>
                <w:webHidden/>
              </w:rPr>
              <w:fldChar w:fldCharType="end"/>
            </w:r>
          </w:hyperlink>
        </w:p>
        <w:p w14:paraId="6C831DF5" w14:textId="6F413EDB" w:rsidR="001A4270" w:rsidRPr="00477C4D" w:rsidRDefault="001A4270">
          <w:pPr>
            <w:pStyle w:val="TOC3"/>
            <w:tabs>
              <w:tab w:val="right" w:leader="dot" w:pos="9016"/>
            </w:tabs>
            <w:rPr>
              <w:rFonts w:ascii="Arial" w:hAnsi="Arial" w:cs="Arial"/>
              <w:noProof/>
              <w:kern w:val="2"/>
              <w:lang w:val="en-IN" w:eastAsia="en-IN"/>
              <w14:ligatures w14:val="standardContextual"/>
            </w:rPr>
          </w:pPr>
          <w:hyperlink w:anchor="_Toc214570827" w:history="1">
            <w:r w:rsidRPr="00477C4D">
              <w:rPr>
                <w:rStyle w:val="Hyperlink"/>
                <w:rFonts w:ascii="Arial" w:hAnsi="Arial" w:cs="Arial"/>
                <w:noProof/>
                <w:lang w:val="en-IN"/>
              </w:rPr>
              <w:t>Technology Partners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_Toc214570827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11</w:t>
            </w:r>
            <w:r w:rsidRPr="00477C4D">
              <w:rPr>
                <w:rFonts w:ascii="Arial" w:hAnsi="Arial" w:cs="Arial"/>
                <w:noProof/>
                <w:webHidden/>
              </w:rPr>
              <w:fldChar w:fldCharType="end"/>
            </w:r>
          </w:hyperlink>
        </w:p>
        <w:p w14:paraId="7D2128FA" w14:textId="0A84D740"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28" w:history="1">
            <w:r w:rsidRPr="00477C4D">
              <w:rPr>
                <w:rStyle w:val="Hyperlink"/>
                <w:rFonts w:ascii="Arial" w:hAnsi="Arial" w:cs="Arial"/>
                <w:noProof/>
              </w:rPr>
              <w:t>Frameworks, Models &amp; Theories for Stakeholder Engagement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_Toc214570828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11</w:t>
            </w:r>
            <w:r w:rsidRPr="00477C4D">
              <w:rPr>
                <w:rFonts w:ascii="Arial" w:hAnsi="Arial" w:cs="Arial"/>
                <w:noProof/>
                <w:webHidden/>
              </w:rPr>
              <w:fldChar w:fldCharType="end"/>
            </w:r>
          </w:hyperlink>
        </w:p>
        <w:p w14:paraId="7C2DEB17" w14:textId="01AF6671"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29" w:history="1">
            <w:r w:rsidRPr="00477C4D">
              <w:rPr>
                <w:rStyle w:val="Hyperlink"/>
                <w:rFonts w:ascii="Arial" w:hAnsi="Arial" w:cs="Arial"/>
                <w:noProof/>
                <w:lang w:val="en-IN"/>
              </w:rPr>
              <w:t>Stakeholder Power–Interest Matrix</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_Toc214570829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11</w:t>
            </w:r>
            <w:r w:rsidRPr="00477C4D">
              <w:rPr>
                <w:rFonts w:ascii="Arial" w:hAnsi="Arial" w:cs="Arial"/>
                <w:noProof/>
                <w:webHidden/>
              </w:rPr>
              <w:fldChar w:fldCharType="end"/>
            </w:r>
          </w:hyperlink>
        </w:p>
        <w:p w14:paraId="08A0BD55" w14:textId="4557E3D4"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0" w:history="1">
            <w:r w:rsidRPr="00477C4D">
              <w:rPr>
                <w:rStyle w:val="Hyperlink"/>
                <w:rFonts w:ascii="Arial" w:hAnsi="Arial" w:cs="Arial"/>
                <w:noProof/>
                <w:lang w:val="en-IN"/>
              </w:rPr>
              <w:t>RACI Matrix</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_Toc214570830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12</w:t>
            </w:r>
            <w:r w:rsidRPr="00477C4D">
              <w:rPr>
                <w:rFonts w:ascii="Arial" w:hAnsi="Arial" w:cs="Arial"/>
                <w:noProof/>
                <w:webHidden/>
              </w:rPr>
              <w:fldChar w:fldCharType="end"/>
            </w:r>
          </w:hyperlink>
        </w:p>
        <w:p w14:paraId="198C0F9E" w14:textId="4E496362"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1" w:history="1">
            <w:r w:rsidRPr="00477C4D">
              <w:rPr>
                <w:rStyle w:val="Hyperlink"/>
                <w:rFonts w:ascii="Arial" w:hAnsi="Arial" w:cs="Arial"/>
                <w:noProof/>
                <w:lang w:val="en-IN"/>
              </w:rPr>
              <w:t>Stakeholder Engagement Plan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_Toc214570831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12</w:t>
            </w:r>
            <w:r w:rsidRPr="00477C4D">
              <w:rPr>
                <w:rFonts w:ascii="Arial" w:hAnsi="Arial" w:cs="Arial"/>
                <w:noProof/>
                <w:webHidden/>
              </w:rPr>
              <w:fldChar w:fldCharType="end"/>
            </w:r>
          </w:hyperlink>
        </w:p>
        <w:p w14:paraId="2D3FDA8B" w14:textId="0B755462"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2" w:history="1">
            <w:r w:rsidRPr="00477C4D">
              <w:rPr>
                <w:rStyle w:val="Hyperlink"/>
                <w:rFonts w:ascii="Arial" w:hAnsi="Arial" w:cs="Arial"/>
                <w:b/>
                <w:bCs/>
                <w:noProof/>
                <w:lang w:val="en-IN"/>
              </w:rPr>
              <w:t>Communication Plan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_Toc214570832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12</w:t>
            </w:r>
            <w:r w:rsidRPr="00477C4D">
              <w:rPr>
                <w:rFonts w:ascii="Arial" w:hAnsi="Arial" w:cs="Arial"/>
                <w:noProof/>
                <w:webHidden/>
              </w:rPr>
              <w:fldChar w:fldCharType="end"/>
            </w:r>
          </w:hyperlink>
        </w:p>
        <w:p w14:paraId="05AFDE8A" w14:textId="50AF26BA"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3" w:history="1">
            <w:r w:rsidRPr="00477C4D">
              <w:rPr>
                <w:rStyle w:val="Hyperlink"/>
                <w:rFonts w:ascii="Arial" w:hAnsi="Arial" w:cs="Arial"/>
                <w:noProof/>
                <w:lang w:val="en-IN"/>
              </w:rPr>
              <w:t>Integration of Frameworks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_Toc214570833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13</w:t>
            </w:r>
            <w:r w:rsidRPr="00477C4D">
              <w:rPr>
                <w:rFonts w:ascii="Arial" w:hAnsi="Arial" w:cs="Arial"/>
                <w:noProof/>
                <w:webHidden/>
              </w:rPr>
              <w:fldChar w:fldCharType="end"/>
            </w:r>
          </w:hyperlink>
        </w:p>
        <w:p w14:paraId="46F91805" w14:textId="0912C040"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34" w:history="1">
            <w:r w:rsidRPr="00477C4D">
              <w:rPr>
                <w:rStyle w:val="Hyperlink"/>
                <w:rFonts w:ascii="Arial" w:hAnsi="Arial" w:cs="Arial"/>
                <w:noProof/>
              </w:rPr>
              <w:t>Stakeholder Engagement Process &amp; Conflict Management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_Toc214570834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13</w:t>
            </w:r>
            <w:r w:rsidRPr="00477C4D">
              <w:rPr>
                <w:rFonts w:ascii="Arial" w:hAnsi="Arial" w:cs="Arial"/>
                <w:noProof/>
                <w:webHidden/>
              </w:rPr>
              <w:fldChar w:fldCharType="end"/>
            </w:r>
          </w:hyperlink>
        </w:p>
        <w:p w14:paraId="5D1B4105" w14:textId="76496F2C"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5" w:history="1">
            <w:r w:rsidRPr="00477C4D">
              <w:rPr>
                <w:rStyle w:val="Hyperlink"/>
                <w:rFonts w:ascii="Arial" w:hAnsi="Arial" w:cs="Arial"/>
                <w:noProof/>
                <w:lang w:val="en-IN"/>
              </w:rPr>
              <w:t>Communication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_Toc214570835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13</w:t>
            </w:r>
            <w:r w:rsidRPr="00477C4D">
              <w:rPr>
                <w:rFonts w:ascii="Arial" w:hAnsi="Arial" w:cs="Arial"/>
                <w:noProof/>
                <w:webHidden/>
              </w:rPr>
              <w:fldChar w:fldCharType="end"/>
            </w:r>
          </w:hyperlink>
        </w:p>
        <w:p w14:paraId="799A4869" w14:textId="42771583"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6" w:history="1">
            <w:r w:rsidRPr="00477C4D">
              <w:rPr>
                <w:rStyle w:val="Hyperlink"/>
                <w:rFonts w:ascii="Arial" w:hAnsi="Arial" w:cs="Arial"/>
                <w:noProof/>
                <w:lang w:val="en-IN"/>
              </w:rPr>
              <w:t>Coordination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_Toc214570836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14</w:t>
            </w:r>
            <w:r w:rsidRPr="00477C4D">
              <w:rPr>
                <w:rFonts w:ascii="Arial" w:hAnsi="Arial" w:cs="Arial"/>
                <w:noProof/>
                <w:webHidden/>
              </w:rPr>
              <w:fldChar w:fldCharType="end"/>
            </w:r>
          </w:hyperlink>
        </w:p>
        <w:p w14:paraId="2ED8DE0E" w14:textId="0B21512C"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7" w:history="1">
            <w:r w:rsidRPr="00477C4D">
              <w:rPr>
                <w:rStyle w:val="Hyperlink"/>
                <w:rFonts w:ascii="Arial" w:hAnsi="Arial" w:cs="Arial"/>
                <w:noProof/>
                <w:lang w:val="en-IN"/>
              </w:rPr>
              <w:t>Cooperation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_Toc214570837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14</w:t>
            </w:r>
            <w:r w:rsidRPr="00477C4D">
              <w:rPr>
                <w:rFonts w:ascii="Arial" w:hAnsi="Arial" w:cs="Arial"/>
                <w:noProof/>
                <w:webHidden/>
              </w:rPr>
              <w:fldChar w:fldCharType="end"/>
            </w:r>
          </w:hyperlink>
        </w:p>
        <w:p w14:paraId="50CB86F1" w14:textId="1651B4D9"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8" w:history="1">
            <w:r w:rsidRPr="00477C4D">
              <w:rPr>
                <w:rStyle w:val="Hyperlink"/>
                <w:rFonts w:ascii="Arial" w:hAnsi="Arial" w:cs="Arial"/>
                <w:noProof/>
                <w:lang w:val="en-IN"/>
              </w:rPr>
              <w:t>Collaboration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_Toc214570838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15</w:t>
            </w:r>
            <w:r w:rsidRPr="00477C4D">
              <w:rPr>
                <w:rFonts w:ascii="Arial" w:hAnsi="Arial" w:cs="Arial"/>
                <w:noProof/>
                <w:webHidden/>
              </w:rPr>
              <w:fldChar w:fldCharType="end"/>
            </w:r>
          </w:hyperlink>
        </w:p>
        <w:p w14:paraId="2B04ACCF" w14:textId="56D47DDE"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39" w:history="1">
            <w:r w:rsidRPr="00477C4D">
              <w:rPr>
                <w:rStyle w:val="Hyperlink"/>
                <w:rFonts w:ascii="Arial" w:hAnsi="Arial" w:cs="Arial"/>
                <w:noProof/>
                <w:lang w:val="en-IN"/>
              </w:rPr>
              <w:t>Conflict Management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_Toc214570839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15</w:t>
            </w:r>
            <w:r w:rsidRPr="00477C4D">
              <w:rPr>
                <w:rFonts w:ascii="Arial" w:hAnsi="Arial" w:cs="Arial"/>
                <w:noProof/>
                <w:webHidden/>
              </w:rPr>
              <w:fldChar w:fldCharType="end"/>
            </w:r>
          </w:hyperlink>
        </w:p>
        <w:p w14:paraId="6D665232" w14:textId="2528846D"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40" w:history="1">
            <w:r w:rsidRPr="00477C4D">
              <w:rPr>
                <w:rStyle w:val="Hyperlink"/>
                <w:rFonts w:ascii="Arial" w:hAnsi="Arial" w:cs="Arial"/>
                <w:noProof/>
              </w:rPr>
              <w:t>Impact of Stakeholder Engagement on Business Performance + Recommendations</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_Toc214570840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16</w:t>
            </w:r>
            <w:r w:rsidRPr="00477C4D">
              <w:rPr>
                <w:rFonts w:ascii="Arial" w:hAnsi="Arial" w:cs="Arial"/>
                <w:noProof/>
                <w:webHidden/>
              </w:rPr>
              <w:fldChar w:fldCharType="end"/>
            </w:r>
          </w:hyperlink>
        </w:p>
        <w:p w14:paraId="096C2F92" w14:textId="5A0127DC" w:rsidR="001A4270" w:rsidRPr="00477C4D" w:rsidRDefault="001A4270">
          <w:pPr>
            <w:pStyle w:val="TOC2"/>
            <w:tabs>
              <w:tab w:val="right" w:leader="dot" w:pos="9016"/>
            </w:tabs>
            <w:rPr>
              <w:rFonts w:ascii="Arial" w:hAnsi="Arial" w:cs="Arial"/>
              <w:noProof/>
              <w:kern w:val="2"/>
              <w:lang w:val="en-IN" w:eastAsia="en-IN"/>
              <w14:ligatures w14:val="standardContextual"/>
            </w:rPr>
          </w:pPr>
          <w:hyperlink w:anchor="_Toc214570841" w:history="1">
            <w:r w:rsidRPr="00477C4D">
              <w:rPr>
                <w:rStyle w:val="Hyperlink"/>
                <w:rFonts w:ascii="Arial" w:hAnsi="Arial" w:cs="Arial"/>
                <w:noProof/>
                <w:lang w:val="en-IN"/>
              </w:rPr>
              <w:t>Impact on Business Performance</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_Toc214570841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16</w:t>
            </w:r>
            <w:r w:rsidRPr="00477C4D">
              <w:rPr>
                <w:rFonts w:ascii="Arial" w:hAnsi="Arial" w:cs="Arial"/>
                <w:noProof/>
                <w:webHidden/>
              </w:rPr>
              <w:fldChar w:fldCharType="end"/>
            </w:r>
          </w:hyperlink>
        </w:p>
        <w:p w14:paraId="16699AA1" w14:textId="696FE981"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42" w:history="1">
            <w:r w:rsidRPr="00477C4D">
              <w:rPr>
                <w:rStyle w:val="Hyperlink"/>
                <w:rFonts w:ascii="Arial" w:hAnsi="Arial" w:cs="Arial"/>
                <w:noProof/>
                <w:lang w:val="en-IN"/>
              </w:rPr>
              <w:t>Recommendations for Strengthening Stakeholder Engagement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_Toc214570842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18</w:t>
            </w:r>
            <w:r w:rsidRPr="00477C4D">
              <w:rPr>
                <w:rFonts w:ascii="Arial" w:hAnsi="Arial" w:cs="Arial"/>
                <w:noProof/>
                <w:webHidden/>
              </w:rPr>
              <w:fldChar w:fldCharType="end"/>
            </w:r>
          </w:hyperlink>
        </w:p>
        <w:p w14:paraId="6C5DDADE" w14:textId="7F1049B6"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43" w:history="1">
            <w:r w:rsidRPr="00477C4D">
              <w:rPr>
                <w:rStyle w:val="Hyperlink"/>
                <w:rFonts w:ascii="Arial" w:hAnsi="Arial" w:cs="Arial"/>
                <w:noProof/>
              </w:rPr>
              <w:t>Conclusion</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_Toc214570843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20</w:t>
            </w:r>
            <w:r w:rsidRPr="00477C4D">
              <w:rPr>
                <w:rFonts w:ascii="Arial" w:hAnsi="Arial" w:cs="Arial"/>
                <w:noProof/>
                <w:webHidden/>
              </w:rPr>
              <w:fldChar w:fldCharType="end"/>
            </w:r>
          </w:hyperlink>
        </w:p>
        <w:p w14:paraId="67A26251" w14:textId="30C4BD74" w:rsidR="001A4270" w:rsidRPr="00477C4D" w:rsidRDefault="001A4270">
          <w:pPr>
            <w:pStyle w:val="TOC1"/>
            <w:tabs>
              <w:tab w:val="right" w:leader="dot" w:pos="9016"/>
            </w:tabs>
            <w:rPr>
              <w:rFonts w:ascii="Arial" w:hAnsi="Arial" w:cs="Arial"/>
              <w:noProof/>
              <w:kern w:val="2"/>
              <w:lang w:val="en-IN" w:eastAsia="en-IN"/>
              <w14:ligatures w14:val="standardContextual"/>
            </w:rPr>
          </w:pPr>
          <w:hyperlink w:anchor="_Toc214570844" w:history="1">
            <w:r w:rsidRPr="00477C4D">
              <w:rPr>
                <w:rStyle w:val="Hyperlink"/>
                <w:rFonts w:ascii="Arial" w:hAnsi="Arial" w:cs="Arial"/>
                <w:noProof/>
                <w:lang w:val="en-IN"/>
              </w:rPr>
              <w:t>References List</w:t>
            </w:r>
            <w:r w:rsidRPr="00477C4D">
              <w:rPr>
                <w:rFonts w:ascii="Arial" w:hAnsi="Arial" w:cs="Arial"/>
                <w:noProof/>
                <w:webHidden/>
              </w:rPr>
              <w:tab/>
            </w:r>
            <w:r w:rsidRPr="00477C4D">
              <w:rPr>
                <w:rFonts w:ascii="Arial" w:hAnsi="Arial" w:cs="Arial"/>
                <w:noProof/>
                <w:webHidden/>
              </w:rPr>
              <w:fldChar w:fldCharType="begin"/>
            </w:r>
            <w:r w:rsidRPr="00477C4D">
              <w:rPr>
                <w:rFonts w:ascii="Arial" w:hAnsi="Arial" w:cs="Arial"/>
                <w:noProof/>
                <w:webHidden/>
              </w:rPr>
              <w:instrText xml:space="preserve"> PAGEREF _Toc214570844 \h </w:instrText>
            </w:r>
            <w:r w:rsidRPr="00477C4D">
              <w:rPr>
                <w:rFonts w:ascii="Arial" w:hAnsi="Arial" w:cs="Arial"/>
                <w:noProof/>
                <w:webHidden/>
              </w:rPr>
            </w:r>
            <w:r w:rsidRPr="00477C4D">
              <w:rPr>
                <w:rFonts w:ascii="Arial" w:hAnsi="Arial" w:cs="Arial"/>
                <w:noProof/>
                <w:webHidden/>
              </w:rPr>
              <w:fldChar w:fldCharType="separate"/>
            </w:r>
            <w:r w:rsidRPr="00477C4D">
              <w:rPr>
                <w:rFonts w:ascii="Arial" w:hAnsi="Arial" w:cs="Arial"/>
                <w:noProof/>
                <w:webHidden/>
              </w:rPr>
              <w:t>21</w:t>
            </w:r>
            <w:r w:rsidRPr="00477C4D">
              <w:rPr>
                <w:rFonts w:ascii="Arial" w:hAnsi="Arial" w:cs="Arial"/>
                <w:noProof/>
                <w:webHidden/>
              </w:rPr>
              <w:fldChar w:fldCharType="end"/>
            </w:r>
          </w:hyperlink>
        </w:p>
        <w:p w14:paraId="691CAE51" w14:textId="77777777" w:rsidR="001A4270" w:rsidRPr="00477C4D" w:rsidRDefault="001A4270" w:rsidP="001A4270">
          <w:pPr>
            <w:rPr>
              <w:rFonts w:ascii="Arial" w:hAnsi="Arial" w:cs="Arial"/>
              <w:b/>
              <w:bCs/>
              <w:noProof/>
              <w:sz w:val="22"/>
              <w:szCs w:val="22"/>
            </w:rPr>
          </w:pPr>
          <w:r w:rsidRPr="00477C4D">
            <w:rPr>
              <w:rFonts w:ascii="Arial" w:hAnsi="Arial" w:cs="Arial"/>
              <w:b/>
              <w:bCs/>
              <w:noProof/>
              <w:sz w:val="22"/>
              <w:szCs w:val="22"/>
            </w:rPr>
            <w:fldChar w:fldCharType="end"/>
          </w:r>
        </w:p>
        <w:p w14:paraId="31CCE5AF" w14:textId="77777777" w:rsidR="001A4270" w:rsidRPr="00477C4D" w:rsidRDefault="001A4270" w:rsidP="001A4270">
          <w:pPr>
            <w:rPr>
              <w:rFonts w:ascii="Arial" w:hAnsi="Arial" w:cs="Arial"/>
              <w:b/>
              <w:bCs/>
              <w:noProof/>
              <w:sz w:val="22"/>
              <w:szCs w:val="22"/>
            </w:rPr>
          </w:pPr>
        </w:p>
        <w:p w14:paraId="3F41DAFF" w14:textId="0C5847F3" w:rsidR="001A4270" w:rsidRPr="00477C4D" w:rsidRDefault="00000000" w:rsidP="001A4270">
          <w:pPr>
            <w:rPr>
              <w:rFonts w:ascii="Arial" w:hAnsi="Arial" w:cs="Arial"/>
              <w:sz w:val="22"/>
              <w:szCs w:val="22"/>
            </w:rPr>
          </w:pPr>
        </w:p>
      </w:sdtContent>
    </w:sdt>
    <w:bookmarkStart w:id="0" w:name="_Toc214570796" w:displacedByCustomXml="prev"/>
    <w:p w14:paraId="7E7BA1F5" w14:textId="77777777" w:rsidR="001A4270" w:rsidRDefault="001A4270" w:rsidP="001A4270">
      <w:pPr>
        <w:rPr>
          <w:rFonts w:ascii="Arial" w:hAnsi="Arial" w:cs="Arial"/>
          <w:sz w:val="22"/>
          <w:szCs w:val="22"/>
        </w:rPr>
      </w:pPr>
    </w:p>
    <w:p w14:paraId="523F72D0" w14:textId="77777777" w:rsidR="00477C4D" w:rsidRDefault="00477C4D" w:rsidP="001A4270">
      <w:pPr>
        <w:rPr>
          <w:rFonts w:ascii="Arial" w:hAnsi="Arial" w:cs="Arial"/>
          <w:sz w:val="22"/>
          <w:szCs w:val="22"/>
        </w:rPr>
      </w:pPr>
    </w:p>
    <w:p w14:paraId="7CA74A84" w14:textId="77777777" w:rsidR="00477C4D" w:rsidRDefault="00477C4D" w:rsidP="001A4270">
      <w:pPr>
        <w:rPr>
          <w:rFonts w:ascii="Arial" w:hAnsi="Arial" w:cs="Arial"/>
          <w:sz w:val="22"/>
          <w:szCs w:val="22"/>
        </w:rPr>
      </w:pPr>
    </w:p>
    <w:p w14:paraId="6AE00FB0" w14:textId="77777777" w:rsidR="00477C4D" w:rsidRDefault="00477C4D" w:rsidP="001A4270">
      <w:pPr>
        <w:rPr>
          <w:rFonts w:ascii="Arial" w:hAnsi="Arial" w:cs="Arial"/>
          <w:sz w:val="22"/>
          <w:szCs w:val="22"/>
        </w:rPr>
      </w:pPr>
    </w:p>
    <w:p w14:paraId="56BE7C7A" w14:textId="77777777" w:rsidR="00477C4D" w:rsidRDefault="00477C4D" w:rsidP="001A4270">
      <w:pPr>
        <w:rPr>
          <w:rFonts w:ascii="Arial" w:hAnsi="Arial" w:cs="Arial"/>
          <w:sz w:val="22"/>
          <w:szCs w:val="22"/>
        </w:rPr>
      </w:pPr>
    </w:p>
    <w:p w14:paraId="5683C150" w14:textId="77777777" w:rsidR="00477C4D" w:rsidRDefault="00477C4D" w:rsidP="001A4270">
      <w:pPr>
        <w:rPr>
          <w:rFonts w:ascii="Arial" w:hAnsi="Arial" w:cs="Arial"/>
          <w:sz w:val="22"/>
          <w:szCs w:val="22"/>
        </w:rPr>
      </w:pPr>
    </w:p>
    <w:p w14:paraId="589A6C0A" w14:textId="77777777" w:rsidR="00477C4D" w:rsidRDefault="00477C4D" w:rsidP="001A4270">
      <w:pPr>
        <w:rPr>
          <w:rFonts w:ascii="Arial" w:hAnsi="Arial" w:cs="Arial"/>
          <w:sz w:val="22"/>
          <w:szCs w:val="22"/>
        </w:rPr>
      </w:pPr>
    </w:p>
    <w:p w14:paraId="3B3D89D3" w14:textId="77777777" w:rsidR="00477C4D" w:rsidRDefault="00477C4D" w:rsidP="001A4270">
      <w:pPr>
        <w:rPr>
          <w:rFonts w:ascii="Arial" w:hAnsi="Arial" w:cs="Arial"/>
          <w:sz w:val="22"/>
          <w:szCs w:val="22"/>
        </w:rPr>
      </w:pPr>
    </w:p>
    <w:p w14:paraId="39486214" w14:textId="77777777" w:rsidR="00477C4D" w:rsidRDefault="00477C4D" w:rsidP="001A4270">
      <w:pPr>
        <w:rPr>
          <w:rFonts w:ascii="Arial" w:hAnsi="Arial" w:cs="Arial"/>
          <w:sz w:val="22"/>
          <w:szCs w:val="22"/>
        </w:rPr>
      </w:pPr>
    </w:p>
    <w:p w14:paraId="53A4B40E" w14:textId="77777777" w:rsidR="00477C4D" w:rsidRDefault="00477C4D" w:rsidP="001A4270">
      <w:pPr>
        <w:rPr>
          <w:rFonts w:ascii="Arial" w:hAnsi="Arial" w:cs="Arial"/>
          <w:sz w:val="22"/>
          <w:szCs w:val="22"/>
        </w:rPr>
      </w:pPr>
    </w:p>
    <w:p w14:paraId="3ABC5CE1" w14:textId="77777777" w:rsidR="00477C4D" w:rsidRDefault="00477C4D" w:rsidP="001A4270">
      <w:pPr>
        <w:rPr>
          <w:rFonts w:ascii="Arial" w:hAnsi="Arial" w:cs="Arial"/>
          <w:sz w:val="22"/>
          <w:szCs w:val="22"/>
        </w:rPr>
      </w:pPr>
    </w:p>
    <w:p w14:paraId="364169FE" w14:textId="77777777" w:rsidR="00477C4D" w:rsidRDefault="00477C4D" w:rsidP="001A4270">
      <w:pPr>
        <w:rPr>
          <w:rFonts w:ascii="Arial" w:hAnsi="Arial" w:cs="Arial"/>
          <w:sz w:val="22"/>
          <w:szCs w:val="22"/>
        </w:rPr>
      </w:pPr>
    </w:p>
    <w:p w14:paraId="42050D0F" w14:textId="77777777" w:rsidR="00477C4D" w:rsidRDefault="00477C4D" w:rsidP="001A4270">
      <w:pPr>
        <w:rPr>
          <w:rFonts w:ascii="Arial" w:hAnsi="Arial" w:cs="Arial"/>
          <w:sz w:val="22"/>
          <w:szCs w:val="22"/>
        </w:rPr>
      </w:pPr>
    </w:p>
    <w:p w14:paraId="6F534424" w14:textId="77777777" w:rsidR="00477C4D" w:rsidRDefault="00477C4D" w:rsidP="001A4270">
      <w:pPr>
        <w:rPr>
          <w:rFonts w:ascii="Arial" w:hAnsi="Arial" w:cs="Arial"/>
          <w:sz w:val="22"/>
          <w:szCs w:val="22"/>
        </w:rPr>
      </w:pPr>
    </w:p>
    <w:p w14:paraId="47088B8B" w14:textId="77777777" w:rsidR="00477C4D" w:rsidRDefault="00477C4D" w:rsidP="001A4270">
      <w:pPr>
        <w:rPr>
          <w:rFonts w:ascii="Arial" w:hAnsi="Arial" w:cs="Arial"/>
          <w:sz w:val="22"/>
          <w:szCs w:val="22"/>
        </w:rPr>
      </w:pPr>
    </w:p>
    <w:p w14:paraId="4135DA21" w14:textId="77777777" w:rsidR="00477C4D" w:rsidRPr="00477C4D" w:rsidRDefault="00477C4D" w:rsidP="001A4270">
      <w:pPr>
        <w:rPr>
          <w:rFonts w:ascii="Arial" w:hAnsi="Arial" w:cs="Arial"/>
          <w:sz w:val="22"/>
          <w:szCs w:val="22"/>
        </w:rPr>
      </w:pPr>
    </w:p>
    <w:p w14:paraId="7BC17573" w14:textId="77777777" w:rsidR="001A4270" w:rsidRPr="00477C4D" w:rsidRDefault="001A4270" w:rsidP="001A4270">
      <w:pPr>
        <w:pStyle w:val="NoSpacing"/>
        <w:rPr>
          <w:rFonts w:ascii="Arial" w:hAnsi="Arial" w:cs="Arial"/>
          <w:sz w:val="22"/>
          <w:szCs w:val="22"/>
        </w:rPr>
      </w:pPr>
    </w:p>
    <w:p w14:paraId="74BB2FF9" w14:textId="41E7FC29" w:rsidR="00D7284D" w:rsidRPr="00913B69" w:rsidRDefault="00753A84" w:rsidP="001D56C9">
      <w:pPr>
        <w:pStyle w:val="Heading1"/>
        <w:rPr>
          <w:rFonts w:ascii="Arial" w:hAnsi="Arial" w:cs="Arial"/>
          <w:b/>
          <w:bCs/>
          <w:sz w:val="22"/>
          <w:szCs w:val="22"/>
        </w:rPr>
      </w:pPr>
      <w:r w:rsidRPr="00913B69">
        <w:rPr>
          <w:rFonts w:ascii="Arial" w:hAnsi="Arial" w:cs="Arial"/>
          <w:b/>
          <w:bCs/>
          <w:sz w:val="22"/>
          <w:szCs w:val="22"/>
        </w:rPr>
        <w:lastRenderedPageBreak/>
        <w:t>Introduction of the Company</w:t>
      </w:r>
      <w:bookmarkEnd w:id="0"/>
      <w:r w:rsidRPr="00913B69">
        <w:rPr>
          <w:rFonts w:ascii="Arial" w:hAnsi="Arial" w:cs="Arial"/>
          <w:b/>
          <w:bCs/>
          <w:sz w:val="22"/>
          <w:szCs w:val="22"/>
        </w:rPr>
        <w:t xml:space="preserve"> </w:t>
      </w:r>
    </w:p>
    <w:p w14:paraId="4567C1B8" w14:textId="28B029DB" w:rsidR="00417B43" w:rsidRPr="00477C4D" w:rsidRDefault="00417B43" w:rsidP="00EC34D8">
      <w:pPr>
        <w:jc w:val="both"/>
        <w:rPr>
          <w:rFonts w:ascii="Arial" w:hAnsi="Arial" w:cs="Arial"/>
          <w:sz w:val="22"/>
          <w:szCs w:val="22"/>
          <w:lang w:val="en-IN"/>
        </w:rPr>
      </w:pPr>
      <w:r w:rsidRPr="00477C4D">
        <w:rPr>
          <w:rFonts w:ascii="Arial" w:hAnsi="Arial" w:cs="Arial"/>
          <w:sz w:val="22"/>
          <w:szCs w:val="22"/>
          <w:lang w:val="en-IN"/>
        </w:rPr>
        <w:t xml:space="preserve">Philips UK HealthTech is part of Royal Philips, a </w:t>
      </w:r>
      <w:r w:rsidR="0078348E" w:rsidRPr="00477C4D">
        <w:rPr>
          <w:rFonts w:ascii="Arial" w:hAnsi="Arial" w:cs="Arial"/>
          <w:sz w:val="22"/>
          <w:szCs w:val="22"/>
          <w:lang w:val="en-IN"/>
        </w:rPr>
        <w:t>well-known</w:t>
      </w:r>
      <w:r w:rsidRPr="00477C4D">
        <w:rPr>
          <w:rFonts w:ascii="Arial" w:hAnsi="Arial" w:cs="Arial"/>
          <w:sz w:val="22"/>
          <w:szCs w:val="22"/>
          <w:lang w:val="en-IN"/>
        </w:rPr>
        <w:t xml:space="preserve"> global name in healthcare technology with operations in over </w:t>
      </w:r>
      <w:r w:rsidR="0078348E" w:rsidRPr="00477C4D">
        <w:rPr>
          <w:rFonts w:ascii="Arial" w:hAnsi="Arial" w:cs="Arial"/>
          <w:sz w:val="22"/>
          <w:szCs w:val="22"/>
          <w:lang w:val="en-IN"/>
        </w:rPr>
        <w:t>one hundred</w:t>
      </w:r>
      <w:r w:rsidRPr="00477C4D">
        <w:rPr>
          <w:rFonts w:ascii="Arial" w:hAnsi="Arial" w:cs="Arial"/>
          <w:sz w:val="22"/>
          <w:szCs w:val="22"/>
          <w:lang w:val="en-IN"/>
        </w:rPr>
        <w:t xml:space="preserve"> countries. In the UK, the HealthTech division focuses on bringing digital health solutions to market that help </w:t>
      </w:r>
      <w:r w:rsidR="0078348E" w:rsidRPr="00477C4D">
        <w:rPr>
          <w:rFonts w:ascii="Arial" w:hAnsi="Arial" w:cs="Arial"/>
          <w:sz w:val="22"/>
          <w:szCs w:val="22"/>
          <w:lang w:val="en-IN"/>
        </w:rPr>
        <w:t>patients and</w:t>
      </w:r>
      <w:r w:rsidRPr="00477C4D">
        <w:rPr>
          <w:rFonts w:ascii="Arial" w:hAnsi="Arial" w:cs="Arial"/>
          <w:sz w:val="22"/>
          <w:szCs w:val="22"/>
          <w:lang w:val="en-IN"/>
        </w:rPr>
        <w:t xml:space="preserve"> make everyday health management easier. Thanks to strong research and development teams, and long-standing partnerships with the NHS and private healthcare providers, Philips has built a solid reputation in areas like diagnostic imaging and connected personal-health devices.</w:t>
      </w:r>
    </w:p>
    <w:p w14:paraId="387F7AD9" w14:textId="6E453CF3" w:rsidR="00417B43" w:rsidRPr="00477C4D" w:rsidRDefault="00417B43" w:rsidP="00EC34D8">
      <w:pPr>
        <w:jc w:val="both"/>
        <w:rPr>
          <w:rFonts w:ascii="Arial" w:hAnsi="Arial" w:cs="Arial"/>
          <w:sz w:val="22"/>
          <w:szCs w:val="22"/>
          <w:lang w:val="en-IN"/>
        </w:rPr>
      </w:pPr>
      <w:r w:rsidRPr="00477C4D">
        <w:rPr>
          <w:rFonts w:ascii="Arial" w:hAnsi="Arial" w:cs="Arial"/>
          <w:sz w:val="22"/>
          <w:szCs w:val="22"/>
          <w:lang w:val="en-IN"/>
        </w:rPr>
        <w:t>In the UK, Philips already offers a wide range of health products, from hospital-grade monitoring systems to everyday devices such as smart thermometers and connected oral-care tools. Building on this experience, the company is now preparing to launch a new wearable device that tracks heart rate, and sleep patterns. The aim is to give users real-time health insights while also helping healthcare professionals with early detection and remote monitoring.</w:t>
      </w:r>
    </w:p>
    <w:p w14:paraId="0D98A9DB" w14:textId="67058F2F" w:rsidR="00417B43" w:rsidRPr="00477C4D" w:rsidRDefault="00417B43" w:rsidP="00EC34D8">
      <w:pPr>
        <w:jc w:val="both"/>
        <w:rPr>
          <w:rFonts w:ascii="Arial" w:hAnsi="Arial" w:cs="Arial"/>
          <w:sz w:val="22"/>
          <w:szCs w:val="22"/>
          <w:lang w:val="en-IN"/>
        </w:rPr>
      </w:pPr>
      <w:r w:rsidRPr="00477C4D">
        <w:rPr>
          <w:rFonts w:ascii="Arial" w:hAnsi="Arial" w:cs="Arial"/>
          <w:sz w:val="22"/>
          <w:szCs w:val="22"/>
          <w:lang w:val="en-IN"/>
        </w:rPr>
        <w:t xml:space="preserve">The company plans to introduce this wearable to the UK market within the next six months. </w:t>
      </w:r>
      <w:r w:rsidR="0078348E" w:rsidRPr="00477C4D">
        <w:rPr>
          <w:rFonts w:ascii="Arial" w:hAnsi="Arial" w:cs="Arial"/>
          <w:sz w:val="22"/>
          <w:szCs w:val="22"/>
          <w:lang w:val="en-IN"/>
        </w:rPr>
        <w:t>Achieve</w:t>
      </w:r>
      <w:r w:rsidRPr="00477C4D">
        <w:rPr>
          <w:rFonts w:ascii="Arial" w:hAnsi="Arial" w:cs="Arial"/>
          <w:sz w:val="22"/>
          <w:szCs w:val="22"/>
          <w:lang w:val="en-IN"/>
        </w:rPr>
        <w:t xml:space="preserve"> a smooth and successful launch, Philips needs strong coordination between its internal teams and external partners. Engaging these stakeholders early and effectively will help ensure the product meets regulatory standards, is technically ready, and reaches customers confidently on time.</w:t>
      </w:r>
    </w:p>
    <w:p w14:paraId="63FFAA52" w14:textId="2310CD74" w:rsidR="0091096D" w:rsidRPr="00477C4D" w:rsidRDefault="0091096D" w:rsidP="0091096D">
      <w:pPr>
        <w:rPr>
          <w:rFonts w:ascii="Arial" w:hAnsi="Arial" w:cs="Arial"/>
          <w:sz w:val="22"/>
          <w:szCs w:val="22"/>
          <w:lang w:val="en-IN"/>
        </w:rPr>
      </w:pPr>
    </w:p>
    <w:p w14:paraId="06D3E8EE" w14:textId="7C0AB185" w:rsidR="009D6B86" w:rsidRPr="00913B69" w:rsidRDefault="0091096D" w:rsidP="001D56C9">
      <w:pPr>
        <w:pStyle w:val="Heading1"/>
        <w:rPr>
          <w:rFonts w:ascii="Arial" w:hAnsi="Arial" w:cs="Arial"/>
          <w:b/>
          <w:bCs/>
          <w:sz w:val="22"/>
          <w:szCs w:val="22"/>
        </w:rPr>
      </w:pPr>
      <w:bookmarkStart w:id="1" w:name="_Toc214570797"/>
      <w:r w:rsidRPr="00913B69">
        <w:rPr>
          <w:rFonts w:ascii="Arial" w:hAnsi="Arial" w:cs="Arial"/>
          <w:b/>
          <w:bCs/>
          <w:sz w:val="22"/>
          <w:szCs w:val="22"/>
        </w:rPr>
        <w:t>Strategic Appraisal Using SWOT Analysis</w:t>
      </w:r>
      <w:bookmarkEnd w:id="1"/>
    </w:p>
    <w:p w14:paraId="1B6D4DC8" w14:textId="13D25EE3"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 xml:space="preserve">A SWOT analysis helps assess Philips UK HealthTech’s strengths, weaknesses, </w:t>
      </w:r>
      <w:r w:rsidR="0078348E" w:rsidRPr="00477C4D">
        <w:rPr>
          <w:rFonts w:ascii="Arial" w:hAnsi="Arial" w:cs="Arial"/>
          <w:sz w:val="22"/>
          <w:szCs w:val="22"/>
          <w:lang w:val="en-IN" w:eastAsia="en-IN"/>
        </w:rPr>
        <w:t>opportunities,</w:t>
      </w:r>
      <w:r w:rsidRPr="00477C4D">
        <w:rPr>
          <w:rFonts w:ascii="Arial" w:hAnsi="Arial" w:cs="Arial"/>
          <w:sz w:val="22"/>
          <w:szCs w:val="22"/>
          <w:lang w:val="en-IN" w:eastAsia="en-IN"/>
        </w:rPr>
        <w:t xml:space="preserve"> and threats as it prepares to enter the UK wearable-tech market with its new health-tracking device. It gives a clear picture of what advantages Philips can rely on, and what challenges it must manage to ensure the product succeeds.</w:t>
      </w:r>
    </w:p>
    <w:p w14:paraId="4B4DA249" w14:textId="77777777" w:rsidR="00417B43" w:rsidRPr="00477C4D" w:rsidRDefault="00417B43" w:rsidP="007174FB">
      <w:pPr>
        <w:jc w:val="both"/>
        <w:rPr>
          <w:rFonts w:ascii="Arial" w:hAnsi="Arial" w:cs="Arial"/>
          <w:b/>
          <w:bCs/>
          <w:sz w:val="22"/>
          <w:szCs w:val="22"/>
          <w:lang w:val="en-IN" w:eastAsia="en-IN"/>
        </w:rPr>
      </w:pPr>
      <w:r w:rsidRPr="00477C4D">
        <w:rPr>
          <w:rFonts w:ascii="Arial" w:hAnsi="Arial" w:cs="Arial"/>
          <w:b/>
          <w:bCs/>
          <w:sz w:val="22"/>
          <w:szCs w:val="22"/>
          <w:lang w:val="en-IN" w:eastAsia="en-IN"/>
        </w:rPr>
        <w:t>Strengths</w:t>
      </w:r>
    </w:p>
    <w:p w14:paraId="7C579FEF" w14:textId="42FED1E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Philips has a strong global reputation for high-quality, reliable healthcare technology. In the UK, it already has a big presence in patient monitoring and diagnostic equipment.</w:t>
      </w:r>
    </w:p>
    <w:p w14:paraId="489F96B9" w14:textId="3003FD10"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The company’s strong R&amp;D background, supported by worldwide engineering teams, enables fast innovation and medical-grade accuracy an important advantage over lifestyle-focused competitors.</w:t>
      </w:r>
    </w:p>
    <w:p w14:paraId="2D661DA3" w14:textId="4742DA3A"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Philips also has experience in connected health technologies and existing NHS partnerships, allowing the wearable to be positioned not only as a fitness tool but also as a device that supports long-term health monitoring.</w:t>
      </w:r>
    </w:p>
    <w:p w14:paraId="418BB54E" w14:textId="77777777" w:rsidR="00417B43" w:rsidRPr="00477C4D" w:rsidRDefault="00417B43" w:rsidP="007174FB">
      <w:pPr>
        <w:jc w:val="both"/>
        <w:rPr>
          <w:rFonts w:ascii="Arial" w:hAnsi="Arial" w:cs="Arial"/>
          <w:b/>
          <w:bCs/>
          <w:sz w:val="22"/>
          <w:szCs w:val="22"/>
          <w:lang w:val="en-IN" w:eastAsia="en-IN"/>
        </w:rPr>
      </w:pPr>
      <w:r w:rsidRPr="00477C4D">
        <w:rPr>
          <w:rFonts w:ascii="Arial" w:hAnsi="Arial" w:cs="Arial"/>
          <w:b/>
          <w:bCs/>
          <w:sz w:val="22"/>
          <w:szCs w:val="22"/>
          <w:lang w:val="en-IN" w:eastAsia="en-IN"/>
        </w:rPr>
        <w:t>Weaknesses</w:t>
      </w:r>
    </w:p>
    <w:p w14:paraId="27B748EE" w14:textId="021EA0D2"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Developing medical-grade devices is expensive and time-consuming. Regulatory approval processes in the UK can delay product timelines and raise costs.</w:t>
      </w:r>
    </w:p>
    <w:p w14:paraId="3D7592E6" w14:textId="7777777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Philips relies on external suppliers for components like sensors and chips. This creates risks if there are global supply-chain disruptions.</w:t>
      </w:r>
    </w:p>
    <w:p w14:paraId="6291637C" w14:textId="7777777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Since the device collects sensitive biometric data, Philips must invest heavily in data protection and cybersecurity. Any weaknesses in this area could damage trust.</w:t>
      </w:r>
    </w:p>
    <w:p w14:paraId="7EA27564" w14:textId="77777777" w:rsidR="00417B43" w:rsidRPr="00477C4D" w:rsidRDefault="00417B43" w:rsidP="007174FB">
      <w:pPr>
        <w:jc w:val="both"/>
        <w:rPr>
          <w:rFonts w:ascii="Arial" w:hAnsi="Arial" w:cs="Arial"/>
          <w:b/>
          <w:bCs/>
          <w:sz w:val="22"/>
          <w:szCs w:val="22"/>
          <w:lang w:val="en-IN" w:eastAsia="en-IN"/>
        </w:rPr>
      </w:pPr>
      <w:r w:rsidRPr="00477C4D">
        <w:rPr>
          <w:rFonts w:ascii="Arial" w:hAnsi="Arial" w:cs="Arial"/>
          <w:b/>
          <w:bCs/>
          <w:sz w:val="22"/>
          <w:szCs w:val="22"/>
          <w:lang w:val="en-IN" w:eastAsia="en-IN"/>
        </w:rPr>
        <w:t>Opportunities</w:t>
      </w:r>
    </w:p>
    <w:p w14:paraId="397E8C5E" w14:textId="21CF4D79"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 xml:space="preserve">The UK market for wearables is growing quickly as more people use technology to track health, </w:t>
      </w:r>
      <w:r w:rsidR="0078348E" w:rsidRPr="00477C4D">
        <w:rPr>
          <w:rFonts w:ascii="Arial" w:hAnsi="Arial" w:cs="Arial"/>
          <w:sz w:val="22"/>
          <w:szCs w:val="22"/>
          <w:lang w:val="en-IN" w:eastAsia="en-IN"/>
        </w:rPr>
        <w:t>fitness,</w:t>
      </w:r>
      <w:r w:rsidRPr="00477C4D">
        <w:rPr>
          <w:rFonts w:ascii="Arial" w:hAnsi="Arial" w:cs="Arial"/>
          <w:sz w:val="22"/>
          <w:szCs w:val="22"/>
          <w:lang w:val="en-IN" w:eastAsia="en-IN"/>
        </w:rPr>
        <w:t xml:space="preserve"> and long-term conditions.</w:t>
      </w:r>
    </w:p>
    <w:p w14:paraId="46DBC28C" w14:textId="7777777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There is a strong opportunity to link the device with telehealth platforms, especially as remote care has grown since COVID-19.</w:t>
      </w:r>
    </w:p>
    <w:p w14:paraId="77C34AE0" w14:textId="7D3BF6C6"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 xml:space="preserve">Partnerships with the NHS, private healthcare providers and insurance companies offer additional routes for adoption through health programmes, remote-monitoring </w:t>
      </w:r>
      <w:r w:rsidR="0078348E" w:rsidRPr="00477C4D">
        <w:rPr>
          <w:rFonts w:ascii="Arial" w:hAnsi="Arial" w:cs="Arial"/>
          <w:sz w:val="22"/>
          <w:szCs w:val="22"/>
          <w:lang w:val="en-IN" w:eastAsia="en-IN"/>
        </w:rPr>
        <w:t>pilots,</w:t>
      </w:r>
      <w:r w:rsidRPr="00477C4D">
        <w:rPr>
          <w:rFonts w:ascii="Arial" w:hAnsi="Arial" w:cs="Arial"/>
          <w:sz w:val="22"/>
          <w:szCs w:val="22"/>
          <w:lang w:val="en-IN" w:eastAsia="en-IN"/>
        </w:rPr>
        <w:t xml:space="preserve"> and wellness incentives.</w:t>
      </w:r>
    </w:p>
    <w:p w14:paraId="1A1C614C" w14:textId="77777777" w:rsidR="00417B43" w:rsidRPr="00477C4D" w:rsidRDefault="00417B43" w:rsidP="007174FB">
      <w:pPr>
        <w:jc w:val="both"/>
        <w:rPr>
          <w:rFonts w:ascii="Arial" w:hAnsi="Arial" w:cs="Arial"/>
          <w:b/>
          <w:bCs/>
          <w:sz w:val="22"/>
          <w:szCs w:val="22"/>
          <w:lang w:val="en-IN" w:eastAsia="en-IN"/>
        </w:rPr>
      </w:pPr>
      <w:r w:rsidRPr="00477C4D">
        <w:rPr>
          <w:rFonts w:ascii="Arial" w:hAnsi="Arial" w:cs="Arial"/>
          <w:b/>
          <w:bCs/>
          <w:sz w:val="22"/>
          <w:szCs w:val="22"/>
          <w:lang w:val="en-IN" w:eastAsia="en-IN"/>
        </w:rPr>
        <w:t>Threats</w:t>
      </w:r>
    </w:p>
    <w:p w14:paraId="4DCD6611" w14:textId="14816744"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 xml:space="preserve">Competition is intense, especially from big tech companies such as Apple, Samsung, </w:t>
      </w:r>
      <w:r w:rsidR="0078348E" w:rsidRPr="00477C4D">
        <w:rPr>
          <w:rFonts w:ascii="Arial" w:hAnsi="Arial" w:cs="Arial"/>
          <w:sz w:val="22"/>
          <w:szCs w:val="22"/>
          <w:lang w:val="en-IN" w:eastAsia="en-IN"/>
        </w:rPr>
        <w:t>Fitbit,</w:t>
      </w:r>
      <w:r w:rsidRPr="00477C4D">
        <w:rPr>
          <w:rFonts w:ascii="Arial" w:hAnsi="Arial" w:cs="Arial"/>
          <w:sz w:val="22"/>
          <w:szCs w:val="22"/>
          <w:lang w:val="en-IN" w:eastAsia="en-IN"/>
        </w:rPr>
        <w:t xml:space="preserve"> and Garmin. These brands already have strong ecosystems and loyal users, so Philips must clearly differentiate its product</w:t>
      </w:r>
      <w:r w:rsidR="00EC34D8" w:rsidRPr="00477C4D">
        <w:rPr>
          <w:rFonts w:ascii="Arial" w:hAnsi="Arial" w:cs="Arial"/>
          <w:sz w:val="22"/>
          <w:szCs w:val="22"/>
          <w:lang w:val="en-IN" w:eastAsia="en-IN"/>
        </w:rPr>
        <w:t>s</w:t>
      </w:r>
      <w:r w:rsidRPr="00477C4D">
        <w:rPr>
          <w:rFonts w:ascii="Arial" w:hAnsi="Arial" w:cs="Arial"/>
          <w:sz w:val="22"/>
          <w:szCs w:val="22"/>
          <w:lang w:val="en-IN" w:eastAsia="en-IN"/>
        </w:rPr>
        <w:t>.</w:t>
      </w:r>
    </w:p>
    <w:p w14:paraId="5BD182A0" w14:textId="7777777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Regulatory changes or delays could slow down the approval process.</w:t>
      </w:r>
    </w:p>
    <w:p w14:paraId="0F8D15E9" w14:textId="7777777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Cybersecurity threats remain a risk for any device handling health data. A breach could seriously harm Philips’ reputation and customer confidence.</w:t>
      </w:r>
    </w:p>
    <w:p w14:paraId="328E40B2" w14:textId="38325217" w:rsidR="00417B43" w:rsidRPr="00477C4D" w:rsidRDefault="00417B43" w:rsidP="007174FB">
      <w:pPr>
        <w:jc w:val="both"/>
        <w:rPr>
          <w:rFonts w:ascii="Arial" w:hAnsi="Arial" w:cs="Arial"/>
          <w:sz w:val="22"/>
          <w:szCs w:val="22"/>
          <w:lang w:val="en-IN" w:eastAsia="en-IN"/>
        </w:rPr>
      </w:pPr>
      <w:r w:rsidRPr="00477C4D">
        <w:rPr>
          <w:rFonts w:ascii="Arial" w:hAnsi="Arial" w:cs="Arial"/>
          <w:sz w:val="22"/>
          <w:szCs w:val="22"/>
          <w:lang w:val="en-IN" w:eastAsia="en-IN"/>
        </w:rPr>
        <w:t xml:space="preserve">Overall, the SWOT analysis shows that Philips is in </w:t>
      </w:r>
      <w:r w:rsidR="0078348E" w:rsidRPr="00477C4D">
        <w:rPr>
          <w:rFonts w:ascii="Arial" w:hAnsi="Arial" w:cs="Arial"/>
          <w:sz w:val="22"/>
          <w:szCs w:val="22"/>
          <w:lang w:val="en-IN" w:eastAsia="en-IN"/>
        </w:rPr>
        <w:t>an advantageous position</w:t>
      </w:r>
      <w:r w:rsidRPr="00477C4D">
        <w:rPr>
          <w:rFonts w:ascii="Arial" w:hAnsi="Arial" w:cs="Arial"/>
          <w:sz w:val="22"/>
          <w:szCs w:val="22"/>
          <w:lang w:val="en-IN" w:eastAsia="en-IN"/>
        </w:rPr>
        <w:t xml:space="preserve"> to enter the UK wearable market, but its success will depend on strong regulatory preparation, effective partnerships, and clear product differentiation in </w:t>
      </w:r>
      <w:r w:rsidR="0078348E" w:rsidRPr="00477C4D">
        <w:rPr>
          <w:rFonts w:ascii="Arial" w:hAnsi="Arial" w:cs="Arial"/>
          <w:sz w:val="22"/>
          <w:szCs w:val="22"/>
          <w:lang w:val="en-IN" w:eastAsia="en-IN"/>
        </w:rPr>
        <w:t>a competitive</w:t>
      </w:r>
      <w:r w:rsidRPr="00477C4D">
        <w:rPr>
          <w:rFonts w:ascii="Arial" w:hAnsi="Arial" w:cs="Arial"/>
          <w:sz w:val="22"/>
          <w:szCs w:val="22"/>
          <w:lang w:val="en-IN" w:eastAsia="en-IN"/>
        </w:rPr>
        <w:t xml:space="preserve"> landscape.</w:t>
      </w:r>
    </w:p>
    <w:p w14:paraId="6BE769E4" w14:textId="5C43CA52" w:rsidR="009D6B86" w:rsidRPr="00477C4D" w:rsidRDefault="009D6B86" w:rsidP="001D56C9">
      <w:pPr>
        <w:pStyle w:val="Heading2"/>
        <w:rPr>
          <w:rFonts w:ascii="Arial" w:eastAsia="Times New Roman" w:hAnsi="Arial" w:cs="Arial"/>
          <w:sz w:val="22"/>
          <w:szCs w:val="22"/>
          <w:lang w:val="en-IN" w:eastAsia="en-IN"/>
        </w:rPr>
      </w:pPr>
      <w:bookmarkStart w:id="2" w:name="_Toc214570798"/>
      <w:r w:rsidRPr="00477C4D">
        <w:rPr>
          <w:rFonts w:ascii="Arial" w:eastAsia="Times New Roman" w:hAnsi="Arial" w:cs="Arial"/>
          <w:sz w:val="22"/>
          <w:szCs w:val="22"/>
          <w:lang w:val="en-IN" w:eastAsia="en-IN"/>
        </w:rPr>
        <w:t>PESTLE Analysis</w:t>
      </w:r>
      <w:bookmarkEnd w:id="2"/>
      <w:r w:rsidRPr="00477C4D">
        <w:rPr>
          <w:rFonts w:ascii="Arial" w:eastAsia="Times New Roman" w:hAnsi="Arial" w:cs="Arial"/>
          <w:sz w:val="22"/>
          <w:szCs w:val="22"/>
          <w:lang w:val="en-IN" w:eastAsia="en-IN"/>
        </w:rPr>
        <w:t xml:space="preserve"> </w:t>
      </w:r>
    </w:p>
    <w:p w14:paraId="62BDC0C1"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Political:</w:t>
      </w:r>
      <w:r w:rsidRPr="00477C4D">
        <w:rPr>
          <w:rFonts w:ascii="Arial" w:eastAsia="Times New Roman" w:hAnsi="Arial" w:cs="Arial"/>
          <w:kern w:val="0"/>
          <w:sz w:val="22"/>
          <w:szCs w:val="22"/>
          <w:lang w:val="en-IN" w:eastAsia="en-IN"/>
          <w14:ligatures w14:val="none"/>
        </w:rPr>
        <w:br/>
        <w:t>UK healthcare policy increasingly supports digital health and remote monitoring, creating a favourable environment for wearable devices.</w:t>
      </w:r>
    </w:p>
    <w:p w14:paraId="24989311"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Economic:</w:t>
      </w:r>
      <w:r w:rsidRPr="00477C4D">
        <w:rPr>
          <w:rFonts w:ascii="Arial" w:eastAsia="Times New Roman" w:hAnsi="Arial" w:cs="Arial"/>
          <w:kern w:val="0"/>
          <w:sz w:val="22"/>
          <w:szCs w:val="22"/>
          <w:lang w:val="en-IN" w:eastAsia="en-IN"/>
          <w14:ligatures w14:val="none"/>
        </w:rPr>
        <w:br/>
        <w:t>Rising NHS budget pressures and consumer spending on health technology provide opportunities for cost-effective digital tools.</w:t>
      </w:r>
    </w:p>
    <w:p w14:paraId="0C4EBCAF"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Social:</w:t>
      </w:r>
      <w:r w:rsidRPr="00477C4D">
        <w:rPr>
          <w:rFonts w:ascii="Arial" w:eastAsia="Times New Roman" w:hAnsi="Arial" w:cs="Arial"/>
          <w:kern w:val="0"/>
          <w:sz w:val="22"/>
          <w:szCs w:val="22"/>
          <w:lang w:val="en-IN" w:eastAsia="en-IN"/>
          <w14:ligatures w14:val="none"/>
        </w:rPr>
        <w:br/>
        <w:t>Growing public interest in wellbeing, fitness tracking, and early detection increases demand for reliable wearables.</w:t>
      </w:r>
    </w:p>
    <w:p w14:paraId="43A94051"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Technological:</w:t>
      </w:r>
      <w:r w:rsidRPr="00477C4D">
        <w:rPr>
          <w:rFonts w:ascii="Arial" w:eastAsia="Times New Roman" w:hAnsi="Arial" w:cs="Arial"/>
          <w:kern w:val="0"/>
          <w:sz w:val="22"/>
          <w:szCs w:val="22"/>
          <w:lang w:val="en-IN" w:eastAsia="en-IN"/>
          <w14:ligatures w14:val="none"/>
        </w:rPr>
        <w:br/>
        <w:t>Advances in sensors, cloud integration, and telehealth platforms support the development of accurate, connected devices.</w:t>
      </w:r>
    </w:p>
    <w:p w14:paraId="4F154CD9"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Legal:</w:t>
      </w:r>
      <w:r w:rsidRPr="00477C4D">
        <w:rPr>
          <w:rFonts w:ascii="Arial" w:eastAsia="Times New Roman" w:hAnsi="Arial" w:cs="Arial"/>
          <w:kern w:val="0"/>
          <w:sz w:val="22"/>
          <w:szCs w:val="22"/>
          <w:lang w:val="en-IN" w:eastAsia="en-IN"/>
          <w14:ligatures w14:val="none"/>
        </w:rPr>
        <w:br/>
        <w:t>Strict regulations from the MHRA and GDPR requirements impact data protection, compliance, and device approval timelines.</w:t>
      </w:r>
    </w:p>
    <w:p w14:paraId="7F321079" w14:textId="77777777" w:rsidR="009D6B86" w:rsidRPr="00477C4D" w:rsidRDefault="009D6B86" w:rsidP="007174FB">
      <w:p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b/>
          <w:bCs/>
          <w:kern w:val="0"/>
          <w:sz w:val="22"/>
          <w:szCs w:val="22"/>
          <w:lang w:val="en-IN" w:eastAsia="en-IN"/>
          <w14:ligatures w14:val="none"/>
        </w:rPr>
        <w:t>Environmental:</w:t>
      </w:r>
      <w:r w:rsidRPr="00477C4D">
        <w:rPr>
          <w:rFonts w:ascii="Arial" w:eastAsia="Times New Roman" w:hAnsi="Arial" w:cs="Arial"/>
          <w:kern w:val="0"/>
          <w:sz w:val="22"/>
          <w:szCs w:val="22"/>
          <w:lang w:val="en-IN" w:eastAsia="en-IN"/>
          <w14:ligatures w14:val="none"/>
        </w:rPr>
        <w:br/>
        <w:t>Sustainability expectations may require Philips to consider recyclable materials and low-energy manufacturing.</w:t>
      </w:r>
    </w:p>
    <w:p w14:paraId="129741D4" w14:textId="3892207F" w:rsidR="009D6B86" w:rsidRPr="00477C4D" w:rsidRDefault="009D6B86" w:rsidP="001D56C9">
      <w:pPr>
        <w:pStyle w:val="Heading2"/>
        <w:rPr>
          <w:rFonts w:ascii="Arial" w:eastAsia="Times New Roman" w:hAnsi="Arial" w:cs="Arial"/>
          <w:b/>
          <w:bCs/>
          <w:sz w:val="22"/>
          <w:szCs w:val="22"/>
          <w:lang w:val="en-IN" w:eastAsia="en-IN"/>
        </w:rPr>
      </w:pPr>
      <w:bookmarkStart w:id="3" w:name="_Toc214570799"/>
      <w:r w:rsidRPr="00477C4D">
        <w:rPr>
          <w:rFonts w:ascii="Arial" w:eastAsia="Times New Roman" w:hAnsi="Arial" w:cs="Arial"/>
          <w:b/>
          <w:bCs/>
          <w:sz w:val="22"/>
          <w:szCs w:val="22"/>
          <w:lang w:val="en-IN" w:eastAsia="en-IN"/>
        </w:rPr>
        <w:t>SMART Objectives</w:t>
      </w:r>
      <w:bookmarkEnd w:id="3"/>
      <w:r w:rsidRPr="00477C4D">
        <w:rPr>
          <w:rFonts w:ascii="Arial" w:eastAsia="Times New Roman" w:hAnsi="Arial" w:cs="Arial"/>
          <w:b/>
          <w:bCs/>
          <w:sz w:val="22"/>
          <w:szCs w:val="22"/>
          <w:lang w:val="en-IN" w:eastAsia="en-IN"/>
        </w:rPr>
        <w:t xml:space="preserve"> </w:t>
      </w:r>
    </w:p>
    <w:p w14:paraId="4FC51EEF" w14:textId="50EF5B57" w:rsidR="009D6B86" w:rsidRPr="00477C4D" w:rsidRDefault="0078348E" w:rsidP="007174FB">
      <w:pPr>
        <w:numPr>
          <w:ilvl w:val="0"/>
          <w:numId w:val="41"/>
        </w:num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Achieve</w:t>
      </w:r>
      <w:r w:rsidR="009D6B86" w:rsidRPr="00477C4D">
        <w:rPr>
          <w:rFonts w:ascii="Arial" w:eastAsia="Times New Roman" w:hAnsi="Arial" w:cs="Arial"/>
          <w:kern w:val="0"/>
          <w:sz w:val="22"/>
          <w:szCs w:val="22"/>
          <w:lang w:val="en-IN" w:eastAsia="en-IN"/>
          <w14:ligatures w14:val="none"/>
        </w:rPr>
        <w:t xml:space="preserve"> MHRA approval for the wearable device within four months of regulatory submission, ensuring full compliance with UKCA and data-protection standards.</w:t>
      </w:r>
    </w:p>
    <w:p w14:paraId="58408426" w14:textId="75F26771" w:rsidR="009D6B86" w:rsidRPr="00477C4D" w:rsidRDefault="0078348E" w:rsidP="007174FB">
      <w:pPr>
        <w:numPr>
          <w:ilvl w:val="0"/>
          <w:numId w:val="41"/>
        </w:num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Reach</w:t>
      </w:r>
      <w:r w:rsidR="009D6B86" w:rsidRPr="00477C4D">
        <w:rPr>
          <w:rFonts w:ascii="Arial" w:eastAsia="Times New Roman" w:hAnsi="Arial" w:cs="Arial"/>
          <w:kern w:val="0"/>
          <w:sz w:val="22"/>
          <w:szCs w:val="22"/>
          <w:lang w:val="en-IN" w:eastAsia="en-IN"/>
          <w14:ligatures w14:val="none"/>
        </w:rPr>
        <w:t xml:space="preserve"> 10,000 active users within the first 12 months through partnerships with NHS pilots, insurers, and retail distribution.</w:t>
      </w:r>
    </w:p>
    <w:p w14:paraId="3E1A9107" w14:textId="5F82897C" w:rsidR="009D6B86" w:rsidRPr="00477C4D" w:rsidRDefault="0078348E" w:rsidP="007174FB">
      <w:pPr>
        <w:numPr>
          <w:ilvl w:val="0"/>
          <w:numId w:val="41"/>
        </w:numPr>
        <w:spacing w:before="100" w:beforeAutospacing="1" w:after="100" w:afterAutospacing="1" w:line="240" w:lineRule="auto"/>
        <w:jc w:val="both"/>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Secure</w:t>
      </w:r>
      <w:r w:rsidR="009D6B86" w:rsidRPr="00477C4D">
        <w:rPr>
          <w:rFonts w:ascii="Arial" w:eastAsia="Times New Roman" w:hAnsi="Arial" w:cs="Arial"/>
          <w:kern w:val="0"/>
          <w:sz w:val="22"/>
          <w:szCs w:val="22"/>
          <w:lang w:val="en-IN" w:eastAsia="en-IN"/>
          <w14:ligatures w14:val="none"/>
        </w:rPr>
        <w:t xml:space="preserve"> at least three healthcare partnerships by the launch date to support adoption and validation.</w:t>
      </w:r>
    </w:p>
    <w:p w14:paraId="6094D175" w14:textId="5A4B92B1" w:rsidR="009D6B86" w:rsidRPr="00477C4D" w:rsidRDefault="009D6B86" w:rsidP="001D56C9">
      <w:pPr>
        <w:pStyle w:val="Heading2"/>
        <w:rPr>
          <w:rFonts w:ascii="Arial" w:eastAsia="Times New Roman" w:hAnsi="Arial" w:cs="Arial"/>
          <w:b/>
          <w:bCs/>
          <w:sz w:val="22"/>
          <w:szCs w:val="22"/>
          <w:lang w:eastAsia="en-IN"/>
        </w:rPr>
      </w:pPr>
      <w:bookmarkStart w:id="4" w:name="_Toc214570800"/>
      <w:r w:rsidRPr="00477C4D">
        <w:rPr>
          <w:rFonts w:ascii="Arial" w:eastAsia="Times New Roman" w:hAnsi="Arial" w:cs="Arial"/>
          <w:b/>
          <w:bCs/>
          <w:sz w:val="22"/>
          <w:szCs w:val="22"/>
          <w:lang w:eastAsia="en-IN"/>
        </w:rPr>
        <w:t>Power–Interest Matrix</w:t>
      </w:r>
      <w:bookmarkEnd w:id="4"/>
    </w:p>
    <w:tbl>
      <w:tblPr>
        <w:tblStyle w:val="GridTable4"/>
        <w:tblpPr w:leftFromText="180" w:rightFromText="180" w:vertAnchor="text" w:tblpY="1"/>
        <w:tblW w:w="9747" w:type="dxa"/>
        <w:tblLook w:val="04A0" w:firstRow="1" w:lastRow="0" w:firstColumn="1" w:lastColumn="0" w:noHBand="0" w:noVBand="1"/>
      </w:tblPr>
      <w:tblGrid>
        <w:gridCol w:w="3925"/>
        <w:gridCol w:w="1255"/>
        <w:gridCol w:w="1270"/>
        <w:gridCol w:w="3297"/>
      </w:tblGrid>
      <w:tr w:rsidR="001D56C9" w:rsidRPr="00477C4D" w14:paraId="7D0B850A" w14:textId="77777777" w:rsidTr="001D56C9">
        <w:trPr>
          <w:cnfStyle w:val="100000000000" w:firstRow="1" w:lastRow="0" w:firstColumn="0" w:lastColumn="0" w:oddVBand="0" w:evenVBand="0" w:oddHBand="0"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7C9F33C8"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Stakeholder Group</w:t>
            </w:r>
          </w:p>
        </w:tc>
        <w:tc>
          <w:tcPr>
            <w:tcW w:w="0" w:type="auto"/>
            <w:hideMark/>
          </w:tcPr>
          <w:p w14:paraId="02926BA2" w14:textId="77777777" w:rsidR="009D6B86" w:rsidRPr="00477C4D" w:rsidRDefault="009D6B86" w:rsidP="009D6B86">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Power</w:t>
            </w:r>
          </w:p>
        </w:tc>
        <w:tc>
          <w:tcPr>
            <w:tcW w:w="0" w:type="auto"/>
            <w:hideMark/>
          </w:tcPr>
          <w:p w14:paraId="4637CF96" w14:textId="77777777" w:rsidR="009D6B86" w:rsidRPr="00477C4D" w:rsidRDefault="009D6B86" w:rsidP="009D6B86">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Interest</w:t>
            </w:r>
          </w:p>
        </w:tc>
        <w:tc>
          <w:tcPr>
            <w:tcW w:w="0" w:type="auto"/>
            <w:hideMark/>
          </w:tcPr>
          <w:p w14:paraId="66238E00" w14:textId="77777777" w:rsidR="009D6B86" w:rsidRPr="00477C4D" w:rsidRDefault="009D6B86" w:rsidP="009D6B86">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Engagement Approach</w:t>
            </w:r>
          </w:p>
        </w:tc>
      </w:tr>
      <w:tr w:rsidR="001D56C9" w:rsidRPr="00477C4D" w14:paraId="2E8EB547" w14:textId="77777777" w:rsidTr="001D56C9">
        <w:trPr>
          <w:cnfStyle w:val="000000100000" w:firstRow="0" w:lastRow="0" w:firstColumn="0" w:lastColumn="0" w:oddVBand="0" w:evenVBand="0" w:oddHBand="1"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3DFBD82E"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Senior Management</w:t>
            </w:r>
          </w:p>
        </w:tc>
        <w:tc>
          <w:tcPr>
            <w:tcW w:w="0" w:type="auto"/>
            <w:hideMark/>
          </w:tcPr>
          <w:p w14:paraId="01A126D2"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1E5AEC0E"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211E9D8C"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Manage closely</w:t>
            </w:r>
          </w:p>
        </w:tc>
      </w:tr>
      <w:tr w:rsidR="001D56C9" w:rsidRPr="00477C4D" w14:paraId="719817A1" w14:textId="77777777" w:rsidTr="001D56C9">
        <w:trPr>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33CD2379"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MHRA / ICO Regulators</w:t>
            </w:r>
          </w:p>
        </w:tc>
        <w:tc>
          <w:tcPr>
            <w:tcW w:w="0" w:type="auto"/>
            <w:hideMark/>
          </w:tcPr>
          <w:p w14:paraId="5FD69D67"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476162B4"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7E14734C"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Manage closely</w:t>
            </w:r>
          </w:p>
        </w:tc>
      </w:tr>
      <w:tr w:rsidR="001D56C9" w:rsidRPr="00477C4D" w14:paraId="41FD00FB" w14:textId="77777777" w:rsidTr="001D56C9">
        <w:trPr>
          <w:cnfStyle w:val="000000100000" w:firstRow="0" w:lastRow="0" w:firstColumn="0" w:lastColumn="0" w:oddVBand="0" w:evenVBand="0" w:oddHBand="1"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72CF606A"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Product Development Team</w:t>
            </w:r>
          </w:p>
        </w:tc>
        <w:tc>
          <w:tcPr>
            <w:tcW w:w="0" w:type="auto"/>
            <w:hideMark/>
          </w:tcPr>
          <w:p w14:paraId="18B2B620"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1B01A798"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29872E03"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Continuous involvement</w:t>
            </w:r>
          </w:p>
        </w:tc>
      </w:tr>
      <w:tr w:rsidR="001D56C9" w:rsidRPr="00477C4D" w14:paraId="541FA7C6" w14:textId="77777777" w:rsidTr="001D56C9">
        <w:trPr>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221B797F"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Consumers / End Users</w:t>
            </w:r>
          </w:p>
        </w:tc>
        <w:tc>
          <w:tcPr>
            <w:tcW w:w="0" w:type="auto"/>
            <w:hideMark/>
          </w:tcPr>
          <w:p w14:paraId="1310CE96"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Low</w:t>
            </w:r>
          </w:p>
        </w:tc>
        <w:tc>
          <w:tcPr>
            <w:tcW w:w="0" w:type="auto"/>
            <w:hideMark/>
          </w:tcPr>
          <w:p w14:paraId="06D214FB"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447B9569"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Keep informed + consult</w:t>
            </w:r>
          </w:p>
        </w:tc>
      </w:tr>
      <w:tr w:rsidR="001D56C9" w:rsidRPr="00477C4D" w14:paraId="7B4A5E4A" w14:textId="77777777" w:rsidTr="001D56C9">
        <w:trPr>
          <w:cnfStyle w:val="000000100000" w:firstRow="0" w:lastRow="0" w:firstColumn="0" w:lastColumn="0" w:oddVBand="0" w:evenVBand="0" w:oddHBand="1"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5D742D78"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Healthcare Providers (NHS)</w:t>
            </w:r>
          </w:p>
        </w:tc>
        <w:tc>
          <w:tcPr>
            <w:tcW w:w="0" w:type="auto"/>
            <w:hideMark/>
          </w:tcPr>
          <w:p w14:paraId="4D014CEE"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Medium</w:t>
            </w:r>
          </w:p>
        </w:tc>
        <w:tc>
          <w:tcPr>
            <w:tcW w:w="0" w:type="auto"/>
            <w:hideMark/>
          </w:tcPr>
          <w:p w14:paraId="45F1155C"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High</w:t>
            </w:r>
          </w:p>
        </w:tc>
        <w:tc>
          <w:tcPr>
            <w:tcW w:w="0" w:type="auto"/>
            <w:hideMark/>
          </w:tcPr>
          <w:p w14:paraId="4CCD4E87"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Keep informed + involve</w:t>
            </w:r>
          </w:p>
        </w:tc>
      </w:tr>
      <w:tr w:rsidR="001D56C9" w:rsidRPr="00477C4D" w14:paraId="211E023F" w14:textId="77777777" w:rsidTr="001D56C9">
        <w:trPr>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6F10477F"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Retailers / Distributors</w:t>
            </w:r>
          </w:p>
        </w:tc>
        <w:tc>
          <w:tcPr>
            <w:tcW w:w="0" w:type="auto"/>
            <w:hideMark/>
          </w:tcPr>
          <w:p w14:paraId="5E93D4D6"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Medium</w:t>
            </w:r>
          </w:p>
        </w:tc>
        <w:tc>
          <w:tcPr>
            <w:tcW w:w="0" w:type="auto"/>
            <w:hideMark/>
          </w:tcPr>
          <w:p w14:paraId="6858FFC3"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Low</w:t>
            </w:r>
          </w:p>
        </w:tc>
        <w:tc>
          <w:tcPr>
            <w:tcW w:w="0" w:type="auto"/>
            <w:hideMark/>
          </w:tcPr>
          <w:p w14:paraId="3958DCDE" w14:textId="77777777" w:rsidR="009D6B86" w:rsidRPr="00477C4D" w:rsidRDefault="009D6B86" w:rsidP="009D6B86">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Keep satisfied</w:t>
            </w:r>
          </w:p>
        </w:tc>
      </w:tr>
      <w:tr w:rsidR="001D56C9" w:rsidRPr="00477C4D" w14:paraId="57E4B705" w14:textId="77777777" w:rsidTr="001D56C9">
        <w:trPr>
          <w:cnfStyle w:val="000000100000" w:firstRow="0" w:lastRow="0" w:firstColumn="0" w:lastColumn="0" w:oddVBand="0" w:evenVBand="0" w:oddHBand="1" w:evenHBand="0" w:firstRowFirstColumn="0" w:firstRowLastColumn="0" w:lastRowFirstColumn="0" w:lastRowLastColumn="0"/>
          <w:trHeight w:val="478"/>
        </w:trPr>
        <w:tc>
          <w:tcPr>
            <w:cnfStyle w:val="001000000000" w:firstRow="0" w:lastRow="0" w:firstColumn="1" w:lastColumn="0" w:oddVBand="0" w:evenVBand="0" w:oddHBand="0" w:evenHBand="0" w:firstRowFirstColumn="0" w:firstRowLastColumn="0" w:lastRowFirstColumn="0" w:lastRowLastColumn="0"/>
            <w:tcW w:w="0" w:type="auto"/>
            <w:hideMark/>
          </w:tcPr>
          <w:p w14:paraId="1748FD50" w14:textId="77777777" w:rsidR="009D6B86" w:rsidRPr="00477C4D" w:rsidRDefault="009D6B86" w:rsidP="009D6B86">
            <w:pPr>
              <w:spacing w:before="100" w:beforeAutospacing="1" w:after="100" w:afterAutospacing="1"/>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Technology Suppliers</w:t>
            </w:r>
          </w:p>
        </w:tc>
        <w:tc>
          <w:tcPr>
            <w:tcW w:w="0" w:type="auto"/>
            <w:hideMark/>
          </w:tcPr>
          <w:p w14:paraId="662A920B"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Low</w:t>
            </w:r>
          </w:p>
        </w:tc>
        <w:tc>
          <w:tcPr>
            <w:tcW w:w="0" w:type="auto"/>
            <w:hideMark/>
          </w:tcPr>
          <w:p w14:paraId="0A31A1BE"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Low</w:t>
            </w:r>
          </w:p>
        </w:tc>
        <w:tc>
          <w:tcPr>
            <w:tcW w:w="0" w:type="auto"/>
            <w:hideMark/>
          </w:tcPr>
          <w:p w14:paraId="2D169F29" w14:textId="77777777" w:rsidR="009D6B86" w:rsidRPr="00477C4D" w:rsidRDefault="009D6B86" w:rsidP="009D6B86">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t>Monitor</w:t>
            </w:r>
          </w:p>
        </w:tc>
      </w:tr>
    </w:tbl>
    <w:p w14:paraId="58BCD34B" w14:textId="0A38B768" w:rsidR="009D6B86" w:rsidRPr="00477C4D" w:rsidRDefault="009D6B86" w:rsidP="001D56C9">
      <w:pPr>
        <w:spacing w:before="100" w:beforeAutospacing="1" w:after="100" w:afterAutospacing="1" w:line="240" w:lineRule="auto"/>
        <w:rPr>
          <w:rFonts w:ascii="Arial" w:eastAsia="Times New Roman" w:hAnsi="Arial" w:cs="Arial"/>
          <w:kern w:val="0"/>
          <w:sz w:val="22"/>
          <w:szCs w:val="22"/>
          <w:lang w:val="en-IN" w:eastAsia="en-IN"/>
          <w14:ligatures w14:val="none"/>
        </w:rPr>
      </w:pPr>
      <w:r w:rsidRPr="00477C4D">
        <w:rPr>
          <w:rFonts w:ascii="Arial" w:eastAsia="Times New Roman" w:hAnsi="Arial" w:cs="Arial"/>
          <w:kern w:val="0"/>
          <w:sz w:val="22"/>
          <w:szCs w:val="22"/>
          <w:lang w:val="en-IN" w:eastAsia="en-IN"/>
          <w14:ligatures w14:val="none"/>
        </w:rPr>
        <w:br w:type="textWrapping" w:clear="all"/>
      </w:r>
    </w:p>
    <w:p w14:paraId="2BDF0DF8" w14:textId="77777777" w:rsidR="00EC34D8" w:rsidRPr="00477C4D" w:rsidRDefault="00EC34D8" w:rsidP="001A4270">
      <w:pPr>
        <w:rPr>
          <w:rFonts w:ascii="Arial" w:hAnsi="Arial" w:cs="Arial"/>
          <w:sz w:val="22"/>
          <w:szCs w:val="22"/>
        </w:rPr>
      </w:pPr>
    </w:p>
    <w:p w14:paraId="15321D23" w14:textId="77777777" w:rsidR="001A4270" w:rsidRPr="00477C4D" w:rsidRDefault="001A4270" w:rsidP="001A4270">
      <w:pPr>
        <w:rPr>
          <w:rFonts w:ascii="Arial" w:hAnsi="Arial" w:cs="Arial"/>
          <w:sz w:val="22"/>
          <w:szCs w:val="22"/>
        </w:rPr>
      </w:pPr>
    </w:p>
    <w:p w14:paraId="64C7B01F" w14:textId="77777777" w:rsidR="001A4270" w:rsidRPr="00477C4D" w:rsidRDefault="001A4270" w:rsidP="001A4270">
      <w:pPr>
        <w:rPr>
          <w:rFonts w:ascii="Arial" w:hAnsi="Arial" w:cs="Arial"/>
          <w:sz w:val="22"/>
          <w:szCs w:val="22"/>
        </w:rPr>
      </w:pPr>
    </w:p>
    <w:p w14:paraId="327FC7EE" w14:textId="77777777" w:rsidR="001A4270" w:rsidRPr="00477C4D" w:rsidRDefault="001A4270" w:rsidP="001A4270">
      <w:pPr>
        <w:rPr>
          <w:rFonts w:ascii="Arial" w:hAnsi="Arial" w:cs="Arial"/>
          <w:sz w:val="22"/>
          <w:szCs w:val="22"/>
        </w:rPr>
      </w:pPr>
    </w:p>
    <w:p w14:paraId="0EC34455" w14:textId="77777777" w:rsidR="001A4270" w:rsidRPr="00477C4D" w:rsidRDefault="001A4270" w:rsidP="001A4270">
      <w:pPr>
        <w:rPr>
          <w:rFonts w:ascii="Arial" w:hAnsi="Arial" w:cs="Arial"/>
          <w:sz w:val="22"/>
          <w:szCs w:val="22"/>
        </w:rPr>
      </w:pPr>
    </w:p>
    <w:p w14:paraId="6F86ABF5" w14:textId="3FC85B74" w:rsidR="0091096D" w:rsidRPr="00477C4D" w:rsidRDefault="0091096D" w:rsidP="0091096D">
      <w:pPr>
        <w:rPr>
          <w:rFonts w:ascii="Arial" w:hAnsi="Arial" w:cs="Arial"/>
          <w:b/>
          <w:bCs/>
          <w:sz w:val="22"/>
          <w:szCs w:val="22"/>
        </w:rPr>
      </w:pPr>
      <w:bookmarkStart w:id="5" w:name="_Toc214570801"/>
      <w:r w:rsidRPr="00477C4D">
        <w:rPr>
          <w:rStyle w:val="Heading1Char"/>
          <w:rFonts w:ascii="Arial" w:hAnsi="Arial" w:cs="Arial"/>
          <w:b/>
          <w:bCs/>
          <w:sz w:val="22"/>
          <w:szCs w:val="22"/>
        </w:rPr>
        <w:t>Key Internal and External Stakeholders</w:t>
      </w:r>
      <w:bookmarkEnd w:id="5"/>
    </w:p>
    <w:p w14:paraId="54EE75F3" w14:textId="77777777"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The successful launch of Philips UK HealthTech’s new wearable device depends on the alignment, commitment, and collaboration of multiple stakeholders. These stakeholders influence product design, regulatory approval, market positioning, customer adoption, and long-term success. They can be categorised into internal and external groups, each with specific responsibilities, interests, and levels of influence.</w:t>
      </w:r>
    </w:p>
    <w:p w14:paraId="5B2FCFD4" w14:textId="4D0307CF" w:rsidR="00E02352" w:rsidRPr="00477C4D" w:rsidRDefault="00E02352" w:rsidP="00E02352">
      <w:pPr>
        <w:rPr>
          <w:rFonts w:ascii="Arial" w:hAnsi="Arial" w:cs="Arial"/>
          <w:b/>
          <w:bCs/>
          <w:sz w:val="22"/>
          <w:szCs w:val="22"/>
          <w:lang w:val="en-IN"/>
        </w:rPr>
      </w:pPr>
    </w:p>
    <w:p w14:paraId="5444EF13" w14:textId="77777777" w:rsidR="00E02352" w:rsidRPr="00477C4D" w:rsidRDefault="00E02352" w:rsidP="001D56C9">
      <w:pPr>
        <w:pStyle w:val="Heading2"/>
        <w:rPr>
          <w:rFonts w:ascii="Arial" w:hAnsi="Arial" w:cs="Arial"/>
          <w:b/>
          <w:bCs/>
          <w:sz w:val="22"/>
          <w:szCs w:val="22"/>
          <w:lang w:val="en-IN"/>
        </w:rPr>
      </w:pPr>
      <w:bookmarkStart w:id="6" w:name="_Toc214570802"/>
      <w:r w:rsidRPr="00477C4D">
        <w:rPr>
          <w:rFonts w:ascii="Arial" w:hAnsi="Arial" w:cs="Arial"/>
          <w:b/>
          <w:bCs/>
          <w:sz w:val="22"/>
          <w:szCs w:val="22"/>
          <w:lang w:val="en-IN"/>
        </w:rPr>
        <w:t>Internal Stakeholders</w:t>
      </w:r>
      <w:bookmarkEnd w:id="6"/>
    </w:p>
    <w:p w14:paraId="45ADFA94" w14:textId="77777777" w:rsidR="007174FB" w:rsidRPr="00477C4D" w:rsidRDefault="00E02352" w:rsidP="00E02352">
      <w:pPr>
        <w:rPr>
          <w:rStyle w:val="Heading3Char"/>
          <w:rFonts w:ascii="Arial" w:hAnsi="Arial" w:cs="Arial"/>
          <w:b/>
          <w:bCs/>
          <w:sz w:val="22"/>
          <w:szCs w:val="22"/>
        </w:rPr>
      </w:pPr>
      <w:bookmarkStart w:id="7" w:name="_Toc214570803"/>
      <w:r w:rsidRPr="00477C4D">
        <w:rPr>
          <w:rStyle w:val="Heading3Char"/>
          <w:rFonts w:ascii="Arial" w:hAnsi="Arial" w:cs="Arial"/>
          <w:b/>
          <w:bCs/>
          <w:sz w:val="22"/>
          <w:szCs w:val="22"/>
        </w:rPr>
        <w:t>Product Development Team</w:t>
      </w:r>
      <w:bookmarkEnd w:id="7"/>
    </w:p>
    <w:p w14:paraId="73949DCA" w14:textId="3E72E2BF"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This team leads the technical design, hardware development, prototyping and testing of the wearable. They ensure the device meets clinical-grade accuracy and regulatory expectations. Their decisions directly impact performance, safety, and user experience, making them central to the project.</w:t>
      </w:r>
    </w:p>
    <w:p w14:paraId="17DC4D3D" w14:textId="77777777" w:rsidR="007174FB" w:rsidRPr="00477C4D" w:rsidRDefault="00E02352" w:rsidP="00E02352">
      <w:pPr>
        <w:rPr>
          <w:rStyle w:val="Heading3Char"/>
          <w:rFonts w:ascii="Arial" w:hAnsi="Arial" w:cs="Arial"/>
          <w:b/>
          <w:bCs/>
          <w:sz w:val="22"/>
          <w:szCs w:val="22"/>
        </w:rPr>
      </w:pPr>
      <w:bookmarkStart w:id="8" w:name="_Toc214570804"/>
      <w:r w:rsidRPr="00477C4D">
        <w:rPr>
          <w:rStyle w:val="Heading3Char"/>
          <w:rFonts w:ascii="Arial" w:hAnsi="Arial" w:cs="Arial"/>
          <w:b/>
          <w:bCs/>
          <w:sz w:val="22"/>
          <w:szCs w:val="22"/>
        </w:rPr>
        <w:t>Marketing Team</w:t>
      </w:r>
      <w:bookmarkEnd w:id="8"/>
    </w:p>
    <w:p w14:paraId="2776522F" w14:textId="798BCC5D"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Marketing is responsible for market research, branding, pricing, messaging, and launch campaigns. Their work ensures that the device appeals to target consumers, differentiates itself from competing wearables, and is positioned effectively in the UK health-tech market.</w:t>
      </w:r>
    </w:p>
    <w:p w14:paraId="48932029" w14:textId="77777777" w:rsidR="007174FB" w:rsidRPr="00477C4D" w:rsidRDefault="00E02352" w:rsidP="00E02352">
      <w:pPr>
        <w:rPr>
          <w:rStyle w:val="Heading3Char"/>
          <w:rFonts w:ascii="Arial" w:hAnsi="Arial" w:cs="Arial"/>
          <w:b/>
          <w:bCs/>
          <w:sz w:val="22"/>
          <w:szCs w:val="22"/>
        </w:rPr>
      </w:pPr>
      <w:bookmarkStart w:id="9" w:name="_Toc214570805"/>
      <w:r w:rsidRPr="00477C4D">
        <w:rPr>
          <w:rStyle w:val="Heading3Char"/>
          <w:rFonts w:ascii="Arial" w:hAnsi="Arial" w:cs="Arial"/>
          <w:b/>
          <w:bCs/>
          <w:sz w:val="22"/>
          <w:szCs w:val="22"/>
        </w:rPr>
        <w:t>Sales Department</w:t>
      </w:r>
      <w:bookmarkEnd w:id="9"/>
    </w:p>
    <w:p w14:paraId="013B9C09" w14:textId="4F45AB19"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The sales team manages retail partnerships, distribution channels, and commercial relationships. Their insights guide demand forecasting and ensure the device is available across online platforms, pharmacies, and tech retailers. They also support B2B sales opportunities with insurers or healthcare providers.</w:t>
      </w:r>
    </w:p>
    <w:p w14:paraId="2AC7B2BE" w14:textId="77777777" w:rsidR="007174FB" w:rsidRPr="00477C4D" w:rsidRDefault="00E02352" w:rsidP="00E02352">
      <w:pPr>
        <w:rPr>
          <w:rStyle w:val="Heading3Char"/>
          <w:rFonts w:ascii="Arial" w:hAnsi="Arial" w:cs="Arial"/>
          <w:b/>
          <w:bCs/>
          <w:sz w:val="22"/>
          <w:szCs w:val="22"/>
        </w:rPr>
      </w:pPr>
      <w:bookmarkStart w:id="10" w:name="_Toc214570806"/>
      <w:r w:rsidRPr="00477C4D">
        <w:rPr>
          <w:rStyle w:val="Heading3Char"/>
          <w:rFonts w:ascii="Arial" w:hAnsi="Arial" w:cs="Arial"/>
          <w:b/>
          <w:bCs/>
          <w:sz w:val="22"/>
          <w:szCs w:val="22"/>
        </w:rPr>
        <w:t>IT and Data Security Teams</w:t>
      </w:r>
      <w:bookmarkEnd w:id="10"/>
    </w:p>
    <w:p w14:paraId="66DDB945" w14:textId="4A20E329"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These teams oversee app integration, cloud connectivity, cybersecurity, and GDPR compliance. As the device collects sensitive biometric data, they play a crucial role in safeguarding user privacy</w:t>
      </w:r>
      <w:r w:rsidR="0078348E" w:rsidRPr="00477C4D">
        <w:rPr>
          <w:rFonts w:ascii="Arial" w:hAnsi="Arial" w:cs="Arial"/>
          <w:sz w:val="22"/>
          <w:szCs w:val="22"/>
          <w:lang w:val="en-IN"/>
        </w:rPr>
        <w:t xml:space="preserve"> </w:t>
      </w:r>
      <w:r w:rsidRPr="00477C4D">
        <w:rPr>
          <w:rFonts w:ascii="Arial" w:hAnsi="Arial" w:cs="Arial"/>
          <w:sz w:val="22"/>
          <w:szCs w:val="22"/>
          <w:lang w:val="en-IN"/>
        </w:rPr>
        <w:t>key to maintaining trust and regulatory approval.</w:t>
      </w:r>
    </w:p>
    <w:p w14:paraId="63196827" w14:textId="69465E5E" w:rsidR="00E02352" w:rsidRPr="00477C4D" w:rsidRDefault="00E02352" w:rsidP="007174FB">
      <w:pPr>
        <w:rPr>
          <w:rFonts w:ascii="Arial" w:eastAsiaTheme="majorEastAsia" w:hAnsi="Arial" w:cs="Arial"/>
          <w:color w:val="0F4761" w:themeColor="accent1" w:themeShade="BF"/>
          <w:sz w:val="22"/>
          <w:szCs w:val="22"/>
        </w:rPr>
      </w:pPr>
      <w:bookmarkStart w:id="11" w:name="_Toc214570807"/>
      <w:r w:rsidRPr="00477C4D">
        <w:rPr>
          <w:rStyle w:val="Heading3Char"/>
          <w:rFonts w:ascii="Arial" w:hAnsi="Arial" w:cs="Arial"/>
          <w:b/>
          <w:bCs/>
          <w:sz w:val="22"/>
          <w:szCs w:val="22"/>
        </w:rPr>
        <w:t>Senior Management</w:t>
      </w:r>
      <w:bookmarkEnd w:id="11"/>
      <w:r w:rsidRPr="00477C4D">
        <w:rPr>
          <w:rFonts w:ascii="Arial" w:hAnsi="Arial" w:cs="Arial"/>
          <w:b/>
          <w:bCs/>
          <w:sz w:val="22"/>
          <w:szCs w:val="22"/>
          <w:lang w:val="en-IN"/>
        </w:rPr>
        <w:br/>
      </w:r>
      <w:r w:rsidRPr="00477C4D">
        <w:rPr>
          <w:rFonts w:ascii="Arial" w:hAnsi="Arial" w:cs="Arial"/>
          <w:sz w:val="22"/>
          <w:szCs w:val="22"/>
          <w:lang w:val="en-IN"/>
        </w:rPr>
        <w:t>Executives provide strategic direction, financial support, resource allocation, and decision-making authority. They ensure alignment between the project and Philips’ broader organisational objectives, while approving major milestones such as regulatory submissions or launch timings.</w:t>
      </w:r>
    </w:p>
    <w:p w14:paraId="60BD8E89" w14:textId="16E0E6CD" w:rsidR="00E02352" w:rsidRPr="00477C4D" w:rsidRDefault="00E02352" w:rsidP="00E02352">
      <w:pPr>
        <w:rPr>
          <w:rFonts w:ascii="Arial" w:hAnsi="Arial" w:cs="Arial"/>
          <w:sz w:val="22"/>
          <w:szCs w:val="22"/>
          <w:lang w:val="en-IN"/>
        </w:rPr>
      </w:pPr>
    </w:p>
    <w:p w14:paraId="63120CF6" w14:textId="77777777" w:rsidR="00E02352" w:rsidRPr="00477C4D" w:rsidRDefault="00E02352" w:rsidP="001D56C9">
      <w:pPr>
        <w:pStyle w:val="Heading2"/>
        <w:rPr>
          <w:rFonts w:ascii="Arial" w:hAnsi="Arial" w:cs="Arial"/>
          <w:b/>
          <w:bCs/>
          <w:sz w:val="22"/>
          <w:szCs w:val="22"/>
          <w:lang w:val="en-IN"/>
        </w:rPr>
      </w:pPr>
      <w:bookmarkStart w:id="12" w:name="_Toc214570808"/>
      <w:r w:rsidRPr="00477C4D">
        <w:rPr>
          <w:rFonts w:ascii="Arial" w:hAnsi="Arial" w:cs="Arial"/>
          <w:b/>
          <w:bCs/>
          <w:sz w:val="22"/>
          <w:szCs w:val="22"/>
          <w:lang w:val="en-IN"/>
        </w:rPr>
        <w:t>External Stakeholders</w:t>
      </w:r>
      <w:bookmarkEnd w:id="12"/>
    </w:p>
    <w:p w14:paraId="31CAB4B2" w14:textId="77777777" w:rsidR="007174FB" w:rsidRPr="00477C4D" w:rsidRDefault="00E02352" w:rsidP="00E02352">
      <w:pPr>
        <w:rPr>
          <w:rStyle w:val="Heading3Char"/>
          <w:rFonts w:ascii="Arial" w:hAnsi="Arial" w:cs="Arial"/>
          <w:b/>
          <w:bCs/>
          <w:sz w:val="22"/>
          <w:szCs w:val="22"/>
        </w:rPr>
      </w:pPr>
      <w:bookmarkStart w:id="13" w:name="_Toc214570809"/>
      <w:r w:rsidRPr="00477C4D">
        <w:rPr>
          <w:rStyle w:val="Heading3Char"/>
          <w:rFonts w:ascii="Arial" w:hAnsi="Arial" w:cs="Arial"/>
          <w:b/>
          <w:bCs/>
          <w:sz w:val="22"/>
          <w:szCs w:val="22"/>
        </w:rPr>
        <w:t>Customers / End Users</w:t>
      </w:r>
      <w:bookmarkEnd w:id="13"/>
    </w:p>
    <w:p w14:paraId="4688287C" w14:textId="4882D4D9"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These include fitness enthusiasts, health-conscious individuals, and people managing chronic conditions. Their preferences shape product features, while their feedback supports continuous improvement and long-term adoption.</w:t>
      </w:r>
    </w:p>
    <w:p w14:paraId="69815EC1" w14:textId="77777777" w:rsidR="007174FB" w:rsidRPr="00477C4D" w:rsidRDefault="00E02352" w:rsidP="00E02352">
      <w:pPr>
        <w:rPr>
          <w:rStyle w:val="Heading3Char"/>
          <w:rFonts w:ascii="Arial" w:hAnsi="Arial" w:cs="Arial"/>
          <w:b/>
          <w:bCs/>
          <w:sz w:val="22"/>
          <w:szCs w:val="22"/>
        </w:rPr>
      </w:pPr>
      <w:bookmarkStart w:id="14" w:name="_Toc214570810"/>
      <w:r w:rsidRPr="00477C4D">
        <w:rPr>
          <w:rStyle w:val="Heading3Char"/>
          <w:rFonts w:ascii="Arial" w:hAnsi="Arial" w:cs="Arial"/>
          <w:b/>
          <w:bCs/>
          <w:sz w:val="22"/>
          <w:szCs w:val="22"/>
        </w:rPr>
        <w:t>Regulators (MHRA, ICO)</w:t>
      </w:r>
      <w:bookmarkEnd w:id="14"/>
    </w:p>
    <w:p w14:paraId="70860532" w14:textId="231D0D86"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The MHRA oversees medical device safety and performance requirements, while the ICO ensures compliance with data protection laws. Their approval is essential for market entry, and delays or non-compliance could significantly impact timelines.</w:t>
      </w:r>
    </w:p>
    <w:p w14:paraId="60823B6F" w14:textId="4DBCD234" w:rsidR="00E02352" w:rsidRPr="00477C4D" w:rsidRDefault="00E02352" w:rsidP="007174FB">
      <w:pPr>
        <w:rPr>
          <w:rFonts w:ascii="Arial" w:eastAsiaTheme="majorEastAsia" w:hAnsi="Arial" w:cs="Arial"/>
          <w:color w:val="0F4761" w:themeColor="accent1" w:themeShade="BF"/>
          <w:sz w:val="22"/>
          <w:szCs w:val="22"/>
        </w:rPr>
      </w:pPr>
      <w:bookmarkStart w:id="15" w:name="_Toc214570811"/>
      <w:r w:rsidRPr="00477C4D">
        <w:rPr>
          <w:rStyle w:val="Heading3Char"/>
          <w:rFonts w:ascii="Arial" w:hAnsi="Arial" w:cs="Arial"/>
          <w:b/>
          <w:bCs/>
          <w:sz w:val="22"/>
          <w:szCs w:val="22"/>
        </w:rPr>
        <w:t>Healthcare Providers</w:t>
      </w:r>
      <w:bookmarkEnd w:id="15"/>
      <w:r w:rsidRPr="00477C4D">
        <w:rPr>
          <w:rFonts w:ascii="Arial" w:hAnsi="Arial" w:cs="Arial"/>
          <w:b/>
          <w:bCs/>
          <w:sz w:val="22"/>
          <w:szCs w:val="22"/>
          <w:lang w:val="en-IN"/>
        </w:rPr>
        <w:br/>
      </w:r>
      <w:r w:rsidRPr="00477C4D">
        <w:rPr>
          <w:rFonts w:ascii="Arial" w:hAnsi="Arial" w:cs="Arial"/>
          <w:sz w:val="22"/>
          <w:szCs w:val="22"/>
          <w:lang w:val="en-IN"/>
        </w:rPr>
        <w:t>Clinicians, NHS partners, and private healthcare organisations may integrate the wearable into remote monitoring or preventive care programmes. Their endorsement increases credibility and clinical relevance.</w:t>
      </w:r>
    </w:p>
    <w:p w14:paraId="2336ABFC" w14:textId="77777777" w:rsidR="007174FB" w:rsidRPr="00477C4D" w:rsidRDefault="00E02352" w:rsidP="00E02352">
      <w:pPr>
        <w:rPr>
          <w:rStyle w:val="Heading3Char"/>
          <w:rFonts w:ascii="Arial" w:hAnsi="Arial" w:cs="Arial"/>
          <w:b/>
          <w:bCs/>
          <w:sz w:val="22"/>
          <w:szCs w:val="22"/>
        </w:rPr>
      </w:pPr>
      <w:bookmarkStart w:id="16" w:name="_Toc214570812"/>
      <w:r w:rsidRPr="00477C4D">
        <w:rPr>
          <w:rStyle w:val="Heading3Char"/>
          <w:rFonts w:ascii="Arial" w:hAnsi="Arial" w:cs="Arial"/>
          <w:b/>
          <w:bCs/>
          <w:sz w:val="22"/>
          <w:szCs w:val="22"/>
        </w:rPr>
        <w:t>Retailers / Distributors</w:t>
      </w:r>
      <w:bookmarkEnd w:id="16"/>
    </w:p>
    <w:p w14:paraId="7F2EFD4B" w14:textId="03709846"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Pharmacies, commercial tech retailers, and online marketplaces ensure product visibility and consumer access. Their performance directly affects sales volumes and customer awareness.</w:t>
      </w:r>
    </w:p>
    <w:p w14:paraId="19CCF37C" w14:textId="77777777" w:rsidR="007174FB" w:rsidRPr="00477C4D" w:rsidRDefault="00E02352" w:rsidP="00E02352">
      <w:pPr>
        <w:rPr>
          <w:rStyle w:val="Heading3Char"/>
          <w:rFonts w:ascii="Arial" w:hAnsi="Arial" w:cs="Arial"/>
          <w:b/>
          <w:bCs/>
          <w:sz w:val="22"/>
          <w:szCs w:val="22"/>
        </w:rPr>
      </w:pPr>
      <w:bookmarkStart w:id="17" w:name="_Toc214570813"/>
      <w:r w:rsidRPr="00477C4D">
        <w:rPr>
          <w:rStyle w:val="Heading3Char"/>
          <w:rFonts w:ascii="Arial" w:hAnsi="Arial" w:cs="Arial"/>
          <w:b/>
          <w:bCs/>
          <w:sz w:val="22"/>
          <w:szCs w:val="22"/>
        </w:rPr>
        <w:t>Insurance Companies</w:t>
      </w:r>
      <w:bookmarkEnd w:id="17"/>
    </w:p>
    <w:p w14:paraId="48B81CA2" w14:textId="66A59BBC"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Health insurers may support adoption by offering discounts or wellness incentives for users. This stakeholder group provides opportunities for large-scale uptake and long-term partnerships.</w:t>
      </w:r>
    </w:p>
    <w:p w14:paraId="12979744" w14:textId="77777777" w:rsidR="007174FB" w:rsidRPr="00477C4D" w:rsidRDefault="00E02352" w:rsidP="00E02352">
      <w:pPr>
        <w:rPr>
          <w:rStyle w:val="Heading3Char"/>
          <w:rFonts w:ascii="Arial" w:hAnsi="Arial" w:cs="Arial"/>
          <w:sz w:val="22"/>
          <w:szCs w:val="22"/>
        </w:rPr>
      </w:pPr>
      <w:bookmarkStart w:id="18" w:name="_Toc214570814"/>
      <w:r w:rsidRPr="00477C4D">
        <w:rPr>
          <w:rStyle w:val="Heading3Char"/>
          <w:rFonts w:ascii="Arial" w:hAnsi="Arial" w:cs="Arial"/>
          <w:sz w:val="22"/>
          <w:szCs w:val="22"/>
        </w:rPr>
        <w:t>Technology Partners</w:t>
      </w:r>
      <w:bookmarkEnd w:id="18"/>
    </w:p>
    <w:p w14:paraId="5A2F4C64" w14:textId="5C92CA44"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Component suppliers, app developers, and software integrators influence product quality and reliability. Their timely delivery is essential to avoid technical delays.</w:t>
      </w:r>
    </w:p>
    <w:p w14:paraId="54A3B8BB" w14:textId="459F99ED" w:rsidR="0091096D" w:rsidRPr="00477C4D" w:rsidRDefault="0091096D" w:rsidP="0091096D">
      <w:pPr>
        <w:rPr>
          <w:rFonts w:ascii="Arial" w:hAnsi="Arial" w:cs="Arial"/>
          <w:sz w:val="22"/>
          <w:szCs w:val="22"/>
        </w:rPr>
      </w:pPr>
    </w:p>
    <w:p w14:paraId="27F2AEA2" w14:textId="729EC4FB" w:rsidR="0091096D" w:rsidRPr="00477C4D" w:rsidRDefault="0091096D" w:rsidP="001D56C9">
      <w:pPr>
        <w:pStyle w:val="Heading1"/>
        <w:rPr>
          <w:rFonts w:ascii="Arial" w:hAnsi="Arial" w:cs="Arial"/>
          <w:b/>
          <w:bCs/>
          <w:sz w:val="22"/>
          <w:szCs w:val="22"/>
        </w:rPr>
      </w:pPr>
      <w:bookmarkStart w:id="19" w:name="_Toc214570815"/>
      <w:r w:rsidRPr="00477C4D">
        <w:rPr>
          <w:rFonts w:ascii="Arial" w:hAnsi="Arial" w:cs="Arial"/>
          <w:b/>
          <w:bCs/>
          <w:sz w:val="22"/>
          <w:szCs w:val="22"/>
        </w:rPr>
        <w:t>Roles, Responsibilities, Benefits &amp; Challenges</w:t>
      </w:r>
      <w:bookmarkEnd w:id="19"/>
    </w:p>
    <w:p w14:paraId="216864EA" w14:textId="71A4934B" w:rsidR="00E02352" w:rsidRPr="00477C4D" w:rsidRDefault="00E02352" w:rsidP="007174FB">
      <w:pPr>
        <w:jc w:val="both"/>
        <w:rPr>
          <w:rFonts w:ascii="Arial" w:hAnsi="Arial" w:cs="Arial"/>
          <w:sz w:val="22"/>
          <w:szCs w:val="22"/>
          <w:lang w:val="en-IN"/>
        </w:rPr>
      </w:pPr>
      <w:r w:rsidRPr="00477C4D">
        <w:rPr>
          <w:rFonts w:ascii="Arial" w:hAnsi="Arial" w:cs="Arial"/>
          <w:sz w:val="22"/>
          <w:szCs w:val="22"/>
          <w:lang w:val="en-IN"/>
        </w:rPr>
        <w:t xml:space="preserve">Effective stakeholder involvement is essential for the successful launch of Philips UK HealthTech’s new wearable device. Each stakeholder group contributes unique expertise and </w:t>
      </w:r>
      <w:r w:rsidR="0078348E" w:rsidRPr="00477C4D">
        <w:rPr>
          <w:rFonts w:ascii="Arial" w:hAnsi="Arial" w:cs="Arial"/>
          <w:sz w:val="22"/>
          <w:szCs w:val="22"/>
          <w:lang w:val="en-IN"/>
        </w:rPr>
        <w:t>resources but</w:t>
      </w:r>
      <w:r w:rsidRPr="00477C4D">
        <w:rPr>
          <w:rFonts w:ascii="Arial" w:hAnsi="Arial" w:cs="Arial"/>
          <w:sz w:val="22"/>
          <w:szCs w:val="22"/>
          <w:lang w:val="en-IN"/>
        </w:rPr>
        <w:t xml:space="preserve"> also faces challenges that must be managed to ensure smooth project progression. The following section outlines the key roles, responsibilities, </w:t>
      </w:r>
      <w:r w:rsidR="0078348E" w:rsidRPr="00477C4D">
        <w:rPr>
          <w:rFonts w:ascii="Arial" w:hAnsi="Arial" w:cs="Arial"/>
          <w:sz w:val="22"/>
          <w:szCs w:val="22"/>
          <w:lang w:val="en-IN"/>
        </w:rPr>
        <w:t>benefits,</w:t>
      </w:r>
      <w:r w:rsidRPr="00477C4D">
        <w:rPr>
          <w:rFonts w:ascii="Arial" w:hAnsi="Arial" w:cs="Arial"/>
          <w:sz w:val="22"/>
          <w:szCs w:val="22"/>
          <w:lang w:val="en-IN"/>
        </w:rPr>
        <w:t xml:space="preserve"> and associated challenges for the main internal and external stakeholders.</w:t>
      </w:r>
    </w:p>
    <w:p w14:paraId="3CF41749" w14:textId="62214A92" w:rsidR="00E02352" w:rsidRPr="00477C4D" w:rsidRDefault="00E02352" w:rsidP="00E02352">
      <w:pPr>
        <w:ind w:left="360"/>
        <w:rPr>
          <w:rFonts w:ascii="Arial" w:hAnsi="Arial" w:cs="Arial"/>
          <w:b/>
          <w:bCs/>
          <w:sz w:val="22"/>
          <w:szCs w:val="22"/>
          <w:lang w:val="en-IN"/>
        </w:rPr>
      </w:pPr>
    </w:p>
    <w:p w14:paraId="7B2E20C9" w14:textId="77777777" w:rsidR="00E02352" w:rsidRPr="00477C4D" w:rsidRDefault="00E02352" w:rsidP="001D56C9">
      <w:pPr>
        <w:pStyle w:val="Heading2"/>
        <w:rPr>
          <w:rFonts w:ascii="Arial" w:hAnsi="Arial" w:cs="Arial"/>
          <w:b/>
          <w:bCs/>
          <w:sz w:val="22"/>
          <w:szCs w:val="22"/>
          <w:lang w:val="en-IN"/>
        </w:rPr>
      </w:pPr>
      <w:bookmarkStart w:id="20" w:name="_Toc214570816"/>
      <w:r w:rsidRPr="00477C4D">
        <w:rPr>
          <w:rFonts w:ascii="Arial" w:hAnsi="Arial" w:cs="Arial"/>
          <w:b/>
          <w:bCs/>
          <w:sz w:val="22"/>
          <w:szCs w:val="22"/>
          <w:lang w:val="en-IN"/>
        </w:rPr>
        <w:t>Internal Stakeholders</w:t>
      </w:r>
      <w:bookmarkEnd w:id="20"/>
    </w:p>
    <w:p w14:paraId="33ACB3FC" w14:textId="0EE716BA" w:rsidR="00E02352" w:rsidRPr="00477C4D" w:rsidRDefault="00E02352" w:rsidP="001D56C9">
      <w:pPr>
        <w:pStyle w:val="Heading3"/>
        <w:rPr>
          <w:rFonts w:ascii="Arial" w:hAnsi="Arial" w:cs="Arial"/>
          <w:b/>
          <w:bCs/>
          <w:sz w:val="22"/>
          <w:szCs w:val="22"/>
          <w:lang w:val="en-IN"/>
        </w:rPr>
      </w:pPr>
      <w:bookmarkStart w:id="21" w:name="_Toc214570817"/>
      <w:r w:rsidRPr="00477C4D">
        <w:rPr>
          <w:rFonts w:ascii="Arial" w:hAnsi="Arial" w:cs="Arial"/>
          <w:b/>
          <w:bCs/>
          <w:sz w:val="22"/>
          <w:szCs w:val="22"/>
          <w:lang w:val="en-IN"/>
        </w:rPr>
        <w:t>Product Development Team</w:t>
      </w:r>
      <w:bookmarkEnd w:id="21"/>
    </w:p>
    <w:p w14:paraId="1C760BDF" w14:textId="77777777" w:rsidR="007174FB" w:rsidRPr="00477C4D" w:rsidRDefault="00E02352" w:rsidP="001D56C9">
      <w:pPr>
        <w:rPr>
          <w:rFonts w:ascii="Arial" w:hAnsi="Arial" w:cs="Arial"/>
          <w:sz w:val="22"/>
          <w:szCs w:val="22"/>
          <w:lang w:val="en-IN"/>
        </w:rPr>
      </w:pPr>
      <w:r w:rsidRPr="00477C4D">
        <w:rPr>
          <w:rFonts w:ascii="Arial" w:hAnsi="Arial" w:cs="Arial"/>
          <w:sz w:val="22"/>
          <w:szCs w:val="22"/>
          <w:lang w:val="en-IN"/>
        </w:rPr>
        <w:t>Roles &amp; Responsibilities:</w:t>
      </w:r>
    </w:p>
    <w:p w14:paraId="096953FE" w14:textId="69C76375" w:rsidR="00AD6CC4"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 xml:space="preserve">The development team designs the device’s hardware, software, user </w:t>
      </w:r>
      <w:r w:rsidR="0078348E" w:rsidRPr="00477C4D">
        <w:rPr>
          <w:rFonts w:ascii="Arial" w:hAnsi="Arial" w:cs="Arial"/>
          <w:sz w:val="22"/>
          <w:szCs w:val="22"/>
          <w:lang w:val="en-IN"/>
        </w:rPr>
        <w:t>interface,</w:t>
      </w:r>
      <w:r w:rsidRPr="00477C4D">
        <w:rPr>
          <w:rFonts w:ascii="Arial" w:hAnsi="Arial" w:cs="Arial"/>
          <w:sz w:val="22"/>
          <w:szCs w:val="22"/>
          <w:lang w:val="en-IN"/>
        </w:rPr>
        <w:t xml:space="preserve"> and integrations with Philips’ digital platforms. They conduct prototyping, testing, clinical validation and ensure compliance with MHRA technical standards.</w:t>
      </w:r>
    </w:p>
    <w:p w14:paraId="16DF0C70" w14:textId="5EEA9E4A" w:rsidR="00AD6CC4"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Benefits:</w:t>
      </w:r>
      <w:r w:rsidRPr="00477C4D">
        <w:rPr>
          <w:rFonts w:ascii="Arial" w:hAnsi="Arial" w:cs="Arial"/>
          <w:sz w:val="22"/>
          <w:szCs w:val="22"/>
          <w:lang w:val="en-IN"/>
        </w:rPr>
        <w:br/>
        <w:t>Their technical expertise ensures high-quality performance, clinical accuracy and user safety</w:t>
      </w:r>
      <w:r w:rsidR="0078348E" w:rsidRPr="00477C4D">
        <w:rPr>
          <w:rFonts w:ascii="Arial" w:hAnsi="Arial" w:cs="Arial"/>
          <w:sz w:val="22"/>
          <w:szCs w:val="22"/>
          <w:lang w:val="en-IN"/>
        </w:rPr>
        <w:t xml:space="preserve"> </w:t>
      </w:r>
      <w:r w:rsidRPr="00477C4D">
        <w:rPr>
          <w:rFonts w:ascii="Arial" w:hAnsi="Arial" w:cs="Arial"/>
          <w:sz w:val="22"/>
          <w:szCs w:val="22"/>
          <w:lang w:val="en-IN"/>
        </w:rPr>
        <w:t>key differentiators in the competitive wearables market.</w:t>
      </w:r>
    </w:p>
    <w:p w14:paraId="68E8C38B" w14:textId="2A9CDD82" w:rsidR="00AD6CC4" w:rsidRPr="00477C4D" w:rsidRDefault="00E02352" w:rsidP="001D56C9">
      <w:pPr>
        <w:rPr>
          <w:rFonts w:ascii="Arial" w:hAnsi="Arial" w:cs="Arial"/>
          <w:sz w:val="22"/>
          <w:szCs w:val="22"/>
          <w:lang w:val="en-IN"/>
        </w:rPr>
      </w:pPr>
      <w:r w:rsidRPr="00477C4D">
        <w:rPr>
          <w:rFonts w:ascii="Arial" w:hAnsi="Arial" w:cs="Arial"/>
          <w:sz w:val="22"/>
          <w:szCs w:val="22"/>
          <w:lang w:val="en-IN"/>
        </w:rPr>
        <w:t>Challenges:</w:t>
      </w:r>
    </w:p>
    <w:p w14:paraId="038192DB" w14:textId="44A28A35"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They may face technical delays, supply chain issues, and difficulties integrating new features without affecting battery life or usability.</w:t>
      </w:r>
    </w:p>
    <w:p w14:paraId="1CEB99E7" w14:textId="64EFE496" w:rsidR="00E02352" w:rsidRPr="00477C4D" w:rsidRDefault="00E02352" w:rsidP="00E02352">
      <w:pPr>
        <w:ind w:left="360"/>
        <w:rPr>
          <w:rFonts w:ascii="Arial" w:hAnsi="Arial" w:cs="Arial"/>
          <w:sz w:val="22"/>
          <w:szCs w:val="22"/>
          <w:lang w:val="en-IN"/>
        </w:rPr>
      </w:pPr>
    </w:p>
    <w:p w14:paraId="157BEB31" w14:textId="78C587BC" w:rsidR="00E02352" w:rsidRPr="00477C4D" w:rsidRDefault="00E02352" w:rsidP="001D56C9">
      <w:pPr>
        <w:pStyle w:val="Heading3"/>
        <w:rPr>
          <w:rFonts w:ascii="Arial" w:hAnsi="Arial" w:cs="Arial"/>
          <w:b/>
          <w:bCs/>
          <w:sz w:val="22"/>
          <w:szCs w:val="22"/>
          <w:lang w:val="en-IN"/>
        </w:rPr>
      </w:pPr>
      <w:bookmarkStart w:id="22" w:name="_Toc214570818"/>
      <w:r w:rsidRPr="00477C4D">
        <w:rPr>
          <w:rFonts w:ascii="Arial" w:hAnsi="Arial" w:cs="Arial"/>
          <w:b/>
          <w:bCs/>
          <w:sz w:val="22"/>
          <w:szCs w:val="22"/>
          <w:lang w:val="en-IN"/>
        </w:rPr>
        <w:t>Marketing Team</w:t>
      </w:r>
      <w:bookmarkEnd w:id="22"/>
    </w:p>
    <w:p w14:paraId="1A278A8B" w14:textId="3A439C35"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22658F77" w14:textId="1177C169"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Marketing conducts market research, defines customer personas, develops branding, pricing strategies and creates the launch campaign.</w:t>
      </w:r>
    </w:p>
    <w:p w14:paraId="2CA84A71" w14:textId="5AEB7A6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63E2509B" w14:textId="16C3B004"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They drive consumer awareness, shape the product’s market positioning and help generate early demand.</w:t>
      </w:r>
    </w:p>
    <w:p w14:paraId="040ED5AC" w14:textId="6C4440D3"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4DFA7A16" w14:textId="7C3B2531"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Mismatched messaging, poor targeting or unclear value propositions may lead to low adoption or customer confusion.</w:t>
      </w:r>
    </w:p>
    <w:p w14:paraId="1D2A7C2E" w14:textId="5429DC29" w:rsidR="00E02352" w:rsidRPr="00477C4D" w:rsidRDefault="00E02352" w:rsidP="00E02352">
      <w:pPr>
        <w:ind w:left="360"/>
        <w:rPr>
          <w:rFonts w:ascii="Arial" w:hAnsi="Arial" w:cs="Arial"/>
          <w:b/>
          <w:bCs/>
          <w:sz w:val="22"/>
          <w:szCs w:val="22"/>
          <w:lang w:val="en-IN"/>
        </w:rPr>
      </w:pPr>
    </w:p>
    <w:p w14:paraId="01EAB08E" w14:textId="17FB023B" w:rsidR="00E02352" w:rsidRPr="00477C4D" w:rsidRDefault="00E02352" w:rsidP="001D56C9">
      <w:pPr>
        <w:pStyle w:val="Heading3"/>
        <w:rPr>
          <w:rFonts w:ascii="Arial" w:hAnsi="Arial" w:cs="Arial"/>
          <w:b/>
          <w:bCs/>
          <w:sz w:val="22"/>
          <w:szCs w:val="22"/>
          <w:lang w:val="en-IN"/>
        </w:rPr>
      </w:pPr>
      <w:bookmarkStart w:id="23" w:name="_Toc214570819"/>
      <w:r w:rsidRPr="00477C4D">
        <w:rPr>
          <w:rFonts w:ascii="Arial" w:hAnsi="Arial" w:cs="Arial"/>
          <w:b/>
          <w:bCs/>
          <w:sz w:val="22"/>
          <w:szCs w:val="22"/>
          <w:lang w:val="en-IN"/>
        </w:rPr>
        <w:t>Sales Department</w:t>
      </w:r>
      <w:bookmarkEnd w:id="23"/>
    </w:p>
    <w:p w14:paraId="3D1C4774" w14:textId="00EE1260"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r w:rsidRPr="00477C4D">
        <w:rPr>
          <w:rFonts w:ascii="Arial" w:hAnsi="Arial" w:cs="Arial"/>
          <w:sz w:val="22"/>
          <w:szCs w:val="22"/>
          <w:lang w:val="en-IN"/>
        </w:rPr>
        <w:br/>
        <w:t>Sales manages relationships with retailers, negotiates contracts, and ensures distribution readiness. They coordinate with marketing to plan retail promotions and channel strategy.</w:t>
      </w:r>
    </w:p>
    <w:p w14:paraId="7A6E3977"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r w:rsidRPr="00477C4D">
        <w:rPr>
          <w:rFonts w:ascii="Arial" w:hAnsi="Arial" w:cs="Arial"/>
          <w:sz w:val="22"/>
          <w:szCs w:val="22"/>
          <w:lang w:val="en-IN"/>
        </w:rPr>
        <w:br/>
        <w:t>They enable market reach by ensuring the product is available both online and in physical stores, directly influencing sales performance.</w:t>
      </w:r>
      <w:r w:rsidRPr="00477C4D">
        <w:rPr>
          <w:rFonts w:ascii="Arial" w:hAnsi="Arial" w:cs="Arial"/>
          <w:sz w:val="22"/>
          <w:szCs w:val="22"/>
          <w:lang w:val="en-IN"/>
        </w:rPr>
        <w:br/>
      </w:r>
    </w:p>
    <w:p w14:paraId="2383E1C6" w14:textId="48839169"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r w:rsidRPr="00477C4D">
        <w:rPr>
          <w:rFonts w:ascii="Arial" w:hAnsi="Arial" w:cs="Arial"/>
          <w:sz w:val="22"/>
          <w:szCs w:val="22"/>
          <w:lang w:val="en-IN"/>
        </w:rPr>
        <w:br/>
        <w:t>Competition for shelf space, retailer reluctance, or inaccurate sales forecasting may hinder early market penetration.</w:t>
      </w:r>
    </w:p>
    <w:p w14:paraId="15792687" w14:textId="09426BAF" w:rsidR="00E02352" w:rsidRPr="00477C4D" w:rsidRDefault="00E02352" w:rsidP="00E02352">
      <w:pPr>
        <w:ind w:left="360"/>
        <w:rPr>
          <w:rFonts w:ascii="Arial" w:hAnsi="Arial" w:cs="Arial"/>
          <w:sz w:val="22"/>
          <w:szCs w:val="22"/>
          <w:lang w:val="en-IN"/>
        </w:rPr>
      </w:pPr>
    </w:p>
    <w:p w14:paraId="63C7B8FF" w14:textId="62C6498B" w:rsidR="00E02352" w:rsidRPr="00477C4D" w:rsidRDefault="00E02352" w:rsidP="001D56C9">
      <w:pPr>
        <w:pStyle w:val="Heading3"/>
        <w:rPr>
          <w:rFonts w:ascii="Arial" w:hAnsi="Arial" w:cs="Arial"/>
          <w:b/>
          <w:bCs/>
          <w:sz w:val="22"/>
          <w:szCs w:val="22"/>
          <w:lang w:val="en-IN"/>
        </w:rPr>
      </w:pPr>
      <w:bookmarkStart w:id="24" w:name="_Toc214570820"/>
      <w:r w:rsidRPr="00477C4D">
        <w:rPr>
          <w:rFonts w:ascii="Arial" w:hAnsi="Arial" w:cs="Arial"/>
          <w:b/>
          <w:bCs/>
          <w:sz w:val="22"/>
          <w:szCs w:val="22"/>
          <w:lang w:val="en-IN"/>
        </w:rPr>
        <w:t>IT &amp; Data Security Teams</w:t>
      </w:r>
      <w:bookmarkEnd w:id="24"/>
    </w:p>
    <w:p w14:paraId="0EF0A8B2"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70E887A5"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These teams develop secure data infrastructure, oversee app connectivity, cloud integration and ensure compliance with GDPR and ICO guidance.</w:t>
      </w:r>
    </w:p>
    <w:p w14:paraId="38C09147" w14:textId="57E7C11E"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br/>
        <w:t>Benefits:</w:t>
      </w:r>
    </w:p>
    <w:p w14:paraId="0CAA9C83"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They enhance user trust by guaranteeing data protection, which is crucial in health technology products.</w:t>
      </w:r>
    </w:p>
    <w:p w14:paraId="0C9585F9" w14:textId="5F415D9F"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0010F212" w14:textId="69B1977E"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Cybersecurity threats, privacy concerns and system vulnerabilities pose ongoing risks that require continuous monitoring.</w:t>
      </w:r>
    </w:p>
    <w:p w14:paraId="25235171" w14:textId="1C371C39" w:rsidR="00E02352" w:rsidRPr="00477C4D" w:rsidRDefault="00E02352" w:rsidP="00E02352">
      <w:pPr>
        <w:ind w:left="360"/>
        <w:rPr>
          <w:rFonts w:ascii="Arial" w:hAnsi="Arial" w:cs="Arial"/>
          <w:sz w:val="22"/>
          <w:szCs w:val="22"/>
          <w:lang w:val="en-IN"/>
        </w:rPr>
      </w:pPr>
    </w:p>
    <w:p w14:paraId="56F818AB" w14:textId="4C4252AE" w:rsidR="00E02352" w:rsidRPr="00477C4D" w:rsidRDefault="00E02352" w:rsidP="001D56C9">
      <w:pPr>
        <w:pStyle w:val="Heading3"/>
        <w:rPr>
          <w:rFonts w:ascii="Arial" w:hAnsi="Arial" w:cs="Arial"/>
          <w:b/>
          <w:bCs/>
          <w:sz w:val="22"/>
          <w:szCs w:val="22"/>
          <w:lang w:val="en-IN"/>
        </w:rPr>
      </w:pPr>
      <w:bookmarkStart w:id="25" w:name="_Toc214570821"/>
      <w:r w:rsidRPr="00477C4D">
        <w:rPr>
          <w:rFonts w:ascii="Arial" w:hAnsi="Arial" w:cs="Arial"/>
          <w:b/>
          <w:bCs/>
          <w:sz w:val="22"/>
          <w:szCs w:val="22"/>
          <w:lang w:val="en-IN"/>
        </w:rPr>
        <w:lastRenderedPageBreak/>
        <w:t>Senior Management</w:t>
      </w:r>
      <w:bookmarkEnd w:id="25"/>
    </w:p>
    <w:p w14:paraId="705FF3C9"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3EFF6B7D" w14:textId="26E30EB4"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Executives approve budgets, allocate resources and make strategic decisions regarding the launch timeline, pricing and market focus.</w:t>
      </w:r>
    </w:p>
    <w:p w14:paraId="0362AAFC" w14:textId="6FB7E8B4"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5F965FB8" w14:textId="7D672F02"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Their support ensures strategic alignment, risk governance and a smooth escalation process for major decisions.</w:t>
      </w:r>
    </w:p>
    <w:p w14:paraId="523133E4" w14:textId="15B75725"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06D73D94" w14:textId="3596D8DE"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Conflicting priorities or slow decision-making may delay progress or create bottlenecks.</w:t>
      </w:r>
    </w:p>
    <w:p w14:paraId="0A6207FF" w14:textId="77F8BB51" w:rsidR="00E02352" w:rsidRPr="00477C4D" w:rsidRDefault="00E02352" w:rsidP="00E02352">
      <w:pPr>
        <w:ind w:left="360"/>
        <w:rPr>
          <w:rFonts w:ascii="Arial" w:hAnsi="Arial" w:cs="Arial"/>
          <w:sz w:val="22"/>
          <w:szCs w:val="22"/>
          <w:lang w:val="en-IN"/>
        </w:rPr>
      </w:pPr>
    </w:p>
    <w:p w14:paraId="6DD98213" w14:textId="77777777" w:rsidR="00E02352" w:rsidRPr="00477C4D" w:rsidRDefault="00E02352" w:rsidP="001D56C9">
      <w:pPr>
        <w:pStyle w:val="Heading2"/>
        <w:rPr>
          <w:rFonts w:ascii="Arial" w:hAnsi="Arial" w:cs="Arial"/>
          <w:b/>
          <w:bCs/>
          <w:sz w:val="22"/>
          <w:szCs w:val="22"/>
          <w:lang w:val="en-IN"/>
        </w:rPr>
      </w:pPr>
      <w:bookmarkStart w:id="26" w:name="_Toc214570822"/>
      <w:r w:rsidRPr="00477C4D">
        <w:rPr>
          <w:rFonts w:ascii="Arial" w:hAnsi="Arial" w:cs="Arial"/>
          <w:b/>
          <w:bCs/>
          <w:sz w:val="22"/>
          <w:szCs w:val="22"/>
          <w:lang w:val="en-IN"/>
        </w:rPr>
        <w:t>External Stakeholders</w:t>
      </w:r>
      <w:bookmarkEnd w:id="26"/>
    </w:p>
    <w:p w14:paraId="4C5FF4D5" w14:textId="3531E9D2" w:rsidR="00E02352" w:rsidRPr="00477C4D" w:rsidRDefault="00E02352" w:rsidP="001D56C9">
      <w:pPr>
        <w:pStyle w:val="Heading3"/>
        <w:rPr>
          <w:rFonts w:ascii="Arial" w:hAnsi="Arial" w:cs="Arial"/>
          <w:sz w:val="22"/>
          <w:szCs w:val="22"/>
          <w:lang w:val="en-IN"/>
        </w:rPr>
      </w:pPr>
      <w:bookmarkStart w:id="27" w:name="_Toc214570823"/>
      <w:r w:rsidRPr="00477C4D">
        <w:rPr>
          <w:rFonts w:ascii="Arial" w:hAnsi="Arial" w:cs="Arial"/>
          <w:sz w:val="22"/>
          <w:szCs w:val="22"/>
          <w:lang w:val="en-IN"/>
        </w:rPr>
        <w:t>Regulators (MHRA, ICO)</w:t>
      </w:r>
      <w:bookmarkEnd w:id="27"/>
    </w:p>
    <w:p w14:paraId="6DA35AEA"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77FA761A"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MHRA ensures product safety, performance and medical device compliance; the ICO oversees data protection practices.</w:t>
      </w:r>
    </w:p>
    <w:p w14:paraId="0377E8A3" w14:textId="5E91B93B"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4749A9B0"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Regulatory approval provides legitimacy and consumer confidence.</w:t>
      </w:r>
    </w:p>
    <w:p w14:paraId="0A573969" w14:textId="6FFFADFC"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184078CE" w14:textId="4F4231A8"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Approval processes are lengthy, complex and can delay product launch if documentation or testing is insufficient.</w:t>
      </w:r>
    </w:p>
    <w:p w14:paraId="7C67401D" w14:textId="1662DBD8" w:rsidR="00E02352" w:rsidRPr="00477C4D" w:rsidRDefault="00E02352" w:rsidP="00E02352">
      <w:pPr>
        <w:ind w:left="360"/>
        <w:rPr>
          <w:rFonts w:ascii="Arial" w:hAnsi="Arial" w:cs="Arial"/>
          <w:sz w:val="22"/>
          <w:szCs w:val="22"/>
          <w:lang w:val="en-IN"/>
        </w:rPr>
      </w:pPr>
    </w:p>
    <w:p w14:paraId="20138B1A" w14:textId="3C71DE30" w:rsidR="00E02352" w:rsidRPr="00477C4D" w:rsidRDefault="00E02352" w:rsidP="001D56C9">
      <w:pPr>
        <w:pStyle w:val="Heading3"/>
        <w:rPr>
          <w:rFonts w:ascii="Arial" w:hAnsi="Arial" w:cs="Arial"/>
          <w:b/>
          <w:bCs/>
          <w:sz w:val="22"/>
          <w:szCs w:val="22"/>
          <w:lang w:val="en-IN"/>
        </w:rPr>
      </w:pPr>
      <w:bookmarkStart w:id="28" w:name="_Toc214570824"/>
      <w:r w:rsidRPr="00477C4D">
        <w:rPr>
          <w:rFonts w:ascii="Arial" w:hAnsi="Arial" w:cs="Arial"/>
          <w:b/>
          <w:bCs/>
          <w:sz w:val="22"/>
          <w:szCs w:val="22"/>
          <w:lang w:val="en-IN"/>
        </w:rPr>
        <w:t>Customers / End Users</w:t>
      </w:r>
      <w:bookmarkEnd w:id="28"/>
    </w:p>
    <w:p w14:paraId="49101A00"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014054A0" w14:textId="2BE0BE9B"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 xml:space="preserve">End users provide direct feedback on usability, comfort, data </w:t>
      </w:r>
      <w:r w:rsidR="0078348E" w:rsidRPr="00477C4D">
        <w:rPr>
          <w:rFonts w:ascii="Arial" w:hAnsi="Arial" w:cs="Arial"/>
          <w:sz w:val="22"/>
          <w:szCs w:val="22"/>
          <w:lang w:val="en-IN"/>
        </w:rPr>
        <w:t>insights,</w:t>
      </w:r>
      <w:r w:rsidRPr="00477C4D">
        <w:rPr>
          <w:rFonts w:ascii="Arial" w:hAnsi="Arial" w:cs="Arial"/>
          <w:sz w:val="22"/>
          <w:szCs w:val="22"/>
          <w:lang w:val="en-IN"/>
        </w:rPr>
        <w:t xml:space="preserve"> and app experience. Their behaviour influences long-term adoption.</w:t>
      </w:r>
    </w:p>
    <w:p w14:paraId="7D1831F5" w14:textId="67FD0A4C"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0F402BE6" w14:textId="718100D4"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User feedback drives product refinement, helping Philips improve accuracy and customer satisfaction.</w:t>
      </w:r>
    </w:p>
    <w:p w14:paraId="7E43708D" w14:textId="7D09A6DE"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28CC33F2" w14:textId="76539B8A"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Privacy concerns, difficulty understanding features or lack of motivation to use the device consistently can reduce engagement.</w:t>
      </w:r>
    </w:p>
    <w:p w14:paraId="3CF19A0A" w14:textId="6BF0F7E4" w:rsidR="00E02352" w:rsidRPr="00477C4D" w:rsidRDefault="00E02352" w:rsidP="00E02352">
      <w:pPr>
        <w:ind w:left="360"/>
        <w:rPr>
          <w:rFonts w:ascii="Arial" w:hAnsi="Arial" w:cs="Arial"/>
          <w:sz w:val="22"/>
          <w:szCs w:val="22"/>
          <w:lang w:val="en-IN"/>
        </w:rPr>
      </w:pPr>
    </w:p>
    <w:p w14:paraId="1BAF4448" w14:textId="18EBFBF0" w:rsidR="00E02352" w:rsidRPr="00477C4D" w:rsidRDefault="00E02352" w:rsidP="001D56C9">
      <w:pPr>
        <w:pStyle w:val="Heading3"/>
        <w:rPr>
          <w:rFonts w:ascii="Arial" w:hAnsi="Arial" w:cs="Arial"/>
          <w:b/>
          <w:bCs/>
          <w:sz w:val="22"/>
          <w:szCs w:val="22"/>
          <w:lang w:val="en-IN"/>
        </w:rPr>
      </w:pPr>
      <w:bookmarkStart w:id="29" w:name="_Toc214570825"/>
      <w:r w:rsidRPr="00477C4D">
        <w:rPr>
          <w:rFonts w:ascii="Arial" w:hAnsi="Arial" w:cs="Arial"/>
          <w:b/>
          <w:bCs/>
          <w:sz w:val="22"/>
          <w:szCs w:val="22"/>
          <w:lang w:val="en-IN"/>
        </w:rPr>
        <w:t>Healthcare Providers / NHS Partners</w:t>
      </w:r>
      <w:bookmarkEnd w:id="29"/>
    </w:p>
    <w:p w14:paraId="3B6EA74D"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0559450A" w14:textId="243BC650"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lastRenderedPageBreak/>
        <w:t>Clinicians may incorporate the device into monitoring programmes or preventive care pathways.</w:t>
      </w:r>
    </w:p>
    <w:p w14:paraId="2112F500" w14:textId="2433A429"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4FA9129C" w14:textId="6C2D7C1A"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Their endorsement enhances clinical credibility and supports partnerships.</w:t>
      </w:r>
    </w:p>
    <w:p w14:paraId="16A9549C" w14:textId="27FEEF0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2DDB3F0C" w14:textId="7A24A380"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 xml:space="preserve">Clinicians may resist </w:t>
      </w:r>
      <w:r w:rsidR="0078348E" w:rsidRPr="00477C4D">
        <w:rPr>
          <w:rFonts w:ascii="Arial" w:hAnsi="Arial" w:cs="Arial"/>
          <w:sz w:val="22"/>
          <w:szCs w:val="22"/>
          <w:lang w:val="en-IN"/>
        </w:rPr>
        <w:t>modern technologies</w:t>
      </w:r>
      <w:r w:rsidRPr="00477C4D">
        <w:rPr>
          <w:rFonts w:ascii="Arial" w:hAnsi="Arial" w:cs="Arial"/>
          <w:sz w:val="22"/>
          <w:szCs w:val="22"/>
          <w:lang w:val="en-IN"/>
        </w:rPr>
        <w:t xml:space="preserve"> if they perceive added workload or insufficient evidence of clinical benefit.</w:t>
      </w:r>
    </w:p>
    <w:p w14:paraId="4F0E6E60" w14:textId="73FA7F42" w:rsidR="00E02352" w:rsidRPr="00477C4D" w:rsidRDefault="00E02352" w:rsidP="00E02352">
      <w:pPr>
        <w:ind w:left="360"/>
        <w:rPr>
          <w:rFonts w:ascii="Arial" w:hAnsi="Arial" w:cs="Arial"/>
          <w:sz w:val="22"/>
          <w:szCs w:val="22"/>
          <w:lang w:val="en-IN"/>
        </w:rPr>
      </w:pPr>
    </w:p>
    <w:p w14:paraId="77AD297F" w14:textId="6C6C54B8" w:rsidR="00E02352" w:rsidRPr="00477C4D" w:rsidRDefault="00E02352" w:rsidP="001D56C9">
      <w:pPr>
        <w:pStyle w:val="Heading3"/>
        <w:rPr>
          <w:rFonts w:ascii="Arial" w:hAnsi="Arial" w:cs="Arial"/>
          <w:b/>
          <w:bCs/>
          <w:sz w:val="22"/>
          <w:szCs w:val="22"/>
          <w:lang w:val="en-IN"/>
        </w:rPr>
      </w:pPr>
      <w:bookmarkStart w:id="30" w:name="_Toc214570826"/>
      <w:r w:rsidRPr="00477C4D">
        <w:rPr>
          <w:rFonts w:ascii="Arial" w:hAnsi="Arial" w:cs="Arial"/>
          <w:b/>
          <w:bCs/>
          <w:sz w:val="22"/>
          <w:szCs w:val="22"/>
          <w:lang w:val="en-IN"/>
        </w:rPr>
        <w:t>Retailers &amp; Distributors</w:t>
      </w:r>
      <w:bookmarkEnd w:id="30"/>
    </w:p>
    <w:p w14:paraId="4B54ACE5"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4206FCB5"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 xml:space="preserve">They manage product placement, stock </w:t>
      </w:r>
      <w:r w:rsidR="0078348E" w:rsidRPr="00477C4D">
        <w:rPr>
          <w:rFonts w:ascii="Arial" w:hAnsi="Arial" w:cs="Arial"/>
          <w:sz w:val="22"/>
          <w:szCs w:val="22"/>
          <w:lang w:val="en-IN"/>
        </w:rPr>
        <w:t>levels,</w:t>
      </w:r>
      <w:r w:rsidRPr="00477C4D">
        <w:rPr>
          <w:rFonts w:ascii="Arial" w:hAnsi="Arial" w:cs="Arial"/>
          <w:sz w:val="22"/>
          <w:szCs w:val="22"/>
          <w:lang w:val="en-IN"/>
        </w:rPr>
        <w:t xml:space="preserve"> and customer education at purchase points.</w:t>
      </w:r>
    </w:p>
    <w:p w14:paraId="5CE29990"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30DE92AB"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Retail partners expand product reach and accessibility.</w:t>
      </w:r>
    </w:p>
    <w:p w14:paraId="0410839F" w14:textId="65AD68FC"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491DD80F" w14:textId="08960BCF"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Competing products, limited shelf space or low staff awareness can hinder sales.</w:t>
      </w:r>
    </w:p>
    <w:p w14:paraId="18F69915" w14:textId="7B6F32BD" w:rsidR="00E02352" w:rsidRPr="00477C4D" w:rsidRDefault="00E02352" w:rsidP="00E02352">
      <w:pPr>
        <w:ind w:left="360"/>
        <w:rPr>
          <w:rFonts w:ascii="Arial" w:hAnsi="Arial" w:cs="Arial"/>
          <w:sz w:val="22"/>
          <w:szCs w:val="22"/>
          <w:lang w:val="en-IN"/>
        </w:rPr>
      </w:pPr>
    </w:p>
    <w:p w14:paraId="475B881B" w14:textId="079E020D" w:rsidR="00E02352" w:rsidRPr="00477C4D" w:rsidRDefault="00E02352" w:rsidP="001D56C9">
      <w:pPr>
        <w:pStyle w:val="Heading3"/>
        <w:rPr>
          <w:rFonts w:ascii="Arial" w:hAnsi="Arial" w:cs="Arial"/>
          <w:b/>
          <w:bCs/>
          <w:sz w:val="22"/>
          <w:szCs w:val="22"/>
          <w:lang w:val="en-IN"/>
        </w:rPr>
      </w:pPr>
      <w:bookmarkStart w:id="31" w:name="_Toc214570827"/>
      <w:r w:rsidRPr="00477C4D">
        <w:rPr>
          <w:rFonts w:ascii="Arial" w:hAnsi="Arial" w:cs="Arial"/>
          <w:b/>
          <w:bCs/>
          <w:sz w:val="22"/>
          <w:szCs w:val="22"/>
          <w:lang w:val="en-IN"/>
        </w:rPr>
        <w:t>Technology Partners</w:t>
      </w:r>
      <w:bookmarkEnd w:id="31"/>
    </w:p>
    <w:p w14:paraId="7502DE61"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Roles &amp; Responsibilities:</w:t>
      </w:r>
    </w:p>
    <w:p w14:paraId="434DB16E"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Suppliers and software developers provide critical components and integration services.</w:t>
      </w:r>
    </w:p>
    <w:p w14:paraId="2F652AEB"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Benefits:</w:t>
      </w:r>
    </w:p>
    <w:p w14:paraId="67926DB0"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They support product innovation and reliability.</w:t>
      </w:r>
    </w:p>
    <w:p w14:paraId="02E1CC58" w14:textId="77777777" w:rsidR="00AD6CC4" w:rsidRPr="00477C4D" w:rsidRDefault="00E02352" w:rsidP="00AD6CC4">
      <w:pPr>
        <w:rPr>
          <w:rFonts w:ascii="Arial" w:hAnsi="Arial" w:cs="Arial"/>
          <w:sz w:val="22"/>
          <w:szCs w:val="22"/>
          <w:lang w:val="en-IN"/>
        </w:rPr>
      </w:pPr>
      <w:r w:rsidRPr="00477C4D">
        <w:rPr>
          <w:rFonts w:ascii="Arial" w:hAnsi="Arial" w:cs="Arial"/>
          <w:sz w:val="22"/>
          <w:szCs w:val="22"/>
          <w:lang w:val="en-IN"/>
        </w:rPr>
        <w:t>Challenges:</w:t>
      </w:r>
    </w:p>
    <w:p w14:paraId="1D81469B" w14:textId="2B68F27C"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Delays or quality issues can disrupt the entire project timeline.</w:t>
      </w:r>
    </w:p>
    <w:p w14:paraId="61D5279B" w14:textId="0AFF33B4" w:rsidR="0091096D" w:rsidRPr="00477C4D" w:rsidRDefault="0091096D" w:rsidP="0091096D">
      <w:pPr>
        <w:rPr>
          <w:rFonts w:ascii="Arial" w:hAnsi="Arial" w:cs="Arial"/>
          <w:sz w:val="22"/>
          <w:szCs w:val="22"/>
        </w:rPr>
      </w:pPr>
    </w:p>
    <w:p w14:paraId="495D5BEB" w14:textId="772C3796" w:rsidR="0091096D" w:rsidRPr="00477C4D" w:rsidRDefault="0091096D" w:rsidP="001D56C9">
      <w:pPr>
        <w:pStyle w:val="Heading1"/>
        <w:rPr>
          <w:rFonts w:ascii="Arial" w:hAnsi="Arial" w:cs="Arial"/>
          <w:b/>
          <w:bCs/>
          <w:sz w:val="22"/>
          <w:szCs w:val="22"/>
        </w:rPr>
      </w:pPr>
      <w:bookmarkStart w:id="32" w:name="_Toc214570828"/>
      <w:r w:rsidRPr="00477C4D">
        <w:rPr>
          <w:rFonts w:ascii="Arial" w:hAnsi="Arial" w:cs="Arial"/>
          <w:b/>
          <w:bCs/>
          <w:sz w:val="22"/>
          <w:szCs w:val="22"/>
        </w:rPr>
        <w:t>Frameworks, Models &amp; Theories for Stakeholder Engagement</w:t>
      </w:r>
      <w:bookmarkEnd w:id="32"/>
      <w:r w:rsidRPr="00477C4D">
        <w:rPr>
          <w:rFonts w:ascii="Arial" w:hAnsi="Arial" w:cs="Arial"/>
          <w:b/>
          <w:bCs/>
          <w:sz w:val="22"/>
          <w:szCs w:val="22"/>
        </w:rPr>
        <w:t xml:space="preserve"> </w:t>
      </w:r>
    </w:p>
    <w:p w14:paraId="6DB1A2B7" w14:textId="3F8E08CC"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Effective stakeholder engagement is essential for the successful launch of Philips UK HealthTech’s wearable device. A range of established project management frameworks and stakeholder theories can be applied to prioritise, communicate with, and coordinate the involvement of key internal and external stakeholders. Using these models ensures that the project aligns with PMBOK and PRINCE2 principles of clear governance, defined responsibilities and structured communication.</w:t>
      </w:r>
    </w:p>
    <w:p w14:paraId="52BC37D9" w14:textId="77777777" w:rsidR="00E02352" w:rsidRPr="00477C4D" w:rsidRDefault="00E02352" w:rsidP="001D56C9">
      <w:pPr>
        <w:pStyle w:val="Heading2"/>
        <w:rPr>
          <w:rFonts w:ascii="Arial" w:hAnsi="Arial" w:cs="Arial"/>
          <w:b/>
          <w:bCs/>
          <w:sz w:val="22"/>
          <w:szCs w:val="22"/>
          <w:lang w:val="en-IN"/>
        </w:rPr>
      </w:pPr>
      <w:bookmarkStart w:id="33" w:name="_Toc214570829"/>
      <w:r w:rsidRPr="00477C4D">
        <w:rPr>
          <w:rFonts w:ascii="Arial" w:hAnsi="Arial" w:cs="Arial"/>
          <w:b/>
          <w:bCs/>
          <w:sz w:val="22"/>
          <w:szCs w:val="22"/>
          <w:lang w:val="en-IN"/>
        </w:rPr>
        <w:t>Stakeholder Power–Interest Matrix</w:t>
      </w:r>
      <w:bookmarkEnd w:id="33"/>
    </w:p>
    <w:p w14:paraId="28F538CC" w14:textId="46F44470"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 xml:space="preserve">The Power–Interest Matrix (Mendelow, 1991) provides a structured approach to prioritising stakeholders based on their influence over the project and their level of interest. High-power, </w:t>
      </w:r>
      <w:r w:rsidRPr="00477C4D">
        <w:rPr>
          <w:rFonts w:ascii="Arial" w:hAnsi="Arial" w:cs="Arial"/>
          <w:sz w:val="22"/>
          <w:szCs w:val="22"/>
          <w:lang w:val="en-IN"/>
        </w:rPr>
        <w:lastRenderedPageBreak/>
        <w:t>high-interest stakeholders</w:t>
      </w:r>
      <w:r w:rsidR="0078348E" w:rsidRPr="00477C4D">
        <w:rPr>
          <w:rFonts w:ascii="Arial" w:hAnsi="Arial" w:cs="Arial"/>
          <w:sz w:val="22"/>
          <w:szCs w:val="22"/>
          <w:lang w:val="en-IN"/>
        </w:rPr>
        <w:t xml:space="preserve"> </w:t>
      </w:r>
      <w:r w:rsidRPr="00477C4D">
        <w:rPr>
          <w:rFonts w:ascii="Arial" w:hAnsi="Arial" w:cs="Arial"/>
          <w:sz w:val="22"/>
          <w:szCs w:val="22"/>
          <w:lang w:val="en-IN"/>
        </w:rPr>
        <w:t xml:space="preserve">such as senior management, </w:t>
      </w:r>
      <w:r w:rsidR="0078348E" w:rsidRPr="00477C4D">
        <w:rPr>
          <w:rFonts w:ascii="Arial" w:hAnsi="Arial" w:cs="Arial"/>
          <w:sz w:val="22"/>
          <w:szCs w:val="22"/>
          <w:lang w:val="en-IN"/>
        </w:rPr>
        <w:t>regulators,</w:t>
      </w:r>
      <w:r w:rsidRPr="00477C4D">
        <w:rPr>
          <w:rFonts w:ascii="Arial" w:hAnsi="Arial" w:cs="Arial"/>
          <w:sz w:val="22"/>
          <w:szCs w:val="22"/>
          <w:lang w:val="en-IN"/>
        </w:rPr>
        <w:t xml:space="preserve"> and the product development team</w:t>
      </w:r>
      <w:r w:rsidR="0078348E" w:rsidRPr="00477C4D">
        <w:rPr>
          <w:rFonts w:ascii="Arial" w:hAnsi="Arial" w:cs="Arial"/>
          <w:sz w:val="22"/>
          <w:szCs w:val="22"/>
          <w:lang w:val="en-IN"/>
        </w:rPr>
        <w:t xml:space="preserve"> </w:t>
      </w:r>
      <w:r w:rsidRPr="00477C4D">
        <w:rPr>
          <w:rFonts w:ascii="Arial" w:hAnsi="Arial" w:cs="Arial"/>
          <w:sz w:val="22"/>
          <w:szCs w:val="22"/>
          <w:lang w:val="en-IN"/>
        </w:rPr>
        <w:t xml:space="preserve">require active management and continuous involvement. Stakeholders with high interest but lower power, such as consumers and healthcare providers, should be kept regularly informed and consulted through pilot trials or user testing. Lower-power, lower-interest groups, such as general retailers or non-critical suppliers, can be monitored with less frequent engagement. This model enables Philips to focus its time and resources on stakeholders most capable of influencing the device’s approval, </w:t>
      </w:r>
      <w:r w:rsidR="0078348E" w:rsidRPr="00477C4D">
        <w:rPr>
          <w:rFonts w:ascii="Arial" w:hAnsi="Arial" w:cs="Arial"/>
          <w:sz w:val="22"/>
          <w:szCs w:val="22"/>
          <w:lang w:val="en-IN"/>
        </w:rPr>
        <w:t>quality,</w:t>
      </w:r>
      <w:r w:rsidRPr="00477C4D">
        <w:rPr>
          <w:rFonts w:ascii="Arial" w:hAnsi="Arial" w:cs="Arial"/>
          <w:sz w:val="22"/>
          <w:szCs w:val="22"/>
          <w:lang w:val="en-IN"/>
        </w:rPr>
        <w:t xml:space="preserve"> and market success.</w:t>
      </w:r>
    </w:p>
    <w:p w14:paraId="6290B6C2" w14:textId="77777777" w:rsidR="00E02352" w:rsidRPr="00477C4D" w:rsidRDefault="00E02352" w:rsidP="001D56C9">
      <w:pPr>
        <w:pStyle w:val="Heading2"/>
        <w:rPr>
          <w:rFonts w:ascii="Arial" w:hAnsi="Arial" w:cs="Arial"/>
          <w:b/>
          <w:bCs/>
          <w:sz w:val="22"/>
          <w:szCs w:val="22"/>
          <w:lang w:val="en-IN"/>
        </w:rPr>
      </w:pPr>
      <w:bookmarkStart w:id="34" w:name="_Toc214570830"/>
      <w:r w:rsidRPr="00477C4D">
        <w:rPr>
          <w:rFonts w:ascii="Arial" w:hAnsi="Arial" w:cs="Arial"/>
          <w:b/>
          <w:bCs/>
          <w:sz w:val="22"/>
          <w:szCs w:val="22"/>
          <w:lang w:val="en-IN"/>
        </w:rPr>
        <w:t>RACI Matrix</w:t>
      </w:r>
      <w:bookmarkEnd w:id="34"/>
    </w:p>
    <w:p w14:paraId="3B0D00E9" w14:textId="23F25DB9"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 xml:space="preserve">A RACI matrix (Responsible, Accountable, Consulted, Informed) helps clarify stakeholder responsibilities and avoids ambiguity during the project lifecycle. For example, the Product Development Team is </w:t>
      </w:r>
      <w:r w:rsidRPr="00477C4D">
        <w:rPr>
          <w:rFonts w:ascii="Arial" w:hAnsi="Arial" w:cs="Arial"/>
          <w:b/>
          <w:bCs/>
          <w:sz w:val="22"/>
          <w:szCs w:val="22"/>
          <w:lang w:val="en-IN"/>
        </w:rPr>
        <w:t>Responsible</w:t>
      </w:r>
      <w:r w:rsidRPr="00477C4D">
        <w:rPr>
          <w:rFonts w:ascii="Arial" w:hAnsi="Arial" w:cs="Arial"/>
          <w:sz w:val="22"/>
          <w:szCs w:val="22"/>
          <w:lang w:val="en-IN"/>
        </w:rPr>
        <w:t xml:space="preserve"> for device design and testing, while the Project Manager is </w:t>
      </w:r>
      <w:r w:rsidRPr="00477C4D">
        <w:rPr>
          <w:rFonts w:ascii="Arial" w:hAnsi="Arial" w:cs="Arial"/>
          <w:b/>
          <w:bCs/>
          <w:sz w:val="22"/>
          <w:szCs w:val="22"/>
          <w:lang w:val="en-IN"/>
        </w:rPr>
        <w:t>Accountable</w:t>
      </w:r>
      <w:r w:rsidRPr="00477C4D">
        <w:rPr>
          <w:rFonts w:ascii="Arial" w:hAnsi="Arial" w:cs="Arial"/>
          <w:sz w:val="22"/>
          <w:szCs w:val="22"/>
          <w:lang w:val="en-IN"/>
        </w:rPr>
        <w:t xml:space="preserve"> for delivering the launch on time. Regulators such as the MHRA are </w:t>
      </w:r>
      <w:r w:rsidRPr="00477C4D">
        <w:rPr>
          <w:rFonts w:ascii="Arial" w:hAnsi="Arial" w:cs="Arial"/>
          <w:b/>
          <w:bCs/>
          <w:sz w:val="22"/>
          <w:szCs w:val="22"/>
          <w:lang w:val="en-IN"/>
        </w:rPr>
        <w:t>Consulted</w:t>
      </w:r>
      <w:r w:rsidRPr="00477C4D">
        <w:rPr>
          <w:rFonts w:ascii="Arial" w:hAnsi="Arial" w:cs="Arial"/>
          <w:sz w:val="22"/>
          <w:szCs w:val="22"/>
          <w:lang w:val="en-IN"/>
        </w:rPr>
        <w:t xml:space="preserve"> for compliance requirements, while retailers and distributors are </w:t>
      </w:r>
      <w:r w:rsidRPr="00477C4D">
        <w:rPr>
          <w:rFonts w:ascii="Arial" w:hAnsi="Arial" w:cs="Arial"/>
          <w:b/>
          <w:bCs/>
          <w:sz w:val="22"/>
          <w:szCs w:val="22"/>
          <w:lang w:val="en-IN"/>
        </w:rPr>
        <w:t>Informed</w:t>
      </w:r>
      <w:r w:rsidRPr="00477C4D">
        <w:rPr>
          <w:rFonts w:ascii="Arial" w:hAnsi="Arial" w:cs="Arial"/>
          <w:sz w:val="22"/>
          <w:szCs w:val="22"/>
          <w:lang w:val="en-IN"/>
        </w:rPr>
        <w:t xml:space="preserve"> of launch timelines and stock availability. Aligning the RACI matrix with PMBOK’s governance standards ensures that all tasks have clear ownership and that cross-functional coordination occurs without confusion or duplication of effort.</w:t>
      </w:r>
    </w:p>
    <w:p w14:paraId="7CE8C3A8" w14:textId="77777777" w:rsidR="00E02352" w:rsidRPr="00477C4D" w:rsidRDefault="00E02352" w:rsidP="001D56C9">
      <w:pPr>
        <w:pStyle w:val="Heading2"/>
        <w:rPr>
          <w:rFonts w:ascii="Arial" w:hAnsi="Arial" w:cs="Arial"/>
          <w:b/>
          <w:bCs/>
          <w:sz w:val="22"/>
          <w:szCs w:val="22"/>
          <w:lang w:val="en-IN"/>
        </w:rPr>
      </w:pPr>
      <w:bookmarkStart w:id="35" w:name="_Toc214570831"/>
      <w:r w:rsidRPr="00477C4D">
        <w:rPr>
          <w:rFonts w:ascii="Arial" w:hAnsi="Arial" w:cs="Arial"/>
          <w:b/>
          <w:bCs/>
          <w:sz w:val="22"/>
          <w:szCs w:val="22"/>
          <w:lang w:val="en-IN"/>
        </w:rPr>
        <w:t>Stakeholder Engagement Plan</w:t>
      </w:r>
      <w:bookmarkEnd w:id="35"/>
    </w:p>
    <w:p w14:paraId="0923D184" w14:textId="24023E4D"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 xml:space="preserve">A structured engagement plan outlines how and when stakeholders will be involved. For internal stakeholders, this may include weekly development meetings, cross-functional workshops, and milestone review sessions. For external stakeholders such as the MHRA, the engagement plan may involve pre-submission consultations, documentation </w:t>
      </w:r>
      <w:r w:rsidR="0078348E" w:rsidRPr="00477C4D">
        <w:rPr>
          <w:rFonts w:ascii="Arial" w:hAnsi="Arial" w:cs="Arial"/>
          <w:sz w:val="22"/>
          <w:szCs w:val="22"/>
          <w:lang w:val="en-IN"/>
        </w:rPr>
        <w:t>reviews,</w:t>
      </w:r>
      <w:r w:rsidRPr="00477C4D">
        <w:rPr>
          <w:rFonts w:ascii="Arial" w:hAnsi="Arial" w:cs="Arial"/>
          <w:sz w:val="22"/>
          <w:szCs w:val="22"/>
          <w:lang w:val="en-IN"/>
        </w:rPr>
        <w:t xml:space="preserve"> and compliance checkpoints. End users may be engaged through beta testing, </w:t>
      </w:r>
      <w:r w:rsidR="0078348E" w:rsidRPr="00477C4D">
        <w:rPr>
          <w:rFonts w:ascii="Arial" w:hAnsi="Arial" w:cs="Arial"/>
          <w:sz w:val="22"/>
          <w:szCs w:val="22"/>
          <w:lang w:val="en-IN"/>
        </w:rPr>
        <w:t>surveys,</w:t>
      </w:r>
      <w:r w:rsidRPr="00477C4D">
        <w:rPr>
          <w:rFonts w:ascii="Arial" w:hAnsi="Arial" w:cs="Arial"/>
          <w:sz w:val="22"/>
          <w:szCs w:val="22"/>
          <w:lang w:val="en-IN"/>
        </w:rPr>
        <w:t xml:space="preserve"> and pilot programmes. The plan supports PRINCE2 principles of “manage by stages” and “continued business justification,” ensuring that stakeholders receive the right level of involvement at the appropriate project phase.</w:t>
      </w:r>
    </w:p>
    <w:p w14:paraId="3E295FAA" w14:textId="77777777" w:rsidR="00E02352" w:rsidRPr="00477C4D" w:rsidRDefault="00E02352" w:rsidP="001D56C9">
      <w:pPr>
        <w:pStyle w:val="Heading2"/>
        <w:rPr>
          <w:rFonts w:ascii="Arial" w:hAnsi="Arial" w:cs="Arial"/>
          <w:b/>
          <w:bCs/>
          <w:sz w:val="22"/>
          <w:szCs w:val="22"/>
          <w:lang w:val="en-IN"/>
        </w:rPr>
      </w:pPr>
      <w:bookmarkStart w:id="36" w:name="_Toc214570832"/>
      <w:r w:rsidRPr="00477C4D">
        <w:rPr>
          <w:rFonts w:ascii="Arial" w:hAnsi="Arial" w:cs="Arial"/>
          <w:b/>
          <w:bCs/>
          <w:sz w:val="22"/>
          <w:szCs w:val="22"/>
          <w:lang w:val="en-IN"/>
        </w:rPr>
        <w:t>Communication Plan</w:t>
      </w:r>
      <w:bookmarkEnd w:id="36"/>
    </w:p>
    <w:p w14:paraId="60545C08" w14:textId="051CDD61"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 xml:space="preserve">Communication is central to effective engagement. A communication plan defines the frequency, format and channels used to update stakeholders. High-power groups such as senior management require structured reports and monthly performance reviews, while operational teams need weekly updates and technical documentation. Regulators receive formal submissions and compliance reports, whereas consumers may be engaged through usability studies or digital feedback channels. Clear communication supports transparency, reduces </w:t>
      </w:r>
      <w:r w:rsidR="0078348E" w:rsidRPr="00477C4D">
        <w:rPr>
          <w:rFonts w:ascii="Arial" w:hAnsi="Arial" w:cs="Arial"/>
          <w:sz w:val="22"/>
          <w:szCs w:val="22"/>
          <w:lang w:val="en-IN"/>
        </w:rPr>
        <w:t>misunderstandings,</w:t>
      </w:r>
      <w:r w:rsidRPr="00477C4D">
        <w:rPr>
          <w:rFonts w:ascii="Arial" w:hAnsi="Arial" w:cs="Arial"/>
          <w:sz w:val="22"/>
          <w:szCs w:val="22"/>
          <w:lang w:val="en-IN"/>
        </w:rPr>
        <w:t xml:space="preserve"> and aligns with PMBOK knowledge areas relating to stakeholder and communication management.</w:t>
      </w:r>
    </w:p>
    <w:p w14:paraId="1F5B8E07" w14:textId="77777777" w:rsidR="00E02352" w:rsidRPr="00477C4D" w:rsidRDefault="00E02352" w:rsidP="001D56C9">
      <w:pPr>
        <w:pStyle w:val="Heading2"/>
        <w:rPr>
          <w:rFonts w:ascii="Arial" w:hAnsi="Arial" w:cs="Arial"/>
          <w:b/>
          <w:bCs/>
          <w:sz w:val="22"/>
          <w:szCs w:val="22"/>
          <w:lang w:val="en-IN"/>
        </w:rPr>
      </w:pPr>
      <w:bookmarkStart w:id="37" w:name="_Toc214570833"/>
      <w:r w:rsidRPr="00477C4D">
        <w:rPr>
          <w:rFonts w:ascii="Arial" w:hAnsi="Arial" w:cs="Arial"/>
          <w:b/>
          <w:bCs/>
          <w:sz w:val="22"/>
          <w:szCs w:val="22"/>
          <w:lang w:val="en-IN"/>
        </w:rPr>
        <w:t>Integration of Frameworks</w:t>
      </w:r>
      <w:bookmarkEnd w:id="37"/>
    </w:p>
    <w:p w14:paraId="16646455" w14:textId="7AC20139"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 xml:space="preserve">Together, these models create a coherent system for managing stakeholder relationships. The Power–Interest Matrix establishes priorities; the RACI Matrix defines roles; the engagement plan sequences involvement; and the communication plan ensures information flows efficiently. These frameworks reduce conflict, </w:t>
      </w:r>
      <w:r w:rsidR="0078348E" w:rsidRPr="00477C4D">
        <w:rPr>
          <w:rFonts w:ascii="Arial" w:hAnsi="Arial" w:cs="Arial"/>
          <w:sz w:val="22"/>
          <w:szCs w:val="22"/>
          <w:lang w:val="en-IN"/>
        </w:rPr>
        <w:t>improve decision-making, ensure alignment throughout the development,</w:t>
      </w:r>
      <w:r w:rsidRPr="00477C4D">
        <w:rPr>
          <w:rFonts w:ascii="Arial" w:hAnsi="Arial" w:cs="Arial"/>
          <w:sz w:val="22"/>
          <w:szCs w:val="22"/>
          <w:lang w:val="en-IN"/>
        </w:rPr>
        <w:t xml:space="preserve"> and launch of the wearable device.</w:t>
      </w:r>
    </w:p>
    <w:p w14:paraId="3AD0BBB3" w14:textId="77777777" w:rsidR="00753A84" w:rsidRPr="00477C4D" w:rsidRDefault="00753A84" w:rsidP="0091096D">
      <w:pPr>
        <w:rPr>
          <w:rFonts w:ascii="Arial" w:hAnsi="Arial" w:cs="Arial"/>
          <w:sz w:val="22"/>
          <w:szCs w:val="22"/>
          <w:lang w:val="en-IN"/>
        </w:rPr>
      </w:pPr>
    </w:p>
    <w:p w14:paraId="65968EFF" w14:textId="155D9C91" w:rsidR="0091096D" w:rsidRPr="00477C4D" w:rsidRDefault="0091096D" w:rsidP="0091096D">
      <w:pPr>
        <w:rPr>
          <w:rFonts w:ascii="Arial" w:hAnsi="Arial" w:cs="Arial"/>
          <w:sz w:val="22"/>
          <w:szCs w:val="22"/>
        </w:rPr>
      </w:pPr>
    </w:p>
    <w:p w14:paraId="5BF8B5FC" w14:textId="5CF522AB" w:rsidR="0091096D" w:rsidRPr="00477C4D" w:rsidRDefault="0091096D" w:rsidP="001D56C9">
      <w:pPr>
        <w:pStyle w:val="Heading1"/>
        <w:rPr>
          <w:rFonts w:ascii="Arial" w:hAnsi="Arial" w:cs="Arial"/>
          <w:b/>
          <w:bCs/>
          <w:sz w:val="22"/>
          <w:szCs w:val="22"/>
        </w:rPr>
      </w:pPr>
      <w:bookmarkStart w:id="38" w:name="_Toc214570834"/>
      <w:r w:rsidRPr="00477C4D">
        <w:rPr>
          <w:rFonts w:ascii="Arial" w:hAnsi="Arial" w:cs="Arial"/>
          <w:b/>
          <w:bCs/>
          <w:sz w:val="22"/>
          <w:szCs w:val="22"/>
        </w:rPr>
        <w:lastRenderedPageBreak/>
        <w:t>Stakeholder Engagement Process &amp; Conflict Management</w:t>
      </w:r>
      <w:bookmarkEnd w:id="38"/>
      <w:r w:rsidRPr="00477C4D">
        <w:rPr>
          <w:rFonts w:ascii="Arial" w:hAnsi="Arial" w:cs="Arial"/>
          <w:b/>
          <w:bCs/>
          <w:sz w:val="22"/>
          <w:szCs w:val="22"/>
        </w:rPr>
        <w:t xml:space="preserve"> </w:t>
      </w:r>
    </w:p>
    <w:p w14:paraId="1BFCF6DD" w14:textId="3F6577B4"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 xml:space="preserve">Effective stakeholder engagement is essential to ensuring a smooth, timely, and compliant launch of Philips UK HealthTech’s new wearable device. The project involves multiple internal and external stakeholders with differing priorities, levels of influence, and expectations. </w:t>
      </w:r>
      <w:r w:rsidR="0078348E" w:rsidRPr="00477C4D">
        <w:rPr>
          <w:rFonts w:ascii="Arial" w:hAnsi="Arial" w:cs="Arial"/>
          <w:sz w:val="22"/>
          <w:szCs w:val="22"/>
          <w:lang w:val="en-IN"/>
        </w:rPr>
        <w:t>Manage</w:t>
      </w:r>
      <w:r w:rsidRPr="00477C4D">
        <w:rPr>
          <w:rFonts w:ascii="Arial" w:hAnsi="Arial" w:cs="Arial"/>
          <w:sz w:val="22"/>
          <w:szCs w:val="22"/>
          <w:lang w:val="en-IN"/>
        </w:rPr>
        <w:t xml:space="preserve"> this complexity, Philips can apply the 4Cs Framework</w:t>
      </w:r>
      <w:r w:rsidR="0078348E" w:rsidRPr="00477C4D">
        <w:rPr>
          <w:rFonts w:ascii="Arial" w:hAnsi="Arial" w:cs="Arial"/>
          <w:sz w:val="22"/>
          <w:szCs w:val="22"/>
          <w:lang w:val="en-IN"/>
        </w:rPr>
        <w:t xml:space="preserve"> </w:t>
      </w:r>
      <w:r w:rsidRPr="00477C4D">
        <w:rPr>
          <w:rFonts w:ascii="Arial" w:hAnsi="Arial" w:cs="Arial"/>
          <w:sz w:val="22"/>
          <w:szCs w:val="22"/>
          <w:lang w:val="en-IN"/>
        </w:rPr>
        <w:t>Communication, Coordination, Cooperation, and Collaboration</w:t>
      </w:r>
      <w:r w:rsidR="0078348E" w:rsidRPr="00477C4D">
        <w:rPr>
          <w:rFonts w:ascii="Arial" w:hAnsi="Arial" w:cs="Arial"/>
          <w:sz w:val="22"/>
          <w:szCs w:val="22"/>
          <w:lang w:val="en-IN"/>
        </w:rPr>
        <w:t xml:space="preserve"> </w:t>
      </w:r>
      <w:r w:rsidRPr="00477C4D">
        <w:rPr>
          <w:rFonts w:ascii="Arial" w:hAnsi="Arial" w:cs="Arial"/>
          <w:sz w:val="22"/>
          <w:szCs w:val="22"/>
          <w:lang w:val="en-IN"/>
        </w:rPr>
        <w:t>supported by structured conflict-management strategies aligned with PMBOK and PRINCE2 principles.</w:t>
      </w:r>
    </w:p>
    <w:p w14:paraId="52972D4A" w14:textId="6CE51E24" w:rsidR="00E02352" w:rsidRPr="00477C4D" w:rsidRDefault="00E02352" w:rsidP="001D56C9">
      <w:pPr>
        <w:pStyle w:val="Heading2"/>
        <w:rPr>
          <w:rFonts w:ascii="Arial" w:hAnsi="Arial" w:cs="Arial"/>
          <w:b/>
          <w:bCs/>
          <w:sz w:val="22"/>
          <w:szCs w:val="22"/>
          <w:lang w:val="en-IN"/>
        </w:rPr>
      </w:pPr>
      <w:bookmarkStart w:id="39" w:name="_Toc214570835"/>
      <w:r w:rsidRPr="00477C4D">
        <w:rPr>
          <w:rFonts w:ascii="Arial" w:hAnsi="Arial" w:cs="Arial"/>
          <w:b/>
          <w:bCs/>
          <w:sz w:val="22"/>
          <w:szCs w:val="22"/>
          <w:lang w:val="en-IN"/>
        </w:rPr>
        <w:t>Communication</w:t>
      </w:r>
      <w:bookmarkEnd w:id="39"/>
    </w:p>
    <w:p w14:paraId="0CB141C8"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Open, transparent, and two-way communication is the foundation of stakeholder engagement. Philips will establish multiple communication channels, including project dashboards, emails, virtual meetings, progress reports, and user-feedback portals. Internal teams such as product development, IT, marketing, and sales will receive regular updates on design milestones, regulatory progress, risk assessments, and launch timelines. This ensures that all teams maintain a shared understanding of priorities and constraints.</w:t>
      </w:r>
    </w:p>
    <w:p w14:paraId="07355D97"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Communication will be tailored according to stakeholder needs. Regulators such as the MHRA and ICO require formal, documented submissions and timely responses to technical queries. Healthcare providers need evidence summaries, product demonstrations, and clinical-use guidelines. Consumers benefit from simple, accessible updates through app notifications, FAQs, and customer-support channels.</w:t>
      </w:r>
    </w:p>
    <w:p w14:paraId="32DACD60" w14:textId="32AE0756" w:rsidR="009D6B86"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Two-way feedback is equally important. User insights gathered through pilot programmes, surveys, and online reviews will inform product refinements. PRINCE2 emphasises continuous learning and stage-gate reviews; by incorporating user feedback at each development stage, Philips increases the likelihood of delivering a product that meets real-world expectations.</w:t>
      </w:r>
    </w:p>
    <w:p w14:paraId="7EC1C09E" w14:textId="77AC0F90" w:rsidR="00E02352" w:rsidRPr="00477C4D" w:rsidRDefault="00E02352" w:rsidP="001D56C9">
      <w:pPr>
        <w:pStyle w:val="Heading2"/>
        <w:rPr>
          <w:rFonts w:ascii="Arial" w:hAnsi="Arial" w:cs="Arial"/>
          <w:b/>
          <w:bCs/>
          <w:sz w:val="22"/>
          <w:szCs w:val="22"/>
          <w:lang w:val="en-IN"/>
        </w:rPr>
      </w:pPr>
      <w:bookmarkStart w:id="40" w:name="_Toc214570836"/>
      <w:r w:rsidRPr="00477C4D">
        <w:rPr>
          <w:rFonts w:ascii="Arial" w:hAnsi="Arial" w:cs="Arial"/>
          <w:b/>
          <w:bCs/>
          <w:sz w:val="22"/>
          <w:szCs w:val="22"/>
          <w:lang w:val="en-IN"/>
        </w:rPr>
        <w:t>Coordination</w:t>
      </w:r>
      <w:bookmarkEnd w:id="40"/>
    </w:p>
    <w:p w14:paraId="6A075D30" w14:textId="7F8912C4"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Coordination ensures that stakeholder tasks, dependencies, and deadlines are aligned across the project lifecycle. Given the interdependence between teams</w:t>
      </w:r>
      <w:r w:rsidR="0078348E" w:rsidRPr="00477C4D">
        <w:rPr>
          <w:rFonts w:ascii="Arial" w:hAnsi="Arial" w:cs="Arial"/>
          <w:sz w:val="22"/>
          <w:szCs w:val="22"/>
          <w:lang w:val="en-IN"/>
        </w:rPr>
        <w:t xml:space="preserve"> </w:t>
      </w:r>
      <w:r w:rsidRPr="00477C4D">
        <w:rPr>
          <w:rFonts w:ascii="Arial" w:hAnsi="Arial" w:cs="Arial"/>
          <w:sz w:val="22"/>
          <w:szCs w:val="22"/>
          <w:lang w:val="en-IN"/>
        </w:rPr>
        <w:t>such as marketing relying on development timelines or regulatory approvals</w:t>
      </w:r>
      <w:r w:rsidR="0078348E" w:rsidRPr="00477C4D">
        <w:rPr>
          <w:rFonts w:ascii="Arial" w:hAnsi="Arial" w:cs="Arial"/>
          <w:sz w:val="22"/>
          <w:szCs w:val="22"/>
          <w:lang w:val="en-IN"/>
        </w:rPr>
        <w:t xml:space="preserve"> </w:t>
      </w:r>
      <w:r w:rsidRPr="00477C4D">
        <w:rPr>
          <w:rFonts w:ascii="Arial" w:hAnsi="Arial" w:cs="Arial"/>
          <w:sz w:val="22"/>
          <w:szCs w:val="22"/>
          <w:lang w:val="en-IN"/>
        </w:rPr>
        <w:t>structured coordination prevents delays and conflicting priorities.</w:t>
      </w:r>
    </w:p>
    <w:p w14:paraId="378EFAF1"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The project manager will use PMBOK scheduling tools, including Gantt charts, dependency matrices, and work breakdown structures (WBS), to synchronise activities. Weekly cross-functional meetings will allow teams to identify bottlenecks early. For example, if the IT team faces challenges with cloud-integration testing, marketing can adjust campaign dates accordingly.</w:t>
      </w:r>
    </w:p>
    <w:p w14:paraId="033DB6BD" w14:textId="640E6948"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 xml:space="preserve">Coordination is particularly critical in regulatory engagement. The regulatory affairs team must </w:t>
      </w:r>
      <w:r w:rsidR="0078348E" w:rsidRPr="00477C4D">
        <w:rPr>
          <w:rFonts w:ascii="Arial" w:hAnsi="Arial" w:cs="Arial"/>
          <w:sz w:val="22"/>
          <w:szCs w:val="22"/>
          <w:lang w:val="en-IN"/>
        </w:rPr>
        <w:t>collaborate</w:t>
      </w:r>
      <w:r w:rsidRPr="00477C4D">
        <w:rPr>
          <w:rFonts w:ascii="Arial" w:hAnsi="Arial" w:cs="Arial"/>
          <w:sz w:val="22"/>
          <w:szCs w:val="22"/>
          <w:lang w:val="en-IN"/>
        </w:rPr>
        <w:t xml:space="preserve"> closely with developers to ensure that MHRA requirements are incorporated into the design. Failure to coordinate effectively may result in rework, approval delays, or non-compliance. Similarly, coordination between IT and cybersecurity teams ensures GDPR alignment without compromising usability.</w:t>
      </w:r>
    </w:p>
    <w:p w14:paraId="71981333" w14:textId="0821F9E9"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External coordination also plays a role</w:t>
      </w:r>
      <w:r w:rsidR="0078348E" w:rsidRPr="00477C4D">
        <w:rPr>
          <w:rFonts w:ascii="Arial" w:hAnsi="Arial" w:cs="Arial"/>
          <w:sz w:val="22"/>
          <w:szCs w:val="22"/>
          <w:lang w:val="en-IN"/>
        </w:rPr>
        <w:t xml:space="preserve"> </w:t>
      </w:r>
      <w:r w:rsidRPr="00477C4D">
        <w:rPr>
          <w:rFonts w:ascii="Arial" w:hAnsi="Arial" w:cs="Arial"/>
          <w:sz w:val="22"/>
          <w:szCs w:val="22"/>
          <w:lang w:val="en-IN"/>
        </w:rPr>
        <w:t>retailers must receive stock forecasts early, insurers may require health-impact evidence, and healthcare providers need integration instructions for remote-monitoring systems.</w:t>
      </w:r>
    </w:p>
    <w:p w14:paraId="23EA5F25" w14:textId="4231D2F6" w:rsidR="00E02352" w:rsidRPr="00477C4D" w:rsidRDefault="00E02352" w:rsidP="001D56C9">
      <w:pPr>
        <w:pStyle w:val="Heading2"/>
        <w:rPr>
          <w:rFonts w:ascii="Arial" w:hAnsi="Arial" w:cs="Arial"/>
          <w:b/>
          <w:bCs/>
          <w:sz w:val="22"/>
          <w:szCs w:val="22"/>
          <w:lang w:val="en-IN"/>
        </w:rPr>
      </w:pPr>
      <w:bookmarkStart w:id="41" w:name="_Toc214570837"/>
      <w:r w:rsidRPr="00477C4D">
        <w:rPr>
          <w:rFonts w:ascii="Arial" w:hAnsi="Arial" w:cs="Arial"/>
          <w:b/>
          <w:bCs/>
          <w:sz w:val="22"/>
          <w:szCs w:val="22"/>
          <w:lang w:val="en-IN"/>
        </w:rPr>
        <w:lastRenderedPageBreak/>
        <w:t>Cooperation</w:t>
      </w:r>
      <w:bookmarkEnd w:id="41"/>
    </w:p>
    <w:p w14:paraId="7150D2B3"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Cooperation refers to stakeholders actively participating in the project and contributing their expertise to achieve shared goals. Philips will foster cooperation internally through cross-functional workshops, joint problem-solving sessions, and shared performance metrics that encourage teams to work collectively rather than in silos.</w:t>
      </w:r>
    </w:p>
    <w:p w14:paraId="44B00913"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A key element of cooperation is involving end-users and clinicians early. Beta testing programmes allow consumers to trial the wearable device and provide feedback on comfort, usability, and data presentation. Healthcare professionals may contribute insights on clinical accuracy and practical integration in care settings. This participatory approach reflects PMBOK’s emphasis on stakeholder engagement as an iterative process and enhances product relevance and credibility.</w:t>
      </w:r>
    </w:p>
    <w:p w14:paraId="5FBD8A59" w14:textId="595C4B01"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Cooperation also strengthens team morale. When stakeholders feel heard and involved, resistance decreases and ownership increases. This is especially important for teams facing tight deadlines or competing priorities, such as development teams working to refine features while marketing pushes for early promotional activity.</w:t>
      </w:r>
    </w:p>
    <w:p w14:paraId="057172FE" w14:textId="46E712B9" w:rsidR="00E02352" w:rsidRPr="00477C4D" w:rsidRDefault="00E02352" w:rsidP="001D56C9">
      <w:pPr>
        <w:pStyle w:val="Heading2"/>
        <w:rPr>
          <w:rFonts w:ascii="Arial" w:hAnsi="Arial" w:cs="Arial"/>
          <w:b/>
          <w:bCs/>
          <w:sz w:val="22"/>
          <w:szCs w:val="22"/>
          <w:lang w:val="en-IN"/>
        </w:rPr>
      </w:pPr>
      <w:bookmarkStart w:id="42" w:name="_Toc214570838"/>
      <w:r w:rsidRPr="00477C4D">
        <w:rPr>
          <w:rFonts w:ascii="Arial" w:hAnsi="Arial" w:cs="Arial"/>
          <w:b/>
          <w:bCs/>
          <w:sz w:val="22"/>
          <w:szCs w:val="22"/>
          <w:lang w:val="en-IN"/>
        </w:rPr>
        <w:t>Collaboration</w:t>
      </w:r>
      <w:bookmarkEnd w:id="42"/>
    </w:p>
    <w:p w14:paraId="6C553B02"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Collaboration extends beyond cooperation by forming strategic partnerships that amplify the product’s value. Philips will collaborate with NHS trusts, clinicians, insurers, and technology providers to embed the wearable device within broader health and wellness ecosystems.</w:t>
      </w:r>
    </w:p>
    <w:p w14:paraId="1CC5B989" w14:textId="4F7FE42F"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 xml:space="preserve">NHS and private healthcare collaborations can support remote-monitoring pilots, telehealth </w:t>
      </w:r>
      <w:r w:rsidR="0078348E" w:rsidRPr="00477C4D">
        <w:rPr>
          <w:rFonts w:ascii="Arial" w:hAnsi="Arial" w:cs="Arial"/>
          <w:sz w:val="22"/>
          <w:szCs w:val="22"/>
          <w:lang w:val="en-IN"/>
        </w:rPr>
        <w:t>integration,</w:t>
      </w:r>
      <w:r w:rsidRPr="00477C4D">
        <w:rPr>
          <w:rFonts w:ascii="Arial" w:hAnsi="Arial" w:cs="Arial"/>
          <w:sz w:val="22"/>
          <w:szCs w:val="22"/>
          <w:lang w:val="en-IN"/>
        </w:rPr>
        <w:t xml:space="preserve"> and chronic-condition management programmes. Insurers may offer incentives or subsidised pricing for users who adopt the device to improve long-term health outcomes. Technology partners</w:t>
      </w:r>
      <w:r w:rsidR="0078348E" w:rsidRPr="00477C4D">
        <w:rPr>
          <w:rFonts w:ascii="Arial" w:hAnsi="Arial" w:cs="Arial"/>
          <w:sz w:val="22"/>
          <w:szCs w:val="22"/>
          <w:lang w:val="en-IN"/>
        </w:rPr>
        <w:t xml:space="preserve"> </w:t>
      </w:r>
      <w:r w:rsidRPr="00477C4D">
        <w:rPr>
          <w:rFonts w:ascii="Arial" w:hAnsi="Arial" w:cs="Arial"/>
          <w:sz w:val="22"/>
          <w:szCs w:val="22"/>
          <w:lang w:val="en-IN"/>
        </w:rPr>
        <w:t>such as app developers and cloud-service providers</w:t>
      </w:r>
      <w:r w:rsidR="0078348E" w:rsidRPr="00477C4D">
        <w:rPr>
          <w:rFonts w:ascii="Arial" w:hAnsi="Arial" w:cs="Arial"/>
          <w:sz w:val="22"/>
          <w:szCs w:val="22"/>
          <w:lang w:val="en-IN"/>
        </w:rPr>
        <w:t xml:space="preserve"> </w:t>
      </w:r>
      <w:r w:rsidRPr="00477C4D">
        <w:rPr>
          <w:rFonts w:ascii="Arial" w:hAnsi="Arial" w:cs="Arial"/>
          <w:sz w:val="22"/>
          <w:szCs w:val="22"/>
          <w:lang w:val="en-IN"/>
        </w:rPr>
        <w:t>enable co-creation of innovative features, insights dashboards, and data-analytics tools.</w:t>
      </w:r>
    </w:p>
    <w:p w14:paraId="7C9B741B" w14:textId="44B63A42" w:rsidR="00E02352" w:rsidRPr="00477C4D" w:rsidRDefault="00E02352" w:rsidP="001A4270">
      <w:pPr>
        <w:jc w:val="both"/>
        <w:rPr>
          <w:rFonts w:ascii="Arial" w:hAnsi="Arial" w:cs="Arial"/>
          <w:sz w:val="22"/>
          <w:szCs w:val="22"/>
          <w:lang w:val="en-IN"/>
        </w:rPr>
      </w:pPr>
      <w:r w:rsidRPr="00477C4D">
        <w:rPr>
          <w:rFonts w:ascii="Arial" w:hAnsi="Arial" w:cs="Arial"/>
          <w:sz w:val="22"/>
          <w:szCs w:val="22"/>
          <w:lang w:val="en-IN"/>
        </w:rPr>
        <w:t>Collaboration enhances legitimacy, widens distribution, and positions Philips as an active contributor to the digital-health transformation in the UK. PRINCE2’s principle of “defined roles and responsibilities” strengthens collaboration by clarifying accountability among partners.</w:t>
      </w:r>
    </w:p>
    <w:p w14:paraId="72C23AA6" w14:textId="176A057A" w:rsidR="00E02352" w:rsidRPr="00477C4D" w:rsidRDefault="00E02352" w:rsidP="001D56C9">
      <w:pPr>
        <w:pStyle w:val="Heading2"/>
        <w:rPr>
          <w:rFonts w:ascii="Arial" w:hAnsi="Arial" w:cs="Arial"/>
          <w:b/>
          <w:bCs/>
          <w:sz w:val="22"/>
          <w:szCs w:val="22"/>
          <w:lang w:val="en-IN"/>
        </w:rPr>
      </w:pPr>
      <w:bookmarkStart w:id="43" w:name="_Toc214570839"/>
      <w:r w:rsidRPr="00477C4D">
        <w:rPr>
          <w:rFonts w:ascii="Arial" w:hAnsi="Arial" w:cs="Arial"/>
          <w:b/>
          <w:bCs/>
          <w:sz w:val="22"/>
          <w:szCs w:val="22"/>
          <w:lang w:val="en-IN"/>
        </w:rPr>
        <w:t>Conflict Management</w:t>
      </w:r>
      <w:bookmarkEnd w:id="43"/>
    </w:p>
    <w:p w14:paraId="2050E279" w14:textId="77777777"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Conflicts are inevitable given the diversity of stakeholders. Typical tensions may arise between:</w:t>
      </w:r>
    </w:p>
    <w:p w14:paraId="5A0D12A6" w14:textId="77777777" w:rsidR="00E02352" w:rsidRPr="00477C4D" w:rsidRDefault="00E02352" w:rsidP="00E02352">
      <w:pPr>
        <w:numPr>
          <w:ilvl w:val="0"/>
          <w:numId w:val="34"/>
        </w:numPr>
        <w:rPr>
          <w:rFonts w:ascii="Arial" w:hAnsi="Arial" w:cs="Arial"/>
          <w:sz w:val="22"/>
          <w:szCs w:val="22"/>
          <w:lang w:val="en-IN"/>
        </w:rPr>
      </w:pPr>
      <w:r w:rsidRPr="00477C4D">
        <w:rPr>
          <w:rFonts w:ascii="Arial" w:hAnsi="Arial" w:cs="Arial"/>
          <w:b/>
          <w:bCs/>
          <w:sz w:val="22"/>
          <w:szCs w:val="22"/>
          <w:lang w:val="en-IN"/>
        </w:rPr>
        <w:t>Marketing vs. Product Development</w:t>
      </w:r>
      <w:r w:rsidRPr="00477C4D">
        <w:rPr>
          <w:rFonts w:ascii="Arial" w:hAnsi="Arial" w:cs="Arial"/>
          <w:sz w:val="22"/>
          <w:szCs w:val="22"/>
          <w:lang w:val="en-IN"/>
        </w:rPr>
        <w:br/>
        <w:t>Marketing wants early campaign launches; development requires sufficient testing time.</w:t>
      </w:r>
    </w:p>
    <w:p w14:paraId="42914A37" w14:textId="77777777" w:rsidR="00E02352" w:rsidRPr="00477C4D" w:rsidRDefault="00E02352" w:rsidP="00E02352">
      <w:pPr>
        <w:numPr>
          <w:ilvl w:val="0"/>
          <w:numId w:val="34"/>
        </w:numPr>
        <w:rPr>
          <w:rFonts w:ascii="Arial" w:hAnsi="Arial" w:cs="Arial"/>
          <w:sz w:val="22"/>
          <w:szCs w:val="22"/>
          <w:lang w:val="en-IN"/>
        </w:rPr>
      </w:pPr>
      <w:r w:rsidRPr="00477C4D">
        <w:rPr>
          <w:rFonts w:ascii="Arial" w:hAnsi="Arial" w:cs="Arial"/>
          <w:b/>
          <w:bCs/>
          <w:sz w:val="22"/>
          <w:szCs w:val="22"/>
          <w:lang w:val="en-IN"/>
        </w:rPr>
        <w:t>IT/Cybersecurity vs. User-Experience Designers</w:t>
      </w:r>
      <w:r w:rsidRPr="00477C4D">
        <w:rPr>
          <w:rFonts w:ascii="Arial" w:hAnsi="Arial" w:cs="Arial"/>
          <w:sz w:val="22"/>
          <w:szCs w:val="22"/>
          <w:lang w:val="en-IN"/>
        </w:rPr>
        <w:br/>
        <w:t>Security may restrict certain features that designers consider essential for usability.</w:t>
      </w:r>
    </w:p>
    <w:p w14:paraId="5AD8E6A3" w14:textId="77777777" w:rsidR="00E02352" w:rsidRPr="00477C4D" w:rsidRDefault="00E02352" w:rsidP="00E02352">
      <w:pPr>
        <w:numPr>
          <w:ilvl w:val="0"/>
          <w:numId w:val="34"/>
        </w:numPr>
        <w:rPr>
          <w:rFonts w:ascii="Arial" w:hAnsi="Arial" w:cs="Arial"/>
          <w:sz w:val="22"/>
          <w:szCs w:val="22"/>
          <w:lang w:val="en-IN"/>
        </w:rPr>
      </w:pPr>
      <w:r w:rsidRPr="00477C4D">
        <w:rPr>
          <w:rFonts w:ascii="Arial" w:hAnsi="Arial" w:cs="Arial"/>
          <w:b/>
          <w:bCs/>
          <w:sz w:val="22"/>
          <w:szCs w:val="22"/>
          <w:lang w:val="en-IN"/>
        </w:rPr>
        <w:t>Regulators vs. Project Timelines</w:t>
      </w:r>
      <w:r w:rsidRPr="00477C4D">
        <w:rPr>
          <w:rFonts w:ascii="Arial" w:hAnsi="Arial" w:cs="Arial"/>
          <w:sz w:val="22"/>
          <w:szCs w:val="22"/>
          <w:lang w:val="en-IN"/>
        </w:rPr>
        <w:br/>
        <w:t>Regulatory rigor may extend deadlines, creating pressure on launch targets.</w:t>
      </w:r>
    </w:p>
    <w:p w14:paraId="4E14E011" w14:textId="77777777" w:rsidR="00E02352" w:rsidRPr="00477C4D" w:rsidRDefault="00E02352" w:rsidP="00AD6CC4">
      <w:pPr>
        <w:rPr>
          <w:rFonts w:ascii="Arial" w:hAnsi="Arial" w:cs="Arial"/>
          <w:sz w:val="22"/>
          <w:szCs w:val="22"/>
          <w:lang w:val="en-IN"/>
        </w:rPr>
      </w:pPr>
      <w:r w:rsidRPr="00477C4D">
        <w:rPr>
          <w:rFonts w:ascii="Arial" w:hAnsi="Arial" w:cs="Arial"/>
          <w:sz w:val="22"/>
          <w:szCs w:val="22"/>
          <w:lang w:val="en-IN"/>
        </w:rPr>
        <w:t>Philips will implement a structured conflict-management process based on PMBOK’s conflict-resolution techniques and the Thomas–Kilmann model:</w:t>
      </w:r>
    </w:p>
    <w:p w14:paraId="11E4D8C0" w14:textId="6E4EA130" w:rsidR="00E02352" w:rsidRPr="00477C4D" w:rsidRDefault="00E02352" w:rsidP="00AD6CC4">
      <w:pPr>
        <w:rPr>
          <w:rFonts w:ascii="Arial" w:hAnsi="Arial" w:cs="Arial"/>
          <w:b/>
          <w:bCs/>
          <w:sz w:val="22"/>
          <w:szCs w:val="22"/>
          <w:lang w:val="en-IN"/>
        </w:rPr>
      </w:pPr>
      <w:r w:rsidRPr="00477C4D">
        <w:rPr>
          <w:rFonts w:ascii="Arial" w:hAnsi="Arial" w:cs="Arial"/>
          <w:b/>
          <w:bCs/>
          <w:sz w:val="22"/>
          <w:szCs w:val="22"/>
          <w:lang w:val="en-IN"/>
        </w:rPr>
        <w:t>Mediation</w:t>
      </w:r>
    </w:p>
    <w:p w14:paraId="135BF8CC"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lastRenderedPageBreak/>
        <w:t>A neutral facilitator (often the project manager) helps stakeholders clarify concerns and identify mutually acceptable solutions.</w:t>
      </w:r>
    </w:p>
    <w:p w14:paraId="4A6462AE" w14:textId="0D74FA59" w:rsidR="00E02352" w:rsidRPr="00477C4D" w:rsidRDefault="00E02352" w:rsidP="00AD6CC4">
      <w:pPr>
        <w:rPr>
          <w:rFonts w:ascii="Arial" w:hAnsi="Arial" w:cs="Arial"/>
          <w:b/>
          <w:bCs/>
          <w:sz w:val="22"/>
          <w:szCs w:val="22"/>
          <w:lang w:val="en-IN"/>
        </w:rPr>
      </w:pPr>
      <w:r w:rsidRPr="00477C4D">
        <w:rPr>
          <w:rFonts w:ascii="Arial" w:hAnsi="Arial" w:cs="Arial"/>
          <w:b/>
          <w:bCs/>
          <w:sz w:val="22"/>
          <w:szCs w:val="22"/>
          <w:lang w:val="en-IN"/>
        </w:rPr>
        <w:t>Compromise</w:t>
      </w:r>
    </w:p>
    <w:p w14:paraId="082A8C60" w14:textId="56284FE3"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Teams may agree to phased feature releases</w:t>
      </w:r>
      <w:r w:rsidR="0078348E" w:rsidRPr="00477C4D">
        <w:rPr>
          <w:rFonts w:ascii="Arial" w:hAnsi="Arial" w:cs="Arial"/>
          <w:sz w:val="22"/>
          <w:szCs w:val="22"/>
          <w:lang w:val="en-IN"/>
        </w:rPr>
        <w:t xml:space="preserve"> </w:t>
      </w:r>
      <w:r w:rsidRPr="00477C4D">
        <w:rPr>
          <w:rFonts w:ascii="Arial" w:hAnsi="Arial" w:cs="Arial"/>
          <w:sz w:val="22"/>
          <w:szCs w:val="22"/>
          <w:lang w:val="en-IN"/>
        </w:rPr>
        <w:t>e.g., launching core functionality first while advanced features roll out later.</w:t>
      </w:r>
    </w:p>
    <w:p w14:paraId="6357E636" w14:textId="5BB4D583" w:rsidR="00E02352" w:rsidRPr="00477C4D" w:rsidRDefault="00E02352" w:rsidP="00AD6CC4">
      <w:pPr>
        <w:rPr>
          <w:rFonts w:ascii="Arial" w:hAnsi="Arial" w:cs="Arial"/>
          <w:b/>
          <w:bCs/>
          <w:sz w:val="22"/>
          <w:szCs w:val="22"/>
          <w:lang w:val="en-IN"/>
        </w:rPr>
      </w:pPr>
      <w:r w:rsidRPr="00477C4D">
        <w:rPr>
          <w:rFonts w:ascii="Arial" w:hAnsi="Arial" w:cs="Arial"/>
          <w:b/>
          <w:bCs/>
          <w:sz w:val="22"/>
          <w:szCs w:val="22"/>
          <w:lang w:val="en-IN"/>
        </w:rPr>
        <w:t>Escalation Procedures</w:t>
      </w:r>
    </w:p>
    <w:p w14:paraId="3E278D52"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Unresolved conflicts are escalated to senior management, ensuring that issues do not stall progress. PRINCE2 emphasises escalation paths to maintain momentum.</w:t>
      </w:r>
    </w:p>
    <w:p w14:paraId="0E654541" w14:textId="436FF0BC" w:rsidR="00E02352" w:rsidRPr="00477C4D" w:rsidRDefault="00E02352" w:rsidP="00AD6CC4">
      <w:pPr>
        <w:rPr>
          <w:rFonts w:ascii="Arial" w:hAnsi="Arial" w:cs="Arial"/>
          <w:b/>
          <w:bCs/>
          <w:sz w:val="22"/>
          <w:szCs w:val="22"/>
          <w:lang w:val="en-IN"/>
        </w:rPr>
      </w:pPr>
      <w:r w:rsidRPr="00477C4D">
        <w:rPr>
          <w:rFonts w:ascii="Arial" w:hAnsi="Arial" w:cs="Arial"/>
          <w:b/>
          <w:bCs/>
          <w:sz w:val="22"/>
          <w:szCs w:val="22"/>
          <w:lang w:val="en-IN"/>
        </w:rPr>
        <w:t>Early-Warning Mechanisms</w:t>
      </w:r>
    </w:p>
    <w:p w14:paraId="5E1E8682"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Weekly risk logs, issue registers, and feedback loops allow early detection of emerging disputes.</w:t>
      </w:r>
    </w:p>
    <w:p w14:paraId="541B1665" w14:textId="38733696" w:rsidR="00E02352" w:rsidRPr="00477C4D" w:rsidRDefault="00E02352" w:rsidP="00AD6CC4">
      <w:pPr>
        <w:rPr>
          <w:rFonts w:ascii="Arial" w:hAnsi="Arial" w:cs="Arial"/>
          <w:b/>
          <w:bCs/>
          <w:sz w:val="22"/>
          <w:szCs w:val="22"/>
          <w:lang w:val="en-IN"/>
        </w:rPr>
      </w:pPr>
      <w:r w:rsidRPr="00477C4D">
        <w:rPr>
          <w:rFonts w:ascii="Arial" w:hAnsi="Arial" w:cs="Arial"/>
          <w:b/>
          <w:bCs/>
          <w:sz w:val="22"/>
          <w:szCs w:val="22"/>
          <w:lang w:val="en-IN"/>
        </w:rPr>
        <w:t>Documentation</w:t>
      </w:r>
    </w:p>
    <w:p w14:paraId="2E37137C"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Formal records reduce ambiguity and reinforce accountability across departments.</w:t>
      </w:r>
    </w:p>
    <w:p w14:paraId="11F33A04" w14:textId="77777777" w:rsidR="00E02352" w:rsidRPr="00477C4D" w:rsidRDefault="00E02352" w:rsidP="00AD6CC4">
      <w:pPr>
        <w:jc w:val="both"/>
        <w:rPr>
          <w:rFonts w:ascii="Arial" w:hAnsi="Arial" w:cs="Arial"/>
          <w:sz w:val="22"/>
          <w:szCs w:val="22"/>
          <w:lang w:val="en-IN"/>
        </w:rPr>
      </w:pPr>
      <w:r w:rsidRPr="00477C4D">
        <w:rPr>
          <w:rFonts w:ascii="Arial" w:hAnsi="Arial" w:cs="Arial"/>
          <w:sz w:val="22"/>
          <w:szCs w:val="22"/>
          <w:lang w:val="en-IN"/>
        </w:rPr>
        <w:t>By embedding these mechanisms into the project culture, Philips ensures that conflicts are resolved quickly, constructively, and in alignment with project objectives.</w:t>
      </w:r>
    </w:p>
    <w:p w14:paraId="7C163113" w14:textId="52087EDE" w:rsidR="00753A84" w:rsidRPr="00477C4D" w:rsidRDefault="00753A84" w:rsidP="009D6B86">
      <w:pPr>
        <w:ind w:left="360"/>
        <w:rPr>
          <w:rFonts w:ascii="Arial" w:hAnsi="Arial" w:cs="Arial"/>
          <w:sz w:val="22"/>
          <w:szCs w:val="22"/>
          <w:lang w:val="en-IN"/>
        </w:rPr>
      </w:pPr>
    </w:p>
    <w:p w14:paraId="721A1364" w14:textId="6E32E103" w:rsidR="0091096D" w:rsidRPr="00477C4D" w:rsidRDefault="0091096D" w:rsidP="0091096D">
      <w:pPr>
        <w:rPr>
          <w:rFonts w:ascii="Arial" w:hAnsi="Arial" w:cs="Arial"/>
          <w:sz w:val="22"/>
          <w:szCs w:val="22"/>
        </w:rPr>
      </w:pPr>
    </w:p>
    <w:p w14:paraId="6D66DF08" w14:textId="3A072DEF" w:rsidR="0091096D" w:rsidRPr="00477C4D" w:rsidRDefault="0091096D" w:rsidP="001D56C9">
      <w:pPr>
        <w:pStyle w:val="Heading1"/>
        <w:rPr>
          <w:rFonts w:ascii="Arial" w:hAnsi="Arial" w:cs="Arial"/>
          <w:b/>
          <w:bCs/>
          <w:sz w:val="22"/>
          <w:szCs w:val="22"/>
        </w:rPr>
      </w:pPr>
      <w:bookmarkStart w:id="44" w:name="_Toc214570840"/>
      <w:r w:rsidRPr="00477C4D">
        <w:rPr>
          <w:rFonts w:ascii="Arial" w:hAnsi="Arial" w:cs="Arial"/>
          <w:b/>
          <w:bCs/>
          <w:sz w:val="22"/>
          <w:szCs w:val="22"/>
        </w:rPr>
        <w:t>Impact of Stakeholder Engagement on Business Performance +</w:t>
      </w:r>
      <w:r w:rsidR="009D6B86" w:rsidRPr="00477C4D">
        <w:rPr>
          <w:rFonts w:ascii="Arial" w:hAnsi="Arial" w:cs="Arial"/>
          <w:b/>
          <w:bCs/>
          <w:sz w:val="22"/>
          <w:szCs w:val="22"/>
        </w:rPr>
        <w:t xml:space="preserve"> </w:t>
      </w:r>
      <w:r w:rsidRPr="00477C4D">
        <w:rPr>
          <w:rFonts w:ascii="Arial" w:hAnsi="Arial" w:cs="Arial"/>
          <w:b/>
          <w:bCs/>
          <w:sz w:val="22"/>
          <w:szCs w:val="22"/>
        </w:rPr>
        <w:t>Recommendations</w:t>
      </w:r>
      <w:bookmarkEnd w:id="44"/>
      <w:r w:rsidRPr="00477C4D">
        <w:rPr>
          <w:rFonts w:ascii="Arial" w:hAnsi="Arial" w:cs="Arial"/>
          <w:b/>
          <w:bCs/>
          <w:sz w:val="22"/>
          <w:szCs w:val="22"/>
        </w:rPr>
        <w:t xml:space="preserve"> </w:t>
      </w:r>
    </w:p>
    <w:p w14:paraId="7363FF53" w14:textId="1DE5C81A" w:rsidR="00F808FE" w:rsidRPr="00477C4D" w:rsidRDefault="00F808FE" w:rsidP="001A4270">
      <w:pPr>
        <w:jc w:val="both"/>
        <w:rPr>
          <w:rFonts w:ascii="Arial" w:hAnsi="Arial" w:cs="Arial"/>
          <w:sz w:val="22"/>
          <w:szCs w:val="22"/>
          <w:lang w:val="en-IN"/>
        </w:rPr>
      </w:pPr>
      <w:r w:rsidRPr="00477C4D">
        <w:rPr>
          <w:rFonts w:ascii="Arial" w:hAnsi="Arial" w:cs="Arial"/>
          <w:sz w:val="22"/>
          <w:szCs w:val="22"/>
          <w:lang w:val="en-IN"/>
        </w:rPr>
        <w:t>Effective stakeholder engagement is a critical driver of business performance, particularly in the health technology sector where innovation, regulation, and consumer trust intersect. For Philips UK HealthTech, the successful launch of its new wearable device depends heavily on how well the organisation interacts with internal teams, regulatory bodies, end-users, healthcare partners, insurers, and technology suppliers. Strong stakeholder engagement enhances product quality, accelerates market entry, and strengthens long-term competitiveness.</w:t>
      </w:r>
    </w:p>
    <w:p w14:paraId="5E470E7C" w14:textId="186A4999" w:rsidR="00F808FE" w:rsidRPr="00477C4D" w:rsidRDefault="00F808FE" w:rsidP="001D56C9">
      <w:pPr>
        <w:pStyle w:val="Heading2"/>
        <w:rPr>
          <w:rFonts w:ascii="Arial" w:hAnsi="Arial" w:cs="Arial"/>
          <w:b/>
          <w:bCs/>
          <w:sz w:val="22"/>
          <w:szCs w:val="22"/>
          <w:lang w:val="en-IN"/>
        </w:rPr>
      </w:pPr>
      <w:bookmarkStart w:id="45" w:name="_Toc214570841"/>
      <w:r w:rsidRPr="00477C4D">
        <w:rPr>
          <w:rFonts w:ascii="Arial" w:hAnsi="Arial" w:cs="Arial"/>
          <w:b/>
          <w:bCs/>
          <w:sz w:val="22"/>
          <w:szCs w:val="22"/>
          <w:lang w:val="en-IN"/>
        </w:rPr>
        <w:t>Impact on Business Performance</w:t>
      </w:r>
      <w:bookmarkEnd w:id="45"/>
    </w:p>
    <w:p w14:paraId="72DD2AFA" w14:textId="05B3E9FA" w:rsidR="00F808FE" w:rsidRPr="00477C4D" w:rsidRDefault="00F808FE" w:rsidP="00F808FE">
      <w:pPr>
        <w:pStyle w:val="ListParagraph"/>
        <w:numPr>
          <w:ilvl w:val="0"/>
          <w:numId w:val="46"/>
        </w:numPr>
        <w:jc w:val="both"/>
        <w:rPr>
          <w:rFonts w:ascii="Arial" w:hAnsi="Arial" w:cs="Arial"/>
          <w:sz w:val="22"/>
          <w:szCs w:val="22"/>
          <w:lang w:val="en-IN"/>
        </w:rPr>
      </w:pPr>
      <w:r w:rsidRPr="00477C4D">
        <w:rPr>
          <w:rFonts w:ascii="Arial" w:hAnsi="Arial" w:cs="Arial"/>
          <w:sz w:val="22"/>
          <w:szCs w:val="22"/>
          <w:lang w:val="en-IN"/>
        </w:rPr>
        <w:t>Improved Product Design and User-Centric Innovation</w:t>
      </w:r>
      <w:r w:rsidR="00AD6CC4" w:rsidRPr="00477C4D">
        <w:rPr>
          <w:rFonts w:ascii="Arial" w:hAnsi="Arial" w:cs="Arial"/>
          <w:sz w:val="22"/>
          <w:szCs w:val="22"/>
          <w:lang w:val="en-IN"/>
        </w:rPr>
        <w:t>:</w:t>
      </w:r>
      <w:r w:rsidR="001A4270" w:rsidRPr="00477C4D">
        <w:rPr>
          <w:rFonts w:ascii="Arial" w:hAnsi="Arial" w:cs="Arial"/>
          <w:sz w:val="22"/>
          <w:szCs w:val="22"/>
          <w:lang w:val="en-IN"/>
        </w:rPr>
        <w:t xml:space="preserve"> </w:t>
      </w:r>
      <w:r w:rsidRPr="00477C4D">
        <w:rPr>
          <w:rFonts w:ascii="Arial" w:hAnsi="Arial" w:cs="Arial"/>
          <w:sz w:val="22"/>
          <w:szCs w:val="22"/>
          <w:lang w:val="en-IN"/>
        </w:rPr>
        <w:t>Engaging consumers and healthcare professionals early in the development process enhances product design and ensures the wearable meets real-world needs. Through beta testing, focus groups, and user-feedback sessions, Philips can identify issues such as interface complexity, comfort concerns, or unclear data visualisation. Addressing these insights before launch reduces post-market complaints and improves overall satisfaction. This user-centric design approach aligns with modern product-development theories emphasising iterative refinement and co-creation.</w:t>
      </w:r>
    </w:p>
    <w:p w14:paraId="034C97E9" w14:textId="2A5421EB" w:rsidR="00F808FE" w:rsidRPr="00477C4D" w:rsidRDefault="00F808FE" w:rsidP="00F808FE">
      <w:pPr>
        <w:pStyle w:val="ListParagraph"/>
        <w:numPr>
          <w:ilvl w:val="0"/>
          <w:numId w:val="46"/>
        </w:numPr>
        <w:jc w:val="both"/>
        <w:rPr>
          <w:rFonts w:ascii="Arial" w:hAnsi="Arial" w:cs="Arial"/>
          <w:sz w:val="22"/>
          <w:szCs w:val="22"/>
          <w:lang w:val="en-IN"/>
        </w:rPr>
      </w:pPr>
      <w:r w:rsidRPr="00477C4D">
        <w:rPr>
          <w:rFonts w:ascii="Arial" w:hAnsi="Arial" w:cs="Arial"/>
          <w:sz w:val="22"/>
          <w:szCs w:val="22"/>
          <w:lang w:val="en-IN"/>
        </w:rPr>
        <w:t>Faster Regulatory Approval and Compliance Confidence</w:t>
      </w:r>
      <w:r w:rsidR="001A4270" w:rsidRPr="00477C4D">
        <w:rPr>
          <w:rFonts w:ascii="Arial" w:hAnsi="Arial" w:cs="Arial"/>
          <w:sz w:val="22"/>
          <w:szCs w:val="22"/>
          <w:lang w:val="en-IN"/>
        </w:rPr>
        <w:t xml:space="preserve">: </w:t>
      </w:r>
      <w:r w:rsidRPr="00477C4D">
        <w:rPr>
          <w:rFonts w:ascii="Arial" w:hAnsi="Arial" w:cs="Arial"/>
          <w:sz w:val="22"/>
          <w:szCs w:val="22"/>
          <w:lang w:val="en-IN"/>
        </w:rPr>
        <w:t xml:space="preserve">Consistent engagement with regulators such as the MHRA and ICO improves compliance efficiency and speeds up approval. By clearly communicating device functionality, risk assessments, and data-protection measures, Philips builds regulatory trust, reducing the likelihood of rejections or repeated documentation requests. Early involvement also ensures </w:t>
      </w:r>
      <w:r w:rsidRPr="00477C4D">
        <w:rPr>
          <w:rFonts w:ascii="Arial" w:hAnsi="Arial" w:cs="Arial"/>
          <w:sz w:val="22"/>
          <w:szCs w:val="22"/>
          <w:lang w:val="en-IN"/>
        </w:rPr>
        <w:lastRenderedPageBreak/>
        <w:t xml:space="preserve">alignment with UKCA and GDPR requirements, minimising financial risks associated with compliance failures. Effective regulatory relationships </w:t>
      </w:r>
      <w:r w:rsidR="0078348E" w:rsidRPr="00477C4D">
        <w:rPr>
          <w:rFonts w:ascii="Arial" w:hAnsi="Arial" w:cs="Arial"/>
          <w:sz w:val="22"/>
          <w:szCs w:val="22"/>
          <w:lang w:val="en-IN"/>
        </w:rPr>
        <w:t>shorten</w:t>
      </w:r>
      <w:r w:rsidRPr="00477C4D">
        <w:rPr>
          <w:rFonts w:ascii="Arial" w:hAnsi="Arial" w:cs="Arial"/>
          <w:sz w:val="22"/>
          <w:szCs w:val="22"/>
          <w:lang w:val="en-IN"/>
        </w:rPr>
        <w:t xml:space="preserve"> time-to-market and support a smoother commercial launch.</w:t>
      </w:r>
    </w:p>
    <w:p w14:paraId="1C64C7CF" w14:textId="20F5FA05" w:rsidR="00F808FE" w:rsidRPr="00477C4D" w:rsidRDefault="00F808FE" w:rsidP="00F808FE">
      <w:pPr>
        <w:pStyle w:val="ListParagraph"/>
        <w:numPr>
          <w:ilvl w:val="0"/>
          <w:numId w:val="46"/>
        </w:numPr>
        <w:jc w:val="both"/>
        <w:rPr>
          <w:rFonts w:ascii="Arial" w:hAnsi="Arial" w:cs="Arial"/>
          <w:sz w:val="22"/>
          <w:szCs w:val="22"/>
          <w:lang w:val="en-IN"/>
        </w:rPr>
      </w:pPr>
      <w:r w:rsidRPr="00477C4D">
        <w:rPr>
          <w:rFonts w:ascii="Arial" w:hAnsi="Arial" w:cs="Arial"/>
          <w:sz w:val="22"/>
          <w:szCs w:val="22"/>
          <w:lang w:val="en-IN"/>
        </w:rPr>
        <w:t>Greater Market Penetration and Adoption</w:t>
      </w:r>
      <w:r w:rsidR="001A4270" w:rsidRPr="00477C4D">
        <w:rPr>
          <w:rFonts w:ascii="Arial" w:hAnsi="Arial" w:cs="Arial"/>
          <w:sz w:val="22"/>
          <w:szCs w:val="22"/>
          <w:lang w:val="en-IN"/>
        </w:rPr>
        <w:t xml:space="preserve">: </w:t>
      </w:r>
      <w:r w:rsidRPr="00477C4D">
        <w:rPr>
          <w:rFonts w:ascii="Arial" w:hAnsi="Arial" w:cs="Arial"/>
          <w:sz w:val="22"/>
          <w:szCs w:val="22"/>
          <w:lang w:val="en-IN"/>
        </w:rPr>
        <w:t>Healthcare providers, insurers, and retail partners have strong influence over product adoption. NHS pilot programmes, clinician endorsements, or insurance incentives significantly enhance the wearable’s credibility and perceived value. For example, insurers might offer reduced premiums for customers who use the device to track heart or respiratory health. Such partnerships expand market access and embed the product within existing healthcare pathways, increasing adoption among both general consumers and patients with specific conditions.</w:t>
      </w:r>
    </w:p>
    <w:p w14:paraId="52F954DF" w14:textId="21CDC65D" w:rsidR="00F808FE" w:rsidRPr="00477C4D" w:rsidRDefault="00F808FE" w:rsidP="00F808FE">
      <w:pPr>
        <w:pStyle w:val="ListParagraph"/>
        <w:numPr>
          <w:ilvl w:val="0"/>
          <w:numId w:val="46"/>
        </w:numPr>
        <w:jc w:val="both"/>
        <w:rPr>
          <w:rFonts w:ascii="Arial" w:hAnsi="Arial" w:cs="Arial"/>
          <w:sz w:val="22"/>
          <w:szCs w:val="22"/>
          <w:lang w:val="en-IN"/>
        </w:rPr>
      </w:pPr>
      <w:r w:rsidRPr="00477C4D">
        <w:rPr>
          <w:rFonts w:ascii="Arial" w:hAnsi="Arial" w:cs="Arial"/>
          <w:sz w:val="22"/>
          <w:szCs w:val="22"/>
          <w:lang w:val="en-IN"/>
        </w:rPr>
        <w:t>Improved Internal Alignment and Operational Efficiency</w:t>
      </w:r>
      <w:r w:rsidR="001A4270" w:rsidRPr="00477C4D">
        <w:rPr>
          <w:rFonts w:ascii="Arial" w:hAnsi="Arial" w:cs="Arial"/>
          <w:sz w:val="22"/>
          <w:szCs w:val="22"/>
          <w:lang w:val="en-IN"/>
        </w:rPr>
        <w:t xml:space="preserve">: </w:t>
      </w:r>
      <w:r w:rsidRPr="00477C4D">
        <w:rPr>
          <w:rFonts w:ascii="Arial" w:hAnsi="Arial" w:cs="Arial"/>
          <w:sz w:val="22"/>
          <w:szCs w:val="22"/>
          <w:lang w:val="en-IN"/>
        </w:rPr>
        <w:t>Internal engagement ensures that product development, IT, sales, marketing, and regulatory teams are aligned with the project’s objectives and timelines. Clear communication prevents duplication, reduces error rates, and streamlines workflow coordination. For instance, marketing can only create realistic campaigns when it receives accurate and timely updates from the development team regarding final features and regulatory progress. Internal alignment directly influences productivity, decision-making speed, and launch readiness.</w:t>
      </w:r>
    </w:p>
    <w:p w14:paraId="35249BF1" w14:textId="5030BB55" w:rsidR="009D6B86" w:rsidRPr="00477C4D" w:rsidRDefault="00F808FE" w:rsidP="00F808FE">
      <w:pPr>
        <w:pStyle w:val="ListParagraph"/>
        <w:numPr>
          <w:ilvl w:val="0"/>
          <w:numId w:val="46"/>
        </w:numPr>
        <w:jc w:val="both"/>
        <w:rPr>
          <w:rFonts w:ascii="Arial" w:hAnsi="Arial" w:cs="Arial"/>
          <w:sz w:val="22"/>
          <w:szCs w:val="22"/>
          <w:lang w:val="en-IN"/>
        </w:rPr>
      </w:pPr>
      <w:r w:rsidRPr="00477C4D">
        <w:rPr>
          <w:rFonts w:ascii="Arial" w:hAnsi="Arial" w:cs="Arial"/>
          <w:sz w:val="22"/>
          <w:szCs w:val="22"/>
          <w:lang w:val="en-IN"/>
        </w:rPr>
        <w:t>Enhanced Brand Trust and Long-Term Loyalty</w:t>
      </w:r>
      <w:r w:rsidR="001A4270" w:rsidRPr="00477C4D">
        <w:rPr>
          <w:rFonts w:ascii="Arial" w:hAnsi="Arial" w:cs="Arial"/>
          <w:sz w:val="22"/>
          <w:szCs w:val="22"/>
          <w:lang w:val="en-IN"/>
        </w:rPr>
        <w:t xml:space="preserve">: </w:t>
      </w:r>
      <w:r w:rsidRPr="00477C4D">
        <w:rPr>
          <w:rFonts w:ascii="Arial" w:hAnsi="Arial" w:cs="Arial"/>
          <w:sz w:val="22"/>
          <w:szCs w:val="22"/>
          <w:lang w:val="en-IN"/>
        </w:rPr>
        <w:t>In the healthcare sector, trust is a major differentiator. Stakeholder engagement</w:t>
      </w:r>
      <w:r w:rsidR="0078348E" w:rsidRPr="00477C4D">
        <w:rPr>
          <w:rFonts w:ascii="Arial" w:hAnsi="Arial" w:cs="Arial"/>
          <w:sz w:val="22"/>
          <w:szCs w:val="22"/>
          <w:lang w:val="en-IN"/>
        </w:rPr>
        <w:t xml:space="preserve"> </w:t>
      </w:r>
      <w:r w:rsidRPr="00477C4D">
        <w:rPr>
          <w:rFonts w:ascii="Arial" w:hAnsi="Arial" w:cs="Arial"/>
          <w:sz w:val="22"/>
          <w:szCs w:val="22"/>
          <w:lang w:val="en-IN"/>
        </w:rPr>
        <w:t>particularly with consumers, clinicians, and regulators</w:t>
      </w:r>
      <w:r w:rsidR="0078348E" w:rsidRPr="00477C4D">
        <w:rPr>
          <w:rFonts w:ascii="Arial" w:hAnsi="Arial" w:cs="Arial"/>
          <w:sz w:val="22"/>
          <w:szCs w:val="22"/>
          <w:lang w:val="en-IN"/>
        </w:rPr>
        <w:t xml:space="preserve"> </w:t>
      </w:r>
      <w:r w:rsidRPr="00477C4D">
        <w:rPr>
          <w:rFonts w:ascii="Arial" w:hAnsi="Arial" w:cs="Arial"/>
          <w:sz w:val="22"/>
          <w:szCs w:val="22"/>
          <w:lang w:val="en-IN"/>
        </w:rPr>
        <w:t>reinforces Philips’ reputation as a transparent, ethical, and patient-focused organisation. When users feel their data is protected and their needs are heard, they develop loyalty and are more likely to recommend the product. Positive stakeholder relationships also reduce reputational risk in the event of product issues, as engaged stakeholders are more understanding and supportive.</w:t>
      </w:r>
    </w:p>
    <w:p w14:paraId="645E95CF" w14:textId="7F2B2482" w:rsidR="00F808FE" w:rsidRPr="00477C4D" w:rsidRDefault="00F808FE" w:rsidP="001D56C9">
      <w:pPr>
        <w:pStyle w:val="Heading1"/>
        <w:rPr>
          <w:rFonts w:ascii="Arial" w:hAnsi="Arial" w:cs="Arial"/>
          <w:sz w:val="22"/>
          <w:szCs w:val="22"/>
          <w:lang w:val="en-IN"/>
        </w:rPr>
      </w:pPr>
      <w:bookmarkStart w:id="46" w:name="_Toc214570842"/>
      <w:r w:rsidRPr="00477C4D">
        <w:rPr>
          <w:rFonts w:ascii="Arial" w:hAnsi="Arial" w:cs="Arial"/>
          <w:sz w:val="22"/>
          <w:szCs w:val="22"/>
          <w:lang w:val="en-IN"/>
        </w:rPr>
        <w:t>Recommendations for Strengthening Stakeholder Engagement</w:t>
      </w:r>
      <w:bookmarkEnd w:id="46"/>
    </w:p>
    <w:p w14:paraId="4EF9BC27" w14:textId="788F869D"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To fully realise the benefits of stakeholder engagement and maintain long-term success, Philips should adopt the following recommendations:</w:t>
      </w:r>
    </w:p>
    <w:p w14:paraId="5DB3F7C9"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1. Create Structured Stakeholder Feedback Loops</w:t>
      </w:r>
    </w:p>
    <w:p w14:paraId="5C35CF22"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Philips should implement ongoing feedback mechanisms to ensure stakeholder insights continuously inform product improvements. Examples include:</w:t>
      </w:r>
    </w:p>
    <w:p w14:paraId="17582186" w14:textId="77777777" w:rsidR="00F808FE" w:rsidRPr="00477C4D" w:rsidRDefault="00F808FE" w:rsidP="00F808FE">
      <w:pPr>
        <w:numPr>
          <w:ilvl w:val="0"/>
          <w:numId w:val="35"/>
        </w:numPr>
        <w:rPr>
          <w:rFonts w:ascii="Arial" w:hAnsi="Arial" w:cs="Arial"/>
          <w:sz w:val="22"/>
          <w:szCs w:val="22"/>
          <w:lang w:val="en-IN"/>
        </w:rPr>
      </w:pPr>
      <w:r w:rsidRPr="00477C4D">
        <w:rPr>
          <w:rFonts w:ascii="Arial" w:hAnsi="Arial" w:cs="Arial"/>
          <w:sz w:val="22"/>
          <w:szCs w:val="22"/>
          <w:lang w:val="en-IN"/>
        </w:rPr>
        <w:t>Post-launch user satisfaction surveys</w:t>
      </w:r>
    </w:p>
    <w:p w14:paraId="2B0AC0D0" w14:textId="77777777" w:rsidR="00F808FE" w:rsidRPr="00477C4D" w:rsidRDefault="00F808FE" w:rsidP="00F808FE">
      <w:pPr>
        <w:numPr>
          <w:ilvl w:val="0"/>
          <w:numId w:val="35"/>
        </w:numPr>
        <w:rPr>
          <w:rFonts w:ascii="Arial" w:hAnsi="Arial" w:cs="Arial"/>
          <w:sz w:val="22"/>
          <w:szCs w:val="22"/>
          <w:lang w:val="en-IN"/>
        </w:rPr>
      </w:pPr>
      <w:r w:rsidRPr="00477C4D">
        <w:rPr>
          <w:rFonts w:ascii="Arial" w:hAnsi="Arial" w:cs="Arial"/>
          <w:sz w:val="22"/>
          <w:szCs w:val="22"/>
          <w:lang w:val="en-IN"/>
        </w:rPr>
        <w:t>Quarterly consultations with NHS and insurer partners</w:t>
      </w:r>
    </w:p>
    <w:p w14:paraId="5693A8B4" w14:textId="77777777" w:rsidR="00F808FE" w:rsidRPr="00477C4D" w:rsidRDefault="00F808FE" w:rsidP="00F808FE">
      <w:pPr>
        <w:numPr>
          <w:ilvl w:val="0"/>
          <w:numId w:val="35"/>
        </w:numPr>
        <w:rPr>
          <w:rFonts w:ascii="Arial" w:hAnsi="Arial" w:cs="Arial"/>
          <w:sz w:val="22"/>
          <w:szCs w:val="22"/>
          <w:lang w:val="en-IN"/>
        </w:rPr>
      </w:pPr>
      <w:r w:rsidRPr="00477C4D">
        <w:rPr>
          <w:rFonts w:ascii="Arial" w:hAnsi="Arial" w:cs="Arial"/>
          <w:sz w:val="22"/>
          <w:szCs w:val="22"/>
          <w:lang w:val="en-IN"/>
        </w:rPr>
        <w:t>Retail partner reviews on sales performance and consumer responses</w:t>
      </w:r>
    </w:p>
    <w:p w14:paraId="79BBE39E" w14:textId="77777777" w:rsidR="00F808FE" w:rsidRPr="00477C4D" w:rsidRDefault="00F808FE" w:rsidP="00F808FE">
      <w:pPr>
        <w:numPr>
          <w:ilvl w:val="0"/>
          <w:numId w:val="35"/>
        </w:numPr>
        <w:rPr>
          <w:rFonts w:ascii="Arial" w:hAnsi="Arial" w:cs="Arial"/>
          <w:sz w:val="22"/>
          <w:szCs w:val="22"/>
          <w:lang w:val="en-IN"/>
        </w:rPr>
      </w:pPr>
      <w:r w:rsidRPr="00477C4D">
        <w:rPr>
          <w:rFonts w:ascii="Arial" w:hAnsi="Arial" w:cs="Arial"/>
          <w:sz w:val="22"/>
          <w:szCs w:val="22"/>
          <w:lang w:val="en-IN"/>
        </w:rPr>
        <w:t>Internal retrospectives after each project milestone</w:t>
      </w:r>
    </w:p>
    <w:p w14:paraId="1201911B" w14:textId="352C33F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Feedback loops help identify emerging needs, strengthen relationships, and support continuous improvement.</w:t>
      </w:r>
    </w:p>
    <w:p w14:paraId="61287234"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2. Invest in Digital Communication and Collaboration Platforms</w:t>
      </w:r>
    </w:p>
    <w:p w14:paraId="67B213F9"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A unified communication platform would enhance transparency and reduce information gaps. Features should include:</w:t>
      </w:r>
    </w:p>
    <w:p w14:paraId="35B5248E" w14:textId="77777777" w:rsidR="00F808FE" w:rsidRPr="00477C4D" w:rsidRDefault="00F808FE" w:rsidP="00F808FE">
      <w:pPr>
        <w:numPr>
          <w:ilvl w:val="0"/>
          <w:numId w:val="36"/>
        </w:numPr>
        <w:rPr>
          <w:rFonts w:ascii="Arial" w:hAnsi="Arial" w:cs="Arial"/>
          <w:sz w:val="22"/>
          <w:szCs w:val="22"/>
          <w:lang w:val="en-IN"/>
        </w:rPr>
      </w:pPr>
      <w:r w:rsidRPr="00477C4D">
        <w:rPr>
          <w:rFonts w:ascii="Arial" w:hAnsi="Arial" w:cs="Arial"/>
          <w:sz w:val="22"/>
          <w:szCs w:val="22"/>
          <w:lang w:val="en-IN"/>
        </w:rPr>
        <w:lastRenderedPageBreak/>
        <w:t>Real-time project dashboards</w:t>
      </w:r>
    </w:p>
    <w:p w14:paraId="0148210C" w14:textId="77777777" w:rsidR="00F808FE" w:rsidRPr="00477C4D" w:rsidRDefault="00F808FE" w:rsidP="00F808FE">
      <w:pPr>
        <w:numPr>
          <w:ilvl w:val="0"/>
          <w:numId w:val="36"/>
        </w:numPr>
        <w:rPr>
          <w:rFonts w:ascii="Arial" w:hAnsi="Arial" w:cs="Arial"/>
          <w:sz w:val="22"/>
          <w:szCs w:val="22"/>
          <w:lang w:val="en-IN"/>
        </w:rPr>
      </w:pPr>
      <w:r w:rsidRPr="00477C4D">
        <w:rPr>
          <w:rFonts w:ascii="Arial" w:hAnsi="Arial" w:cs="Arial"/>
          <w:sz w:val="22"/>
          <w:szCs w:val="22"/>
          <w:lang w:val="en-IN"/>
        </w:rPr>
        <w:t>RACI-aligned task tracking</w:t>
      </w:r>
    </w:p>
    <w:p w14:paraId="47288B72" w14:textId="77777777" w:rsidR="00F808FE" w:rsidRPr="00477C4D" w:rsidRDefault="00F808FE" w:rsidP="00F808FE">
      <w:pPr>
        <w:numPr>
          <w:ilvl w:val="0"/>
          <w:numId w:val="36"/>
        </w:numPr>
        <w:rPr>
          <w:rFonts w:ascii="Arial" w:hAnsi="Arial" w:cs="Arial"/>
          <w:sz w:val="22"/>
          <w:szCs w:val="22"/>
          <w:lang w:val="en-IN"/>
        </w:rPr>
      </w:pPr>
      <w:r w:rsidRPr="00477C4D">
        <w:rPr>
          <w:rFonts w:ascii="Arial" w:hAnsi="Arial" w:cs="Arial"/>
          <w:sz w:val="22"/>
          <w:szCs w:val="22"/>
          <w:lang w:val="en-IN"/>
        </w:rPr>
        <w:t>Secure regulatory document sharing</w:t>
      </w:r>
    </w:p>
    <w:p w14:paraId="797A7632" w14:textId="77777777" w:rsidR="00F808FE" w:rsidRPr="00477C4D" w:rsidRDefault="00F808FE" w:rsidP="00F808FE">
      <w:pPr>
        <w:numPr>
          <w:ilvl w:val="0"/>
          <w:numId w:val="36"/>
        </w:numPr>
        <w:rPr>
          <w:rFonts w:ascii="Arial" w:hAnsi="Arial" w:cs="Arial"/>
          <w:sz w:val="22"/>
          <w:szCs w:val="22"/>
          <w:lang w:val="en-IN"/>
        </w:rPr>
      </w:pPr>
      <w:r w:rsidRPr="00477C4D">
        <w:rPr>
          <w:rFonts w:ascii="Arial" w:hAnsi="Arial" w:cs="Arial"/>
          <w:sz w:val="22"/>
          <w:szCs w:val="22"/>
          <w:lang w:val="en-IN"/>
        </w:rPr>
        <w:t>User-feedback analytics</w:t>
      </w:r>
    </w:p>
    <w:p w14:paraId="4CB9BF9B" w14:textId="7BD2592D"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By centralising communication, Philips ensures that every stakeholder receives accurate, up-to-date information</w:t>
      </w:r>
      <w:r w:rsidR="0078348E" w:rsidRPr="00477C4D">
        <w:rPr>
          <w:rFonts w:ascii="Arial" w:hAnsi="Arial" w:cs="Arial"/>
          <w:sz w:val="22"/>
          <w:szCs w:val="22"/>
          <w:lang w:val="en-IN"/>
        </w:rPr>
        <w:t xml:space="preserve"> </w:t>
      </w:r>
      <w:r w:rsidRPr="00477C4D">
        <w:rPr>
          <w:rFonts w:ascii="Arial" w:hAnsi="Arial" w:cs="Arial"/>
          <w:sz w:val="22"/>
          <w:szCs w:val="22"/>
          <w:lang w:val="en-IN"/>
        </w:rPr>
        <w:t>supporting efficiency and alignment.</w:t>
      </w:r>
    </w:p>
    <w:p w14:paraId="0CF88982"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3. Conduct Regular Stakeholder Satisfaction Assessments</w:t>
      </w:r>
    </w:p>
    <w:p w14:paraId="35BFFECB"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Philips should treat stakeholder satisfaction as a measurable performance indicator. This involves:</w:t>
      </w:r>
    </w:p>
    <w:p w14:paraId="219E7EED" w14:textId="77777777" w:rsidR="00F808FE" w:rsidRPr="00477C4D" w:rsidRDefault="00F808FE" w:rsidP="00F808FE">
      <w:pPr>
        <w:numPr>
          <w:ilvl w:val="0"/>
          <w:numId w:val="37"/>
        </w:numPr>
        <w:rPr>
          <w:rFonts w:ascii="Arial" w:hAnsi="Arial" w:cs="Arial"/>
          <w:sz w:val="22"/>
          <w:szCs w:val="22"/>
          <w:lang w:val="en-IN"/>
        </w:rPr>
      </w:pPr>
      <w:r w:rsidRPr="00477C4D">
        <w:rPr>
          <w:rFonts w:ascii="Arial" w:hAnsi="Arial" w:cs="Arial"/>
          <w:sz w:val="22"/>
          <w:szCs w:val="22"/>
          <w:lang w:val="en-IN"/>
        </w:rPr>
        <w:t>Conducting stakeholder sentiment surveys</w:t>
      </w:r>
    </w:p>
    <w:p w14:paraId="58780105" w14:textId="77777777" w:rsidR="00F808FE" w:rsidRPr="00477C4D" w:rsidRDefault="00F808FE" w:rsidP="00F808FE">
      <w:pPr>
        <w:numPr>
          <w:ilvl w:val="0"/>
          <w:numId w:val="37"/>
        </w:numPr>
        <w:rPr>
          <w:rFonts w:ascii="Arial" w:hAnsi="Arial" w:cs="Arial"/>
          <w:sz w:val="22"/>
          <w:szCs w:val="22"/>
          <w:lang w:val="en-IN"/>
        </w:rPr>
      </w:pPr>
      <w:r w:rsidRPr="00477C4D">
        <w:rPr>
          <w:rFonts w:ascii="Arial" w:hAnsi="Arial" w:cs="Arial"/>
          <w:sz w:val="22"/>
          <w:szCs w:val="22"/>
          <w:lang w:val="en-IN"/>
        </w:rPr>
        <w:t>Introducing 360-degree feedback for project leads</w:t>
      </w:r>
    </w:p>
    <w:p w14:paraId="0ECBFC21" w14:textId="77777777" w:rsidR="00F808FE" w:rsidRPr="00477C4D" w:rsidRDefault="00F808FE" w:rsidP="00F808FE">
      <w:pPr>
        <w:numPr>
          <w:ilvl w:val="0"/>
          <w:numId w:val="37"/>
        </w:numPr>
        <w:rPr>
          <w:rFonts w:ascii="Arial" w:hAnsi="Arial" w:cs="Arial"/>
          <w:sz w:val="22"/>
          <w:szCs w:val="22"/>
          <w:lang w:val="en-IN"/>
        </w:rPr>
      </w:pPr>
      <w:r w:rsidRPr="00477C4D">
        <w:rPr>
          <w:rFonts w:ascii="Arial" w:hAnsi="Arial" w:cs="Arial"/>
          <w:sz w:val="22"/>
          <w:szCs w:val="22"/>
          <w:lang w:val="en-IN"/>
        </w:rPr>
        <w:t>Tracking responsiveness and engagement KPIs</w:t>
      </w:r>
    </w:p>
    <w:p w14:paraId="42943343" w14:textId="77777777" w:rsidR="00F808FE" w:rsidRPr="00477C4D" w:rsidRDefault="00F808FE" w:rsidP="00F808FE">
      <w:pPr>
        <w:numPr>
          <w:ilvl w:val="0"/>
          <w:numId w:val="37"/>
        </w:numPr>
        <w:rPr>
          <w:rFonts w:ascii="Arial" w:hAnsi="Arial" w:cs="Arial"/>
          <w:sz w:val="22"/>
          <w:szCs w:val="22"/>
          <w:lang w:val="en-IN"/>
        </w:rPr>
      </w:pPr>
      <w:r w:rsidRPr="00477C4D">
        <w:rPr>
          <w:rFonts w:ascii="Arial" w:hAnsi="Arial" w:cs="Arial"/>
          <w:sz w:val="22"/>
          <w:szCs w:val="22"/>
          <w:lang w:val="en-IN"/>
        </w:rPr>
        <w:t>Analysing pain points in communication or coordination</w:t>
      </w:r>
    </w:p>
    <w:p w14:paraId="16172BB0" w14:textId="4FB41A5E"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Understanding stakeholder satisfaction helps maintain strong relationships and ensures engagement methods are continuously refined.</w:t>
      </w:r>
    </w:p>
    <w:p w14:paraId="11F3AFCB"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4. Involve Stakeholders in Continuous Improvement Cycles</w:t>
      </w:r>
    </w:p>
    <w:p w14:paraId="4CABC2B5"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Rather than relying on one-off consultations, Philips should embed stakeholders into the product-development ecosystem. This could include:</w:t>
      </w:r>
    </w:p>
    <w:p w14:paraId="745969ED" w14:textId="77777777" w:rsidR="00F808FE" w:rsidRPr="00477C4D" w:rsidRDefault="00F808FE" w:rsidP="00F808FE">
      <w:pPr>
        <w:numPr>
          <w:ilvl w:val="0"/>
          <w:numId w:val="38"/>
        </w:numPr>
        <w:rPr>
          <w:rFonts w:ascii="Arial" w:hAnsi="Arial" w:cs="Arial"/>
          <w:sz w:val="22"/>
          <w:szCs w:val="22"/>
          <w:lang w:val="en-IN"/>
        </w:rPr>
      </w:pPr>
      <w:r w:rsidRPr="00477C4D">
        <w:rPr>
          <w:rFonts w:ascii="Arial" w:hAnsi="Arial" w:cs="Arial"/>
          <w:sz w:val="22"/>
          <w:szCs w:val="22"/>
          <w:lang w:val="en-IN"/>
        </w:rPr>
        <w:t>Consumer advisory panels contributing to product-feature roadmaps</w:t>
      </w:r>
    </w:p>
    <w:p w14:paraId="25419093" w14:textId="77777777" w:rsidR="00F808FE" w:rsidRPr="00477C4D" w:rsidRDefault="00F808FE" w:rsidP="00F808FE">
      <w:pPr>
        <w:numPr>
          <w:ilvl w:val="0"/>
          <w:numId w:val="38"/>
        </w:numPr>
        <w:rPr>
          <w:rFonts w:ascii="Arial" w:hAnsi="Arial" w:cs="Arial"/>
          <w:sz w:val="22"/>
          <w:szCs w:val="22"/>
          <w:lang w:val="en-IN"/>
        </w:rPr>
      </w:pPr>
      <w:r w:rsidRPr="00477C4D">
        <w:rPr>
          <w:rFonts w:ascii="Arial" w:hAnsi="Arial" w:cs="Arial"/>
          <w:sz w:val="22"/>
          <w:szCs w:val="22"/>
          <w:lang w:val="en-IN"/>
        </w:rPr>
        <w:t>Clinician groups participating in evidence trials</w:t>
      </w:r>
    </w:p>
    <w:p w14:paraId="5F542B65" w14:textId="77777777" w:rsidR="00F808FE" w:rsidRPr="00477C4D" w:rsidRDefault="00F808FE" w:rsidP="00F808FE">
      <w:pPr>
        <w:numPr>
          <w:ilvl w:val="0"/>
          <w:numId w:val="38"/>
        </w:numPr>
        <w:rPr>
          <w:rFonts w:ascii="Arial" w:hAnsi="Arial" w:cs="Arial"/>
          <w:sz w:val="22"/>
          <w:szCs w:val="22"/>
          <w:lang w:val="en-IN"/>
        </w:rPr>
      </w:pPr>
      <w:r w:rsidRPr="00477C4D">
        <w:rPr>
          <w:rFonts w:ascii="Arial" w:hAnsi="Arial" w:cs="Arial"/>
          <w:sz w:val="22"/>
          <w:szCs w:val="22"/>
          <w:lang w:val="en-IN"/>
        </w:rPr>
        <w:t>Insurance companies co-designing wellness incentive programmes</w:t>
      </w:r>
    </w:p>
    <w:p w14:paraId="3117B915" w14:textId="4B646E46"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This co-creation strengthens commitment and increases product relevance.</w:t>
      </w:r>
    </w:p>
    <w:p w14:paraId="762431FE"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5. Integrate Engagement into Formal Governance Structures</w:t>
      </w:r>
    </w:p>
    <w:p w14:paraId="659ED588" w14:textId="51E6FBE8" w:rsidR="00F808FE" w:rsidRPr="00477C4D" w:rsidRDefault="0078348E" w:rsidP="00F808FE">
      <w:pPr>
        <w:rPr>
          <w:rFonts w:ascii="Arial" w:hAnsi="Arial" w:cs="Arial"/>
          <w:sz w:val="22"/>
          <w:szCs w:val="22"/>
          <w:lang w:val="en-IN"/>
        </w:rPr>
      </w:pPr>
      <w:r w:rsidRPr="00477C4D">
        <w:rPr>
          <w:rFonts w:ascii="Arial" w:hAnsi="Arial" w:cs="Arial"/>
          <w:sz w:val="22"/>
          <w:szCs w:val="22"/>
          <w:lang w:val="en-IN"/>
        </w:rPr>
        <w:t>Maintain</w:t>
      </w:r>
      <w:r w:rsidR="00F808FE" w:rsidRPr="00477C4D">
        <w:rPr>
          <w:rFonts w:ascii="Arial" w:hAnsi="Arial" w:cs="Arial"/>
          <w:sz w:val="22"/>
          <w:szCs w:val="22"/>
          <w:lang w:val="en-IN"/>
        </w:rPr>
        <w:t xml:space="preserve"> consistency, Philips should embed stakeholder engagement within PMBOK and PRINCE2 governance frameworks by:</w:t>
      </w:r>
    </w:p>
    <w:p w14:paraId="1972B0C7" w14:textId="77777777" w:rsidR="00F808FE" w:rsidRPr="00477C4D" w:rsidRDefault="00F808FE" w:rsidP="00F808FE">
      <w:pPr>
        <w:numPr>
          <w:ilvl w:val="0"/>
          <w:numId w:val="39"/>
        </w:numPr>
        <w:rPr>
          <w:rFonts w:ascii="Arial" w:hAnsi="Arial" w:cs="Arial"/>
          <w:sz w:val="22"/>
          <w:szCs w:val="22"/>
          <w:lang w:val="en-IN"/>
        </w:rPr>
      </w:pPr>
      <w:r w:rsidRPr="00477C4D">
        <w:rPr>
          <w:rFonts w:ascii="Arial" w:hAnsi="Arial" w:cs="Arial"/>
          <w:sz w:val="22"/>
          <w:szCs w:val="22"/>
          <w:lang w:val="en-IN"/>
        </w:rPr>
        <w:t>Including engagement actions in project stage-gates</w:t>
      </w:r>
    </w:p>
    <w:p w14:paraId="5FF48B1F" w14:textId="77777777" w:rsidR="00F808FE" w:rsidRPr="00477C4D" w:rsidRDefault="00F808FE" w:rsidP="00F808FE">
      <w:pPr>
        <w:numPr>
          <w:ilvl w:val="0"/>
          <w:numId w:val="39"/>
        </w:numPr>
        <w:rPr>
          <w:rFonts w:ascii="Arial" w:hAnsi="Arial" w:cs="Arial"/>
          <w:sz w:val="22"/>
          <w:szCs w:val="22"/>
          <w:lang w:val="en-IN"/>
        </w:rPr>
      </w:pPr>
      <w:r w:rsidRPr="00477C4D">
        <w:rPr>
          <w:rFonts w:ascii="Arial" w:hAnsi="Arial" w:cs="Arial"/>
          <w:sz w:val="22"/>
          <w:szCs w:val="22"/>
          <w:lang w:val="en-IN"/>
        </w:rPr>
        <w:t>Documenting all stakeholders in a thorough stakeholder register</w:t>
      </w:r>
    </w:p>
    <w:p w14:paraId="438A1361" w14:textId="77777777" w:rsidR="00F808FE" w:rsidRPr="00477C4D" w:rsidRDefault="00F808FE" w:rsidP="00F808FE">
      <w:pPr>
        <w:numPr>
          <w:ilvl w:val="0"/>
          <w:numId w:val="39"/>
        </w:numPr>
        <w:rPr>
          <w:rFonts w:ascii="Arial" w:hAnsi="Arial" w:cs="Arial"/>
          <w:sz w:val="22"/>
          <w:szCs w:val="22"/>
          <w:lang w:val="en-IN"/>
        </w:rPr>
      </w:pPr>
      <w:r w:rsidRPr="00477C4D">
        <w:rPr>
          <w:rFonts w:ascii="Arial" w:hAnsi="Arial" w:cs="Arial"/>
          <w:sz w:val="22"/>
          <w:szCs w:val="22"/>
          <w:lang w:val="en-IN"/>
        </w:rPr>
        <w:t>Logging engagement risks in the risk register</w:t>
      </w:r>
    </w:p>
    <w:p w14:paraId="23165864" w14:textId="77777777" w:rsidR="00F808FE" w:rsidRPr="00477C4D" w:rsidRDefault="00F808FE" w:rsidP="00F808FE">
      <w:pPr>
        <w:numPr>
          <w:ilvl w:val="0"/>
          <w:numId w:val="39"/>
        </w:numPr>
        <w:rPr>
          <w:rFonts w:ascii="Arial" w:hAnsi="Arial" w:cs="Arial"/>
          <w:sz w:val="22"/>
          <w:szCs w:val="22"/>
          <w:lang w:val="en-IN"/>
        </w:rPr>
      </w:pPr>
      <w:r w:rsidRPr="00477C4D">
        <w:rPr>
          <w:rFonts w:ascii="Arial" w:hAnsi="Arial" w:cs="Arial"/>
          <w:sz w:val="22"/>
          <w:szCs w:val="22"/>
          <w:lang w:val="en-IN"/>
        </w:rPr>
        <w:t>Reviewing stakeholder interactions in project board meetings</w:t>
      </w:r>
    </w:p>
    <w:p w14:paraId="467A7BB2" w14:textId="66E7635F"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Formal governance ensures accountability and prevents disengagement.</w:t>
      </w:r>
    </w:p>
    <w:p w14:paraId="63E824B8"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6. Build Agility to Adapt to Changing Stakeholder Dynamics</w:t>
      </w:r>
    </w:p>
    <w:p w14:paraId="5BD58481" w14:textId="77777777" w:rsidR="00F808FE" w:rsidRPr="00477C4D" w:rsidRDefault="00F808FE" w:rsidP="00F808FE">
      <w:pPr>
        <w:rPr>
          <w:rFonts w:ascii="Arial" w:hAnsi="Arial" w:cs="Arial"/>
          <w:sz w:val="22"/>
          <w:szCs w:val="22"/>
          <w:lang w:val="en-IN"/>
        </w:rPr>
      </w:pPr>
      <w:r w:rsidRPr="00477C4D">
        <w:rPr>
          <w:rFonts w:ascii="Arial" w:hAnsi="Arial" w:cs="Arial"/>
          <w:sz w:val="22"/>
          <w:szCs w:val="22"/>
          <w:lang w:val="en-IN"/>
        </w:rPr>
        <w:t>The health-tech environment evolves rapidly. Philips should prepare for changes by:</w:t>
      </w:r>
    </w:p>
    <w:p w14:paraId="294924A7" w14:textId="77777777" w:rsidR="00F808FE" w:rsidRPr="00477C4D" w:rsidRDefault="00F808FE" w:rsidP="00F808FE">
      <w:pPr>
        <w:numPr>
          <w:ilvl w:val="0"/>
          <w:numId w:val="40"/>
        </w:numPr>
        <w:rPr>
          <w:rFonts w:ascii="Arial" w:hAnsi="Arial" w:cs="Arial"/>
          <w:sz w:val="22"/>
          <w:szCs w:val="22"/>
          <w:lang w:val="en-IN"/>
        </w:rPr>
      </w:pPr>
      <w:r w:rsidRPr="00477C4D">
        <w:rPr>
          <w:rFonts w:ascii="Arial" w:hAnsi="Arial" w:cs="Arial"/>
          <w:sz w:val="22"/>
          <w:szCs w:val="22"/>
          <w:lang w:val="en-IN"/>
        </w:rPr>
        <w:t>Monitoring regulatory updates</w:t>
      </w:r>
    </w:p>
    <w:p w14:paraId="760FE1B2" w14:textId="77777777" w:rsidR="00F808FE" w:rsidRPr="00477C4D" w:rsidRDefault="00F808FE" w:rsidP="00F808FE">
      <w:pPr>
        <w:numPr>
          <w:ilvl w:val="0"/>
          <w:numId w:val="40"/>
        </w:numPr>
        <w:rPr>
          <w:rFonts w:ascii="Arial" w:hAnsi="Arial" w:cs="Arial"/>
          <w:sz w:val="22"/>
          <w:szCs w:val="22"/>
          <w:lang w:val="en-IN"/>
        </w:rPr>
      </w:pPr>
      <w:r w:rsidRPr="00477C4D">
        <w:rPr>
          <w:rFonts w:ascii="Arial" w:hAnsi="Arial" w:cs="Arial"/>
          <w:sz w:val="22"/>
          <w:szCs w:val="22"/>
          <w:lang w:val="en-IN"/>
        </w:rPr>
        <w:lastRenderedPageBreak/>
        <w:t>Tracking competitor innovations</w:t>
      </w:r>
    </w:p>
    <w:p w14:paraId="5A52715C" w14:textId="77777777" w:rsidR="00F808FE" w:rsidRPr="00477C4D" w:rsidRDefault="00F808FE" w:rsidP="00F808FE">
      <w:pPr>
        <w:numPr>
          <w:ilvl w:val="0"/>
          <w:numId w:val="40"/>
        </w:numPr>
        <w:rPr>
          <w:rFonts w:ascii="Arial" w:hAnsi="Arial" w:cs="Arial"/>
          <w:sz w:val="22"/>
          <w:szCs w:val="22"/>
          <w:lang w:val="en-IN"/>
        </w:rPr>
      </w:pPr>
      <w:r w:rsidRPr="00477C4D">
        <w:rPr>
          <w:rFonts w:ascii="Arial" w:hAnsi="Arial" w:cs="Arial"/>
          <w:sz w:val="22"/>
          <w:szCs w:val="22"/>
          <w:lang w:val="en-IN"/>
        </w:rPr>
        <w:t>Running scenario-planning exercises</w:t>
      </w:r>
    </w:p>
    <w:p w14:paraId="27D3AE77" w14:textId="77777777" w:rsidR="00F808FE" w:rsidRPr="00477C4D" w:rsidRDefault="00F808FE" w:rsidP="00F808FE">
      <w:pPr>
        <w:numPr>
          <w:ilvl w:val="0"/>
          <w:numId w:val="40"/>
        </w:numPr>
        <w:rPr>
          <w:rFonts w:ascii="Arial" w:hAnsi="Arial" w:cs="Arial"/>
          <w:sz w:val="22"/>
          <w:szCs w:val="22"/>
          <w:lang w:val="en-IN"/>
        </w:rPr>
      </w:pPr>
      <w:r w:rsidRPr="00477C4D">
        <w:rPr>
          <w:rFonts w:ascii="Arial" w:hAnsi="Arial" w:cs="Arial"/>
          <w:sz w:val="22"/>
          <w:szCs w:val="22"/>
          <w:lang w:val="en-IN"/>
        </w:rPr>
        <w:t>Updating engagement strategies regularly</w:t>
      </w:r>
    </w:p>
    <w:p w14:paraId="222184EE" w14:textId="55DC1B96" w:rsidR="001D56C9" w:rsidRPr="00477C4D" w:rsidRDefault="00F808FE" w:rsidP="00F808FE">
      <w:pPr>
        <w:rPr>
          <w:rFonts w:ascii="Arial" w:hAnsi="Arial" w:cs="Arial"/>
          <w:sz w:val="22"/>
          <w:szCs w:val="22"/>
          <w:lang w:val="en-IN"/>
        </w:rPr>
      </w:pPr>
      <w:r w:rsidRPr="00477C4D">
        <w:rPr>
          <w:rFonts w:ascii="Arial" w:hAnsi="Arial" w:cs="Arial"/>
          <w:sz w:val="22"/>
          <w:szCs w:val="22"/>
          <w:lang w:val="en-IN"/>
        </w:rPr>
        <w:t>Agility enables Philips to respond quickly to shifting expectations, keeping the device competitive and compliant.</w:t>
      </w:r>
    </w:p>
    <w:p w14:paraId="6E8C0CED" w14:textId="7EC0F4C9" w:rsidR="0091096D" w:rsidRPr="00477C4D" w:rsidRDefault="0091096D" w:rsidP="001D56C9">
      <w:pPr>
        <w:pStyle w:val="Heading1"/>
        <w:rPr>
          <w:rFonts w:ascii="Arial" w:hAnsi="Arial" w:cs="Arial"/>
          <w:b/>
          <w:bCs/>
          <w:sz w:val="22"/>
          <w:szCs w:val="22"/>
        </w:rPr>
      </w:pPr>
      <w:bookmarkStart w:id="47" w:name="_Toc214570843"/>
      <w:r w:rsidRPr="00477C4D">
        <w:rPr>
          <w:rFonts w:ascii="Arial" w:hAnsi="Arial" w:cs="Arial"/>
          <w:b/>
          <w:bCs/>
          <w:sz w:val="22"/>
          <w:szCs w:val="22"/>
        </w:rPr>
        <w:t>Conclusion</w:t>
      </w:r>
      <w:bookmarkEnd w:id="47"/>
    </w:p>
    <w:p w14:paraId="5309A669" w14:textId="71B36D59" w:rsidR="00F808FE" w:rsidRPr="00477C4D" w:rsidRDefault="00F808FE" w:rsidP="001A4270">
      <w:pPr>
        <w:jc w:val="both"/>
        <w:rPr>
          <w:rFonts w:ascii="Arial" w:hAnsi="Arial" w:cs="Arial"/>
          <w:sz w:val="22"/>
          <w:szCs w:val="22"/>
          <w:lang w:val="en-IN"/>
        </w:rPr>
      </w:pPr>
      <w:r w:rsidRPr="00477C4D">
        <w:rPr>
          <w:rFonts w:ascii="Arial" w:hAnsi="Arial" w:cs="Arial"/>
          <w:sz w:val="22"/>
          <w:szCs w:val="22"/>
          <w:lang w:val="en-IN"/>
        </w:rPr>
        <w:t>The successful launch of Philips UK HealthTech’s new wearable device depends on effective stakeholder engagement. In a market defined by strict regulatory standards, rapid technological innovation, and high consumer expectations, the ability to manage diverse stakeholder needs is just as important as the technical performance of the product itself. Stakeholder engagement ensures that the device is not only safe and compliant but also user-friendly, clinically relevant, and commercially viable.</w:t>
      </w:r>
    </w:p>
    <w:p w14:paraId="3441FD03" w14:textId="233FCC18" w:rsidR="00F808FE" w:rsidRPr="00477C4D" w:rsidRDefault="00F808FE" w:rsidP="001A4270">
      <w:pPr>
        <w:jc w:val="both"/>
        <w:rPr>
          <w:rFonts w:ascii="Arial" w:hAnsi="Arial" w:cs="Arial"/>
          <w:sz w:val="22"/>
          <w:szCs w:val="22"/>
          <w:lang w:val="en-IN"/>
        </w:rPr>
      </w:pPr>
      <w:r w:rsidRPr="00477C4D">
        <w:rPr>
          <w:rFonts w:ascii="Arial" w:hAnsi="Arial" w:cs="Arial"/>
          <w:sz w:val="22"/>
          <w:szCs w:val="22"/>
          <w:lang w:val="en-IN"/>
        </w:rPr>
        <w:t>This report has demonstrated that the use of structured frameworks</w:t>
      </w:r>
      <w:r w:rsidR="0078348E" w:rsidRPr="00477C4D">
        <w:rPr>
          <w:rFonts w:ascii="Arial" w:hAnsi="Arial" w:cs="Arial"/>
          <w:sz w:val="22"/>
          <w:szCs w:val="22"/>
          <w:lang w:val="en-IN"/>
        </w:rPr>
        <w:t xml:space="preserve"> </w:t>
      </w:r>
      <w:r w:rsidRPr="00477C4D">
        <w:rPr>
          <w:rFonts w:ascii="Arial" w:hAnsi="Arial" w:cs="Arial"/>
          <w:sz w:val="22"/>
          <w:szCs w:val="22"/>
          <w:lang w:val="en-IN"/>
        </w:rPr>
        <w:t>such as the Power/Interest Matrix, RACI Matrix, stakeholder engagement plans, and the 4Cs model (Communication, Coordination, Cooperation, and Collaboration)</w:t>
      </w:r>
      <w:r w:rsidR="0078348E" w:rsidRPr="00477C4D">
        <w:rPr>
          <w:rFonts w:ascii="Arial" w:hAnsi="Arial" w:cs="Arial"/>
          <w:sz w:val="22"/>
          <w:szCs w:val="22"/>
          <w:lang w:val="en-IN"/>
        </w:rPr>
        <w:t xml:space="preserve"> </w:t>
      </w:r>
      <w:r w:rsidRPr="00477C4D">
        <w:rPr>
          <w:rFonts w:ascii="Arial" w:hAnsi="Arial" w:cs="Arial"/>
          <w:sz w:val="22"/>
          <w:szCs w:val="22"/>
          <w:lang w:val="en-IN"/>
        </w:rPr>
        <w:t>provides a systematic approach for managing internal and external stakeholders. These frameworks help Philips clarify responsibilities, prioritise influential stakeholders, maintain transparent communication, and resolve conflicts before they escalate. By applying these tools, Philips can align cross-functional teams, establish clear governance, and ensure that each stakeholder contributes effectively to the project’s progress.</w:t>
      </w:r>
    </w:p>
    <w:p w14:paraId="62942106" w14:textId="740BA4BF" w:rsidR="00F808FE" w:rsidRPr="00477C4D" w:rsidRDefault="00F808FE" w:rsidP="001A4270">
      <w:pPr>
        <w:jc w:val="both"/>
        <w:rPr>
          <w:rFonts w:ascii="Arial" w:hAnsi="Arial" w:cs="Arial"/>
          <w:sz w:val="22"/>
          <w:szCs w:val="22"/>
          <w:lang w:val="en-IN"/>
        </w:rPr>
      </w:pPr>
      <w:r w:rsidRPr="00477C4D">
        <w:rPr>
          <w:rFonts w:ascii="Arial" w:hAnsi="Arial" w:cs="Arial"/>
          <w:sz w:val="22"/>
          <w:szCs w:val="22"/>
          <w:lang w:val="en-IN"/>
        </w:rPr>
        <w:t xml:space="preserve">The benefits of strong stakeholder engagement extend beyond project execution. Early input from users and healthcare professionals improves product design and enhances usability. </w:t>
      </w:r>
      <w:r w:rsidR="0078348E" w:rsidRPr="00477C4D">
        <w:rPr>
          <w:rFonts w:ascii="Arial" w:hAnsi="Arial" w:cs="Arial"/>
          <w:sz w:val="22"/>
          <w:szCs w:val="22"/>
          <w:lang w:val="en-IN"/>
        </w:rPr>
        <w:t>Initiative-taking</w:t>
      </w:r>
      <w:r w:rsidRPr="00477C4D">
        <w:rPr>
          <w:rFonts w:ascii="Arial" w:hAnsi="Arial" w:cs="Arial"/>
          <w:sz w:val="22"/>
          <w:szCs w:val="22"/>
          <w:lang w:val="en-IN"/>
        </w:rPr>
        <w:t xml:space="preserve"> collaboration with regulators speeds up approval processes, reducing time-to-market. Partnerships with insurers, retailers, and NHS organisations support broader adoption and position the device within health and wellness pathways. Internally, coordinated engagement boosts operational efficiency and fosters a culture of shared ownership. Collectively, these outcomes strengthen brand trust, improve market competitiveness, and support long-term commercial success.</w:t>
      </w:r>
    </w:p>
    <w:p w14:paraId="67C3C136" w14:textId="55E9D89C" w:rsidR="00F808FE" w:rsidRPr="00477C4D" w:rsidRDefault="00F808FE" w:rsidP="001A4270">
      <w:pPr>
        <w:jc w:val="both"/>
        <w:rPr>
          <w:rFonts w:ascii="Arial" w:hAnsi="Arial" w:cs="Arial"/>
          <w:sz w:val="22"/>
          <w:szCs w:val="22"/>
          <w:lang w:val="en-IN"/>
        </w:rPr>
      </w:pPr>
      <w:r w:rsidRPr="00477C4D">
        <w:rPr>
          <w:rFonts w:ascii="Arial" w:hAnsi="Arial" w:cs="Arial"/>
          <w:sz w:val="22"/>
          <w:szCs w:val="22"/>
          <w:lang w:val="en-IN"/>
        </w:rPr>
        <w:t>In conclusion, stakeholder engagement is not simply a support activity</w:t>
      </w:r>
      <w:r w:rsidR="0078348E" w:rsidRPr="00477C4D">
        <w:rPr>
          <w:rFonts w:ascii="Arial" w:hAnsi="Arial" w:cs="Arial"/>
          <w:sz w:val="22"/>
          <w:szCs w:val="22"/>
          <w:lang w:val="en-IN"/>
        </w:rPr>
        <w:t xml:space="preserve"> </w:t>
      </w:r>
      <w:r w:rsidRPr="00477C4D">
        <w:rPr>
          <w:rFonts w:ascii="Arial" w:hAnsi="Arial" w:cs="Arial"/>
          <w:sz w:val="22"/>
          <w:szCs w:val="22"/>
          <w:lang w:val="en-IN"/>
        </w:rPr>
        <w:t>it is a strategic asset that underpins compliance, innovation, and performance. As Philips UK HealthTech moves toward launching its wearable device, sustained engagement, transparent communication, and collaborative planning will be essential. By treating stakeholder relationships as an ongoing priority, Philips can deliver meaningful health outcomes for users and secure lasting business value.</w:t>
      </w:r>
    </w:p>
    <w:p w14:paraId="01521622" w14:textId="77777777" w:rsidR="001A4270" w:rsidRPr="00477C4D" w:rsidRDefault="001A4270" w:rsidP="001A4270">
      <w:pPr>
        <w:jc w:val="both"/>
        <w:rPr>
          <w:rFonts w:ascii="Arial" w:hAnsi="Arial" w:cs="Arial"/>
          <w:sz w:val="22"/>
          <w:szCs w:val="22"/>
          <w:lang w:val="en-IN"/>
        </w:rPr>
      </w:pPr>
    </w:p>
    <w:p w14:paraId="1FA51C27" w14:textId="77777777" w:rsidR="001A4270" w:rsidRPr="00477C4D" w:rsidRDefault="001A4270" w:rsidP="001A4270">
      <w:pPr>
        <w:jc w:val="both"/>
        <w:rPr>
          <w:rFonts w:ascii="Arial" w:hAnsi="Arial" w:cs="Arial"/>
          <w:sz w:val="22"/>
          <w:szCs w:val="22"/>
          <w:lang w:val="en-IN"/>
        </w:rPr>
      </w:pPr>
    </w:p>
    <w:p w14:paraId="5542F60F" w14:textId="77777777" w:rsidR="001A4270" w:rsidRDefault="001A4270" w:rsidP="001A4270">
      <w:pPr>
        <w:jc w:val="both"/>
        <w:rPr>
          <w:rFonts w:ascii="Arial" w:hAnsi="Arial" w:cs="Arial"/>
          <w:sz w:val="22"/>
          <w:szCs w:val="22"/>
          <w:lang w:val="en-IN"/>
        </w:rPr>
      </w:pPr>
    </w:p>
    <w:p w14:paraId="68E9124E" w14:textId="77777777" w:rsidR="00477C4D" w:rsidRDefault="00477C4D" w:rsidP="001A4270">
      <w:pPr>
        <w:jc w:val="both"/>
        <w:rPr>
          <w:rFonts w:ascii="Arial" w:hAnsi="Arial" w:cs="Arial"/>
          <w:sz w:val="22"/>
          <w:szCs w:val="22"/>
          <w:lang w:val="en-IN"/>
        </w:rPr>
      </w:pPr>
    </w:p>
    <w:p w14:paraId="7A85C8B1" w14:textId="77777777" w:rsidR="00477C4D" w:rsidRDefault="00477C4D" w:rsidP="001A4270">
      <w:pPr>
        <w:jc w:val="both"/>
        <w:rPr>
          <w:rFonts w:ascii="Arial" w:hAnsi="Arial" w:cs="Arial"/>
          <w:sz w:val="22"/>
          <w:szCs w:val="22"/>
          <w:lang w:val="en-IN"/>
        </w:rPr>
      </w:pPr>
    </w:p>
    <w:p w14:paraId="3A88BCD1" w14:textId="77777777" w:rsidR="00477C4D" w:rsidRPr="00477C4D" w:rsidRDefault="00477C4D" w:rsidP="001A4270">
      <w:pPr>
        <w:jc w:val="both"/>
        <w:rPr>
          <w:rFonts w:ascii="Arial" w:hAnsi="Arial" w:cs="Arial"/>
          <w:sz w:val="22"/>
          <w:szCs w:val="22"/>
          <w:lang w:val="en-IN"/>
        </w:rPr>
      </w:pPr>
    </w:p>
    <w:p w14:paraId="5346A0E9" w14:textId="266B8043" w:rsidR="00EC34D8" w:rsidRPr="00477C4D" w:rsidRDefault="00EC34D8" w:rsidP="00EC34D8">
      <w:pPr>
        <w:pStyle w:val="Heading1"/>
        <w:rPr>
          <w:rFonts w:ascii="Arial" w:hAnsi="Arial" w:cs="Arial"/>
          <w:b/>
          <w:bCs/>
          <w:sz w:val="22"/>
          <w:szCs w:val="22"/>
          <w:lang w:val="en-IN"/>
        </w:rPr>
      </w:pPr>
      <w:bookmarkStart w:id="48" w:name="_Toc214570844"/>
      <w:r w:rsidRPr="00477C4D">
        <w:rPr>
          <w:rFonts w:ascii="Arial" w:hAnsi="Arial" w:cs="Arial"/>
          <w:b/>
          <w:bCs/>
          <w:sz w:val="22"/>
          <w:szCs w:val="22"/>
          <w:lang w:val="en-IN"/>
        </w:rPr>
        <w:t>References List</w:t>
      </w:r>
      <w:bookmarkEnd w:id="48"/>
      <w:r w:rsidRPr="00477C4D">
        <w:rPr>
          <w:rFonts w:ascii="Arial" w:hAnsi="Arial" w:cs="Arial"/>
          <w:b/>
          <w:bCs/>
          <w:sz w:val="22"/>
          <w:szCs w:val="22"/>
          <w:lang w:val="en-IN"/>
        </w:rPr>
        <w:t xml:space="preserve"> </w:t>
      </w:r>
    </w:p>
    <w:p w14:paraId="7BDCDB6B" w14:textId="0686EC59"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Mendelow, A. (1991) </w:t>
      </w:r>
      <w:r w:rsidRPr="00477C4D">
        <w:rPr>
          <w:rFonts w:ascii="Arial" w:hAnsi="Arial" w:cs="Arial"/>
          <w:i/>
          <w:iCs/>
          <w:sz w:val="22"/>
          <w:szCs w:val="22"/>
          <w:lang w:val="en-IN"/>
        </w:rPr>
        <w:t>Stakeholder mapping</w:t>
      </w:r>
      <w:r w:rsidRPr="00477C4D">
        <w:rPr>
          <w:rFonts w:ascii="Arial" w:hAnsi="Arial" w:cs="Arial"/>
          <w:sz w:val="22"/>
          <w:szCs w:val="22"/>
          <w:lang w:val="en-IN"/>
        </w:rPr>
        <w:t>. Proceedings of the 2nd International Conference on Information Systems, Cambridge, MA.</w:t>
      </w:r>
    </w:p>
    <w:p w14:paraId="62DA97C6" w14:textId="77777777"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Project Management Institute (PMI) (2021) </w:t>
      </w:r>
      <w:r w:rsidRPr="00477C4D">
        <w:rPr>
          <w:rFonts w:ascii="Arial" w:hAnsi="Arial" w:cs="Arial"/>
          <w:i/>
          <w:iCs/>
          <w:sz w:val="22"/>
          <w:szCs w:val="22"/>
          <w:lang w:val="en-IN"/>
        </w:rPr>
        <w:t>A Guide to the Project Management Body of Knowledge (PMBOK® Guide)</w:t>
      </w:r>
      <w:r w:rsidRPr="00477C4D">
        <w:rPr>
          <w:rFonts w:ascii="Arial" w:hAnsi="Arial" w:cs="Arial"/>
          <w:sz w:val="22"/>
          <w:szCs w:val="22"/>
          <w:lang w:val="en-IN"/>
        </w:rPr>
        <w:t>. 7th ed. Newtown Square, PA: PMI.</w:t>
      </w:r>
    </w:p>
    <w:p w14:paraId="76FD632A" w14:textId="77777777"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Office of Government Commerce (OGC) (2017) </w:t>
      </w:r>
      <w:r w:rsidRPr="00477C4D">
        <w:rPr>
          <w:rFonts w:ascii="Arial" w:hAnsi="Arial" w:cs="Arial"/>
          <w:i/>
          <w:iCs/>
          <w:sz w:val="22"/>
          <w:szCs w:val="22"/>
          <w:lang w:val="en-IN"/>
        </w:rPr>
        <w:t>Managing Successful Projects with PRINCE2</w:t>
      </w:r>
      <w:r w:rsidRPr="00477C4D">
        <w:rPr>
          <w:rFonts w:ascii="Arial" w:hAnsi="Arial" w:cs="Arial"/>
          <w:sz w:val="22"/>
          <w:szCs w:val="22"/>
          <w:lang w:val="en-IN"/>
        </w:rPr>
        <w:t>. 6th ed. London: TSO.</w:t>
      </w:r>
    </w:p>
    <w:p w14:paraId="27FF3534" w14:textId="480417FC"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Thomas, K.W. and Kilmann, R.H. (2008) </w:t>
      </w:r>
      <w:r w:rsidRPr="00477C4D">
        <w:rPr>
          <w:rFonts w:ascii="Arial" w:hAnsi="Arial" w:cs="Arial"/>
          <w:i/>
          <w:iCs/>
          <w:sz w:val="22"/>
          <w:szCs w:val="22"/>
          <w:lang w:val="en-IN"/>
        </w:rPr>
        <w:t>Thomas–Kilmann conflict mode instrument</w:t>
      </w:r>
      <w:r w:rsidRPr="00477C4D">
        <w:rPr>
          <w:rFonts w:ascii="Arial" w:hAnsi="Arial" w:cs="Arial"/>
          <w:sz w:val="22"/>
          <w:szCs w:val="22"/>
          <w:lang w:val="en-IN"/>
        </w:rPr>
        <w:t>. Mountain View, CA: CPP.</w:t>
      </w:r>
      <w:r w:rsidRPr="00477C4D">
        <w:rPr>
          <w:rFonts w:ascii="Arial" w:hAnsi="Arial" w:cs="Arial"/>
          <w:sz w:val="22"/>
          <w:szCs w:val="22"/>
          <w:lang w:val="en-IN"/>
        </w:rPr>
        <w:br/>
        <w:t xml:space="preserve">Philips (2024a) </w:t>
      </w:r>
      <w:r w:rsidRPr="00477C4D">
        <w:rPr>
          <w:rFonts w:ascii="Arial" w:hAnsi="Arial" w:cs="Arial"/>
          <w:i/>
          <w:iCs/>
          <w:sz w:val="22"/>
          <w:szCs w:val="22"/>
          <w:lang w:val="en-IN"/>
        </w:rPr>
        <w:t>About Philips HealthTech UK</w:t>
      </w:r>
      <w:r w:rsidRPr="00477C4D">
        <w:rPr>
          <w:rFonts w:ascii="Arial" w:hAnsi="Arial" w:cs="Arial"/>
          <w:sz w:val="22"/>
          <w:szCs w:val="22"/>
          <w:lang w:val="en-IN"/>
        </w:rPr>
        <w:t xml:space="preserve">. Available at: </w:t>
      </w:r>
      <w:hyperlink r:id="rId9" w:tgtFrame="_new" w:history="1">
        <w:r w:rsidRPr="00477C4D">
          <w:rPr>
            <w:rStyle w:val="Hyperlink"/>
            <w:rFonts w:ascii="Arial" w:hAnsi="Arial" w:cs="Arial"/>
            <w:sz w:val="22"/>
            <w:szCs w:val="22"/>
            <w:lang w:val="en-IN"/>
          </w:rPr>
          <w:t>https://www.philips.co.uk</w:t>
        </w:r>
      </w:hyperlink>
      <w:r w:rsidRPr="00477C4D">
        <w:rPr>
          <w:rFonts w:ascii="Arial" w:hAnsi="Arial" w:cs="Arial"/>
          <w:sz w:val="22"/>
          <w:szCs w:val="22"/>
          <w:lang w:val="en-IN"/>
        </w:rPr>
        <w:t xml:space="preserve"> </w:t>
      </w:r>
    </w:p>
    <w:p w14:paraId="04A8CDC2" w14:textId="3ACEEB59"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Philips (2024b) </w:t>
      </w:r>
      <w:r w:rsidRPr="00477C4D">
        <w:rPr>
          <w:rFonts w:ascii="Arial" w:hAnsi="Arial" w:cs="Arial"/>
          <w:i/>
          <w:iCs/>
          <w:sz w:val="22"/>
          <w:szCs w:val="22"/>
          <w:lang w:val="en-IN"/>
        </w:rPr>
        <w:t>Wearable health devices overview</w:t>
      </w:r>
      <w:r w:rsidRPr="00477C4D">
        <w:rPr>
          <w:rFonts w:ascii="Arial" w:hAnsi="Arial" w:cs="Arial"/>
          <w:sz w:val="22"/>
          <w:szCs w:val="22"/>
          <w:lang w:val="en-IN"/>
        </w:rPr>
        <w:t xml:space="preserve">. Available at: https://www.philips.com/healthtech </w:t>
      </w:r>
    </w:p>
    <w:p w14:paraId="5AEA31FD" w14:textId="579CEC4A"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MHRA (2024) </w:t>
      </w:r>
      <w:r w:rsidRPr="00477C4D">
        <w:rPr>
          <w:rFonts w:ascii="Arial" w:hAnsi="Arial" w:cs="Arial"/>
          <w:i/>
          <w:iCs/>
          <w:sz w:val="22"/>
          <w:szCs w:val="22"/>
          <w:lang w:val="en-IN"/>
        </w:rPr>
        <w:t>Medical devices: regulations and guidance</w:t>
      </w:r>
      <w:r w:rsidRPr="00477C4D">
        <w:rPr>
          <w:rFonts w:ascii="Arial" w:hAnsi="Arial" w:cs="Arial"/>
          <w:sz w:val="22"/>
          <w:szCs w:val="22"/>
          <w:lang w:val="en-IN"/>
        </w:rPr>
        <w:t xml:space="preserve">. Available at: </w:t>
      </w:r>
      <w:hyperlink r:id="rId10" w:tgtFrame="_new" w:history="1">
        <w:r w:rsidRPr="00477C4D">
          <w:rPr>
            <w:rStyle w:val="Hyperlink"/>
            <w:rFonts w:ascii="Arial" w:hAnsi="Arial" w:cs="Arial"/>
            <w:sz w:val="22"/>
            <w:szCs w:val="22"/>
            <w:lang w:val="en-IN"/>
          </w:rPr>
          <w:t>https://www.gov.uk/mhra</w:t>
        </w:r>
      </w:hyperlink>
      <w:r w:rsidRPr="00477C4D">
        <w:rPr>
          <w:rFonts w:ascii="Arial" w:hAnsi="Arial" w:cs="Arial"/>
          <w:sz w:val="22"/>
          <w:szCs w:val="22"/>
          <w:lang w:val="en-IN"/>
        </w:rPr>
        <w:t xml:space="preserve"> </w:t>
      </w:r>
    </w:p>
    <w:p w14:paraId="658C9EAF" w14:textId="0D618B67"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ICO (2024) </w:t>
      </w:r>
      <w:r w:rsidRPr="00477C4D">
        <w:rPr>
          <w:rFonts w:ascii="Arial" w:hAnsi="Arial" w:cs="Arial"/>
          <w:i/>
          <w:iCs/>
          <w:sz w:val="22"/>
          <w:szCs w:val="22"/>
          <w:lang w:val="en-IN"/>
        </w:rPr>
        <w:t>Guide to the GDPR</w:t>
      </w:r>
      <w:r w:rsidRPr="00477C4D">
        <w:rPr>
          <w:rFonts w:ascii="Arial" w:hAnsi="Arial" w:cs="Arial"/>
          <w:sz w:val="22"/>
          <w:szCs w:val="22"/>
          <w:lang w:val="en-IN"/>
        </w:rPr>
        <w:t xml:space="preserve">. Available at: </w:t>
      </w:r>
      <w:hyperlink r:id="rId11" w:tgtFrame="_new" w:history="1">
        <w:r w:rsidRPr="00477C4D">
          <w:rPr>
            <w:rStyle w:val="Hyperlink"/>
            <w:rFonts w:ascii="Arial" w:hAnsi="Arial" w:cs="Arial"/>
            <w:sz w:val="22"/>
            <w:szCs w:val="22"/>
            <w:lang w:val="en-IN"/>
          </w:rPr>
          <w:t>https://ico.org.uk</w:t>
        </w:r>
      </w:hyperlink>
      <w:r w:rsidRPr="00477C4D">
        <w:rPr>
          <w:rFonts w:ascii="Arial" w:hAnsi="Arial" w:cs="Arial"/>
          <w:sz w:val="22"/>
          <w:szCs w:val="22"/>
          <w:lang w:val="en-IN"/>
        </w:rPr>
        <w:t xml:space="preserve"> </w:t>
      </w:r>
    </w:p>
    <w:p w14:paraId="5EB08F5E" w14:textId="547C633A" w:rsidR="00EC34D8" w:rsidRPr="00477C4D" w:rsidRDefault="00EC34D8" w:rsidP="00EC34D8">
      <w:pPr>
        <w:rPr>
          <w:rFonts w:ascii="Arial" w:hAnsi="Arial" w:cs="Arial"/>
          <w:sz w:val="22"/>
          <w:szCs w:val="22"/>
          <w:lang w:val="en-IN"/>
        </w:rPr>
      </w:pPr>
      <w:r w:rsidRPr="00477C4D">
        <w:rPr>
          <w:rFonts w:ascii="Arial" w:hAnsi="Arial" w:cs="Arial"/>
          <w:sz w:val="22"/>
          <w:szCs w:val="22"/>
          <w:lang w:val="en-IN"/>
        </w:rPr>
        <w:t xml:space="preserve">NHS Digital (2024) </w:t>
      </w:r>
      <w:r w:rsidRPr="00477C4D">
        <w:rPr>
          <w:rFonts w:ascii="Arial" w:hAnsi="Arial" w:cs="Arial"/>
          <w:i/>
          <w:iCs/>
          <w:sz w:val="22"/>
          <w:szCs w:val="22"/>
          <w:lang w:val="en-IN"/>
        </w:rPr>
        <w:t>Remote monitoring and digital health</w:t>
      </w:r>
      <w:r w:rsidRPr="00477C4D">
        <w:rPr>
          <w:rFonts w:ascii="Arial" w:hAnsi="Arial" w:cs="Arial"/>
          <w:sz w:val="22"/>
          <w:szCs w:val="22"/>
          <w:lang w:val="en-IN"/>
        </w:rPr>
        <w:t xml:space="preserve">. Available at: </w:t>
      </w:r>
      <w:hyperlink r:id="rId12" w:tgtFrame="_new" w:history="1">
        <w:r w:rsidRPr="00477C4D">
          <w:rPr>
            <w:rStyle w:val="Hyperlink"/>
            <w:rFonts w:ascii="Arial" w:hAnsi="Arial" w:cs="Arial"/>
            <w:sz w:val="22"/>
            <w:szCs w:val="22"/>
            <w:lang w:val="en-IN"/>
          </w:rPr>
          <w:t>https://digital.nhs.uk</w:t>
        </w:r>
      </w:hyperlink>
      <w:r w:rsidRPr="00477C4D">
        <w:rPr>
          <w:rFonts w:ascii="Arial" w:hAnsi="Arial" w:cs="Arial"/>
          <w:sz w:val="22"/>
          <w:szCs w:val="22"/>
          <w:lang w:val="en-IN"/>
        </w:rPr>
        <w:t xml:space="preserve"> </w:t>
      </w:r>
    </w:p>
    <w:p w14:paraId="08889DA5" w14:textId="77777777" w:rsidR="0091096D" w:rsidRPr="00477C4D" w:rsidRDefault="0091096D">
      <w:pPr>
        <w:rPr>
          <w:rFonts w:ascii="Arial" w:hAnsi="Arial" w:cs="Arial"/>
          <w:sz w:val="22"/>
          <w:szCs w:val="22"/>
          <w:lang w:val="en-IN"/>
        </w:rPr>
      </w:pPr>
    </w:p>
    <w:sectPr w:rsidR="0091096D" w:rsidRPr="00477C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778EA" w14:textId="77777777" w:rsidR="00FA4760" w:rsidRDefault="00FA4760" w:rsidP="00477C4D">
      <w:pPr>
        <w:spacing w:after="0" w:line="240" w:lineRule="auto"/>
      </w:pPr>
      <w:r>
        <w:separator/>
      </w:r>
    </w:p>
  </w:endnote>
  <w:endnote w:type="continuationSeparator" w:id="0">
    <w:p w14:paraId="1D555BAF" w14:textId="77777777" w:rsidR="00FA4760" w:rsidRDefault="00FA4760" w:rsidP="00477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B2DBC" w14:textId="77777777" w:rsidR="00FA4760" w:rsidRDefault="00FA4760" w:rsidP="00477C4D">
      <w:pPr>
        <w:spacing w:after="0" w:line="240" w:lineRule="auto"/>
      </w:pPr>
      <w:r>
        <w:separator/>
      </w:r>
    </w:p>
  </w:footnote>
  <w:footnote w:type="continuationSeparator" w:id="0">
    <w:p w14:paraId="435166AD" w14:textId="77777777" w:rsidR="00FA4760" w:rsidRDefault="00FA4760" w:rsidP="00477C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34405"/>
    <w:multiLevelType w:val="multilevel"/>
    <w:tmpl w:val="607E1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D2890"/>
    <w:multiLevelType w:val="multilevel"/>
    <w:tmpl w:val="A7E6B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272D9"/>
    <w:multiLevelType w:val="multilevel"/>
    <w:tmpl w:val="A462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2201F"/>
    <w:multiLevelType w:val="multilevel"/>
    <w:tmpl w:val="DE88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4057D2"/>
    <w:multiLevelType w:val="multilevel"/>
    <w:tmpl w:val="B0A65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568B8"/>
    <w:multiLevelType w:val="multilevel"/>
    <w:tmpl w:val="5C5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755681"/>
    <w:multiLevelType w:val="multilevel"/>
    <w:tmpl w:val="C61C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991999"/>
    <w:multiLevelType w:val="multilevel"/>
    <w:tmpl w:val="51D4A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40EFE"/>
    <w:multiLevelType w:val="multilevel"/>
    <w:tmpl w:val="AC32A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215A48"/>
    <w:multiLevelType w:val="multilevel"/>
    <w:tmpl w:val="A8AE8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BB1547"/>
    <w:multiLevelType w:val="multilevel"/>
    <w:tmpl w:val="E0CC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80191E"/>
    <w:multiLevelType w:val="multilevel"/>
    <w:tmpl w:val="ABE6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B634BB"/>
    <w:multiLevelType w:val="multilevel"/>
    <w:tmpl w:val="42BA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307E11"/>
    <w:multiLevelType w:val="multilevel"/>
    <w:tmpl w:val="2D2A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7671E8"/>
    <w:multiLevelType w:val="multilevel"/>
    <w:tmpl w:val="3E92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036322"/>
    <w:multiLevelType w:val="multilevel"/>
    <w:tmpl w:val="DB725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ED5586"/>
    <w:multiLevelType w:val="hybridMultilevel"/>
    <w:tmpl w:val="F0DE37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38BC4876"/>
    <w:multiLevelType w:val="multilevel"/>
    <w:tmpl w:val="4830E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116F6C"/>
    <w:multiLevelType w:val="multilevel"/>
    <w:tmpl w:val="85605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C8166F"/>
    <w:multiLevelType w:val="multilevel"/>
    <w:tmpl w:val="9C22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4A525E"/>
    <w:multiLevelType w:val="multilevel"/>
    <w:tmpl w:val="71B83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E90E80"/>
    <w:multiLevelType w:val="multilevel"/>
    <w:tmpl w:val="D194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827A33"/>
    <w:multiLevelType w:val="multilevel"/>
    <w:tmpl w:val="80B2A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E7080B"/>
    <w:multiLevelType w:val="multilevel"/>
    <w:tmpl w:val="6CA09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521653"/>
    <w:multiLevelType w:val="multilevel"/>
    <w:tmpl w:val="3EF6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7314A5"/>
    <w:multiLevelType w:val="multilevel"/>
    <w:tmpl w:val="4566E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5A00D6"/>
    <w:multiLevelType w:val="multilevel"/>
    <w:tmpl w:val="95C40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3C13FE"/>
    <w:multiLevelType w:val="multilevel"/>
    <w:tmpl w:val="34B45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B2332A4"/>
    <w:multiLevelType w:val="multilevel"/>
    <w:tmpl w:val="DCFE9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6E6276"/>
    <w:multiLevelType w:val="multilevel"/>
    <w:tmpl w:val="4E0E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631940"/>
    <w:multiLevelType w:val="multilevel"/>
    <w:tmpl w:val="A478F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4F63077"/>
    <w:multiLevelType w:val="multilevel"/>
    <w:tmpl w:val="22D24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69F49E5"/>
    <w:multiLevelType w:val="multilevel"/>
    <w:tmpl w:val="12D4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135BAF"/>
    <w:multiLevelType w:val="multilevel"/>
    <w:tmpl w:val="36F81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BF924D2"/>
    <w:multiLevelType w:val="hybridMultilevel"/>
    <w:tmpl w:val="8200CE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5DE3065D"/>
    <w:multiLevelType w:val="multilevel"/>
    <w:tmpl w:val="AF3A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9D68C8"/>
    <w:multiLevelType w:val="multilevel"/>
    <w:tmpl w:val="2CBA5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B8127B"/>
    <w:multiLevelType w:val="multilevel"/>
    <w:tmpl w:val="7B1E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2F33AF"/>
    <w:multiLevelType w:val="multilevel"/>
    <w:tmpl w:val="EDA2F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501AC"/>
    <w:multiLevelType w:val="multilevel"/>
    <w:tmpl w:val="BE24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1D5479"/>
    <w:multiLevelType w:val="multilevel"/>
    <w:tmpl w:val="D28A8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051039"/>
    <w:multiLevelType w:val="multilevel"/>
    <w:tmpl w:val="22AC7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5504227"/>
    <w:multiLevelType w:val="multilevel"/>
    <w:tmpl w:val="28CC6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377A84"/>
    <w:multiLevelType w:val="multilevel"/>
    <w:tmpl w:val="C806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805427"/>
    <w:multiLevelType w:val="multilevel"/>
    <w:tmpl w:val="3AC6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04233E"/>
    <w:multiLevelType w:val="multilevel"/>
    <w:tmpl w:val="57A2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7346491">
    <w:abstractNumId w:val="36"/>
  </w:num>
  <w:num w:numId="2" w16cid:durableId="1494835307">
    <w:abstractNumId w:val="39"/>
  </w:num>
  <w:num w:numId="3" w16cid:durableId="16127361">
    <w:abstractNumId w:val="15"/>
  </w:num>
  <w:num w:numId="4" w16cid:durableId="1524174226">
    <w:abstractNumId w:val="11"/>
  </w:num>
  <w:num w:numId="5" w16cid:durableId="1132334065">
    <w:abstractNumId w:val="25"/>
  </w:num>
  <w:num w:numId="6" w16cid:durableId="1942714029">
    <w:abstractNumId w:val="24"/>
  </w:num>
  <w:num w:numId="7" w16cid:durableId="413597828">
    <w:abstractNumId w:val="5"/>
  </w:num>
  <w:num w:numId="8" w16cid:durableId="1822497115">
    <w:abstractNumId w:val="45"/>
  </w:num>
  <w:num w:numId="9" w16cid:durableId="433017594">
    <w:abstractNumId w:val="38"/>
  </w:num>
  <w:num w:numId="10" w16cid:durableId="222451907">
    <w:abstractNumId w:val="3"/>
  </w:num>
  <w:num w:numId="11" w16cid:durableId="796992538">
    <w:abstractNumId w:val="40"/>
  </w:num>
  <w:num w:numId="12" w16cid:durableId="1393579817">
    <w:abstractNumId w:val="21"/>
  </w:num>
  <w:num w:numId="13" w16cid:durableId="208221985">
    <w:abstractNumId w:val="2"/>
  </w:num>
  <w:num w:numId="14" w16cid:durableId="1480733256">
    <w:abstractNumId w:val="14"/>
  </w:num>
  <w:num w:numId="15" w16cid:durableId="357969196">
    <w:abstractNumId w:val="41"/>
  </w:num>
  <w:num w:numId="16" w16cid:durableId="877157788">
    <w:abstractNumId w:val="18"/>
  </w:num>
  <w:num w:numId="17" w16cid:durableId="550846099">
    <w:abstractNumId w:val="33"/>
  </w:num>
  <w:num w:numId="18" w16cid:durableId="155072033">
    <w:abstractNumId w:val="23"/>
  </w:num>
  <w:num w:numId="19" w16cid:durableId="2146312704">
    <w:abstractNumId w:val="28"/>
  </w:num>
  <w:num w:numId="20" w16cid:durableId="1010062305">
    <w:abstractNumId w:val="1"/>
  </w:num>
  <w:num w:numId="21" w16cid:durableId="1378511590">
    <w:abstractNumId w:val="7"/>
  </w:num>
  <w:num w:numId="22" w16cid:durableId="2053798077">
    <w:abstractNumId w:val="29"/>
  </w:num>
  <w:num w:numId="23" w16cid:durableId="1005674076">
    <w:abstractNumId w:val="13"/>
  </w:num>
  <w:num w:numId="24" w16cid:durableId="1557665954">
    <w:abstractNumId w:val="22"/>
  </w:num>
  <w:num w:numId="25" w16cid:durableId="63602130">
    <w:abstractNumId w:val="12"/>
  </w:num>
  <w:num w:numId="26" w16cid:durableId="1556742383">
    <w:abstractNumId w:val="10"/>
  </w:num>
  <w:num w:numId="27" w16cid:durableId="694116514">
    <w:abstractNumId w:val="4"/>
  </w:num>
  <w:num w:numId="28" w16cid:durableId="1704356439">
    <w:abstractNumId w:val="44"/>
  </w:num>
  <w:num w:numId="29" w16cid:durableId="1142191023">
    <w:abstractNumId w:val="30"/>
  </w:num>
  <w:num w:numId="30" w16cid:durableId="1907840152">
    <w:abstractNumId w:val="20"/>
  </w:num>
  <w:num w:numId="31" w16cid:durableId="1884947845">
    <w:abstractNumId w:val="9"/>
  </w:num>
  <w:num w:numId="32" w16cid:durableId="1816724164">
    <w:abstractNumId w:val="37"/>
  </w:num>
  <w:num w:numId="33" w16cid:durableId="1103190401">
    <w:abstractNumId w:val="16"/>
  </w:num>
  <w:num w:numId="34" w16cid:durableId="1525897768">
    <w:abstractNumId w:val="8"/>
  </w:num>
  <w:num w:numId="35" w16cid:durableId="1522236324">
    <w:abstractNumId w:val="19"/>
  </w:num>
  <w:num w:numId="36" w16cid:durableId="1437628933">
    <w:abstractNumId w:val="0"/>
  </w:num>
  <w:num w:numId="37" w16cid:durableId="1505243211">
    <w:abstractNumId w:val="31"/>
  </w:num>
  <w:num w:numId="38" w16cid:durableId="1343823516">
    <w:abstractNumId w:val="42"/>
  </w:num>
  <w:num w:numId="39" w16cid:durableId="1117985431">
    <w:abstractNumId w:val="43"/>
  </w:num>
  <w:num w:numId="40" w16cid:durableId="655112650">
    <w:abstractNumId w:val="32"/>
  </w:num>
  <w:num w:numId="41" w16cid:durableId="1330013400">
    <w:abstractNumId w:val="27"/>
  </w:num>
  <w:num w:numId="42" w16cid:durableId="148255591">
    <w:abstractNumId w:val="26"/>
  </w:num>
  <w:num w:numId="43" w16cid:durableId="1362590007">
    <w:abstractNumId w:val="17"/>
  </w:num>
  <w:num w:numId="44" w16cid:durableId="866867241">
    <w:abstractNumId w:val="6"/>
  </w:num>
  <w:num w:numId="45" w16cid:durableId="1306861463">
    <w:abstractNumId w:val="35"/>
  </w:num>
  <w:num w:numId="46" w16cid:durableId="120089766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96D"/>
    <w:rsid w:val="00084288"/>
    <w:rsid w:val="001A4270"/>
    <w:rsid w:val="001D56C9"/>
    <w:rsid w:val="0031203F"/>
    <w:rsid w:val="003B5B86"/>
    <w:rsid w:val="00417B43"/>
    <w:rsid w:val="00477C4D"/>
    <w:rsid w:val="00574C73"/>
    <w:rsid w:val="006E1811"/>
    <w:rsid w:val="007174FB"/>
    <w:rsid w:val="00717866"/>
    <w:rsid w:val="00753A84"/>
    <w:rsid w:val="0078348E"/>
    <w:rsid w:val="0091096D"/>
    <w:rsid w:val="00913B69"/>
    <w:rsid w:val="009B1A59"/>
    <w:rsid w:val="009B36A3"/>
    <w:rsid w:val="009D6B86"/>
    <w:rsid w:val="00A91C67"/>
    <w:rsid w:val="00AD6CC4"/>
    <w:rsid w:val="00C35E02"/>
    <w:rsid w:val="00C964D0"/>
    <w:rsid w:val="00D47ACA"/>
    <w:rsid w:val="00D7284D"/>
    <w:rsid w:val="00E02352"/>
    <w:rsid w:val="00EC34D8"/>
    <w:rsid w:val="00F808FE"/>
    <w:rsid w:val="00FA4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37BC3"/>
  <w15:chartTrackingRefBased/>
  <w15:docId w15:val="{EE3D0D9A-68F4-4472-9E3B-6938F3E34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0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10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10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0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10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0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0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0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0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10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10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0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10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0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0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096D"/>
    <w:rPr>
      <w:rFonts w:eastAsiaTheme="majorEastAsia" w:cstheme="majorBidi"/>
      <w:color w:val="272727" w:themeColor="text1" w:themeTint="D8"/>
    </w:rPr>
  </w:style>
  <w:style w:type="paragraph" w:styleId="Title">
    <w:name w:val="Title"/>
    <w:basedOn w:val="Normal"/>
    <w:next w:val="Normal"/>
    <w:link w:val="TitleChar"/>
    <w:uiPriority w:val="10"/>
    <w:qFormat/>
    <w:rsid w:val="00910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0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096D"/>
    <w:pPr>
      <w:spacing w:before="160"/>
      <w:jc w:val="center"/>
    </w:pPr>
    <w:rPr>
      <w:i/>
      <w:iCs/>
      <w:color w:val="404040" w:themeColor="text1" w:themeTint="BF"/>
    </w:rPr>
  </w:style>
  <w:style w:type="character" w:customStyle="1" w:styleId="QuoteChar">
    <w:name w:val="Quote Char"/>
    <w:basedOn w:val="DefaultParagraphFont"/>
    <w:link w:val="Quote"/>
    <w:uiPriority w:val="29"/>
    <w:rsid w:val="0091096D"/>
    <w:rPr>
      <w:i/>
      <w:iCs/>
      <w:color w:val="404040" w:themeColor="text1" w:themeTint="BF"/>
    </w:rPr>
  </w:style>
  <w:style w:type="paragraph" w:styleId="ListParagraph">
    <w:name w:val="List Paragraph"/>
    <w:basedOn w:val="Normal"/>
    <w:uiPriority w:val="34"/>
    <w:qFormat/>
    <w:rsid w:val="0091096D"/>
    <w:pPr>
      <w:ind w:left="720"/>
      <w:contextualSpacing/>
    </w:pPr>
  </w:style>
  <w:style w:type="character" w:styleId="IntenseEmphasis">
    <w:name w:val="Intense Emphasis"/>
    <w:basedOn w:val="DefaultParagraphFont"/>
    <w:uiPriority w:val="21"/>
    <w:qFormat/>
    <w:rsid w:val="0091096D"/>
    <w:rPr>
      <w:i/>
      <w:iCs/>
      <w:color w:val="0F4761" w:themeColor="accent1" w:themeShade="BF"/>
    </w:rPr>
  </w:style>
  <w:style w:type="paragraph" w:styleId="IntenseQuote">
    <w:name w:val="Intense Quote"/>
    <w:basedOn w:val="Normal"/>
    <w:next w:val="Normal"/>
    <w:link w:val="IntenseQuoteChar"/>
    <w:uiPriority w:val="30"/>
    <w:qFormat/>
    <w:rsid w:val="00910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096D"/>
    <w:rPr>
      <w:i/>
      <w:iCs/>
      <w:color w:val="0F4761" w:themeColor="accent1" w:themeShade="BF"/>
    </w:rPr>
  </w:style>
  <w:style w:type="character" w:styleId="IntenseReference">
    <w:name w:val="Intense Reference"/>
    <w:basedOn w:val="DefaultParagraphFont"/>
    <w:uiPriority w:val="32"/>
    <w:qFormat/>
    <w:rsid w:val="0091096D"/>
    <w:rPr>
      <w:b/>
      <w:bCs/>
      <w:smallCaps/>
      <w:color w:val="0F4761" w:themeColor="accent1" w:themeShade="BF"/>
      <w:spacing w:val="5"/>
    </w:rPr>
  </w:style>
  <w:style w:type="paragraph" w:styleId="NormalWeb">
    <w:name w:val="Normal (Web)"/>
    <w:basedOn w:val="Normal"/>
    <w:uiPriority w:val="99"/>
    <w:semiHidden/>
    <w:unhideWhenUsed/>
    <w:rsid w:val="00753A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53A84"/>
    <w:rPr>
      <w:b/>
      <w:bCs/>
    </w:rPr>
  </w:style>
  <w:style w:type="table" w:styleId="PlainTable1">
    <w:name w:val="Plain Table 1"/>
    <w:basedOn w:val="TableNormal"/>
    <w:uiPriority w:val="41"/>
    <w:rsid w:val="001D56C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
    <w:name w:val="Grid Table 5 Dark"/>
    <w:basedOn w:val="TableNormal"/>
    <w:uiPriority w:val="50"/>
    <w:rsid w:val="001D56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1D56C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EC34D8"/>
    <w:rPr>
      <w:color w:val="467886" w:themeColor="hyperlink"/>
      <w:u w:val="single"/>
    </w:rPr>
  </w:style>
  <w:style w:type="character" w:styleId="UnresolvedMention">
    <w:name w:val="Unresolved Mention"/>
    <w:basedOn w:val="DefaultParagraphFont"/>
    <w:uiPriority w:val="99"/>
    <w:semiHidden/>
    <w:unhideWhenUsed/>
    <w:rsid w:val="00EC34D8"/>
    <w:rPr>
      <w:color w:val="605E5C"/>
      <w:shd w:val="clear" w:color="auto" w:fill="E1DFDD"/>
    </w:rPr>
  </w:style>
  <w:style w:type="paragraph" w:styleId="TOCHeading">
    <w:name w:val="TOC Heading"/>
    <w:basedOn w:val="Heading1"/>
    <w:next w:val="Normal"/>
    <w:uiPriority w:val="39"/>
    <w:unhideWhenUsed/>
    <w:qFormat/>
    <w:rsid w:val="001A427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A4270"/>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A4270"/>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A4270"/>
    <w:pPr>
      <w:spacing w:after="100" w:line="259" w:lineRule="auto"/>
      <w:ind w:left="440"/>
    </w:pPr>
    <w:rPr>
      <w:rFonts w:eastAsiaTheme="minorEastAsia" w:cs="Times New Roman"/>
      <w:kern w:val="0"/>
      <w:sz w:val="22"/>
      <w:szCs w:val="22"/>
      <w:lang w:val="en-US"/>
      <w14:ligatures w14:val="none"/>
    </w:rPr>
  </w:style>
  <w:style w:type="paragraph" w:styleId="NoSpacing">
    <w:name w:val="No Spacing"/>
    <w:uiPriority w:val="1"/>
    <w:qFormat/>
    <w:rsid w:val="001A4270"/>
    <w:pPr>
      <w:spacing w:after="0" w:line="240" w:lineRule="auto"/>
    </w:pPr>
  </w:style>
  <w:style w:type="paragraph" w:styleId="Header">
    <w:name w:val="header"/>
    <w:basedOn w:val="Normal"/>
    <w:link w:val="HeaderChar"/>
    <w:uiPriority w:val="99"/>
    <w:unhideWhenUsed/>
    <w:rsid w:val="00477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C4D"/>
  </w:style>
  <w:style w:type="paragraph" w:styleId="Footer">
    <w:name w:val="footer"/>
    <w:basedOn w:val="Normal"/>
    <w:link w:val="FooterChar"/>
    <w:uiPriority w:val="99"/>
    <w:unhideWhenUsed/>
    <w:rsid w:val="00477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C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gital.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 TargetMode="External"/><Relationship Id="rId5" Type="http://schemas.openxmlformats.org/officeDocument/2006/relationships/webSettings" Target="webSettings.xml"/><Relationship Id="rId10" Type="http://schemas.openxmlformats.org/officeDocument/2006/relationships/hyperlink" Target="https://www.gov.uk/mhra" TargetMode="External"/><Relationship Id="rId4" Type="http://schemas.openxmlformats.org/officeDocument/2006/relationships/settings" Target="settings.xml"/><Relationship Id="rId9" Type="http://schemas.openxmlformats.org/officeDocument/2006/relationships/hyperlink" Target="https://www.philips.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B9DE65-0587-46A3-B1E1-A0747C082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5835</Words>
  <Characters>33263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Xec Sikander Xeculi</dc:creator>
  <cp:keywords/>
  <dc:description/>
  <cp:lastModifiedBy>Xec Sikander Xeculi</cp:lastModifiedBy>
  <cp:revision>6</cp:revision>
  <dcterms:created xsi:type="dcterms:W3CDTF">2025-11-20T23:42:00Z</dcterms:created>
  <dcterms:modified xsi:type="dcterms:W3CDTF">2025-11-21T00:00:00Z</dcterms:modified>
</cp:coreProperties>
</file>