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6E546" w14:textId="77777777" w:rsidR="00932ABF" w:rsidRPr="00BB300A" w:rsidRDefault="00932ABF" w:rsidP="00BB300A">
      <w:pPr>
        <w:spacing w:line="360" w:lineRule="auto"/>
        <w:jc w:val="center"/>
        <w:rPr>
          <w:rFonts w:ascii="Times New Roman" w:hAnsi="Times New Roman" w:cs="Times New Roman"/>
          <w:b/>
          <w:bCs/>
          <w:sz w:val="36"/>
          <w:szCs w:val="36"/>
        </w:rPr>
      </w:pPr>
      <w:r w:rsidRPr="00BB300A">
        <w:rPr>
          <w:rFonts w:ascii="Times New Roman" w:hAnsi="Times New Roman" w:cs="Times New Roman"/>
          <w:b/>
          <w:bCs/>
          <w:sz w:val="36"/>
          <w:szCs w:val="36"/>
        </w:rPr>
        <w:t>A Critical Review of Individual Differences in Second Language Learning: Deconstructing Motivation and Pedagogical Implications</w:t>
      </w:r>
    </w:p>
    <w:p w14:paraId="13D44EF5" w14:textId="77777777" w:rsidR="00ED1F3E" w:rsidRDefault="00ED1F3E" w:rsidP="00BB300A">
      <w:pPr>
        <w:spacing w:line="360" w:lineRule="auto"/>
        <w:rPr>
          <w:b/>
          <w:bCs/>
        </w:rPr>
      </w:pPr>
    </w:p>
    <w:p w14:paraId="42D380EC" w14:textId="77777777" w:rsidR="00BB300A" w:rsidRDefault="00BB300A" w:rsidP="00BB300A">
      <w:pPr>
        <w:spacing w:line="360" w:lineRule="auto"/>
        <w:rPr>
          <w:b/>
          <w:bCs/>
        </w:rPr>
      </w:pPr>
    </w:p>
    <w:p w14:paraId="785736D6" w14:textId="77777777" w:rsidR="00BB300A" w:rsidRDefault="00BB300A" w:rsidP="00BB300A">
      <w:pPr>
        <w:spacing w:line="360" w:lineRule="auto"/>
        <w:rPr>
          <w:b/>
          <w:bCs/>
        </w:rPr>
      </w:pPr>
    </w:p>
    <w:p w14:paraId="6EF6577D" w14:textId="7F4A26C5" w:rsidR="00932ABF" w:rsidRPr="00BB300A" w:rsidRDefault="00932ABF" w:rsidP="00BB300A">
      <w:pPr>
        <w:spacing w:line="360" w:lineRule="auto"/>
        <w:rPr>
          <w:rFonts w:ascii="Times New Roman" w:hAnsi="Times New Roman" w:cs="Times New Roman"/>
          <w:b/>
          <w:bCs/>
          <w:sz w:val="30"/>
          <w:szCs w:val="30"/>
        </w:rPr>
      </w:pPr>
      <w:bookmarkStart w:id="0" w:name="OLE_LINK45"/>
      <w:bookmarkStart w:id="1" w:name="OLE_LINK35"/>
      <w:r w:rsidRPr="00BB300A">
        <w:rPr>
          <w:rFonts w:ascii="Times New Roman" w:hAnsi="Times New Roman" w:cs="Times New Roman"/>
          <w:b/>
          <w:bCs/>
          <w:sz w:val="30"/>
          <w:szCs w:val="30"/>
        </w:rPr>
        <w:t>1 Introduction</w:t>
      </w:r>
    </w:p>
    <w:p w14:paraId="7B8744EE" w14:textId="14950FDE" w:rsidR="00932ABF" w:rsidRPr="00BB300A" w:rsidRDefault="00932ABF" w:rsidP="00BB300A">
      <w:pPr>
        <w:spacing w:line="360" w:lineRule="auto"/>
        <w:ind w:firstLineChars="200" w:firstLine="560"/>
        <w:rPr>
          <w:rFonts w:ascii="Times New Roman" w:hAnsi="Times New Roman" w:cs="Times New Roman"/>
          <w:sz w:val="28"/>
          <w:szCs w:val="28"/>
        </w:rPr>
      </w:pPr>
      <w:r w:rsidRPr="00BB300A">
        <w:rPr>
          <w:rFonts w:ascii="Times New Roman" w:hAnsi="Times New Roman" w:cs="Times New Roman"/>
          <w:sz w:val="28"/>
          <w:szCs w:val="28"/>
        </w:rPr>
        <w:t xml:space="preserve">A fundamental paradox in applied linguistics and language pedagogy is the contrast between the universal success of first language acquisition and the highly heterogeneous outcomes of second language learning. As Lightbown and Spada (2000) acutely observe, all normal children, given a standard upbringing, achieve complete mastery of their native tongue. In contrast, second language learners situated within identical classroom settings frequently exhibit vastly different developmental </w:t>
      </w:r>
      <w:r w:rsidR="00ED1F3E" w:rsidRPr="00BB300A">
        <w:rPr>
          <w:rFonts w:ascii="Times New Roman" w:hAnsi="Times New Roman" w:cs="Times New Roman"/>
          <w:sz w:val="28"/>
          <w:szCs w:val="28"/>
        </w:rPr>
        <w:t>paths</w:t>
      </w:r>
      <w:r w:rsidRPr="00BB300A">
        <w:rPr>
          <w:rFonts w:ascii="Times New Roman" w:hAnsi="Times New Roman" w:cs="Times New Roman"/>
          <w:sz w:val="28"/>
          <w:szCs w:val="28"/>
        </w:rPr>
        <w:t xml:space="preserve"> and ultimate proficiency levels. While some students progress rapidly through the initial stages of acquiring a new language, others struggle incessantly, making </w:t>
      </w:r>
      <w:bookmarkStart w:id="2" w:name="OLE_LINK14"/>
      <w:r w:rsidR="00ED1F3E" w:rsidRPr="00BB300A">
        <w:rPr>
          <w:rFonts w:ascii="Times New Roman" w:hAnsi="Times New Roman" w:cs="Times New Roman" w:hint="eastAsia"/>
          <w:sz w:val="28"/>
          <w:szCs w:val="28"/>
        </w:rPr>
        <w:t>l</w:t>
      </w:r>
      <w:r w:rsidR="00ED1F3E" w:rsidRPr="00BB300A">
        <w:rPr>
          <w:rFonts w:ascii="Times New Roman" w:hAnsi="Times New Roman" w:cs="Times New Roman"/>
          <w:sz w:val="28"/>
          <w:szCs w:val="28"/>
        </w:rPr>
        <w:t xml:space="preserve">ittle </w:t>
      </w:r>
      <w:r w:rsidRPr="00BB300A">
        <w:rPr>
          <w:rFonts w:ascii="Times New Roman" w:hAnsi="Times New Roman" w:cs="Times New Roman"/>
          <w:sz w:val="28"/>
          <w:szCs w:val="28"/>
        </w:rPr>
        <w:t>progress</w:t>
      </w:r>
      <w:bookmarkEnd w:id="2"/>
      <w:r w:rsidRPr="00BB300A">
        <w:rPr>
          <w:rFonts w:ascii="Times New Roman" w:hAnsi="Times New Roman" w:cs="Times New Roman"/>
          <w:sz w:val="28"/>
          <w:szCs w:val="28"/>
        </w:rPr>
        <w:t xml:space="preserve">, and many never achieve </w:t>
      </w:r>
      <w:r w:rsidR="00ED1F3E" w:rsidRPr="00BB300A">
        <w:rPr>
          <w:rFonts w:ascii="Times New Roman" w:hAnsi="Times New Roman" w:cs="Times New Roman"/>
          <w:sz w:val="28"/>
          <w:szCs w:val="28"/>
        </w:rPr>
        <w:t>good</w:t>
      </w:r>
      <w:r w:rsidRPr="00BB300A">
        <w:rPr>
          <w:rFonts w:ascii="Times New Roman" w:hAnsi="Times New Roman" w:cs="Times New Roman"/>
          <w:sz w:val="28"/>
          <w:szCs w:val="28"/>
        </w:rPr>
        <w:t xml:space="preserve"> command of the target language. To systematically investigate this pervasive phenomenon, Lightbown and Spada critically evaluate anecdotal beliefs regarding the characteristics of the </w:t>
      </w:r>
      <w:r w:rsidR="00F175F8">
        <w:rPr>
          <w:rFonts w:ascii="Times New Roman" w:hAnsi="Times New Roman" w:cs="Times New Roman"/>
          <w:sz w:val="28"/>
          <w:szCs w:val="28"/>
        </w:rPr>
        <w:t>“</w:t>
      </w:r>
      <w:r w:rsidRPr="00BB300A">
        <w:rPr>
          <w:rFonts w:ascii="Times New Roman" w:hAnsi="Times New Roman" w:cs="Times New Roman"/>
          <w:sz w:val="28"/>
          <w:szCs w:val="28"/>
        </w:rPr>
        <w:t>good language learner</w:t>
      </w:r>
      <w:r w:rsidR="00F175F8">
        <w:rPr>
          <w:rFonts w:ascii="Times New Roman" w:hAnsi="Times New Roman" w:cs="Times New Roman"/>
          <w:sz w:val="28"/>
          <w:szCs w:val="28"/>
        </w:rPr>
        <w:t>”</w:t>
      </w:r>
      <w:r w:rsidRPr="00BB300A">
        <w:rPr>
          <w:rFonts w:ascii="Times New Roman" w:hAnsi="Times New Roman" w:cs="Times New Roman"/>
          <w:sz w:val="28"/>
          <w:szCs w:val="28"/>
        </w:rPr>
        <w:t xml:space="preserve"> against rigorous empirical research. Their comprehensive framework categorizes individual learner differences into several core domains: intelligence, aptitude, </w:t>
      </w:r>
      <w:r w:rsidR="00ED1F3E" w:rsidRPr="00BB300A">
        <w:rPr>
          <w:rFonts w:ascii="Times New Roman" w:hAnsi="Times New Roman" w:cs="Times New Roman"/>
          <w:sz w:val="28"/>
          <w:szCs w:val="28"/>
        </w:rPr>
        <w:t xml:space="preserve">aptitude, </w:t>
      </w:r>
      <w:r w:rsidRPr="00BB300A">
        <w:rPr>
          <w:rFonts w:ascii="Times New Roman" w:hAnsi="Times New Roman" w:cs="Times New Roman"/>
          <w:sz w:val="28"/>
          <w:szCs w:val="28"/>
        </w:rPr>
        <w:lastRenderedPageBreak/>
        <w:t>personality, learner preferences, learner beliefs, age of acquisition, and motivation.</w:t>
      </w:r>
    </w:p>
    <w:p w14:paraId="0F6C4C3C" w14:textId="289E00E4" w:rsidR="00932ABF" w:rsidRPr="00932ABF" w:rsidRDefault="00932ABF" w:rsidP="00BB300A">
      <w:pPr>
        <w:spacing w:line="360" w:lineRule="auto"/>
        <w:ind w:firstLineChars="200" w:firstLine="560"/>
      </w:pPr>
      <w:r w:rsidRPr="00BB300A">
        <w:rPr>
          <w:rFonts w:ascii="Times New Roman" w:hAnsi="Times New Roman" w:cs="Times New Roman"/>
          <w:sz w:val="28"/>
          <w:szCs w:val="28"/>
        </w:rPr>
        <w:t xml:space="preserve">The primary aim of this essay is to explore in detail the multifaceted factors which affect second language learning as </w:t>
      </w:r>
      <w:bookmarkStart w:id="3" w:name="OLE_LINK15"/>
      <w:r w:rsidR="00ED1F3E" w:rsidRPr="00BB300A">
        <w:rPr>
          <w:rFonts w:ascii="Times New Roman" w:hAnsi="Times New Roman" w:cs="Times New Roman"/>
          <w:sz w:val="28"/>
          <w:szCs w:val="28"/>
        </w:rPr>
        <w:t>illustrated</w:t>
      </w:r>
      <w:r w:rsidRPr="00BB300A">
        <w:rPr>
          <w:rFonts w:ascii="Times New Roman" w:hAnsi="Times New Roman" w:cs="Times New Roman"/>
          <w:sz w:val="28"/>
          <w:szCs w:val="28"/>
        </w:rPr>
        <w:t xml:space="preserve"> </w:t>
      </w:r>
      <w:bookmarkEnd w:id="3"/>
      <w:r w:rsidRPr="00BB300A">
        <w:rPr>
          <w:rFonts w:ascii="Times New Roman" w:hAnsi="Times New Roman" w:cs="Times New Roman"/>
          <w:sz w:val="28"/>
          <w:szCs w:val="28"/>
        </w:rPr>
        <w:t xml:space="preserve">by Lightbown and Spada. This </w:t>
      </w:r>
      <w:r w:rsidR="00ED1F3E" w:rsidRPr="00BB300A">
        <w:rPr>
          <w:rFonts w:ascii="Times New Roman" w:hAnsi="Times New Roman" w:cs="Times New Roman"/>
          <w:sz w:val="28"/>
          <w:szCs w:val="28"/>
        </w:rPr>
        <w:t>essay</w:t>
      </w:r>
      <w:r w:rsidRPr="00BB300A">
        <w:rPr>
          <w:rFonts w:ascii="Times New Roman" w:hAnsi="Times New Roman" w:cs="Times New Roman"/>
          <w:sz w:val="28"/>
          <w:szCs w:val="28"/>
        </w:rPr>
        <w:t xml:space="preserve"> is structurally divided into three interconnected sections. First, it presents a thorough overview of the cognitive, affective, and demographic variables considered by the authors, integrating the empirical studies they review. Second, the essay transitions into an in-depth, critical discussion of one specific element: motivation. By integrating the socio-educational perspectives of Gardner and Lambert (1972) with contemporary theories from scholars such as Colin Baker and David </w:t>
      </w:r>
      <w:bookmarkStart w:id="4" w:name="OLE_LINK36"/>
      <w:r w:rsidRPr="00BB300A">
        <w:rPr>
          <w:rFonts w:ascii="Times New Roman" w:hAnsi="Times New Roman" w:cs="Times New Roman"/>
          <w:sz w:val="28"/>
          <w:szCs w:val="28"/>
        </w:rPr>
        <w:t>Singleton</w:t>
      </w:r>
      <w:bookmarkEnd w:id="4"/>
      <w:r w:rsidRPr="00BB300A">
        <w:rPr>
          <w:rFonts w:ascii="Times New Roman" w:hAnsi="Times New Roman" w:cs="Times New Roman"/>
          <w:sz w:val="28"/>
          <w:szCs w:val="28"/>
        </w:rPr>
        <w:t>, this section will argue that motivation is not a static psychological trait, but a dynamic, socially mediated construct heavily influenced by power dynamics, identity, and pedagogical choices. Finally, the essay will articulate an overall response to the text, highlighting profound implications for contemporary English Language Teaching (ELT) and teacher education.</w:t>
      </w:r>
    </w:p>
    <w:p w14:paraId="5498A6F7" w14:textId="77777777" w:rsidR="00745B68" w:rsidRDefault="00745B68" w:rsidP="00932ABF">
      <w:pPr>
        <w:rPr>
          <w:b/>
          <w:bCs/>
        </w:rPr>
      </w:pPr>
    </w:p>
    <w:p w14:paraId="696DE055" w14:textId="77777777" w:rsidR="00BB300A" w:rsidRDefault="00BB300A" w:rsidP="00932ABF">
      <w:pPr>
        <w:rPr>
          <w:b/>
          <w:bCs/>
        </w:rPr>
      </w:pPr>
    </w:p>
    <w:p w14:paraId="59564A61" w14:textId="77777777" w:rsidR="00BB300A" w:rsidRDefault="00BB300A" w:rsidP="00932ABF">
      <w:pPr>
        <w:rPr>
          <w:b/>
          <w:bCs/>
        </w:rPr>
      </w:pPr>
    </w:p>
    <w:p w14:paraId="17024051" w14:textId="77777777" w:rsidR="00BB300A" w:rsidRDefault="00BB300A" w:rsidP="00932ABF">
      <w:pPr>
        <w:rPr>
          <w:b/>
          <w:bCs/>
        </w:rPr>
      </w:pPr>
    </w:p>
    <w:p w14:paraId="1D53A9B6" w14:textId="77777777" w:rsidR="00BB300A" w:rsidRDefault="00BB300A" w:rsidP="00932ABF">
      <w:pPr>
        <w:rPr>
          <w:b/>
          <w:bCs/>
        </w:rPr>
      </w:pPr>
    </w:p>
    <w:p w14:paraId="48B55152" w14:textId="5ABE59FD" w:rsidR="00932ABF" w:rsidRPr="00BB300A" w:rsidRDefault="00932ABF" w:rsidP="00BB300A">
      <w:pPr>
        <w:spacing w:line="360" w:lineRule="auto"/>
        <w:rPr>
          <w:rFonts w:ascii="Times New Roman" w:hAnsi="Times New Roman" w:cs="Times New Roman"/>
          <w:b/>
          <w:bCs/>
          <w:sz w:val="30"/>
          <w:szCs w:val="30"/>
        </w:rPr>
      </w:pPr>
      <w:bookmarkStart w:id="5" w:name="OLE_LINK46"/>
      <w:bookmarkStart w:id="6" w:name="OLE_LINK48"/>
      <w:r w:rsidRPr="00BB300A">
        <w:rPr>
          <w:rFonts w:ascii="Times New Roman" w:hAnsi="Times New Roman" w:cs="Times New Roman"/>
          <w:b/>
          <w:bCs/>
          <w:sz w:val="30"/>
          <w:szCs w:val="30"/>
        </w:rPr>
        <w:lastRenderedPageBreak/>
        <w:t>2 Overview of Core Factors in Second Language Learning</w:t>
      </w:r>
    </w:p>
    <w:bookmarkEnd w:id="5"/>
    <w:p w14:paraId="6EFD811E" w14:textId="1BB94070" w:rsidR="00932ABF" w:rsidRPr="00BB300A" w:rsidRDefault="00932ABF" w:rsidP="00BB300A">
      <w:pPr>
        <w:spacing w:line="360" w:lineRule="auto"/>
        <w:ind w:firstLineChars="200" w:firstLine="560"/>
        <w:rPr>
          <w:rFonts w:ascii="Times New Roman" w:hAnsi="Times New Roman" w:cs="Times New Roman"/>
          <w:sz w:val="28"/>
          <w:szCs w:val="28"/>
        </w:rPr>
      </w:pPr>
      <w:r w:rsidRPr="00BB300A">
        <w:rPr>
          <w:rFonts w:ascii="Times New Roman" w:hAnsi="Times New Roman" w:cs="Times New Roman"/>
          <w:sz w:val="28"/>
          <w:szCs w:val="28"/>
        </w:rPr>
        <w:t>Lightbown and Spada</w:t>
      </w:r>
      <w:bookmarkEnd w:id="6"/>
      <w:r w:rsidRPr="00BB300A">
        <w:rPr>
          <w:rFonts w:ascii="Times New Roman" w:hAnsi="Times New Roman" w:cs="Times New Roman"/>
          <w:sz w:val="28"/>
          <w:szCs w:val="28"/>
        </w:rPr>
        <w:t xml:space="preserve"> (2000) map a complex web of individual characteristics, beginning with cognitive factors such as intelligence and language aptitude. Intelligence, traditionally defined by performance on verbal IQ tests, has historically been linked to success in school and rule-based language learning. For instance, the authors highlight a study involving French immersion students in Canada conducted by </w:t>
      </w:r>
      <w:bookmarkStart w:id="7" w:name="OLE_LINK24"/>
      <w:r w:rsidRPr="00BB300A">
        <w:rPr>
          <w:rFonts w:ascii="Times New Roman" w:hAnsi="Times New Roman" w:cs="Times New Roman"/>
          <w:sz w:val="28"/>
          <w:szCs w:val="28"/>
        </w:rPr>
        <w:t>Genesee</w:t>
      </w:r>
      <w:bookmarkEnd w:id="7"/>
      <w:r w:rsidRPr="00BB300A">
        <w:rPr>
          <w:rFonts w:ascii="Times New Roman" w:hAnsi="Times New Roman" w:cs="Times New Roman"/>
          <w:sz w:val="28"/>
          <w:szCs w:val="28"/>
        </w:rPr>
        <w:t xml:space="preserve"> (1976</w:t>
      </w:r>
      <w:r w:rsidR="00094E01" w:rsidRPr="00BB300A">
        <w:rPr>
          <w:rFonts w:ascii="Times New Roman" w:hAnsi="Times New Roman" w:cs="Times New Roman"/>
          <w:sz w:val="28"/>
          <w:szCs w:val="28"/>
        </w:rPr>
        <w:t>, p. 278</w:t>
      </w:r>
      <w:r w:rsidRPr="00BB300A">
        <w:rPr>
          <w:rFonts w:ascii="Times New Roman" w:hAnsi="Times New Roman" w:cs="Times New Roman"/>
          <w:sz w:val="28"/>
          <w:szCs w:val="28"/>
        </w:rPr>
        <w:t xml:space="preserve">), which found that while intelligence was strongly related to the development of second language reading, grammar, and vocabulary, it was entirely unrelated to oral productive skills. This suggests that while intelligence is a </w:t>
      </w:r>
      <w:r w:rsidR="006C7060" w:rsidRPr="00BB300A">
        <w:rPr>
          <w:rFonts w:ascii="Times New Roman" w:hAnsi="Times New Roman" w:cs="Times New Roman"/>
          <w:sz w:val="28"/>
          <w:szCs w:val="28"/>
        </w:rPr>
        <w:t xml:space="preserve">useful </w:t>
      </w:r>
      <w:r w:rsidRPr="00BB300A">
        <w:rPr>
          <w:rFonts w:ascii="Times New Roman" w:hAnsi="Times New Roman" w:cs="Times New Roman"/>
          <w:sz w:val="28"/>
          <w:szCs w:val="28"/>
        </w:rPr>
        <w:t>predictor for tasks requiring metalinguistic analysis, it plays a considerably less important role in communicative and interactive classroom settings.</w:t>
      </w:r>
    </w:p>
    <w:p w14:paraId="0E4F3CEF" w14:textId="14DE302C" w:rsidR="00932ABF" w:rsidRPr="00BB300A" w:rsidRDefault="00932ABF" w:rsidP="00BB300A">
      <w:pPr>
        <w:spacing w:line="360" w:lineRule="auto"/>
        <w:ind w:firstLineChars="200" w:firstLine="560"/>
        <w:rPr>
          <w:rFonts w:ascii="Times New Roman" w:hAnsi="Times New Roman" w:cs="Times New Roman"/>
          <w:sz w:val="28"/>
          <w:szCs w:val="28"/>
        </w:rPr>
      </w:pPr>
      <w:r w:rsidRPr="00BB300A">
        <w:rPr>
          <w:rFonts w:ascii="Times New Roman" w:hAnsi="Times New Roman" w:cs="Times New Roman"/>
          <w:sz w:val="28"/>
          <w:szCs w:val="28"/>
        </w:rPr>
        <w:t xml:space="preserve">Similarly, language aptitude was once viewed as a rigid, predictive measure of learning efficiency. The Modern Language Aptitude Test (MLAT) and the </w:t>
      </w:r>
      <w:proofErr w:type="spellStart"/>
      <w:r w:rsidRPr="00BB300A">
        <w:rPr>
          <w:rFonts w:ascii="Times New Roman" w:hAnsi="Times New Roman" w:cs="Times New Roman"/>
          <w:sz w:val="28"/>
          <w:szCs w:val="28"/>
        </w:rPr>
        <w:t>Pimsleur</w:t>
      </w:r>
      <w:proofErr w:type="spellEnd"/>
      <w:r w:rsidRPr="00BB300A">
        <w:rPr>
          <w:rFonts w:ascii="Times New Roman" w:hAnsi="Times New Roman" w:cs="Times New Roman"/>
          <w:sz w:val="28"/>
          <w:szCs w:val="28"/>
        </w:rPr>
        <w:t xml:space="preserve"> Language Aptitude Battery (PLAB) measure specific abilities, including the capacity to identify and memorize new sounds, understand the function of words in sentences, and figure out grammatical rules from language samples. However, as language teaching shifted towards communicative approaches, the relevance of </w:t>
      </w:r>
      <w:r w:rsidR="003546C6" w:rsidRPr="00BB300A">
        <w:rPr>
          <w:rFonts w:ascii="Times New Roman" w:hAnsi="Times New Roman" w:cs="Times New Roman"/>
          <w:sz w:val="28"/>
          <w:szCs w:val="28"/>
        </w:rPr>
        <w:t>language</w:t>
      </w:r>
      <w:r w:rsidRPr="00BB300A">
        <w:rPr>
          <w:rFonts w:ascii="Times New Roman" w:hAnsi="Times New Roman" w:cs="Times New Roman"/>
          <w:sz w:val="28"/>
          <w:szCs w:val="28"/>
        </w:rPr>
        <w:t xml:space="preserve"> aptitude was questioned.</w:t>
      </w:r>
      <w:bookmarkStart w:id="8" w:name="OLE_LINK38"/>
      <w:r w:rsidRPr="00BB300A">
        <w:rPr>
          <w:rFonts w:ascii="Times New Roman" w:hAnsi="Times New Roman" w:cs="Times New Roman"/>
          <w:sz w:val="28"/>
          <w:szCs w:val="28"/>
        </w:rPr>
        <w:t xml:space="preserve"> </w:t>
      </w:r>
      <w:bookmarkStart w:id="9" w:name="OLE_LINK20"/>
      <w:r w:rsidRPr="00BB300A">
        <w:rPr>
          <w:rFonts w:ascii="Times New Roman" w:hAnsi="Times New Roman" w:cs="Times New Roman"/>
          <w:sz w:val="28"/>
          <w:szCs w:val="28"/>
        </w:rPr>
        <w:t xml:space="preserve">Lightbown and Spada </w:t>
      </w:r>
      <w:r w:rsidR="003546C6" w:rsidRPr="00BB300A">
        <w:rPr>
          <w:rFonts w:ascii="Times New Roman" w:hAnsi="Times New Roman" w:cs="Times New Roman"/>
          <w:sz w:val="28"/>
          <w:szCs w:val="28"/>
        </w:rPr>
        <w:t xml:space="preserve">refute this rejection </w:t>
      </w:r>
      <w:r w:rsidRPr="00BB300A">
        <w:rPr>
          <w:rFonts w:ascii="Times New Roman" w:hAnsi="Times New Roman" w:cs="Times New Roman"/>
          <w:sz w:val="28"/>
          <w:szCs w:val="28"/>
        </w:rPr>
        <w:t xml:space="preserve">by referencing </w:t>
      </w:r>
      <w:bookmarkStart w:id="10" w:name="OLE_LINK17"/>
      <w:bookmarkStart w:id="11" w:name="OLE_LINK18"/>
      <w:r w:rsidRPr="00BB300A">
        <w:rPr>
          <w:rFonts w:ascii="Times New Roman" w:hAnsi="Times New Roman" w:cs="Times New Roman"/>
          <w:sz w:val="28"/>
          <w:szCs w:val="28"/>
        </w:rPr>
        <w:t xml:space="preserve">Marjorie </w:t>
      </w:r>
      <w:bookmarkStart w:id="12" w:name="OLE_LINK19"/>
      <w:bookmarkEnd w:id="10"/>
      <w:r w:rsidRPr="00BB300A">
        <w:rPr>
          <w:rFonts w:ascii="Times New Roman" w:hAnsi="Times New Roman" w:cs="Times New Roman"/>
          <w:sz w:val="28"/>
          <w:szCs w:val="28"/>
        </w:rPr>
        <w:t>Wesche</w:t>
      </w:r>
      <w:bookmarkEnd w:id="12"/>
      <w:r w:rsidRPr="00BB300A">
        <w:rPr>
          <w:rFonts w:ascii="Times New Roman" w:hAnsi="Times New Roman" w:cs="Times New Roman"/>
          <w:sz w:val="28"/>
          <w:szCs w:val="28"/>
        </w:rPr>
        <w:t>’s (1981</w:t>
      </w:r>
      <w:r w:rsidR="00D16054" w:rsidRPr="00BB300A">
        <w:rPr>
          <w:rFonts w:ascii="Times New Roman" w:hAnsi="Times New Roman" w:cs="Times New Roman"/>
          <w:sz w:val="28"/>
          <w:szCs w:val="28"/>
        </w:rPr>
        <w:t>, p. 32</w:t>
      </w:r>
      <w:r w:rsidRPr="00BB300A">
        <w:rPr>
          <w:rFonts w:ascii="Times New Roman" w:hAnsi="Times New Roman" w:cs="Times New Roman"/>
          <w:sz w:val="28"/>
          <w:szCs w:val="28"/>
        </w:rPr>
        <w:t xml:space="preserve">) study in a Canadian language </w:t>
      </w:r>
      <w:r w:rsidRPr="00BB300A">
        <w:rPr>
          <w:rFonts w:ascii="Times New Roman" w:hAnsi="Times New Roman" w:cs="Times New Roman"/>
          <w:sz w:val="28"/>
          <w:szCs w:val="28"/>
        </w:rPr>
        <w:lastRenderedPageBreak/>
        <w:t>program</w:t>
      </w:r>
      <w:bookmarkEnd w:id="11"/>
      <w:r w:rsidRPr="00BB300A">
        <w:rPr>
          <w:rFonts w:ascii="Times New Roman" w:hAnsi="Times New Roman" w:cs="Times New Roman"/>
          <w:sz w:val="28"/>
          <w:szCs w:val="28"/>
        </w:rPr>
        <w:t>.</w:t>
      </w:r>
      <w:bookmarkEnd w:id="8"/>
      <w:r w:rsidRPr="00BB300A">
        <w:rPr>
          <w:rFonts w:ascii="Times New Roman" w:hAnsi="Times New Roman" w:cs="Times New Roman"/>
          <w:sz w:val="28"/>
          <w:szCs w:val="28"/>
        </w:rPr>
        <w:t xml:space="preserve"> </w:t>
      </w:r>
      <w:bookmarkStart w:id="13" w:name="OLE_LINK25"/>
      <w:r w:rsidRPr="00BB300A">
        <w:rPr>
          <w:rFonts w:ascii="Times New Roman" w:hAnsi="Times New Roman" w:cs="Times New Roman"/>
          <w:sz w:val="28"/>
          <w:szCs w:val="28"/>
        </w:rPr>
        <w:t>Wesche</w:t>
      </w:r>
      <w:bookmarkEnd w:id="13"/>
      <w:r w:rsidRPr="00BB300A">
        <w:rPr>
          <w:rFonts w:ascii="Times New Roman" w:hAnsi="Times New Roman" w:cs="Times New Roman"/>
          <w:sz w:val="28"/>
          <w:szCs w:val="28"/>
        </w:rPr>
        <w:t xml:space="preserve"> matched adult learners of French to instructional programs compatible with their specific aptitude profiles. Students with high analytic ability but average memory were assigned to grammar-focused classes, while those with strong memory but average analytic skills were placed in functional, situation-based classes.</w:t>
      </w:r>
      <w:bookmarkEnd w:id="9"/>
      <w:r w:rsidRPr="00BB300A">
        <w:rPr>
          <w:rFonts w:ascii="Times New Roman" w:hAnsi="Times New Roman" w:cs="Times New Roman"/>
          <w:sz w:val="28"/>
          <w:szCs w:val="28"/>
        </w:rPr>
        <w:t xml:space="preserve"> The matched students exhibited significantly higher levels of achievement and satisfaction, demonstrating that aptitude remains highly relevant when pedagogical methods accommodate diverse cognitive profiles.</w:t>
      </w:r>
    </w:p>
    <w:p w14:paraId="10E158FF" w14:textId="36A869A4" w:rsidR="00932ABF" w:rsidRPr="00BB300A" w:rsidRDefault="00932ABF" w:rsidP="00BB300A">
      <w:pPr>
        <w:spacing w:line="360" w:lineRule="auto"/>
        <w:ind w:firstLineChars="200" w:firstLine="560"/>
        <w:rPr>
          <w:rFonts w:ascii="Times New Roman" w:hAnsi="Times New Roman" w:cs="Times New Roman"/>
          <w:sz w:val="28"/>
          <w:szCs w:val="28"/>
        </w:rPr>
      </w:pPr>
      <w:r w:rsidRPr="00BB300A">
        <w:rPr>
          <w:rFonts w:ascii="Times New Roman" w:hAnsi="Times New Roman" w:cs="Times New Roman"/>
          <w:sz w:val="28"/>
          <w:szCs w:val="28"/>
        </w:rPr>
        <w:t xml:space="preserve">Personality and learner preferences further complicate the second language learning landscape. While teachers often assume that extroverted, uninhibited learners naturally excel, empirical research yields contradictory results. Extroversion correlates more consistently with the acquisition of conversational skills rather than grammatical accuracy or literacy. Conversely, inhibition is frequently cited as a negative </w:t>
      </w:r>
      <w:r w:rsidR="003546C6" w:rsidRPr="00BB300A">
        <w:rPr>
          <w:rFonts w:ascii="Times New Roman" w:hAnsi="Times New Roman" w:cs="Times New Roman"/>
          <w:sz w:val="28"/>
          <w:szCs w:val="28"/>
        </w:rPr>
        <w:t>factor</w:t>
      </w:r>
      <w:r w:rsidRPr="00BB300A">
        <w:rPr>
          <w:rFonts w:ascii="Times New Roman" w:hAnsi="Times New Roman" w:cs="Times New Roman"/>
          <w:sz w:val="28"/>
          <w:szCs w:val="28"/>
        </w:rPr>
        <w:t xml:space="preserve">, particularly for self-conscious adolescents. Alexander </w:t>
      </w:r>
      <w:bookmarkStart w:id="14" w:name="OLE_LINK26"/>
      <w:proofErr w:type="spellStart"/>
      <w:r w:rsidRPr="00BB300A">
        <w:rPr>
          <w:rFonts w:ascii="Times New Roman" w:hAnsi="Times New Roman" w:cs="Times New Roman"/>
          <w:sz w:val="28"/>
          <w:szCs w:val="28"/>
        </w:rPr>
        <w:t>Guiora</w:t>
      </w:r>
      <w:bookmarkEnd w:id="14"/>
      <w:proofErr w:type="spellEnd"/>
      <w:r w:rsidRPr="00BB300A">
        <w:rPr>
          <w:rFonts w:ascii="Times New Roman" w:hAnsi="Times New Roman" w:cs="Times New Roman"/>
          <w:sz w:val="28"/>
          <w:szCs w:val="28"/>
        </w:rPr>
        <w:t xml:space="preserve"> and his colleagues (1972</w:t>
      </w:r>
      <w:r w:rsidR="00140CFC" w:rsidRPr="00BB300A">
        <w:rPr>
          <w:rFonts w:ascii="Times New Roman" w:hAnsi="Times New Roman" w:cs="Times New Roman"/>
          <w:sz w:val="28"/>
          <w:szCs w:val="28"/>
        </w:rPr>
        <w:t>, p. 426</w:t>
      </w:r>
      <w:r w:rsidRPr="00BB300A">
        <w:rPr>
          <w:rFonts w:ascii="Times New Roman" w:hAnsi="Times New Roman" w:cs="Times New Roman"/>
          <w:sz w:val="28"/>
          <w:szCs w:val="28"/>
        </w:rPr>
        <w:t xml:space="preserve">) explored this by analyzing the effects of small doses of alcohol on pronunciation, finding that reduced inhibition temporarily improved pronunciation test scores, though larger doses caused rapid deterioration. </w:t>
      </w:r>
      <w:bookmarkStart w:id="15" w:name="OLE_LINK21"/>
      <w:r w:rsidRPr="00BB300A">
        <w:rPr>
          <w:rFonts w:ascii="Times New Roman" w:hAnsi="Times New Roman" w:cs="Times New Roman"/>
          <w:sz w:val="28"/>
          <w:szCs w:val="28"/>
        </w:rPr>
        <w:t>Concurrently, perceptual learning styles (visual, aural, kinesthetic) and cognitive styles (field independence versus field dependence) shape how learners process information (</w:t>
      </w:r>
      <w:bookmarkStart w:id="16" w:name="OLE_LINK22"/>
      <w:r w:rsidRPr="00BB300A">
        <w:rPr>
          <w:rFonts w:ascii="Times New Roman" w:hAnsi="Times New Roman" w:cs="Times New Roman"/>
          <w:sz w:val="28"/>
          <w:szCs w:val="28"/>
        </w:rPr>
        <w:t>Reid</w:t>
      </w:r>
      <w:bookmarkEnd w:id="16"/>
      <w:r w:rsidRPr="00BB300A">
        <w:rPr>
          <w:rFonts w:ascii="Times New Roman" w:hAnsi="Times New Roman" w:cs="Times New Roman"/>
          <w:sz w:val="28"/>
          <w:szCs w:val="28"/>
        </w:rPr>
        <w:t>, 1995</w:t>
      </w:r>
      <w:r w:rsidR="00427F80" w:rsidRPr="00BB300A">
        <w:rPr>
          <w:rFonts w:ascii="Times New Roman" w:hAnsi="Times New Roman" w:cs="Times New Roman" w:hint="eastAsia"/>
          <w:sz w:val="28"/>
          <w:szCs w:val="28"/>
        </w:rPr>
        <w:t>,</w:t>
      </w:r>
      <w:r w:rsidR="00427F80" w:rsidRPr="00BB300A">
        <w:rPr>
          <w:rFonts w:ascii="Times New Roman" w:hAnsi="Times New Roman" w:cs="Times New Roman"/>
          <w:sz w:val="28"/>
          <w:szCs w:val="28"/>
        </w:rPr>
        <w:t xml:space="preserve"> </w:t>
      </w:r>
      <w:r w:rsidR="003546C6" w:rsidRPr="00BB300A">
        <w:rPr>
          <w:rFonts w:ascii="Times New Roman" w:hAnsi="Times New Roman" w:cs="Times New Roman"/>
          <w:sz w:val="28"/>
          <w:szCs w:val="28"/>
        </w:rPr>
        <w:t xml:space="preserve">p. </w:t>
      </w:r>
      <w:r w:rsidR="000341A7" w:rsidRPr="00BB300A">
        <w:rPr>
          <w:rFonts w:ascii="Times New Roman" w:hAnsi="Times New Roman" w:cs="Times New Roman" w:hint="eastAsia"/>
          <w:sz w:val="28"/>
          <w:szCs w:val="28"/>
        </w:rPr>
        <w:t>8</w:t>
      </w:r>
      <w:r w:rsidRPr="00BB300A">
        <w:rPr>
          <w:rFonts w:ascii="Times New Roman" w:hAnsi="Times New Roman" w:cs="Times New Roman"/>
          <w:sz w:val="28"/>
          <w:szCs w:val="28"/>
        </w:rPr>
        <w:t>).</w:t>
      </w:r>
      <w:bookmarkEnd w:id="15"/>
      <w:r w:rsidRPr="00BB300A">
        <w:rPr>
          <w:rFonts w:ascii="Times New Roman" w:hAnsi="Times New Roman" w:cs="Times New Roman"/>
          <w:sz w:val="28"/>
          <w:szCs w:val="28"/>
        </w:rPr>
        <w:t xml:space="preserve"> More critically, learners harbor strong beliefs about how instruction should </w:t>
      </w:r>
      <w:r w:rsidRPr="00BB300A">
        <w:rPr>
          <w:rFonts w:ascii="Times New Roman" w:hAnsi="Times New Roman" w:cs="Times New Roman"/>
          <w:sz w:val="28"/>
          <w:szCs w:val="28"/>
        </w:rPr>
        <w:lastRenderedPageBreak/>
        <w:t>be delivered.</w:t>
      </w:r>
      <w:bookmarkStart w:id="17" w:name="OLE_LINK32"/>
      <w:bookmarkStart w:id="18" w:name="OLE_LINK2"/>
      <w:r w:rsidRPr="00BB300A">
        <w:rPr>
          <w:rFonts w:ascii="Times New Roman" w:hAnsi="Times New Roman" w:cs="Times New Roman"/>
          <w:sz w:val="28"/>
          <w:szCs w:val="28"/>
        </w:rPr>
        <w:t xml:space="preserve"> </w:t>
      </w:r>
      <w:bookmarkStart w:id="19" w:name="OLE_LINK1"/>
      <w:r w:rsidRPr="00BB300A">
        <w:rPr>
          <w:rFonts w:ascii="Times New Roman" w:hAnsi="Times New Roman" w:cs="Times New Roman"/>
          <w:sz w:val="28"/>
          <w:szCs w:val="28"/>
        </w:rPr>
        <w:t xml:space="preserve">Carlos </w:t>
      </w:r>
      <w:bookmarkStart w:id="20" w:name="OLE_LINK27"/>
      <w:bookmarkStart w:id="21" w:name="_Hlk225013718"/>
      <w:r w:rsidRPr="00BB300A">
        <w:rPr>
          <w:rFonts w:ascii="Times New Roman" w:hAnsi="Times New Roman" w:cs="Times New Roman"/>
          <w:sz w:val="28"/>
          <w:szCs w:val="28"/>
        </w:rPr>
        <w:t>Yorio</w:t>
      </w:r>
      <w:bookmarkEnd w:id="20"/>
      <w:r w:rsidRPr="00BB300A">
        <w:rPr>
          <w:rFonts w:ascii="Times New Roman" w:hAnsi="Times New Roman" w:cs="Times New Roman"/>
          <w:sz w:val="28"/>
          <w:szCs w:val="28"/>
        </w:rPr>
        <w:t xml:space="preserve"> </w:t>
      </w:r>
      <w:bookmarkEnd w:id="21"/>
      <w:r w:rsidRPr="00BB300A">
        <w:rPr>
          <w:rFonts w:ascii="Times New Roman" w:hAnsi="Times New Roman" w:cs="Times New Roman"/>
          <w:sz w:val="28"/>
          <w:szCs w:val="28"/>
        </w:rPr>
        <w:t>(1986</w:t>
      </w:r>
      <w:r w:rsidR="008323E8" w:rsidRPr="00BB300A">
        <w:rPr>
          <w:rFonts w:ascii="Times New Roman" w:hAnsi="Times New Roman" w:cs="Times New Roman"/>
          <w:sz w:val="28"/>
          <w:szCs w:val="28"/>
        </w:rPr>
        <w:t>, p.</w:t>
      </w:r>
      <w:r w:rsidR="003546C6" w:rsidRPr="00BB300A">
        <w:rPr>
          <w:rFonts w:ascii="Times New Roman" w:hAnsi="Times New Roman" w:cs="Times New Roman"/>
          <w:sz w:val="28"/>
          <w:szCs w:val="28"/>
        </w:rPr>
        <w:t xml:space="preserve"> </w:t>
      </w:r>
      <w:r w:rsidR="008323E8" w:rsidRPr="00BB300A">
        <w:rPr>
          <w:rFonts w:ascii="Times New Roman" w:hAnsi="Times New Roman" w:cs="Times New Roman"/>
          <w:sz w:val="28"/>
          <w:szCs w:val="28"/>
        </w:rPr>
        <w:t>673</w:t>
      </w:r>
      <w:r w:rsidRPr="00BB300A">
        <w:rPr>
          <w:rFonts w:ascii="Times New Roman" w:hAnsi="Times New Roman" w:cs="Times New Roman"/>
          <w:sz w:val="28"/>
          <w:szCs w:val="28"/>
        </w:rPr>
        <w:t>) surveyed international ESL students in a highly communicative program and discovered high levels of dissatisfaction because the instruction lacked attention to language form, corrective feedback, and teacher-centered guidance. When instructional methodologies clash with learner beliefs, students may feel their progress is negatively affected, heightening anxiety and reducing engagement.</w:t>
      </w:r>
      <w:bookmarkEnd w:id="17"/>
    </w:p>
    <w:bookmarkEnd w:id="18"/>
    <w:bookmarkEnd w:id="19"/>
    <w:p w14:paraId="301FDCA5" w14:textId="39F32BD6" w:rsidR="00932ABF" w:rsidRDefault="00932ABF" w:rsidP="00BB300A">
      <w:pPr>
        <w:spacing w:line="360" w:lineRule="auto"/>
        <w:ind w:firstLineChars="200" w:firstLine="560"/>
        <w:rPr>
          <w:rFonts w:ascii="Times New Roman" w:hAnsi="Times New Roman" w:cs="Times New Roman"/>
          <w:sz w:val="28"/>
          <w:szCs w:val="28"/>
        </w:rPr>
      </w:pPr>
      <w:r w:rsidRPr="00BB300A">
        <w:rPr>
          <w:rFonts w:ascii="Times New Roman" w:hAnsi="Times New Roman" w:cs="Times New Roman"/>
          <w:sz w:val="28"/>
          <w:szCs w:val="28"/>
        </w:rPr>
        <w:t xml:space="preserve">Finally, the age of acquisition remains one of the most vigorously debated variables, heavily centered on the Critical Period Hypothesis (CPH). The CPH suggests a biologically determined window during which the brain is predisposed for successful language learning. Mark </w:t>
      </w:r>
      <w:proofErr w:type="spellStart"/>
      <w:r w:rsidRPr="00BB300A">
        <w:rPr>
          <w:rFonts w:ascii="Times New Roman" w:hAnsi="Times New Roman" w:cs="Times New Roman"/>
          <w:sz w:val="28"/>
          <w:szCs w:val="28"/>
        </w:rPr>
        <w:t>Patkowski</w:t>
      </w:r>
      <w:proofErr w:type="spellEnd"/>
      <w:r w:rsidRPr="00BB300A">
        <w:rPr>
          <w:rFonts w:ascii="Times New Roman" w:hAnsi="Times New Roman" w:cs="Times New Roman"/>
          <w:sz w:val="28"/>
          <w:szCs w:val="28"/>
        </w:rPr>
        <w:t xml:space="preserve"> (1980</w:t>
      </w:r>
      <w:r w:rsidR="003C2726" w:rsidRPr="00BB300A">
        <w:rPr>
          <w:rFonts w:ascii="Times New Roman" w:hAnsi="Times New Roman" w:cs="Times New Roman"/>
          <w:sz w:val="28"/>
          <w:szCs w:val="28"/>
        </w:rPr>
        <w:t xml:space="preserve">, p. </w:t>
      </w:r>
      <w:r w:rsidR="00127409" w:rsidRPr="00BB300A">
        <w:rPr>
          <w:rFonts w:ascii="Times New Roman" w:hAnsi="Times New Roman" w:cs="Times New Roman" w:hint="eastAsia"/>
          <w:sz w:val="28"/>
          <w:szCs w:val="28"/>
        </w:rPr>
        <w:t>454</w:t>
      </w:r>
      <w:r w:rsidRPr="00BB300A">
        <w:rPr>
          <w:rFonts w:ascii="Times New Roman" w:hAnsi="Times New Roman" w:cs="Times New Roman"/>
          <w:sz w:val="28"/>
          <w:szCs w:val="28"/>
        </w:rPr>
        <w:t xml:space="preserve">) tested this by examining the spoken English of highly educated immigrants to the United States. Utilizing trained native-speaker judges to rate transcribed interviews, </w:t>
      </w:r>
      <w:proofErr w:type="spellStart"/>
      <w:r w:rsidRPr="00BB300A">
        <w:rPr>
          <w:rFonts w:ascii="Times New Roman" w:hAnsi="Times New Roman" w:cs="Times New Roman"/>
          <w:sz w:val="28"/>
          <w:szCs w:val="28"/>
        </w:rPr>
        <w:t>Patkowski</w:t>
      </w:r>
      <w:proofErr w:type="spellEnd"/>
      <w:r w:rsidRPr="00BB300A">
        <w:rPr>
          <w:rFonts w:ascii="Times New Roman" w:hAnsi="Times New Roman" w:cs="Times New Roman"/>
          <w:sz w:val="28"/>
          <w:szCs w:val="28"/>
        </w:rPr>
        <w:t xml:space="preserve"> found that thirty-two out of thirty-three subjects who began learning English before puberty achieved full, native-like mastery (a score of 4</w:t>
      </w:r>
      <w:r w:rsidR="000341A7" w:rsidRPr="00BB300A">
        <w:rPr>
          <w:rFonts w:ascii="Times New Roman" w:hAnsi="Times New Roman" w:cs="Times New Roman" w:hint="eastAsia"/>
          <w:sz w:val="28"/>
          <w:szCs w:val="28"/>
        </w:rPr>
        <w:t>+</w:t>
      </w:r>
      <w:r w:rsidRPr="00BB300A">
        <w:rPr>
          <w:rFonts w:ascii="Times New Roman" w:hAnsi="Times New Roman" w:cs="Times New Roman"/>
          <w:sz w:val="28"/>
          <w:szCs w:val="28"/>
        </w:rPr>
        <w:t xml:space="preserve"> or 5), regardless of their length of residence or amount of formal instruction. Jacqueline </w:t>
      </w:r>
      <w:bookmarkStart w:id="22" w:name="OLE_LINK5"/>
      <w:r w:rsidRPr="00BB300A">
        <w:rPr>
          <w:rFonts w:ascii="Times New Roman" w:hAnsi="Times New Roman" w:cs="Times New Roman"/>
          <w:sz w:val="28"/>
          <w:szCs w:val="28"/>
        </w:rPr>
        <w:t>Johnson</w:t>
      </w:r>
      <w:bookmarkEnd w:id="22"/>
      <w:r w:rsidRPr="00BB300A">
        <w:rPr>
          <w:rFonts w:ascii="Times New Roman" w:hAnsi="Times New Roman" w:cs="Times New Roman"/>
          <w:sz w:val="28"/>
          <w:szCs w:val="28"/>
        </w:rPr>
        <w:t xml:space="preserve"> and Elissa </w:t>
      </w:r>
      <w:bookmarkStart w:id="23" w:name="OLE_LINK28"/>
      <w:r w:rsidRPr="00BB300A">
        <w:rPr>
          <w:rFonts w:ascii="Times New Roman" w:hAnsi="Times New Roman" w:cs="Times New Roman"/>
          <w:sz w:val="28"/>
          <w:szCs w:val="28"/>
        </w:rPr>
        <w:t>Newport</w:t>
      </w:r>
      <w:bookmarkEnd w:id="23"/>
      <w:r w:rsidRPr="00BB300A">
        <w:rPr>
          <w:rFonts w:ascii="Times New Roman" w:hAnsi="Times New Roman" w:cs="Times New Roman"/>
          <w:sz w:val="28"/>
          <w:szCs w:val="28"/>
        </w:rPr>
        <w:t xml:space="preserve"> (1989</w:t>
      </w:r>
      <w:r w:rsidR="00127409" w:rsidRPr="00BB300A">
        <w:rPr>
          <w:rFonts w:ascii="Times New Roman" w:hAnsi="Times New Roman" w:cs="Times New Roman"/>
          <w:sz w:val="28"/>
          <w:szCs w:val="28"/>
        </w:rPr>
        <w:t>, p. 60</w:t>
      </w:r>
      <w:r w:rsidRPr="00BB300A">
        <w:rPr>
          <w:rFonts w:ascii="Times New Roman" w:hAnsi="Times New Roman" w:cs="Times New Roman"/>
          <w:sz w:val="28"/>
          <w:szCs w:val="28"/>
        </w:rPr>
        <w:t xml:space="preserve">) supported this with a study on Chinese and Korean speakers, proving that age of arrival was a significant predictor of success in judging the grammaticality of English sentences. However, the assertion that </w:t>
      </w:r>
      <w:r w:rsidR="00BB300A">
        <w:rPr>
          <w:rFonts w:ascii="Times New Roman" w:hAnsi="Times New Roman" w:cs="Times New Roman"/>
          <w:sz w:val="28"/>
          <w:szCs w:val="28"/>
        </w:rPr>
        <w:t>“</w:t>
      </w:r>
      <w:r w:rsidRPr="00BB300A">
        <w:rPr>
          <w:rFonts w:ascii="Times New Roman" w:hAnsi="Times New Roman" w:cs="Times New Roman"/>
          <w:sz w:val="28"/>
          <w:szCs w:val="28"/>
        </w:rPr>
        <w:t>younger is always better</w:t>
      </w:r>
      <w:r w:rsidR="00BB300A">
        <w:rPr>
          <w:rFonts w:ascii="Times New Roman" w:hAnsi="Times New Roman" w:cs="Times New Roman"/>
          <w:sz w:val="28"/>
          <w:szCs w:val="28"/>
        </w:rPr>
        <w:t>”</w:t>
      </w:r>
      <w:r w:rsidRPr="00BB300A">
        <w:rPr>
          <w:rFonts w:ascii="Times New Roman" w:hAnsi="Times New Roman" w:cs="Times New Roman"/>
          <w:sz w:val="28"/>
          <w:szCs w:val="28"/>
        </w:rPr>
        <w:t xml:space="preserve"> is heavily contextual. Catherine Snow and Marian </w:t>
      </w:r>
      <w:bookmarkStart w:id="24" w:name="OLE_LINK6"/>
      <w:proofErr w:type="spellStart"/>
      <w:r w:rsidRPr="00BB300A">
        <w:rPr>
          <w:rFonts w:ascii="Times New Roman" w:hAnsi="Times New Roman" w:cs="Times New Roman"/>
          <w:sz w:val="28"/>
          <w:szCs w:val="28"/>
        </w:rPr>
        <w:t>Hoefnagel</w:t>
      </w:r>
      <w:proofErr w:type="spellEnd"/>
      <w:r w:rsidRPr="00BB300A">
        <w:rPr>
          <w:rFonts w:ascii="Times New Roman" w:hAnsi="Times New Roman" w:cs="Times New Roman"/>
          <w:sz w:val="28"/>
          <w:szCs w:val="28"/>
        </w:rPr>
        <w:t>-</w:t>
      </w:r>
      <w:bookmarkStart w:id="25" w:name="OLE_LINK29"/>
      <w:r w:rsidRPr="00BB300A">
        <w:rPr>
          <w:rFonts w:ascii="Times New Roman" w:hAnsi="Times New Roman" w:cs="Times New Roman"/>
          <w:sz w:val="28"/>
          <w:szCs w:val="28"/>
        </w:rPr>
        <w:t>Hohle</w:t>
      </w:r>
      <w:bookmarkEnd w:id="25"/>
      <w:r w:rsidRPr="00BB300A">
        <w:rPr>
          <w:rFonts w:ascii="Times New Roman" w:hAnsi="Times New Roman" w:cs="Times New Roman"/>
          <w:sz w:val="28"/>
          <w:szCs w:val="28"/>
        </w:rPr>
        <w:t xml:space="preserve"> (1978</w:t>
      </w:r>
      <w:r w:rsidR="00717117" w:rsidRPr="00BB300A">
        <w:rPr>
          <w:rFonts w:ascii="Times New Roman" w:hAnsi="Times New Roman" w:cs="Times New Roman"/>
          <w:sz w:val="28"/>
          <w:szCs w:val="28"/>
        </w:rPr>
        <w:t>, p. 1124</w:t>
      </w:r>
      <w:r w:rsidRPr="00BB300A">
        <w:rPr>
          <w:rFonts w:ascii="Times New Roman" w:hAnsi="Times New Roman" w:cs="Times New Roman"/>
          <w:sz w:val="28"/>
          <w:szCs w:val="28"/>
        </w:rPr>
        <w:t>) studied English speakers learning Dutch and discovered that adolescen</w:t>
      </w:r>
      <w:bookmarkEnd w:id="24"/>
      <w:r w:rsidRPr="00BB300A">
        <w:rPr>
          <w:rFonts w:ascii="Times New Roman" w:hAnsi="Times New Roman" w:cs="Times New Roman"/>
          <w:sz w:val="28"/>
          <w:szCs w:val="28"/>
        </w:rPr>
        <w:t xml:space="preserve">ts and adults </w:t>
      </w:r>
      <w:r w:rsidRPr="00BB300A">
        <w:rPr>
          <w:rFonts w:ascii="Times New Roman" w:hAnsi="Times New Roman" w:cs="Times New Roman"/>
          <w:sz w:val="28"/>
          <w:szCs w:val="28"/>
        </w:rPr>
        <w:lastRenderedPageBreak/>
        <w:t>actually learned faster than children in the first few months of exposure, outperforming them on tests of morphology, sentence repetition, and translation. Thus, as Lightbown and Spada conclude, while early immersion is essential for achieving native-like mastery, older learners depend on mature cognitive abilities that make them highly efficient learners in formal classroom settings with limited exposure.</w:t>
      </w:r>
      <w:r w:rsidR="005A392E" w:rsidRPr="00BB300A">
        <w:rPr>
          <w:rFonts w:ascii="Times New Roman" w:hAnsi="Times New Roman" w:cs="Times New Roman"/>
          <w:sz w:val="28"/>
          <w:szCs w:val="28"/>
        </w:rPr>
        <w:t xml:space="preserve"> This aligns with Singleton (2001, p. </w:t>
      </w:r>
      <w:r w:rsidR="006F77AC" w:rsidRPr="00BB300A">
        <w:rPr>
          <w:rFonts w:ascii="Times New Roman" w:hAnsi="Times New Roman" w:cs="Times New Roman"/>
          <w:sz w:val="28"/>
          <w:szCs w:val="28"/>
        </w:rPr>
        <w:t>78</w:t>
      </w:r>
      <w:r w:rsidR="005A392E" w:rsidRPr="00BB300A">
        <w:rPr>
          <w:rFonts w:ascii="Times New Roman" w:hAnsi="Times New Roman" w:cs="Times New Roman"/>
          <w:sz w:val="28"/>
          <w:szCs w:val="28"/>
        </w:rPr>
        <w:t xml:space="preserve">), </w:t>
      </w:r>
      <w:bookmarkStart w:id="26" w:name="OLE_LINK40"/>
      <w:r w:rsidR="005A392E" w:rsidRPr="00BB300A">
        <w:rPr>
          <w:rFonts w:ascii="Times New Roman" w:hAnsi="Times New Roman" w:cs="Times New Roman"/>
          <w:sz w:val="28"/>
          <w:szCs w:val="28"/>
        </w:rPr>
        <w:t xml:space="preserve">who emphasizes that the advantages of an early start are frequently </w:t>
      </w:r>
      <w:bookmarkStart w:id="27" w:name="OLE_LINK39"/>
      <w:r w:rsidR="00A95128" w:rsidRPr="00BB300A">
        <w:rPr>
          <w:rFonts w:ascii="Times New Roman" w:hAnsi="Times New Roman" w:cs="Times New Roman"/>
          <w:sz w:val="28"/>
          <w:szCs w:val="28"/>
        </w:rPr>
        <w:t>undermined</w:t>
      </w:r>
      <w:r w:rsidR="005A392E" w:rsidRPr="00BB300A">
        <w:rPr>
          <w:rFonts w:ascii="Times New Roman" w:hAnsi="Times New Roman" w:cs="Times New Roman"/>
          <w:sz w:val="28"/>
          <w:szCs w:val="28"/>
        </w:rPr>
        <w:t xml:space="preserve"> </w:t>
      </w:r>
      <w:bookmarkEnd w:id="27"/>
      <w:r w:rsidR="005A392E" w:rsidRPr="00BB300A">
        <w:rPr>
          <w:rFonts w:ascii="Times New Roman" w:hAnsi="Times New Roman" w:cs="Times New Roman"/>
          <w:sz w:val="28"/>
          <w:szCs w:val="28"/>
        </w:rPr>
        <w:t>in formal classroom settings lacking massive, naturalistic second language exposure.</w:t>
      </w:r>
      <w:bookmarkEnd w:id="26"/>
    </w:p>
    <w:p w14:paraId="509DEF19" w14:textId="77777777" w:rsidR="00BB300A" w:rsidRDefault="00BB300A" w:rsidP="00BB300A">
      <w:pPr>
        <w:spacing w:line="360" w:lineRule="auto"/>
        <w:rPr>
          <w:rFonts w:ascii="Times New Roman" w:hAnsi="Times New Roman" w:cs="Times New Roman"/>
          <w:sz w:val="28"/>
          <w:szCs w:val="28"/>
        </w:rPr>
      </w:pPr>
    </w:p>
    <w:p w14:paraId="3F26C93F" w14:textId="77777777" w:rsidR="00BB300A" w:rsidRDefault="00BB300A" w:rsidP="00BB300A">
      <w:pPr>
        <w:spacing w:line="360" w:lineRule="auto"/>
        <w:rPr>
          <w:rFonts w:ascii="Times New Roman" w:hAnsi="Times New Roman" w:cs="Times New Roman"/>
          <w:sz w:val="28"/>
          <w:szCs w:val="28"/>
        </w:rPr>
      </w:pPr>
    </w:p>
    <w:p w14:paraId="6D16E6C5" w14:textId="77777777" w:rsidR="00BB300A" w:rsidRPr="00BB300A" w:rsidRDefault="00BB300A" w:rsidP="00BB300A">
      <w:pPr>
        <w:spacing w:line="360" w:lineRule="auto"/>
        <w:rPr>
          <w:rFonts w:ascii="Times New Roman" w:hAnsi="Times New Roman" w:cs="Times New Roman"/>
          <w:sz w:val="28"/>
          <w:szCs w:val="28"/>
        </w:rPr>
      </w:pPr>
    </w:p>
    <w:p w14:paraId="51606DA6" w14:textId="4C194F92" w:rsidR="00932ABF" w:rsidRPr="00BB300A" w:rsidRDefault="00932ABF" w:rsidP="00BB300A">
      <w:pPr>
        <w:spacing w:line="360" w:lineRule="auto"/>
        <w:rPr>
          <w:rFonts w:ascii="Times New Roman" w:hAnsi="Times New Roman" w:cs="Times New Roman"/>
          <w:b/>
          <w:bCs/>
          <w:sz w:val="30"/>
          <w:szCs w:val="30"/>
        </w:rPr>
      </w:pPr>
      <w:bookmarkStart w:id="28" w:name="OLE_LINK50"/>
      <w:r w:rsidRPr="00BB300A">
        <w:rPr>
          <w:rFonts w:ascii="Times New Roman" w:hAnsi="Times New Roman" w:cs="Times New Roman"/>
          <w:b/>
          <w:bCs/>
          <w:sz w:val="30"/>
          <w:szCs w:val="30"/>
        </w:rPr>
        <w:t>3 In-Depth Critical Discussion: Motivation in SLL</w:t>
      </w:r>
    </w:p>
    <w:bookmarkEnd w:id="28"/>
    <w:p w14:paraId="7B5B4C9F" w14:textId="4B5C62F3" w:rsidR="00932ABF" w:rsidRPr="00BB300A" w:rsidRDefault="00932ABF" w:rsidP="00BB300A">
      <w:pPr>
        <w:spacing w:line="360" w:lineRule="auto"/>
        <w:ind w:firstLineChars="200" w:firstLine="560"/>
        <w:rPr>
          <w:rFonts w:ascii="Times New Roman" w:hAnsi="Times New Roman" w:cs="Times New Roman"/>
          <w:sz w:val="28"/>
          <w:szCs w:val="28"/>
        </w:rPr>
      </w:pPr>
      <w:r w:rsidRPr="00BB300A">
        <w:rPr>
          <w:rFonts w:ascii="Times New Roman" w:hAnsi="Times New Roman" w:cs="Times New Roman"/>
          <w:sz w:val="28"/>
          <w:szCs w:val="28"/>
        </w:rPr>
        <w:t xml:space="preserve">Among </w:t>
      </w:r>
      <w:r w:rsidR="00A95128" w:rsidRPr="00BB300A">
        <w:rPr>
          <w:rFonts w:ascii="Times New Roman" w:hAnsi="Times New Roman" w:cs="Times New Roman" w:hint="eastAsia"/>
          <w:sz w:val="28"/>
          <w:szCs w:val="28"/>
        </w:rPr>
        <w:t>m</w:t>
      </w:r>
      <w:r w:rsidR="00A95128" w:rsidRPr="00BB300A">
        <w:rPr>
          <w:rFonts w:ascii="Times New Roman" w:hAnsi="Times New Roman" w:cs="Times New Roman"/>
          <w:sz w:val="28"/>
          <w:szCs w:val="28"/>
        </w:rPr>
        <w:t xml:space="preserve">any </w:t>
      </w:r>
      <w:r w:rsidRPr="00BB300A">
        <w:rPr>
          <w:rFonts w:ascii="Times New Roman" w:hAnsi="Times New Roman" w:cs="Times New Roman"/>
          <w:sz w:val="28"/>
          <w:szCs w:val="28"/>
        </w:rPr>
        <w:t xml:space="preserve">individual variables evaluated, motivation emerges as arguably the most critical, multifaceted </w:t>
      </w:r>
      <w:r w:rsidR="00A95128" w:rsidRPr="00BB300A">
        <w:rPr>
          <w:rFonts w:ascii="Times New Roman" w:hAnsi="Times New Roman" w:cs="Times New Roman"/>
          <w:sz w:val="28"/>
          <w:szCs w:val="28"/>
        </w:rPr>
        <w:t>factor</w:t>
      </w:r>
      <w:r w:rsidRPr="00BB300A">
        <w:rPr>
          <w:rFonts w:ascii="Times New Roman" w:hAnsi="Times New Roman" w:cs="Times New Roman"/>
          <w:sz w:val="28"/>
          <w:szCs w:val="28"/>
        </w:rPr>
        <w:t xml:space="preserve"> of second language learning success. Lightbown and Spada (2000) conceptualize motivation through two primary lenses: learners</w:t>
      </w:r>
      <w:r w:rsidR="00BB300A">
        <w:rPr>
          <w:rFonts w:ascii="Times New Roman" w:hAnsi="Times New Roman" w:cs="Times New Roman"/>
          <w:sz w:val="28"/>
          <w:szCs w:val="28"/>
        </w:rPr>
        <w:t>’</w:t>
      </w:r>
      <w:r w:rsidRPr="00BB300A">
        <w:rPr>
          <w:rFonts w:ascii="Times New Roman" w:hAnsi="Times New Roman" w:cs="Times New Roman"/>
          <w:sz w:val="28"/>
          <w:szCs w:val="28"/>
        </w:rPr>
        <w:t xml:space="preserve"> communicative needs and their attitudes towards the second language community. This foundational framework draws heavily on </w:t>
      </w:r>
      <w:bookmarkStart w:id="29" w:name="OLE_LINK8"/>
      <w:r w:rsidRPr="00BB300A">
        <w:rPr>
          <w:rFonts w:ascii="Times New Roman" w:hAnsi="Times New Roman" w:cs="Times New Roman"/>
          <w:sz w:val="28"/>
          <w:szCs w:val="28"/>
        </w:rPr>
        <w:t xml:space="preserve">Robert </w:t>
      </w:r>
      <w:bookmarkStart w:id="30" w:name="OLE_LINK9"/>
      <w:bookmarkStart w:id="31" w:name="OLE_LINK7"/>
      <w:r w:rsidRPr="00BB300A">
        <w:rPr>
          <w:rFonts w:ascii="Times New Roman" w:hAnsi="Times New Roman" w:cs="Times New Roman"/>
          <w:sz w:val="28"/>
          <w:szCs w:val="28"/>
        </w:rPr>
        <w:t>Gardner</w:t>
      </w:r>
      <w:bookmarkEnd w:id="30"/>
      <w:r w:rsidRPr="00BB300A">
        <w:rPr>
          <w:rFonts w:ascii="Times New Roman" w:hAnsi="Times New Roman" w:cs="Times New Roman"/>
          <w:sz w:val="28"/>
          <w:szCs w:val="28"/>
        </w:rPr>
        <w:t xml:space="preserve"> </w:t>
      </w:r>
      <w:bookmarkEnd w:id="31"/>
      <w:r w:rsidRPr="00BB300A">
        <w:rPr>
          <w:rFonts w:ascii="Times New Roman" w:hAnsi="Times New Roman" w:cs="Times New Roman"/>
          <w:sz w:val="28"/>
          <w:szCs w:val="28"/>
        </w:rPr>
        <w:t>and Wallace Lambert’s (1972</w:t>
      </w:r>
      <w:r w:rsidR="00731767" w:rsidRPr="00BB300A">
        <w:rPr>
          <w:rFonts w:ascii="Times New Roman" w:hAnsi="Times New Roman" w:cs="Times New Roman"/>
          <w:sz w:val="28"/>
          <w:szCs w:val="28"/>
        </w:rPr>
        <w:t>, pp.3, 132</w:t>
      </w:r>
      <w:r w:rsidRPr="00BB300A">
        <w:rPr>
          <w:rFonts w:ascii="Times New Roman" w:hAnsi="Times New Roman" w:cs="Times New Roman"/>
          <w:sz w:val="28"/>
          <w:szCs w:val="28"/>
        </w:rPr>
        <w:t xml:space="preserve">) seminal socio-educational model, which introduced the binary of integrative and instrumental motivation. Instrumental motivation refers to language learning driven by immediate or practical goals, such as fulfilling </w:t>
      </w:r>
      <w:r w:rsidRPr="00BB300A">
        <w:rPr>
          <w:rFonts w:ascii="Times New Roman" w:hAnsi="Times New Roman" w:cs="Times New Roman"/>
          <w:sz w:val="28"/>
          <w:szCs w:val="28"/>
        </w:rPr>
        <w:lastRenderedPageBreak/>
        <w:t>professional ambitions or passing an examination. Integrative motivation, conversely, involves language learning for personal growth, cultural enrichment, and a genuine desire to have contact with or affiliate with the speakers of the target language.</w:t>
      </w:r>
      <w:bookmarkEnd w:id="29"/>
      <w:r w:rsidRPr="00BB300A">
        <w:rPr>
          <w:rFonts w:ascii="Times New Roman" w:hAnsi="Times New Roman" w:cs="Times New Roman"/>
          <w:sz w:val="28"/>
          <w:szCs w:val="28"/>
        </w:rPr>
        <w:t xml:space="preserve"> Research has consistently demonstrated that positive attitudes and high levels of both types of motivation are strongly related to successful second language acquisition.</w:t>
      </w:r>
      <w:r w:rsidR="005A392E" w:rsidRPr="00BB300A">
        <w:rPr>
          <w:rFonts w:ascii="Times New Roman" w:hAnsi="Times New Roman" w:cs="Times New Roman"/>
          <w:sz w:val="28"/>
          <w:szCs w:val="28"/>
        </w:rPr>
        <w:t xml:space="preserve"> Furthermore, Dörnyei (2009, p. 29) reconceptualizes this dynamic through the </w:t>
      </w:r>
      <w:r w:rsidR="00BB300A">
        <w:rPr>
          <w:rFonts w:ascii="Times New Roman" w:hAnsi="Times New Roman" w:cs="Times New Roman"/>
          <w:sz w:val="28"/>
          <w:szCs w:val="28"/>
        </w:rPr>
        <w:t>“</w:t>
      </w:r>
      <w:r w:rsidR="005A392E" w:rsidRPr="00BB300A">
        <w:rPr>
          <w:rFonts w:ascii="Times New Roman" w:hAnsi="Times New Roman" w:cs="Times New Roman"/>
          <w:sz w:val="28"/>
          <w:szCs w:val="28"/>
        </w:rPr>
        <w:t>L2 Motivational Self System,</w:t>
      </w:r>
      <w:r w:rsidR="00BB300A">
        <w:rPr>
          <w:rFonts w:ascii="Times New Roman" w:hAnsi="Times New Roman" w:cs="Times New Roman"/>
          <w:sz w:val="28"/>
          <w:szCs w:val="28"/>
        </w:rPr>
        <w:t>”</w:t>
      </w:r>
      <w:r w:rsidR="005A392E" w:rsidRPr="00BB300A">
        <w:rPr>
          <w:rFonts w:ascii="Times New Roman" w:hAnsi="Times New Roman" w:cs="Times New Roman"/>
          <w:sz w:val="28"/>
          <w:szCs w:val="28"/>
        </w:rPr>
        <w:t xml:space="preserve"> arguing that learners are driven by the desire to bridge the gap between their current state and their </w:t>
      </w:r>
      <w:r w:rsidR="00F175F8">
        <w:rPr>
          <w:rFonts w:ascii="Times New Roman" w:hAnsi="Times New Roman" w:cs="Times New Roman"/>
          <w:sz w:val="28"/>
          <w:szCs w:val="28"/>
        </w:rPr>
        <w:t>“</w:t>
      </w:r>
      <w:r w:rsidR="005A392E" w:rsidRPr="00BB300A">
        <w:rPr>
          <w:rFonts w:ascii="Times New Roman" w:hAnsi="Times New Roman" w:cs="Times New Roman"/>
          <w:sz w:val="28"/>
          <w:szCs w:val="28"/>
        </w:rPr>
        <w:t>Ideal L2 Self,</w:t>
      </w:r>
      <w:r w:rsidR="00F175F8">
        <w:rPr>
          <w:rFonts w:ascii="Times New Roman" w:hAnsi="Times New Roman" w:cs="Times New Roman"/>
          <w:sz w:val="28"/>
          <w:szCs w:val="28"/>
        </w:rPr>
        <w:t>”</w:t>
      </w:r>
      <w:r w:rsidR="005A392E" w:rsidRPr="00BB300A">
        <w:rPr>
          <w:rFonts w:ascii="Times New Roman" w:hAnsi="Times New Roman" w:cs="Times New Roman"/>
          <w:sz w:val="28"/>
          <w:szCs w:val="28"/>
        </w:rPr>
        <w:t xml:space="preserve"> thus transcending traditional integrative motives.</w:t>
      </w:r>
    </w:p>
    <w:p w14:paraId="78976F5D" w14:textId="01047D03" w:rsidR="00932ABF" w:rsidRPr="00BB300A" w:rsidRDefault="00932ABF" w:rsidP="00BB300A">
      <w:pPr>
        <w:spacing w:line="360" w:lineRule="auto"/>
        <w:ind w:firstLineChars="200" w:firstLine="560"/>
        <w:rPr>
          <w:rFonts w:ascii="Times New Roman" w:hAnsi="Times New Roman" w:cs="Times New Roman"/>
          <w:sz w:val="28"/>
          <w:szCs w:val="28"/>
        </w:rPr>
      </w:pPr>
      <w:r w:rsidRPr="00BB300A">
        <w:rPr>
          <w:rFonts w:ascii="Times New Roman" w:hAnsi="Times New Roman" w:cs="Times New Roman"/>
          <w:sz w:val="28"/>
          <w:szCs w:val="28"/>
        </w:rPr>
        <w:t xml:space="preserve">However, a critical analysis of motivation requires addressing the causal ambiguity inherent in correlation studies. As Peter </w:t>
      </w:r>
      <w:bookmarkStart w:id="32" w:name="OLE_LINK11"/>
      <w:r w:rsidRPr="00BB300A">
        <w:rPr>
          <w:rFonts w:ascii="Times New Roman" w:hAnsi="Times New Roman" w:cs="Times New Roman"/>
          <w:sz w:val="28"/>
          <w:szCs w:val="28"/>
        </w:rPr>
        <w:t xml:space="preserve">Skehan </w:t>
      </w:r>
      <w:bookmarkEnd w:id="32"/>
      <w:r w:rsidRPr="00BB300A">
        <w:rPr>
          <w:rFonts w:ascii="Times New Roman" w:hAnsi="Times New Roman" w:cs="Times New Roman"/>
          <w:sz w:val="28"/>
          <w:szCs w:val="28"/>
        </w:rPr>
        <w:t>(19</w:t>
      </w:r>
      <w:r w:rsidR="00A94D1C" w:rsidRPr="00BB300A">
        <w:rPr>
          <w:rFonts w:ascii="Times New Roman" w:hAnsi="Times New Roman" w:cs="Times New Roman"/>
          <w:sz w:val="28"/>
          <w:szCs w:val="28"/>
        </w:rPr>
        <w:t>91, p. 283</w:t>
      </w:r>
      <w:r w:rsidRPr="00BB300A">
        <w:rPr>
          <w:rFonts w:ascii="Times New Roman" w:hAnsi="Times New Roman" w:cs="Times New Roman"/>
          <w:sz w:val="28"/>
          <w:szCs w:val="28"/>
        </w:rPr>
        <w:t>) questions, are learners more highly motivated because they are successful, or are they successful because they are highly motivated? Lightbown and Spada acknowledge this limitation, noting that early success may heighten motivation, or both could be the product of a favorable learning context. Furthermore, a deeper sociolinguistic critique is necessary when evaluating learner attitudes. The authors observe that an individual</w:t>
      </w:r>
      <w:r w:rsidR="00BB300A">
        <w:rPr>
          <w:rFonts w:ascii="Times New Roman" w:hAnsi="Times New Roman" w:cs="Times New Roman"/>
          <w:sz w:val="28"/>
          <w:szCs w:val="28"/>
        </w:rPr>
        <w:t>’</w:t>
      </w:r>
      <w:r w:rsidRPr="00BB300A">
        <w:rPr>
          <w:rFonts w:ascii="Times New Roman" w:hAnsi="Times New Roman" w:cs="Times New Roman"/>
          <w:sz w:val="28"/>
          <w:szCs w:val="28"/>
        </w:rPr>
        <w:t xml:space="preserve">s identity is intimately linked with the way they speak; thus, adopting a new language involves adopting the identity markers of another cultural group. For minority learners facing systemic external pressures, learning the language of a majority group can be a source of resentment </w:t>
      </w:r>
      <w:r w:rsidRPr="00BB300A">
        <w:rPr>
          <w:rFonts w:ascii="Times New Roman" w:hAnsi="Times New Roman" w:cs="Times New Roman"/>
          <w:sz w:val="28"/>
          <w:szCs w:val="28"/>
        </w:rPr>
        <w:lastRenderedPageBreak/>
        <w:t>rather than enrichment, heavily suppressing internal motivation.</w:t>
      </w:r>
    </w:p>
    <w:p w14:paraId="64982983" w14:textId="50273796" w:rsidR="00932ABF" w:rsidRPr="00BB300A" w:rsidRDefault="00932ABF" w:rsidP="00BB300A">
      <w:pPr>
        <w:spacing w:line="360" w:lineRule="auto"/>
        <w:ind w:firstLineChars="200" w:firstLine="560"/>
        <w:rPr>
          <w:rFonts w:ascii="Times New Roman" w:hAnsi="Times New Roman" w:cs="Times New Roman"/>
          <w:sz w:val="28"/>
          <w:szCs w:val="28"/>
        </w:rPr>
      </w:pPr>
      <w:r w:rsidRPr="00BB300A">
        <w:rPr>
          <w:rFonts w:ascii="Times New Roman" w:hAnsi="Times New Roman" w:cs="Times New Roman"/>
          <w:sz w:val="28"/>
          <w:szCs w:val="28"/>
        </w:rPr>
        <w:t xml:space="preserve">Drawing upon the broader literature of bilingualism, particularly the extensive work of Colin Baker, we can further </w:t>
      </w:r>
      <w:r w:rsidR="00A95128" w:rsidRPr="00BB300A">
        <w:rPr>
          <w:rFonts w:ascii="Times New Roman" w:hAnsi="Times New Roman" w:cs="Times New Roman"/>
          <w:sz w:val="28"/>
          <w:szCs w:val="28"/>
        </w:rPr>
        <w:t>discuss</w:t>
      </w:r>
      <w:r w:rsidRPr="00BB300A">
        <w:rPr>
          <w:rFonts w:ascii="Times New Roman" w:hAnsi="Times New Roman" w:cs="Times New Roman"/>
          <w:sz w:val="28"/>
          <w:szCs w:val="28"/>
        </w:rPr>
        <w:t xml:space="preserve"> the intersection of motivation, power, and identity. Baker</w:t>
      </w:r>
      <w:r w:rsidR="006C77E0" w:rsidRPr="00BB300A">
        <w:rPr>
          <w:rFonts w:ascii="Times New Roman" w:hAnsi="Times New Roman" w:cs="Times New Roman"/>
          <w:sz w:val="28"/>
          <w:szCs w:val="28"/>
        </w:rPr>
        <w:t xml:space="preserve"> (2014, p. 73)</w:t>
      </w:r>
      <w:r w:rsidRPr="00BB300A">
        <w:rPr>
          <w:rFonts w:ascii="Times New Roman" w:hAnsi="Times New Roman" w:cs="Times New Roman"/>
          <w:sz w:val="28"/>
          <w:szCs w:val="28"/>
        </w:rPr>
        <w:t xml:space="preserve"> advocates that bilingualism should not be viewed through a fractional, deficit-based lens, but as a holistic communicative competence. When educators enforce rigid monolingual norms</w:t>
      </w:r>
      <w:r w:rsidR="00DE7D8C" w:rsidRPr="00BB300A">
        <w:rPr>
          <w:rFonts w:ascii="Times New Roman" w:hAnsi="Times New Roman" w:cs="Times New Roman"/>
          <w:sz w:val="28"/>
          <w:szCs w:val="28"/>
        </w:rPr>
        <w:t xml:space="preserve"> and </w:t>
      </w:r>
      <w:r w:rsidRPr="00BB300A">
        <w:rPr>
          <w:rFonts w:ascii="Times New Roman" w:hAnsi="Times New Roman" w:cs="Times New Roman"/>
          <w:sz w:val="28"/>
          <w:szCs w:val="28"/>
        </w:rPr>
        <w:t>ban the use of the first language in the classroom</w:t>
      </w:r>
      <w:r w:rsidR="00A95128" w:rsidRPr="00BB300A">
        <w:rPr>
          <w:rFonts w:ascii="Times New Roman" w:hAnsi="Times New Roman" w:cs="Times New Roman"/>
          <w:sz w:val="28"/>
          <w:szCs w:val="28"/>
        </w:rPr>
        <w:t xml:space="preserve">, </w:t>
      </w:r>
      <w:r w:rsidRPr="00BB300A">
        <w:rPr>
          <w:rFonts w:ascii="Times New Roman" w:hAnsi="Times New Roman" w:cs="Times New Roman"/>
          <w:sz w:val="28"/>
          <w:szCs w:val="28"/>
        </w:rPr>
        <w:t xml:space="preserve">they not only deprive students of vital cognitive scaffolding but also devalue their cultural identities. Motivation </w:t>
      </w:r>
      <w:r w:rsidR="006C77E0" w:rsidRPr="00BB300A">
        <w:rPr>
          <w:rFonts w:ascii="Times New Roman" w:hAnsi="Times New Roman" w:cs="Times New Roman"/>
          <w:sz w:val="28"/>
          <w:szCs w:val="28"/>
        </w:rPr>
        <w:t>descends</w:t>
      </w:r>
      <w:r w:rsidRPr="00BB300A">
        <w:rPr>
          <w:rFonts w:ascii="Times New Roman" w:hAnsi="Times New Roman" w:cs="Times New Roman"/>
          <w:sz w:val="28"/>
          <w:szCs w:val="28"/>
        </w:rPr>
        <w:t xml:space="preserve"> when a student's linguistic heritage is marginalized. Therefore, fostering high motivation requires an environment that validates the learner’s unified linguistic repertoire, allowing for translanguaging practices that bridge the gap between their primary identity and their developing second language self</w:t>
      </w:r>
      <w:r w:rsidR="00680F0A" w:rsidRPr="00BB300A">
        <w:rPr>
          <w:rFonts w:ascii="Times New Roman" w:hAnsi="Times New Roman" w:cs="Times New Roman"/>
          <w:sz w:val="28"/>
          <w:szCs w:val="28"/>
        </w:rPr>
        <w:t xml:space="preserve"> (Baker, 2014, p. 206)</w:t>
      </w:r>
      <w:r w:rsidRPr="00BB300A">
        <w:rPr>
          <w:rFonts w:ascii="Times New Roman" w:hAnsi="Times New Roman" w:cs="Times New Roman"/>
          <w:sz w:val="28"/>
          <w:szCs w:val="28"/>
        </w:rPr>
        <w:t>.</w:t>
      </w:r>
    </w:p>
    <w:p w14:paraId="3C7D61A1" w14:textId="5995BEB2" w:rsidR="00932ABF" w:rsidRDefault="00932ABF" w:rsidP="00BB300A">
      <w:pPr>
        <w:spacing w:line="360" w:lineRule="auto"/>
        <w:ind w:firstLineChars="200" w:firstLine="560"/>
        <w:rPr>
          <w:rFonts w:ascii="Times New Roman" w:hAnsi="Times New Roman" w:cs="Times New Roman"/>
          <w:sz w:val="28"/>
          <w:szCs w:val="28"/>
        </w:rPr>
      </w:pPr>
      <w:r w:rsidRPr="00BB300A">
        <w:rPr>
          <w:rFonts w:ascii="Times New Roman" w:hAnsi="Times New Roman" w:cs="Times New Roman"/>
          <w:sz w:val="28"/>
          <w:szCs w:val="28"/>
        </w:rPr>
        <w:t>Fortunately, Lightbown and Spada effectively transition from macro-level psychological and societal theories to micro-level classroom realities. By referencing Graham Crookes and Richard Schmidt (19</w:t>
      </w:r>
      <w:r w:rsidR="00E63698" w:rsidRPr="00BB300A">
        <w:rPr>
          <w:rFonts w:ascii="Times New Roman" w:hAnsi="Times New Roman" w:cs="Times New Roman" w:hint="eastAsia"/>
          <w:sz w:val="28"/>
          <w:szCs w:val="28"/>
        </w:rPr>
        <w:t>89</w:t>
      </w:r>
      <w:r w:rsidRPr="00BB300A">
        <w:rPr>
          <w:rFonts w:ascii="Times New Roman" w:hAnsi="Times New Roman" w:cs="Times New Roman"/>
          <w:sz w:val="28"/>
          <w:szCs w:val="28"/>
        </w:rPr>
        <w:t xml:space="preserve">), they emphasize that pedagogical practices directly interact with student motivation. Teachers </w:t>
      </w:r>
      <w:r w:rsidR="00DE7D8C" w:rsidRPr="00BB300A">
        <w:rPr>
          <w:rFonts w:ascii="Times New Roman" w:hAnsi="Times New Roman" w:cs="Times New Roman"/>
          <w:sz w:val="28"/>
          <w:szCs w:val="28"/>
        </w:rPr>
        <w:t>can</w:t>
      </w:r>
      <w:r w:rsidRPr="00BB300A">
        <w:rPr>
          <w:rFonts w:ascii="Times New Roman" w:hAnsi="Times New Roman" w:cs="Times New Roman"/>
          <w:sz w:val="28"/>
          <w:szCs w:val="28"/>
        </w:rPr>
        <w:t xml:space="preserve"> influence motivation by making classrooms supportive and non-threatening, setting clear and manageable goals, and utilizing cooperative rather than purely competitive learning activities</w:t>
      </w:r>
      <w:r w:rsidR="00D10353" w:rsidRPr="00BB300A">
        <w:rPr>
          <w:rFonts w:ascii="Times New Roman" w:hAnsi="Times New Roman" w:cs="Times New Roman"/>
          <w:sz w:val="28"/>
          <w:szCs w:val="28"/>
        </w:rPr>
        <w:t xml:space="preserve"> (Crookes and Schmidt, 1989, pp. 234-237)</w:t>
      </w:r>
      <w:r w:rsidRPr="00BB300A">
        <w:rPr>
          <w:rFonts w:ascii="Times New Roman" w:hAnsi="Times New Roman" w:cs="Times New Roman"/>
          <w:sz w:val="28"/>
          <w:szCs w:val="28"/>
        </w:rPr>
        <w:t xml:space="preserve">. Cooperative tasks elevate the </w:t>
      </w:r>
      <w:r w:rsidRPr="00BB300A">
        <w:rPr>
          <w:rFonts w:ascii="Times New Roman" w:hAnsi="Times New Roman" w:cs="Times New Roman"/>
          <w:sz w:val="28"/>
          <w:szCs w:val="28"/>
        </w:rPr>
        <w:lastRenderedPageBreak/>
        <w:t xml:space="preserve">self-confidence of weaker students by ensuring every participant has a vital role, thereby leveraging peer dependency to boost engagement. In this light, I agree with the authors’ implicit premise: motivation is not a static, intrinsic deficit that students either possess or lack, but a dynamic, co-constructed reality that is actively shaped by the teacher’s methodological choices and the </w:t>
      </w:r>
      <w:r w:rsidR="007D0230" w:rsidRPr="00BB300A">
        <w:rPr>
          <w:rFonts w:ascii="Times New Roman" w:hAnsi="Times New Roman" w:cs="Times New Roman"/>
          <w:sz w:val="28"/>
          <w:szCs w:val="28"/>
        </w:rPr>
        <w:t>holistic</w:t>
      </w:r>
      <w:r w:rsidRPr="00BB300A">
        <w:rPr>
          <w:rFonts w:ascii="Times New Roman" w:hAnsi="Times New Roman" w:cs="Times New Roman"/>
          <w:sz w:val="28"/>
          <w:szCs w:val="28"/>
        </w:rPr>
        <w:t xml:space="preserve"> classroom ecology</w:t>
      </w:r>
      <w:r w:rsidR="00D10353" w:rsidRPr="00BB300A">
        <w:rPr>
          <w:rFonts w:ascii="Times New Roman" w:hAnsi="Times New Roman" w:cs="Times New Roman"/>
          <w:sz w:val="28"/>
          <w:szCs w:val="28"/>
        </w:rPr>
        <w:t xml:space="preserve"> (Crookes and Schmidt, 1989, p. 237)</w:t>
      </w:r>
      <w:r w:rsidRPr="00BB300A">
        <w:rPr>
          <w:rFonts w:ascii="Times New Roman" w:hAnsi="Times New Roman" w:cs="Times New Roman"/>
          <w:sz w:val="28"/>
          <w:szCs w:val="28"/>
        </w:rPr>
        <w:t>.</w:t>
      </w:r>
    </w:p>
    <w:p w14:paraId="75B2871A" w14:textId="77777777" w:rsidR="00BB300A" w:rsidRDefault="00BB300A" w:rsidP="00BB300A">
      <w:pPr>
        <w:spacing w:line="360" w:lineRule="auto"/>
        <w:rPr>
          <w:rFonts w:ascii="Times New Roman" w:hAnsi="Times New Roman" w:cs="Times New Roman"/>
          <w:sz w:val="28"/>
          <w:szCs w:val="28"/>
        </w:rPr>
      </w:pPr>
    </w:p>
    <w:p w14:paraId="6240607F" w14:textId="77777777" w:rsidR="00BB300A" w:rsidRDefault="00BB300A" w:rsidP="00BB300A">
      <w:pPr>
        <w:spacing w:line="360" w:lineRule="auto"/>
        <w:rPr>
          <w:rFonts w:ascii="Times New Roman" w:hAnsi="Times New Roman" w:cs="Times New Roman"/>
          <w:sz w:val="28"/>
          <w:szCs w:val="28"/>
        </w:rPr>
      </w:pPr>
    </w:p>
    <w:p w14:paraId="01A8CB2C" w14:textId="77777777" w:rsidR="00BB300A" w:rsidRPr="00BB300A" w:rsidRDefault="00BB300A" w:rsidP="00BB300A">
      <w:pPr>
        <w:spacing w:line="360" w:lineRule="auto"/>
        <w:rPr>
          <w:rFonts w:ascii="Times New Roman" w:hAnsi="Times New Roman" w:cs="Times New Roman"/>
          <w:sz w:val="28"/>
          <w:szCs w:val="28"/>
        </w:rPr>
      </w:pPr>
    </w:p>
    <w:p w14:paraId="31172B91" w14:textId="60C18D07" w:rsidR="00932ABF" w:rsidRPr="00BB300A" w:rsidRDefault="00932ABF" w:rsidP="00BB300A">
      <w:pPr>
        <w:spacing w:line="360" w:lineRule="auto"/>
        <w:rPr>
          <w:rFonts w:ascii="Times New Roman" w:hAnsi="Times New Roman" w:cs="Times New Roman"/>
          <w:b/>
          <w:bCs/>
          <w:sz w:val="30"/>
          <w:szCs w:val="30"/>
        </w:rPr>
      </w:pPr>
      <w:bookmarkStart w:id="33" w:name="OLE_LINK52"/>
      <w:r w:rsidRPr="00BB300A">
        <w:rPr>
          <w:rFonts w:ascii="Times New Roman" w:hAnsi="Times New Roman" w:cs="Times New Roman"/>
          <w:b/>
          <w:bCs/>
          <w:sz w:val="30"/>
          <w:szCs w:val="30"/>
        </w:rPr>
        <w:t>4 Overall Response to the Text and Implications for TESOL</w:t>
      </w:r>
    </w:p>
    <w:bookmarkEnd w:id="33"/>
    <w:p w14:paraId="60EF177D" w14:textId="3D133EF3" w:rsidR="00932ABF" w:rsidRPr="00BB300A" w:rsidRDefault="00D10353" w:rsidP="00BB300A">
      <w:pPr>
        <w:spacing w:line="360" w:lineRule="auto"/>
        <w:ind w:firstLineChars="200" w:firstLine="560"/>
        <w:rPr>
          <w:rFonts w:ascii="Times New Roman" w:hAnsi="Times New Roman" w:cs="Times New Roman"/>
          <w:sz w:val="28"/>
          <w:szCs w:val="28"/>
        </w:rPr>
      </w:pPr>
      <w:r w:rsidRPr="00BB300A">
        <w:rPr>
          <w:rFonts w:ascii="Times New Roman" w:hAnsi="Times New Roman" w:cs="Times New Roman"/>
          <w:sz w:val="28"/>
          <w:szCs w:val="28"/>
        </w:rPr>
        <w:t xml:space="preserve">On the whole, I find Lightbown and Spada’s (2000) chapter very useful and convincing. </w:t>
      </w:r>
      <w:r w:rsidR="00932ABF" w:rsidRPr="00BB300A">
        <w:rPr>
          <w:rFonts w:ascii="Times New Roman" w:hAnsi="Times New Roman" w:cs="Times New Roman"/>
          <w:sz w:val="28"/>
          <w:szCs w:val="28"/>
        </w:rPr>
        <w:t xml:space="preserve">The strength of this text lies in its rigorous </w:t>
      </w:r>
      <w:r w:rsidR="007D0230" w:rsidRPr="00BB300A">
        <w:rPr>
          <w:rFonts w:ascii="Times New Roman" w:hAnsi="Times New Roman" w:cs="Times New Roman"/>
          <w:sz w:val="28"/>
          <w:szCs w:val="28"/>
        </w:rPr>
        <w:t xml:space="preserve">objection to </w:t>
      </w:r>
      <w:bookmarkStart w:id="34" w:name="OLE_LINK30"/>
      <w:r w:rsidR="00932ABF" w:rsidRPr="00BB300A">
        <w:rPr>
          <w:rFonts w:ascii="Times New Roman" w:hAnsi="Times New Roman" w:cs="Times New Roman"/>
          <w:sz w:val="28"/>
          <w:szCs w:val="28"/>
        </w:rPr>
        <w:t>deterministic</w:t>
      </w:r>
      <w:bookmarkEnd w:id="34"/>
      <w:r w:rsidR="00932ABF" w:rsidRPr="00BB300A">
        <w:rPr>
          <w:rFonts w:ascii="Times New Roman" w:hAnsi="Times New Roman" w:cs="Times New Roman"/>
          <w:sz w:val="28"/>
          <w:szCs w:val="28"/>
        </w:rPr>
        <w:t xml:space="preserve">, one-size-fits-all narratives regarding language learning. By systematically demonstrating that successful language acquisition does not rely exclusively on innate academic intelligence, a specific extroverted personality type, or an early starting age, the authors </w:t>
      </w:r>
      <w:r w:rsidR="00DE7D8C" w:rsidRPr="00BB300A">
        <w:rPr>
          <w:rFonts w:ascii="Times New Roman" w:hAnsi="Times New Roman" w:cs="Times New Roman"/>
          <w:sz w:val="28"/>
          <w:szCs w:val="28"/>
        </w:rPr>
        <w:t xml:space="preserve">open up </w:t>
      </w:r>
      <w:r w:rsidR="00932ABF" w:rsidRPr="00BB300A">
        <w:rPr>
          <w:rFonts w:ascii="Times New Roman" w:hAnsi="Times New Roman" w:cs="Times New Roman"/>
          <w:sz w:val="28"/>
          <w:szCs w:val="28"/>
        </w:rPr>
        <w:t xml:space="preserve">the language learning process. They provide scientifically grounded reassurance that learners with vastly different cognitive profiles and demographic backgrounds can achieve high proficiency if the instructional context is appropriately calibrated to their needs. Their balanced critique of the Critical Period Hypothesis is particularly valuable, </w:t>
      </w:r>
      <w:bookmarkStart w:id="35" w:name="OLE_LINK42"/>
      <w:r w:rsidR="00DE7D8C" w:rsidRPr="00BB300A">
        <w:rPr>
          <w:rFonts w:ascii="Times New Roman" w:hAnsi="Times New Roman" w:cs="Times New Roman"/>
          <w:sz w:val="28"/>
          <w:szCs w:val="28"/>
        </w:rPr>
        <w:t>reminding</w:t>
      </w:r>
      <w:r w:rsidR="00932ABF" w:rsidRPr="00BB300A">
        <w:rPr>
          <w:rFonts w:ascii="Times New Roman" w:hAnsi="Times New Roman" w:cs="Times New Roman"/>
          <w:sz w:val="28"/>
          <w:szCs w:val="28"/>
        </w:rPr>
        <w:t xml:space="preserve"> </w:t>
      </w:r>
      <w:bookmarkEnd w:id="35"/>
      <w:r w:rsidR="00932ABF" w:rsidRPr="00BB300A">
        <w:rPr>
          <w:rFonts w:ascii="Times New Roman" w:hAnsi="Times New Roman" w:cs="Times New Roman"/>
          <w:sz w:val="28"/>
          <w:szCs w:val="28"/>
        </w:rPr>
        <w:t xml:space="preserve">educators </w:t>
      </w:r>
      <w:r w:rsidR="00932ABF" w:rsidRPr="00BB300A">
        <w:rPr>
          <w:rFonts w:ascii="Times New Roman" w:hAnsi="Times New Roman" w:cs="Times New Roman"/>
          <w:sz w:val="28"/>
          <w:szCs w:val="28"/>
        </w:rPr>
        <w:lastRenderedPageBreak/>
        <w:t>and policymakers against the blind assumption that early-start school programs are universally effective, especially when contact hours are minimal.</w:t>
      </w:r>
    </w:p>
    <w:p w14:paraId="4F6510FE" w14:textId="48C411B5" w:rsidR="00932ABF" w:rsidRPr="00BB300A" w:rsidRDefault="00932ABF" w:rsidP="00BB300A">
      <w:pPr>
        <w:spacing w:line="360" w:lineRule="auto"/>
        <w:ind w:firstLineChars="200" w:firstLine="560"/>
        <w:rPr>
          <w:rFonts w:ascii="Times New Roman" w:hAnsi="Times New Roman" w:cs="Times New Roman"/>
          <w:sz w:val="28"/>
          <w:szCs w:val="28"/>
        </w:rPr>
      </w:pPr>
      <w:r w:rsidRPr="00BB300A">
        <w:rPr>
          <w:rFonts w:ascii="Times New Roman" w:hAnsi="Times New Roman" w:cs="Times New Roman"/>
          <w:sz w:val="28"/>
          <w:szCs w:val="28"/>
        </w:rPr>
        <w:t xml:space="preserve">The implications of these findings for Teaching English to Speakers of Other Languages (TESOL) and English Language Teacher Education are </w:t>
      </w:r>
      <w:bookmarkStart w:id="36" w:name="OLE_LINK43"/>
      <w:r w:rsidRPr="00BB300A">
        <w:rPr>
          <w:rFonts w:ascii="Times New Roman" w:hAnsi="Times New Roman" w:cs="Times New Roman"/>
          <w:sz w:val="28"/>
          <w:szCs w:val="28"/>
        </w:rPr>
        <w:t>substantial</w:t>
      </w:r>
      <w:bookmarkEnd w:id="36"/>
      <w:r w:rsidRPr="00BB300A">
        <w:rPr>
          <w:rFonts w:ascii="Times New Roman" w:hAnsi="Times New Roman" w:cs="Times New Roman"/>
          <w:sz w:val="28"/>
          <w:szCs w:val="28"/>
        </w:rPr>
        <w:t xml:space="preserve">. Primarily, teacher training programs must foster </w:t>
      </w:r>
      <w:r w:rsidR="00F175F8">
        <w:rPr>
          <w:rFonts w:ascii="Times New Roman" w:hAnsi="Times New Roman" w:cs="Times New Roman"/>
          <w:sz w:val="28"/>
          <w:szCs w:val="28"/>
        </w:rPr>
        <w:t>“</w:t>
      </w:r>
      <w:r w:rsidRPr="00BB300A">
        <w:rPr>
          <w:rFonts w:ascii="Times New Roman" w:hAnsi="Times New Roman" w:cs="Times New Roman"/>
          <w:sz w:val="28"/>
          <w:szCs w:val="28"/>
        </w:rPr>
        <w:t>difference-responsive</w:t>
      </w:r>
      <w:r w:rsidR="00F175F8">
        <w:rPr>
          <w:rFonts w:ascii="Times New Roman" w:hAnsi="Times New Roman" w:cs="Times New Roman"/>
          <w:sz w:val="28"/>
          <w:szCs w:val="28"/>
        </w:rPr>
        <w:t>”</w:t>
      </w:r>
      <w:r w:rsidRPr="00BB300A">
        <w:rPr>
          <w:rFonts w:ascii="Times New Roman" w:hAnsi="Times New Roman" w:cs="Times New Roman"/>
          <w:sz w:val="28"/>
          <w:szCs w:val="28"/>
        </w:rPr>
        <w:t xml:space="preserve"> practitioners. It is insufficient to </w:t>
      </w:r>
      <w:r w:rsidR="00096D11" w:rsidRPr="00BB300A">
        <w:rPr>
          <w:rFonts w:ascii="Times New Roman" w:hAnsi="Times New Roman" w:cs="Times New Roman" w:hint="eastAsia"/>
          <w:sz w:val="28"/>
          <w:szCs w:val="28"/>
        </w:rPr>
        <w:t>t</w:t>
      </w:r>
      <w:r w:rsidR="00096D11" w:rsidRPr="00BB300A">
        <w:rPr>
          <w:rFonts w:ascii="Times New Roman" w:hAnsi="Times New Roman" w:cs="Times New Roman"/>
          <w:sz w:val="28"/>
          <w:szCs w:val="28"/>
        </w:rPr>
        <w:t xml:space="preserve">rain </w:t>
      </w:r>
      <w:r w:rsidRPr="00BB300A">
        <w:rPr>
          <w:rFonts w:ascii="Times New Roman" w:hAnsi="Times New Roman" w:cs="Times New Roman"/>
          <w:sz w:val="28"/>
          <w:szCs w:val="28"/>
        </w:rPr>
        <w:t xml:space="preserve">novice teachers with a single, monolithic teaching method, whether it be strict audio-lingual drilling or unstructured communicative group work. Instead, teachers must be trained to conduct ongoing diagnostic assessments of their students, identifying varying aptitude profiles, learning styles, and underlying beliefs about language learning. When students like those in </w:t>
      </w:r>
      <w:bookmarkStart w:id="37" w:name="OLE_LINK31"/>
      <w:r w:rsidRPr="00BB300A">
        <w:rPr>
          <w:rFonts w:ascii="Times New Roman" w:hAnsi="Times New Roman" w:cs="Times New Roman"/>
          <w:sz w:val="28"/>
          <w:szCs w:val="28"/>
        </w:rPr>
        <w:t>Yorio</w:t>
      </w:r>
      <w:bookmarkEnd w:id="37"/>
      <w:r w:rsidRPr="00BB300A">
        <w:rPr>
          <w:rFonts w:ascii="Times New Roman" w:hAnsi="Times New Roman" w:cs="Times New Roman"/>
          <w:sz w:val="28"/>
          <w:szCs w:val="28"/>
        </w:rPr>
        <w:t>’s (1986</w:t>
      </w:r>
      <w:r w:rsidR="009127A4" w:rsidRPr="00BB300A">
        <w:rPr>
          <w:rFonts w:ascii="Times New Roman" w:hAnsi="Times New Roman" w:cs="Times New Roman"/>
          <w:sz w:val="28"/>
          <w:szCs w:val="28"/>
        </w:rPr>
        <w:t>, p. 672</w:t>
      </w:r>
      <w:r w:rsidRPr="00BB300A">
        <w:rPr>
          <w:rFonts w:ascii="Times New Roman" w:hAnsi="Times New Roman" w:cs="Times New Roman"/>
          <w:sz w:val="28"/>
          <w:szCs w:val="28"/>
        </w:rPr>
        <w:t>) study express anxiety over the lack of explicit grammar instruction, an expert teacher must possess the pedagogical flexibility to integrate form-focused feedback within a communicative framework, thereby respecting learner preferences and lowering the affective filter.</w:t>
      </w:r>
      <w:r w:rsidR="00F20108" w:rsidRPr="00BB300A">
        <w:rPr>
          <w:rFonts w:ascii="Times New Roman" w:hAnsi="Times New Roman" w:cs="Times New Roman"/>
          <w:sz w:val="28"/>
          <w:szCs w:val="28"/>
        </w:rPr>
        <w:t xml:space="preserve"> This pedagogical flexibility is intrinsically linked to teacher cognition. As Borg (2003, p.81) emphasizes, teachers are active, thinking decision-makers whose instructional choices are profoundly shaped by what they think, know, and believe. Therefore, accommodating diverse learner preferences requires teachers to critically reflect on their own deep-seated pedagogical beliefs.</w:t>
      </w:r>
    </w:p>
    <w:p w14:paraId="4B0AF634" w14:textId="7E94123C" w:rsidR="00BB300A" w:rsidRDefault="00932ABF" w:rsidP="00BB300A">
      <w:pPr>
        <w:spacing w:line="360" w:lineRule="auto"/>
        <w:ind w:firstLineChars="200" w:firstLine="560"/>
        <w:rPr>
          <w:rFonts w:ascii="Times New Roman" w:hAnsi="Times New Roman" w:cs="Times New Roman"/>
          <w:sz w:val="28"/>
          <w:szCs w:val="28"/>
        </w:rPr>
      </w:pPr>
      <w:r w:rsidRPr="00BB300A">
        <w:rPr>
          <w:rFonts w:ascii="Times New Roman" w:hAnsi="Times New Roman" w:cs="Times New Roman"/>
          <w:sz w:val="28"/>
          <w:szCs w:val="28"/>
        </w:rPr>
        <w:lastRenderedPageBreak/>
        <w:t xml:space="preserve">Furthermore, the insights regarding motivation </w:t>
      </w:r>
      <w:r w:rsidR="00096D11" w:rsidRPr="00BB300A">
        <w:rPr>
          <w:rFonts w:ascii="Times New Roman" w:hAnsi="Times New Roman" w:cs="Times New Roman"/>
          <w:sz w:val="28"/>
          <w:szCs w:val="28"/>
        </w:rPr>
        <w:t>require</w:t>
      </w:r>
      <w:r w:rsidRPr="00BB300A">
        <w:rPr>
          <w:rFonts w:ascii="Times New Roman" w:hAnsi="Times New Roman" w:cs="Times New Roman"/>
          <w:sz w:val="28"/>
          <w:szCs w:val="28"/>
        </w:rPr>
        <w:t xml:space="preserve"> a paradigm shift in how TESOL practitioners construct their classroom environments. Motivation must be reframed as a core pedagogical responsibility rather than a prerequisite that students are expected to bring to the classroom. Teachers must be equipped to deliver culturally sustaining pedagogy that affirms learner identities. By designing tasks that are cognitively engaging, varying materials, and establishing cooperative objectives, teachers actively construct the situational motivation necessary for complex language processing.</w:t>
      </w:r>
    </w:p>
    <w:p w14:paraId="59836024" w14:textId="77777777" w:rsidR="00BB300A" w:rsidRDefault="00BB300A" w:rsidP="00932ABF">
      <w:pPr>
        <w:rPr>
          <w:rFonts w:ascii="Times New Roman" w:hAnsi="Times New Roman" w:cs="Times New Roman"/>
          <w:sz w:val="28"/>
          <w:szCs w:val="28"/>
        </w:rPr>
      </w:pPr>
    </w:p>
    <w:p w14:paraId="0B7855A4" w14:textId="77777777" w:rsidR="00BB300A" w:rsidRDefault="00BB300A" w:rsidP="00932ABF">
      <w:pPr>
        <w:rPr>
          <w:rFonts w:ascii="Times New Roman" w:hAnsi="Times New Roman" w:cs="Times New Roman"/>
          <w:sz w:val="28"/>
          <w:szCs w:val="28"/>
        </w:rPr>
      </w:pPr>
    </w:p>
    <w:p w14:paraId="460E73D9" w14:textId="77777777" w:rsidR="00BB300A" w:rsidRPr="00BB300A" w:rsidRDefault="00BB300A" w:rsidP="00932ABF">
      <w:pPr>
        <w:rPr>
          <w:rFonts w:ascii="Times New Roman" w:hAnsi="Times New Roman" w:cs="Times New Roman"/>
          <w:sz w:val="28"/>
          <w:szCs w:val="28"/>
        </w:rPr>
      </w:pPr>
    </w:p>
    <w:p w14:paraId="6F673157" w14:textId="7515B551" w:rsidR="00932ABF" w:rsidRPr="00BB300A" w:rsidRDefault="00932ABF" w:rsidP="00BB300A">
      <w:pPr>
        <w:spacing w:line="360" w:lineRule="auto"/>
        <w:rPr>
          <w:rFonts w:ascii="Times New Roman" w:hAnsi="Times New Roman" w:cs="Times New Roman"/>
          <w:b/>
          <w:bCs/>
          <w:sz w:val="30"/>
          <w:szCs w:val="30"/>
        </w:rPr>
      </w:pPr>
      <w:bookmarkStart w:id="38" w:name="OLE_LINK53"/>
      <w:r w:rsidRPr="00BB300A">
        <w:rPr>
          <w:rFonts w:ascii="Times New Roman" w:hAnsi="Times New Roman" w:cs="Times New Roman"/>
          <w:b/>
          <w:bCs/>
          <w:sz w:val="30"/>
          <w:szCs w:val="30"/>
        </w:rPr>
        <w:t>5</w:t>
      </w:r>
      <w:r w:rsidR="00BB300A" w:rsidRPr="00BB300A">
        <w:rPr>
          <w:rFonts w:ascii="Times New Roman" w:hAnsi="Times New Roman" w:cs="Times New Roman"/>
          <w:b/>
          <w:bCs/>
          <w:sz w:val="30"/>
          <w:szCs w:val="30"/>
        </w:rPr>
        <w:t xml:space="preserve"> </w:t>
      </w:r>
      <w:r w:rsidRPr="00BB300A">
        <w:rPr>
          <w:rFonts w:ascii="Times New Roman" w:hAnsi="Times New Roman" w:cs="Times New Roman"/>
          <w:b/>
          <w:bCs/>
          <w:sz w:val="30"/>
          <w:szCs w:val="30"/>
        </w:rPr>
        <w:t>Conclusion</w:t>
      </w:r>
    </w:p>
    <w:bookmarkEnd w:id="38"/>
    <w:p w14:paraId="64DCD59B" w14:textId="5A568853" w:rsidR="00932ABF" w:rsidRPr="00BB300A" w:rsidRDefault="00932ABF" w:rsidP="00BB300A">
      <w:pPr>
        <w:spacing w:line="360" w:lineRule="auto"/>
        <w:ind w:firstLineChars="200" w:firstLine="560"/>
        <w:rPr>
          <w:rFonts w:ascii="Times New Roman" w:hAnsi="Times New Roman" w:cs="Times New Roman"/>
          <w:sz w:val="28"/>
          <w:szCs w:val="28"/>
        </w:rPr>
      </w:pPr>
      <w:r w:rsidRPr="00BB300A">
        <w:rPr>
          <w:rFonts w:ascii="Times New Roman" w:hAnsi="Times New Roman" w:cs="Times New Roman"/>
          <w:sz w:val="28"/>
          <w:szCs w:val="28"/>
        </w:rPr>
        <w:t xml:space="preserve">In conclusion, Lightbown and Spada’s (2000) comprehensive review of the factors affecting second language learning provides an indispensable theoretical foundation for applied linguistics and language pedagogy. While cognitive capacities such as analytical aptitude and demographic variables like age undoubtedly impose certain parameters on the rate and route of acquisition, they are not deterministic barriers to success. The detailed critical evaluation of motivation reveals that emotional, social, and attitudinal factors are deeply intertwined with the pedagogical environment. By recognizing the intricate, complex ways in which individual learner </w:t>
      </w:r>
      <w:r w:rsidRPr="00BB300A">
        <w:rPr>
          <w:rFonts w:ascii="Times New Roman" w:hAnsi="Times New Roman" w:cs="Times New Roman"/>
          <w:sz w:val="28"/>
          <w:szCs w:val="28"/>
        </w:rPr>
        <w:lastRenderedPageBreak/>
        <w:t xml:space="preserve">variables interact, the text serves as a powerful call to action for TESOL professionals. It challenges educators to abandon rigid instructional </w:t>
      </w:r>
      <w:r w:rsidR="00C0114A" w:rsidRPr="00BB300A">
        <w:rPr>
          <w:rFonts w:ascii="Times New Roman" w:hAnsi="Times New Roman" w:cs="Times New Roman"/>
          <w:sz w:val="28"/>
          <w:szCs w:val="28"/>
        </w:rPr>
        <w:t>rigid beliefs</w:t>
      </w:r>
      <w:r w:rsidRPr="00BB300A">
        <w:rPr>
          <w:rFonts w:ascii="Times New Roman" w:hAnsi="Times New Roman" w:cs="Times New Roman"/>
          <w:sz w:val="28"/>
          <w:szCs w:val="28"/>
        </w:rPr>
        <w:t>, validate the diverse cultural identities of their students, and cultivate inclusive, adaptive, and highly motivating classroom ecologies that empower every individual language learner to reach their full communicative potential.</w:t>
      </w:r>
      <w:bookmarkEnd w:id="0"/>
    </w:p>
    <w:bookmarkEnd w:id="1"/>
    <w:p w14:paraId="1D3FA649" w14:textId="77777777" w:rsidR="00477524" w:rsidRDefault="00477524" w:rsidP="00BB300A">
      <w:pPr>
        <w:spacing w:line="360" w:lineRule="auto"/>
        <w:rPr>
          <w:b/>
          <w:bCs/>
        </w:rPr>
      </w:pPr>
    </w:p>
    <w:p w14:paraId="62B44C62" w14:textId="77777777" w:rsidR="00BB300A" w:rsidRDefault="00BB300A" w:rsidP="00BB300A">
      <w:pPr>
        <w:spacing w:line="360" w:lineRule="auto"/>
        <w:rPr>
          <w:b/>
          <w:bCs/>
        </w:rPr>
      </w:pPr>
    </w:p>
    <w:p w14:paraId="3611B4F0" w14:textId="77777777" w:rsidR="00477524" w:rsidRDefault="00477524" w:rsidP="00BB300A">
      <w:pPr>
        <w:spacing w:line="360" w:lineRule="auto"/>
        <w:rPr>
          <w:b/>
          <w:bCs/>
        </w:rPr>
      </w:pPr>
    </w:p>
    <w:p w14:paraId="2219B210" w14:textId="66AC2DC3" w:rsidR="001D5185" w:rsidRPr="001D5185" w:rsidRDefault="001D5185" w:rsidP="001D5185">
      <w:pPr>
        <w:spacing w:line="360" w:lineRule="auto"/>
        <w:rPr>
          <w:rFonts w:ascii="Times New Roman" w:hAnsi="Times New Roman" w:cs="Times New Roman"/>
          <w:b/>
          <w:bCs/>
          <w:sz w:val="30"/>
          <w:szCs w:val="30"/>
        </w:rPr>
      </w:pPr>
      <w:r>
        <w:rPr>
          <w:rFonts w:ascii="Times New Roman" w:hAnsi="Times New Roman" w:cs="Times New Roman"/>
          <w:noProof/>
          <w:sz w:val="28"/>
          <w:szCs w:val="28"/>
        </w:rPr>
        <w:drawing>
          <wp:anchor distT="0" distB="0" distL="114300" distR="114300" simplePos="0" relativeHeight="251658240" behindDoc="0" locked="0" layoutInCell="1" allowOverlap="1" wp14:anchorId="3CD0EC22" wp14:editId="792D0495">
            <wp:simplePos x="0" y="0"/>
            <wp:positionH relativeFrom="column">
              <wp:posOffset>-3810</wp:posOffset>
            </wp:positionH>
            <wp:positionV relativeFrom="paragraph">
              <wp:posOffset>405765</wp:posOffset>
            </wp:positionV>
            <wp:extent cx="5366385" cy="4796790"/>
            <wp:effectExtent l="0" t="0" r="5715" b="3810"/>
            <wp:wrapSquare wrapText="bothSides"/>
            <wp:docPr id="189105837" name="图片 2" descr="文本, 信件&#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05837" name="图片 2" descr="文本, 信件&#10;&#10;AI 生成的内容可能不正确。"/>
                    <pic:cNvPicPr/>
                  </pic:nvPicPr>
                  <pic:blipFill>
                    <a:blip r:embed="rId5">
                      <a:extLst>
                        <a:ext uri="{28A0092B-C50C-407E-A947-70E740481C1C}">
                          <a14:useLocalDpi xmlns:a14="http://schemas.microsoft.com/office/drawing/2010/main" val="0"/>
                        </a:ext>
                      </a:extLst>
                    </a:blip>
                    <a:stretch>
                      <a:fillRect/>
                    </a:stretch>
                  </pic:blipFill>
                  <pic:spPr>
                    <a:xfrm>
                      <a:off x="0" y="0"/>
                      <a:ext cx="5366385" cy="4796790"/>
                    </a:xfrm>
                    <a:prstGeom prst="rect">
                      <a:avLst/>
                    </a:prstGeom>
                  </pic:spPr>
                </pic:pic>
              </a:graphicData>
            </a:graphic>
            <wp14:sizeRelH relativeFrom="margin">
              <wp14:pctWidth>0</wp14:pctWidth>
            </wp14:sizeRelH>
            <wp14:sizeRelV relativeFrom="margin">
              <wp14:pctHeight>0</wp14:pctHeight>
            </wp14:sizeRelV>
          </wp:anchor>
        </w:drawing>
      </w:r>
      <w:r w:rsidR="00932ABF" w:rsidRPr="00BB300A">
        <w:rPr>
          <w:rFonts w:ascii="Times New Roman" w:hAnsi="Times New Roman" w:cs="Times New Roman"/>
          <w:b/>
          <w:bCs/>
          <w:sz w:val="30"/>
          <w:szCs w:val="30"/>
        </w:rPr>
        <w:t>Reference</w:t>
      </w:r>
    </w:p>
    <w:p w14:paraId="023AC692" w14:textId="00C8294D" w:rsidR="001D5185" w:rsidRDefault="001D5185" w:rsidP="00BB300A">
      <w:pPr>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59264" behindDoc="0" locked="0" layoutInCell="1" allowOverlap="1" wp14:anchorId="19E51C15" wp14:editId="2903D228">
            <wp:simplePos x="0" y="0"/>
            <wp:positionH relativeFrom="column">
              <wp:posOffset>-3810</wp:posOffset>
            </wp:positionH>
            <wp:positionV relativeFrom="paragraph">
              <wp:posOffset>14605</wp:posOffset>
            </wp:positionV>
            <wp:extent cx="5366385" cy="8709025"/>
            <wp:effectExtent l="0" t="0" r="5715" b="3175"/>
            <wp:wrapSquare wrapText="bothSides"/>
            <wp:docPr id="948901972" name="图片 3"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901972" name="图片 3" descr="文本&#10;&#10;AI 生成的内容可能不正确。"/>
                    <pic:cNvPicPr/>
                  </pic:nvPicPr>
                  <pic:blipFill>
                    <a:blip r:embed="rId6">
                      <a:extLst>
                        <a:ext uri="{28A0092B-C50C-407E-A947-70E740481C1C}">
                          <a14:useLocalDpi xmlns:a14="http://schemas.microsoft.com/office/drawing/2010/main" val="0"/>
                        </a:ext>
                      </a:extLst>
                    </a:blip>
                    <a:stretch>
                      <a:fillRect/>
                    </a:stretch>
                  </pic:blipFill>
                  <pic:spPr>
                    <a:xfrm>
                      <a:off x="0" y="0"/>
                      <a:ext cx="5366385" cy="8709025"/>
                    </a:xfrm>
                    <a:prstGeom prst="rect">
                      <a:avLst/>
                    </a:prstGeom>
                  </pic:spPr>
                </pic:pic>
              </a:graphicData>
            </a:graphic>
            <wp14:sizeRelH relativeFrom="margin">
              <wp14:pctWidth>0</wp14:pctWidth>
            </wp14:sizeRelH>
            <wp14:sizeRelV relativeFrom="margin">
              <wp14:pctHeight>0</wp14:pctHeight>
            </wp14:sizeRelV>
          </wp:anchor>
        </w:drawing>
      </w:r>
    </w:p>
    <w:p w14:paraId="24248707" w14:textId="7BFC71FA" w:rsidR="001D5185" w:rsidRDefault="001D5185" w:rsidP="00BB300A">
      <w:pPr>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60288" behindDoc="0" locked="0" layoutInCell="1" allowOverlap="1" wp14:anchorId="1EAD8C91" wp14:editId="6E12E9C3">
            <wp:simplePos x="0" y="0"/>
            <wp:positionH relativeFrom="column">
              <wp:posOffset>-3810</wp:posOffset>
            </wp:positionH>
            <wp:positionV relativeFrom="paragraph">
              <wp:posOffset>14605</wp:posOffset>
            </wp:positionV>
            <wp:extent cx="5366385" cy="3552190"/>
            <wp:effectExtent l="0" t="0" r="5715" b="3810"/>
            <wp:wrapSquare wrapText="bothSides"/>
            <wp:docPr id="527485670" name="图片 4" descr="表格&#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485670" name="图片 4" descr="表格&#10;&#10;AI 生成的内容可能不正确。"/>
                    <pic:cNvPicPr/>
                  </pic:nvPicPr>
                  <pic:blipFill>
                    <a:blip r:embed="rId7">
                      <a:extLst>
                        <a:ext uri="{28A0092B-C50C-407E-A947-70E740481C1C}">
                          <a14:useLocalDpi xmlns:a14="http://schemas.microsoft.com/office/drawing/2010/main" val="0"/>
                        </a:ext>
                      </a:extLst>
                    </a:blip>
                    <a:stretch>
                      <a:fillRect/>
                    </a:stretch>
                  </pic:blipFill>
                  <pic:spPr>
                    <a:xfrm>
                      <a:off x="0" y="0"/>
                      <a:ext cx="5366385" cy="3552190"/>
                    </a:xfrm>
                    <a:prstGeom prst="rect">
                      <a:avLst/>
                    </a:prstGeom>
                  </pic:spPr>
                </pic:pic>
              </a:graphicData>
            </a:graphic>
            <wp14:sizeRelH relativeFrom="margin">
              <wp14:pctWidth>0</wp14:pctWidth>
            </wp14:sizeRelH>
            <wp14:sizeRelV relativeFrom="margin">
              <wp14:pctHeight>0</wp14:pctHeight>
            </wp14:sizeRelV>
          </wp:anchor>
        </w:drawing>
      </w:r>
    </w:p>
    <w:sectPr w:rsidR="001D5185" w:rsidSect="00AC4113">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474C86"/>
    <w:multiLevelType w:val="multilevel"/>
    <w:tmpl w:val="0A22FCC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71657D80"/>
    <w:multiLevelType w:val="hybridMultilevel"/>
    <w:tmpl w:val="DB18E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16cid:durableId="1487012457">
    <w:abstractNumId w:val="0"/>
  </w:num>
  <w:num w:numId="2" w16cid:durableId="10055220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bordersDoNotSurroundHeader/>
  <w:bordersDoNotSurroundFooter/>
  <w:proofState w:spelling="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201"/>
    <w:rsid w:val="000341A7"/>
    <w:rsid w:val="00060D89"/>
    <w:rsid w:val="00093BBF"/>
    <w:rsid w:val="00094E01"/>
    <w:rsid w:val="00096D11"/>
    <w:rsid w:val="00127409"/>
    <w:rsid w:val="00140CFC"/>
    <w:rsid w:val="001B3077"/>
    <w:rsid w:val="001D3BE3"/>
    <w:rsid w:val="001D5185"/>
    <w:rsid w:val="002224B1"/>
    <w:rsid w:val="00266C60"/>
    <w:rsid w:val="00346073"/>
    <w:rsid w:val="003546C6"/>
    <w:rsid w:val="003C2726"/>
    <w:rsid w:val="00427F80"/>
    <w:rsid w:val="00477524"/>
    <w:rsid w:val="00536442"/>
    <w:rsid w:val="00550C17"/>
    <w:rsid w:val="005A392E"/>
    <w:rsid w:val="00680F0A"/>
    <w:rsid w:val="006B23CE"/>
    <w:rsid w:val="006C7060"/>
    <w:rsid w:val="006C77E0"/>
    <w:rsid w:val="006F77AC"/>
    <w:rsid w:val="00717117"/>
    <w:rsid w:val="00731767"/>
    <w:rsid w:val="00745B68"/>
    <w:rsid w:val="007D0230"/>
    <w:rsid w:val="008323E8"/>
    <w:rsid w:val="009127A4"/>
    <w:rsid w:val="00932ABF"/>
    <w:rsid w:val="0094115F"/>
    <w:rsid w:val="00A1743D"/>
    <w:rsid w:val="00A94D1C"/>
    <w:rsid w:val="00A95128"/>
    <w:rsid w:val="00AC4113"/>
    <w:rsid w:val="00AF458A"/>
    <w:rsid w:val="00B61B1D"/>
    <w:rsid w:val="00BB300A"/>
    <w:rsid w:val="00C0114A"/>
    <w:rsid w:val="00C3794D"/>
    <w:rsid w:val="00CA2829"/>
    <w:rsid w:val="00CA5201"/>
    <w:rsid w:val="00D10353"/>
    <w:rsid w:val="00D16054"/>
    <w:rsid w:val="00D504CD"/>
    <w:rsid w:val="00DA1EFE"/>
    <w:rsid w:val="00DE7D8C"/>
    <w:rsid w:val="00E006FC"/>
    <w:rsid w:val="00E63698"/>
    <w:rsid w:val="00EB648A"/>
    <w:rsid w:val="00ED1F3E"/>
    <w:rsid w:val="00F175F8"/>
    <w:rsid w:val="00F201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F85F4"/>
  <w15:chartTrackingRefBased/>
  <w15:docId w15:val="{EF14ACE7-6083-E341-AD49-3C4AB73BD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CA5201"/>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CA5201"/>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CA5201"/>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CA5201"/>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uiPriority w:val="9"/>
    <w:semiHidden/>
    <w:unhideWhenUsed/>
    <w:qFormat/>
    <w:rsid w:val="00CA5201"/>
    <w:pPr>
      <w:keepNext/>
      <w:keepLines/>
      <w:spacing w:before="80" w:after="40"/>
      <w:outlineLvl w:val="4"/>
    </w:pPr>
    <w:rPr>
      <w:rFonts w:cstheme="majorBidi"/>
      <w:color w:val="2E74B5" w:themeColor="accent1" w:themeShade="BF"/>
    </w:rPr>
  </w:style>
  <w:style w:type="paragraph" w:styleId="6">
    <w:name w:val="heading 6"/>
    <w:basedOn w:val="a"/>
    <w:next w:val="a"/>
    <w:link w:val="60"/>
    <w:uiPriority w:val="9"/>
    <w:semiHidden/>
    <w:unhideWhenUsed/>
    <w:qFormat/>
    <w:rsid w:val="00CA5201"/>
    <w:pPr>
      <w:keepNext/>
      <w:keepLines/>
      <w:spacing w:before="40"/>
      <w:outlineLvl w:val="5"/>
    </w:pPr>
    <w:rPr>
      <w:rFonts w:cstheme="majorBidi"/>
      <w:b/>
      <w:bCs/>
      <w:color w:val="2E74B5" w:themeColor="accent1" w:themeShade="BF"/>
    </w:rPr>
  </w:style>
  <w:style w:type="paragraph" w:styleId="7">
    <w:name w:val="heading 7"/>
    <w:basedOn w:val="a"/>
    <w:next w:val="a"/>
    <w:link w:val="70"/>
    <w:uiPriority w:val="9"/>
    <w:semiHidden/>
    <w:unhideWhenUsed/>
    <w:qFormat/>
    <w:rsid w:val="00CA520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A520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A520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A5201"/>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rsid w:val="00CA5201"/>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semiHidden/>
    <w:rsid w:val="00CA5201"/>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rsid w:val="00CA5201"/>
    <w:rPr>
      <w:rFonts w:cstheme="majorBidi"/>
      <w:color w:val="2E74B5" w:themeColor="accent1" w:themeShade="BF"/>
      <w:sz w:val="28"/>
      <w:szCs w:val="28"/>
    </w:rPr>
  </w:style>
  <w:style w:type="character" w:customStyle="1" w:styleId="50">
    <w:name w:val="标题 5 字符"/>
    <w:basedOn w:val="a0"/>
    <w:link w:val="5"/>
    <w:uiPriority w:val="9"/>
    <w:semiHidden/>
    <w:rsid w:val="00CA5201"/>
    <w:rPr>
      <w:rFonts w:cstheme="majorBidi"/>
      <w:color w:val="2E74B5" w:themeColor="accent1" w:themeShade="BF"/>
    </w:rPr>
  </w:style>
  <w:style w:type="character" w:customStyle="1" w:styleId="60">
    <w:name w:val="标题 6 字符"/>
    <w:basedOn w:val="a0"/>
    <w:link w:val="6"/>
    <w:uiPriority w:val="9"/>
    <w:semiHidden/>
    <w:rsid w:val="00CA5201"/>
    <w:rPr>
      <w:rFonts w:cstheme="majorBidi"/>
      <w:b/>
      <w:bCs/>
      <w:color w:val="2E74B5" w:themeColor="accent1" w:themeShade="BF"/>
    </w:rPr>
  </w:style>
  <w:style w:type="character" w:customStyle="1" w:styleId="70">
    <w:name w:val="标题 7 字符"/>
    <w:basedOn w:val="a0"/>
    <w:link w:val="7"/>
    <w:uiPriority w:val="9"/>
    <w:semiHidden/>
    <w:rsid w:val="00CA5201"/>
    <w:rPr>
      <w:rFonts w:cstheme="majorBidi"/>
      <w:b/>
      <w:bCs/>
      <w:color w:val="595959" w:themeColor="text1" w:themeTint="A6"/>
    </w:rPr>
  </w:style>
  <w:style w:type="character" w:customStyle="1" w:styleId="80">
    <w:name w:val="标题 8 字符"/>
    <w:basedOn w:val="a0"/>
    <w:link w:val="8"/>
    <w:uiPriority w:val="9"/>
    <w:semiHidden/>
    <w:rsid w:val="00CA5201"/>
    <w:rPr>
      <w:rFonts w:cstheme="majorBidi"/>
      <w:color w:val="595959" w:themeColor="text1" w:themeTint="A6"/>
    </w:rPr>
  </w:style>
  <w:style w:type="character" w:customStyle="1" w:styleId="90">
    <w:name w:val="标题 9 字符"/>
    <w:basedOn w:val="a0"/>
    <w:link w:val="9"/>
    <w:uiPriority w:val="9"/>
    <w:semiHidden/>
    <w:rsid w:val="00CA5201"/>
    <w:rPr>
      <w:rFonts w:eastAsiaTheme="majorEastAsia" w:cstheme="majorBidi"/>
      <w:color w:val="595959" w:themeColor="text1" w:themeTint="A6"/>
    </w:rPr>
  </w:style>
  <w:style w:type="paragraph" w:styleId="a3">
    <w:name w:val="Title"/>
    <w:basedOn w:val="a"/>
    <w:next w:val="a"/>
    <w:link w:val="a4"/>
    <w:uiPriority w:val="10"/>
    <w:qFormat/>
    <w:rsid w:val="00CA520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A520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A520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A520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A5201"/>
    <w:pPr>
      <w:spacing w:before="160" w:after="160"/>
      <w:jc w:val="center"/>
    </w:pPr>
    <w:rPr>
      <w:i/>
      <w:iCs/>
      <w:color w:val="404040" w:themeColor="text1" w:themeTint="BF"/>
    </w:rPr>
  </w:style>
  <w:style w:type="character" w:customStyle="1" w:styleId="a8">
    <w:name w:val="引用 字符"/>
    <w:basedOn w:val="a0"/>
    <w:link w:val="a7"/>
    <w:uiPriority w:val="29"/>
    <w:rsid w:val="00CA5201"/>
    <w:rPr>
      <w:i/>
      <w:iCs/>
      <w:color w:val="404040" w:themeColor="text1" w:themeTint="BF"/>
    </w:rPr>
  </w:style>
  <w:style w:type="paragraph" w:styleId="a9">
    <w:name w:val="List Paragraph"/>
    <w:basedOn w:val="a"/>
    <w:uiPriority w:val="34"/>
    <w:qFormat/>
    <w:rsid w:val="00CA5201"/>
    <w:pPr>
      <w:ind w:left="720"/>
      <w:contextualSpacing/>
    </w:pPr>
  </w:style>
  <w:style w:type="character" w:styleId="aa">
    <w:name w:val="Intense Emphasis"/>
    <w:basedOn w:val="a0"/>
    <w:uiPriority w:val="21"/>
    <w:qFormat/>
    <w:rsid w:val="00CA5201"/>
    <w:rPr>
      <w:i/>
      <w:iCs/>
      <w:color w:val="2E74B5" w:themeColor="accent1" w:themeShade="BF"/>
    </w:rPr>
  </w:style>
  <w:style w:type="paragraph" w:styleId="ab">
    <w:name w:val="Intense Quote"/>
    <w:basedOn w:val="a"/>
    <w:next w:val="a"/>
    <w:link w:val="ac"/>
    <w:uiPriority w:val="30"/>
    <w:qFormat/>
    <w:rsid w:val="00CA520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明显引用 字符"/>
    <w:basedOn w:val="a0"/>
    <w:link w:val="ab"/>
    <w:uiPriority w:val="30"/>
    <w:rsid w:val="00CA5201"/>
    <w:rPr>
      <w:i/>
      <w:iCs/>
      <w:color w:val="2E74B5" w:themeColor="accent1" w:themeShade="BF"/>
    </w:rPr>
  </w:style>
  <w:style w:type="character" w:styleId="ad">
    <w:name w:val="Intense Reference"/>
    <w:basedOn w:val="a0"/>
    <w:uiPriority w:val="32"/>
    <w:qFormat/>
    <w:rsid w:val="00CA5201"/>
    <w:rPr>
      <w:b/>
      <w:bCs/>
      <w:smallCaps/>
      <w:color w:val="2E74B5" w:themeColor="accent1" w:themeShade="BF"/>
      <w:spacing w:val="5"/>
    </w:rPr>
  </w:style>
  <w:style w:type="character" w:styleId="ae">
    <w:name w:val="Hyperlink"/>
    <w:basedOn w:val="a0"/>
    <w:uiPriority w:val="99"/>
    <w:unhideWhenUsed/>
    <w:rsid w:val="006F77AC"/>
    <w:rPr>
      <w:color w:val="0563C1" w:themeColor="hyperlink"/>
      <w:u w:val="single"/>
    </w:rPr>
  </w:style>
  <w:style w:type="character" w:styleId="af">
    <w:name w:val="Unresolved Mention"/>
    <w:basedOn w:val="a0"/>
    <w:uiPriority w:val="99"/>
    <w:rsid w:val="006F77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14</Pages>
  <Words>2360</Words>
  <Characters>13452</Characters>
  <Application>Microsoft Office Word</Application>
  <DocSecurity>0</DocSecurity>
  <Lines>112</Lines>
  <Paragraphs>31</Paragraphs>
  <ScaleCrop>false</ScaleCrop>
  <Company/>
  <LinksUpToDate>false</LinksUpToDate>
  <CharactersWithSpaces>15781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18881</dc:creator>
  <cp:keywords/>
  <dc:description/>
  <cp:lastModifiedBy>18881</cp:lastModifiedBy>
  <cp:revision>16</cp:revision>
  <dcterms:created xsi:type="dcterms:W3CDTF">2026-03-19T20:27:00Z</dcterms:created>
  <dcterms:modified xsi:type="dcterms:W3CDTF">2026-03-22T22:05:00Z</dcterms:modified>
</cp:coreProperties>
</file>