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BA5297" w14:textId="76F96EF4" w:rsidR="00F408E9" w:rsidRPr="0087738C" w:rsidRDefault="0087738C" w:rsidP="0087738C">
      <w:pPr>
        <w:jc w:val="center"/>
        <w:rPr>
          <w:b/>
          <w:bCs/>
          <w:sz w:val="28"/>
          <w:szCs w:val="28"/>
        </w:rPr>
      </w:pPr>
      <w:r w:rsidRPr="0087738C">
        <w:rPr>
          <w:b/>
          <w:bCs/>
          <w:sz w:val="28"/>
          <w:szCs w:val="28"/>
        </w:rPr>
        <w:t>Professional Observation</w:t>
      </w:r>
    </w:p>
    <w:p w14:paraId="618D5180" w14:textId="77777777" w:rsidR="0087738C" w:rsidRDefault="0087738C" w:rsidP="00F408E9">
      <w:pPr>
        <w:rPr>
          <w:b/>
          <w:bCs/>
        </w:rPr>
      </w:pPr>
    </w:p>
    <w:p w14:paraId="14C2245B" w14:textId="77777777" w:rsidR="0087738C" w:rsidRDefault="0087738C" w:rsidP="00F408E9"/>
    <w:p w14:paraId="2BE9A6E4" w14:textId="46E38035" w:rsidR="00F408E9" w:rsidRDefault="00F408E9" w:rsidP="00F408E9">
      <w:pPr>
        <w:spacing w:line="360" w:lineRule="auto"/>
      </w:pPr>
      <w:r>
        <w:t>This essay will include a comparison of two lecturers observed over a period of 6 hours. To keep the identity of all students and lecturers involved, the terms Lecturer A, Lecturer B and students will be used to ensure that all members are kept anonymous throughout the review. An overview of the observation of Lecturer A will be discussed and supported by references in the first part of the assignment, with Lecturer B following. The Gibbs' Reflective Cycle (1988) will be used as a framework, this study will compare the observations of Lecturer A and Lecturer B. With phases including description, feelings, assessment, analysis, conclusion, and action plan, Gibbs' model offers a methodical way to look at teaching methods and how they affect students' learning. Using this methodology, the essay will evaluate how the two lecturers' methods of interaction, course delivery, and classroom management affect the learning environment and results for students' academic success.</w:t>
      </w:r>
    </w:p>
    <w:p w14:paraId="3DB436A5" w14:textId="77777777" w:rsidR="00F408E9" w:rsidRDefault="00F408E9" w:rsidP="00F408E9">
      <w:pPr>
        <w:spacing w:line="360" w:lineRule="auto"/>
      </w:pPr>
    </w:p>
    <w:p w14:paraId="45A12C29" w14:textId="77777777" w:rsidR="00F408E9" w:rsidRPr="00F408E9" w:rsidRDefault="00F408E9" w:rsidP="00F408E9">
      <w:pPr>
        <w:spacing w:line="360" w:lineRule="auto"/>
        <w:rPr>
          <w:b/>
          <w:bCs/>
          <w:sz w:val="28"/>
          <w:szCs w:val="28"/>
        </w:rPr>
      </w:pPr>
      <w:r w:rsidRPr="00F408E9">
        <w:rPr>
          <w:b/>
          <w:bCs/>
          <w:sz w:val="28"/>
          <w:szCs w:val="28"/>
        </w:rPr>
        <w:t>Observation 1</w:t>
      </w:r>
    </w:p>
    <w:p w14:paraId="53280107" w14:textId="77777777" w:rsidR="00F408E9" w:rsidRDefault="00F408E9" w:rsidP="00F408E9">
      <w:pPr>
        <w:spacing w:line="360" w:lineRule="auto"/>
      </w:pPr>
    </w:p>
    <w:p w14:paraId="40BC451B" w14:textId="77777777" w:rsidR="00F408E9" w:rsidRDefault="00F408E9" w:rsidP="00F408E9">
      <w:pPr>
        <w:spacing w:line="360" w:lineRule="auto"/>
      </w:pPr>
      <w:r>
        <w:t xml:space="preserve">In observation 1 it was clear to me that lecturer A was open and honest with the group by making it clear that it was going to be a heavy lesson due to there being a lot of theory to cover. Many educational resources advocate teachers to be honest with their students to build trust, transparency, security and an opportunity to promote a deeper level of engagement during the lesson, Rogers (1969).  Additionally, Lecturer A started the lesson with a task that was set for each group at the end of the previous lecture. Marzano (2007) discusses the importance of having a hook at the start of a lesson to create an environment where students are mentally prepared and ready to learn. Students had previously been divided into three groups to introduce, set the scene and discuss the achievement of the "This Girl Can" campaign. This engaged the students with their learning straight away due to this activity acting as a 'hook' to spark motivation and engagement on knowledge learned previously in the lesson. </w:t>
      </w:r>
    </w:p>
    <w:p w14:paraId="11B3F54D" w14:textId="77777777" w:rsidR="00F408E9" w:rsidRDefault="00F408E9" w:rsidP="00F408E9">
      <w:pPr>
        <w:spacing w:line="360" w:lineRule="auto"/>
      </w:pPr>
    </w:p>
    <w:p w14:paraId="3FD6524E" w14:textId="77777777" w:rsidR="00F408E9" w:rsidRDefault="00F408E9" w:rsidP="00F408E9">
      <w:pPr>
        <w:spacing w:line="360" w:lineRule="auto"/>
      </w:pPr>
      <w:r>
        <w:lastRenderedPageBreak/>
        <w:t xml:space="preserve">After talking for the first section of the lesson, Lecturer A split students into two groups to do a writing task on childhood obesity. Splitting students into different groups was a great way to adapt to different learning styles due to different methods working for everyone. Furthermore, encouraging students to work as a group helps to build communication skills and develop critical thinking skills. Vygotsky (1978) supports teamwork due to his understanding of how students benefit from social interaction while learning. Thinking skills are developed through collaborative activities where actions are learnt from those around them. This is shown through Vygotsky's theory on the 'Zone of proximal development'.  Following the group activity students were split into pairs to propose an idea to tackle obesity. Splitting from groups into pairs was another great way to adapt to enhance communication, and to increase concentration on the new task. An open discussion then started for every pair to present their ideas. This provided an opportunity for Lecturer A to assess how well each student understood the task. Shute (2008) discusses how formative feedback promotes long-term knowledge retention and understanding. Following presenting as a pair, Lecturer A provided feedback to each pair after listening to their ideas. Lecturer A remained respectable to every student accepting all ideas presented to them which provided a safe learning environment for students. Vygotsky (1978) supports this by stating that learning is best achieved through shared ideas. Having a teacher who accepts all ideas helps to build a learning environment that encourages students to feel valued and enhances cognitive development. </w:t>
      </w:r>
    </w:p>
    <w:p w14:paraId="1C20512E" w14:textId="77777777" w:rsidR="00F408E9" w:rsidRDefault="00F408E9" w:rsidP="00F408E9">
      <w:pPr>
        <w:spacing w:line="360" w:lineRule="auto"/>
      </w:pPr>
    </w:p>
    <w:p w14:paraId="1ED71932" w14:textId="77777777" w:rsidR="00F408E9" w:rsidRDefault="00F408E9" w:rsidP="00F408E9">
      <w:pPr>
        <w:spacing w:line="360" w:lineRule="auto"/>
      </w:pPr>
      <w:r>
        <w:t>Lecturer A was noticeably accommodating to all students going around to each student 1:1 to help with anything they might have been struggling with. This provided students the opportunity to discuss anything they might be finding difficult or didn't understand. Lecturer A's tactic of going around and having 1:1 time with each student could help to identify an individual's needs, offer personalized guidance, and foster a deeper understanding of content, which promotes better academic outcomes, Hattie (2009).</w:t>
      </w:r>
    </w:p>
    <w:p w14:paraId="63957BAD" w14:textId="77777777" w:rsidR="00F408E9" w:rsidRDefault="00F408E9" w:rsidP="00F408E9">
      <w:pPr>
        <w:spacing w:line="360" w:lineRule="auto"/>
      </w:pPr>
    </w:p>
    <w:p w14:paraId="78B67A67" w14:textId="77777777" w:rsidR="00F408E9" w:rsidRDefault="00F408E9" w:rsidP="00F408E9">
      <w:pPr>
        <w:spacing w:line="360" w:lineRule="auto"/>
      </w:pPr>
    </w:p>
    <w:p w14:paraId="0B82CA77" w14:textId="77777777" w:rsidR="00F408E9" w:rsidRPr="00F408E9" w:rsidRDefault="00F408E9" w:rsidP="00F408E9">
      <w:pPr>
        <w:spacing w:line="360" w:lineRule="auto"/>
        <w:rPr>
          <w:b/>
          <w:bCs/>
          <w:sz w:val="28"/>
          <w:szCs w:val="28"/>
        </w:rPr>
      </w:pPr>
      <w:r w:rsidRPr="00F408E9">
        <w:rPr>
          <w:b/>
          <w:bCs/>
          <w:sz w:val="28"/>
          <w:szCs w:val="28"/>
        </w:rPr>
        <w:t>Observation 2</w:t>
      </w:r>
    </w:p>
    <w:p w14:paraId="339DF340" w14:textId="77777777" w:rsidR="00F408E9" w:rsidRDefault="00F408E9" w:rsidP="00F408E9">
      <w:pPr>
        <w:spacing w:line="360" w:lineRule="auto"/>
      </w:pPr>
    </w:p>
    <w:p w14:paraId="4D89A4AF" w14:textId="77777777" w:rsidR="00F408E9" w:rsidRDefault="00F408E9" w:rsidP="00F408E9">
      <w:pPr>
        <w:spacing w:line="360" w:lineRule="auto"/>
      </w:pPr>
      <w:r>
        <w:t xml:space="preserve">Lecturer B used the first hour of the lesson to discuss the topic of coaching providing in-depth information and the definition of coaching. Following a heavy first hour of learning, Lecturer B had students scan a QR code and create a mind map on </w:t>
      </w:r>
      <w:proofErr w:type="spellStart"/>
      <w:r>
        <w:t>Menti</w:t>
      </w:r>
      <w:proofErr w:type="spellEnd"/>
      <w:r>
        <w:t xml:space="preserve"> revising all the key characteristics of coaching that they had learnt in the first hour of the lecture. </w:t>
      </w:r>
      <w:proofErr w:type="spellStart"/>
      <w:r>
        <w:t>Pegrum</w:t>
      </w:r>
      <w:proofErr w:type="spellEnd"/>
      <w:r>
        <w:t xml:space="preserve"> </w:t>
      </w:r>
      <w:proofErr w:type="gramStart"/>
      <w:r>
        <w:t>et al.,(</w:t>
      </w:r>
      <w:proofErr w:type="gramEnd"/>
      <w:r>
        <w:t xml:space="preserve">2014), support the idea of using digital resources in class due to its way of preparing students for the digital world in the 21st century. It is important to incorporate technology into lessons to promise digital literacy helping students to use tools effectively to communicate, create and collaborate. Along with using </w:t>
      </w:r>
      <w:proofErr w:type="spellStart"/>
      <w:r>
        <w:t>Menti</w:t>
      </w:r>
      <w:proofErr w:type="spellEnd"/>
      <w:r>
        <w:t xml:space="preserve"> to use technology, it was also a great way to assess the students learning by seeing what knowledge they have learnt in the first part of the lecture. Embedding formative assessment into every lecture is a great way to monitor and guide students' learning there and then. Using puzzles and quizzes to do this can help lecturers tailor instructions and meet students' needs improving educational outcomes, William (2011). </w:t>
      </w:r>
    </w:p>
    <w:p w14:paraId="347F9D86" w14:textId="77777777" w:rsidR="00F408E9" w:rsidRDefault="00F408E9" w:rsidP="00F408E9">
      <w:pPr>
        <w:spacing w:line="360" w:lineRule="auto"/>
      </w:pPr>
    </w:p>
    <w:p w14:paraId="1ECAF041" w14:textId="77777777" w:rsidR="00F408E9" w:rsidRDefault="00F408E9" w:rsidP="00F408E9">
      <w:pPr>
        <w:spacing w:line="360" w:lineRule="auto"/>
      </w:pPr>
      <w:r>
        <w:t xml:space="preserve">Following a heavy lecture, Lecturer B then decided to move the rest of the lecture over to the LC2 to conduct a practical tennis session. This was a good idea by Lecturer B due to research showing that students actively engage with the material, digest it through reflection, and apply it in real-world situations with the support of practical, hands-on lessons, Kolb (1984). In the LC2, students were required to learn new tennis techniques that were demonstrated by Lecturer B. It is believed that students gain knowledge from both verbal and visual information which improves learning when activities are demonstrated to them. Mayer (2009) reinforces that explanations combined with visual demonstrations can improve comprehension, especially for those who are visual learners. This supports Lecturer B's method of demonstrating the movement, technique and strategy so that all students have a better understanding. </w:t>
      </w:r>
    </w:p>
    <w:p w14:paraId="6A6FA788" w14:textId="77777777" w:rsidR="00F408E9" w:rsidRDefault="00F408E9" w:rsidP="00F408E9">
      <w:pPr>
        <w:spacing w:line="360" w:lineRule="auto"/>
      </w:pPr>
    </w:p>
    <w:p w14:paraId="587AF5E7" w14:textId="77777777" w:rsidR="00F408E9" w:rsidRDefault="00F408E9" w:rsidP="00F408E9">
      <w:pPr>
        <w:spacing w:line="360" w:lineRule="auto"/>
      </w:pPr>
    </w:p>
    <w:p w14:paraId="00389589" w14:textId="77777777" w:rsidR="00F408E9" w:rsidRPr="00F408E9" w:rsidRDefault="00F408E9" w:rsidP="00F408E9">
      <w:pPr>
        <w:spacing w:line="360" w:lineRule="auto"/>
        <w:rPr>
          <w:b/>
          <w:bCs/>
          <w:sz w:val="28"/>
          <w:szCs w:val="28"/>
        </w:rPr>
      </w:pPr>
      <w:r w:rsidRPr="00F408E9">
        <w:rPr>
          <w:b/>
          <w:bCs/>
          <w:sz w:val="28"/>
          <w:szCs w:val="28"/>
        </w:rPr>
        <w:t xml:space="preserve">Comparison </w:t>
      </w:r>
    </w:p>
    <w:p w14:paraId="15CD4A7D" w14:textId="77777777" w:rsidR="00F408E9" w:rsidRDefault="00F408E9" w:rsidP="00F408E9">
      <w:pPr>
        <w:spacing w:line="360" w:lineRule="auto"/>
      </w:pPr>
    </w:p>
    <w:p w14:paraId="7FAF6D35" w14:textId="7691A9E2" w:rsidR="00F408E9" w:rsidRDefault="00F408E9" w:rsidP="00F408E9">
      <w:pPr>
        <w:spacing w:line="360" w:lineRule="auto"/>
      </w:pPr>
      <w:r>
        <w:lastRenderedPageBreak/>
        <w:t xml:space="preserve">Both Lecturers A and B decided to divide the class into groups and pairs to do work. Differently, </w:t>
      </w:r>
      <w:r>
        <w:t>Lecturer A</w:t>
      </w:r>
      <w:r>
        <w:t xml:space="preserve"> used group work effectively to spark communication. Johnson et al., (2014), discuss the advantages of cooperative learning, including group discussions.  It emphasises how group discussions help students become more critical thinkers, enhance their communication abilities, and get more involved with the material. Additionally, Lecturer B used group work however to do a physical activity. Research by Beauchamp et al., (2007), highlights the psychological advantages of group exercise, such as improved enjoyment, motivation, and accountability. The article contends that group exercise's social interactions motivate individuals to exert more effort than they otherwise might, which enhances performance and adherence. While both lecturers used group work differently, research deems both ways to be effective </w:t>
      </w:r>
    </w:p>
    <w:p w14:paraId="07FD839F" w14:textId="77777777" w:rsidR="00F408E9" w:rsidRDefault="00F408E9" w:rsidP="00F408E9">
      <w:pPr>
        <w:spacing w:line="360" w:lineRule="auto"/>
      </w:pPr>
      <w:r>
        <w:t>to improve increased retention and academic achievement due to cooperative learning.</w:t>
      </w:r>
    </w:p>
    <w:p w14:paraId="23AF2FEC" w14:textId="77777777" w:rsidR="00F408E9" w:rsidRDefault="00F408E9" w:rsidP="00F408E9">
      <w:pPr>
        <w:spacing w:line="360" w:lineRule="auto"/>
      </w:pPr>
    </w:p>
    <w:p w14:paraId="12CE3D50" w14:textId="77777777" w:rsidR="00F408E9" w:rsidRDefault="00F408E9" w:rsidP="00F408E9">
      <w:pPr>
        <w:spacing w:line="360" w:lineRule="auto"/>
      </w:pPr>
      <w:r>
        <w:t xml:space="preserve">Similarly, both lecturers used the student's voice to lead the teaching. Lecturer B did this </w:t>
      </w:r>
      <w:proofErr w:type="gramStart"/>
      <w:r>
        <w:t>through the use of</w:t>
      </w:r>
      <w:proofErr w:type="gramEnd"/>
      <w:r>
        <w:t xml:space="preserve"> a </w:t>
      </w:r>
      <w:proofErr w:type="spellStart"/>
      <w:r>
        <w:t>Menti</w:t>
      </w:r>
      <w:proofErr w:type="spellEnd"/>
      <w:r>
        <w:t xml:space="preserve"> mind map, which aimed to collect points on the new things they had learnt at the start of the lesson. A </w:t>
      </w:r>
      <w:proofErr w:type="spellStart"/>
      <w:r>
        <w:t>Menti</w:t>
      </w:r>
      <w:proofErr w:type="spellEnd"/>
      <w:r>
        <w:t xml:space="preserve"> mind map is a great way for all students to participate in a lesson anonymously which is important to students who might be shy or embarrassed to speak.  Differently, Lecturer A used a Q&amp;A on a PowerPoint to engage students with the lesson. Research </w:t>
      </w:r>
      <w:proofErr w:type="gramStart"/>
      <w:r>
        <w:t>by  Dillon</w:t>
      </w:r>
      <w:proofErr w:type="gramEnd"/>
      <w:r>
        <w:t xml:space="preserve"> (1988) discusses the art of questioning in the classroom and shows how Q&amp;A methods can pique students' curiosity, make knowledge clear, and encourage deeper involvement with the material. He emphasises how creating an engaging classroom environment where students feel more involved in the learning process may be achieved by posing questions and encouraging responses. Although both lecturers used different ways to test knowledge, both ways were deemed effective and interesting to students. </w:t>
      </w:r>
    </w:p>
    <w:p w14:paraId="0D12F1F8" w14:textId="77777777" w:rsidR="00F408E9" w:rsidRDefault="00F408E9" w:rsidP="00F408E9">
      <w:pPr>
        <w:spacing w:line="360" w:lineRule="auto"/>
      </w:pPr>
    </w:p>
    <w:p w14:paraId="2AD96AA5" w14:textId="77777777" w:rsidR="00F408E9" w:rsidRDefault="00F408E9" w:rsidP="00F408E9">
      <w:pPr>
        <w:spacing w:line="360" w:lineRule="auto"/>
      </w:pPr>
      <w:r>
        <w:t xml:space="preserve">According to Black et al. (1998), talking about the material for upcoming lessons is consistent with formative assessment concepts since it enables students to comprehend learning goals and evaluate their preparedness. It was clear in the observation that Lecturer A focussed heavily on this. At the start of the lesson students were made to do a task that they ended within the previous lecture and at the end of the lesson, Lecturer A set a task for the students to research ready for the next lecture. </w:t>
      </w:r>
      <w:r>
        <w:lastRenderedPageBreak/>
        <w:t>Differently, lecturer B didn't discuss what had happened in the previous lecture or what the aims were for the next lecture. Marzano et al., (2001) believe that teachers who do not discuss previous or future aims may supply students with a lack of context, lack of ideas and lack of understanding within the topic. This ultimately could hinder students' achievement within the subject leading to possible failure. Students feel more engaged in the learning process and are more prepared for the aims of the next lesson when they are aware of what will happen next.</w:t>
      </w:r>
    </w:p>
    <w:p w14:paraId="71DD1494" w14:textId="77777777" w:rsidR="00F408E9" w:rsidRDefault="00F408E9" w:rsidP="00F408E9">
      <w:pPr>
        <w:spacing w:line="360" w:lineRule="auto"/>
      </w:pPr>
    </w:p>
    <w:p w14:paraId="6795E543" w14:textId="17204024" w:rsidR="00F408E9" w:rsidRDefault="00F408E9" w:rsidP="00F408E9">
      <w:pPr>
        <w:spacing w:line="360" w:lineRule="auto"/>
      </w:pPr>
      <w:r>
        <w:t>For the last part of the session, Lecturer B turned the tennis lesson into a competition. Johnson et al., (1994), support Lecturer B's strategy to open competition in the lesson however it must be applied properly, to ensure that competition can promote learning. Lecturer B's strategy to open a tennis competition fostered a dynamic and demanding environment, competition can improve performance and engagement in real-world contexts. This was also a great way to assess learning which was similarity done in a lecture but in a different way by Lecturer A. Lecturer A assessed learning by making groups of students present and discuss findings on a topic. While Lecturer B did not have students discuss anything, it allowed Lecturer B to observe if students had learned by seeing them use the technique.  Danielson (2007) can better understand students' learning styles, levels of involvement, and requirements by using a variety of observation techniques, such as scheduled evaluations and informal observation. Both Lecturers A and B both used formative assessment in their lessons however in two different but effective ways.</w:t>
      </w:r>
    </w:p>
    <w:p w14:paraId="3293D0A9" w14:textId="77777777" w:rsidR="00F408E9" w:rsidRDefault="00F408E9" w:rsidP="00F408E9">
      <w:pPr>
        <w:spacing w:line="360" w:lineRule="auto"/>
      </w:pPr>
    </w:p>
    <w:p w14:paraId="0BE59E45" w14:textId="28E4E532" w:rsidR="00103C14" w:rsidRPr="00F408E9" w:rsidRDefault="00103C14" w:rsidP="00F408E9">
      <w:pPr>
        <w:spacing w:line="360" w:lineRule="auto"/>
        <w:rPr>
          <w:b/>
          <w:bCs/>
          <w:sz w:val="28"/>
          <w:szCs w:val="28"/>
        </w:rPr>
      </w:pPr>
      <w:r w:rsidRPr="00F408E9">
        <w:rPr>
          <w:b/>
          <w:bCs/>
          <w:sz w:val="28"/>
          <w:szCs w:val="28"/>
        </w:rPr>
        <w:t xml:space="preserve">Action Plan </w:t>
      </w:r>
    </w:p>
    <w:p w14:paraId="1CBEFCAD" w14:textId="77777777" w:rsidR="00103C14" w:rsidRDefault="00103C14" w:rsidP="00F408E9">
      <w:pPr>
        <w:spacing w:line="360" w:lineRule="auto"/>
        <w:rPr>
          <w:b/>
          <w:bCs/>
        </w:rPr>
      </w:pPr>
    </w:p>
    <w:p w14:paraId="4D8A53AA" w14:textId="64CFD825" w:rsidR="00103C14" w:rsidRPr="00103C14" w:rsidRDefault="00103C14" w:rsidP="00F408E9">
      <w:pPr>
        <w:spacing w:line="360" w:lineRule="auto"/>
      </w:pPr>
      <w:r w:rsidRPr="00103C14">
        <w:t xml:space="preserve">Following </w:t>
      </w:r>
      <w:r>
        <w:t xml:space="preserve">observing both lecturers, there are some great tips that can be taken and used in my future lessons. After comparing both the strengths and weaknesses of both lecturers, I have created an action plan that includes some of the strategies that improve student engagement, academic attainment and cater to all students needs. The action plan includes the objectives, action plan, strategies and a timeline </w:t>
      </w:r>
      <w:r w:rsidR="00F408E9">
        <w:t>that I</w:t>
      </w:r>
      <w:r>
        <w:t xml:space="preserve"> aim to follow, adapt and include in future lessons. </w:t>
      </w:r>
    </w:p>
    <w:p w14:paraId="618E0991" w14:textId="77777777" w:rsidR="00840926" w:rsidRDefault="00840926"/>
    <w:tbl>
      <w:tblPr>
        <w:tblStyle w:val="TableGrid"/>
        <w:tblW w:w="0" w:type="auto"/>
        <w:tblLook w:val="04A0" w:firstRow="1" w:lastRow="0" w:firstColumn="1" w:lastColumn="0" w:noHBand="0" w:noVBand="1"/>
      </w:tblPr>
      <w:tblGrid>
        <w:gridCol w:w="2254"/>
        <w:gridCol w:w="2254"/>
        <w:gridCol w:w="2254"/>
        <w:gridCol w:w="2254"/>
      </w:tblGrid>
      <w:tr w:rsidR="00840926" w14:paraId="0BDCAC1E" w14:textId="77777777" w:rsidTr="00840926">
        <w:tc>
          <w:tcPr>
            <w:tcW w:w="2254" w:type="dxa"/>
          </w:tcPr>
          <w:p w14:paraId="31AFDBC8" w14:textId="772D58F9" w:rsidR="00840926" w:rsidRPr="00F408E9" w:rsidRDefault="00840926">
            <w:pPr>
              <w:rPr>
                <w:b/>
                <w:bCs/>
              </w:rPr>
            </w:pPr>
            <w:r w:rsidRPr="00F408E9">
              <w:rPr>
                <w:b/>
                <w:bCs/>
              </w:rPr>
              <w:t xml:space="preserve">Objectives </w:t>
            </w:r>
          </w:p>
        </w:tc>
        <w:tc>
          <w:tcPr>
            <w:tcW w:w="2254" w:type="dxa"/>
          </w:tcPr>
          <w:p w14:paraId="428F67CA" w14:textId="4190AA8F" w:rsidR="00840926" w:rsidRPr="00F408E9" w:rsidRDefault="00840926">
            <w:pPr>
              <w:rPr>
                <w:b/>
                <w:bCs/>
              </w:rPr>
            </w:pPr>
            <w:r w:rsidRPr="00F408E9">
              <w:rPr>
                <w:b/>
                <w:bCs/>
              </w:rPr>
              <w:t xml:space="preserve">Action plan </w:t>
            </w:r>
          </w:p>
        </w:tc>
        <w:tc>
          <w:tcPr>
            <w:tcW w:w="2254" w:type="dxa"/>
          </w:tcPr>
          <w:p w14:paraId="128D8BF3" w14:textId="1F646428" w:rsidR="00840926" w:rsidRPr="00F408E9" w:rsidRDefault="00840926">
            <w:pPr>
              <w:rPr>
                <w:b/>
                <w:bCs/>
              </w:rPr>
            </w:pPr>
            <w:r w:rsidRPr="00F408E9">
              <w:rPr>
                <w:b/>
                <w:bCs/>
              </w:rPr>
              <w:t>Strategies</w:t>
            </w:r>
          </w:p>
        </w:tc>
        <w:tc>
          <w:tcPr>
            <w:tcW w:w="2254" w:type="dxa"/>
          </w:tcPr>
          <w:p w14:paraId="5B3E9B67" w14:textId="6FA774F2" w:rsidR="00840926" w:rsidRPr="00F408E9" w:rsidRDefault="00840926">
            <w:pPr>
              <w:rPr>
                <w:b/>
                <w:bCs/>
              </w:rPr>
            </w:pPr>
            <w:r w:rsidRPr="00F408E9">
              <w:rPr>
                <w:b/>
                <w:bCs/>
              </w:rPr>
              <w:t>Timeline</w:t>
            </w:r>
          </w:p>
        </w:tc>
      </w:tr>
      <w:tr w:rsidR="00840926" w14:paraId="091CA451" w14:textId="77777777" w:rsidTr="00840926">
        <w:tc>
          <w:tcPr>
            <w:tcW w:w="2254" w:type="dxa"/>
          </w:tcPr>
          <w:p w14:paraId="2BC3AB61" w14:textId="2B4BCDB6" w:rsidR="00840926" w:rsidRDefault="00840926">
            <w:r>
              <w:t xml:space="preserve">Enhance lesson planning </w:t>
            </w:r>
          </w:p>
        </w:tc>
        <w:tc>
          <w:tcPr>
            <w:tcW w:w="2254" w:type="dxa"/>
          </w:tcPr>
          <w:p w14:paraId="0C926FB9" w14:textId="38056099" w:rsidR="00840926" w:rsidRDefault="00840926">
            <w:r>
              <w:t>To improve planning every lesson so that every lesson links together.</w:t>
            </w:r>
          </w:p>
        </w:tc>
        <w:tc>
          <w:tcPr>
            <w:tcW w:w="2254" w:type="dxa"/>
          </w:tcPr>
          <w:p w14:paraId="3E3A511D" w14:textId="77777777" w:rsidR="00840926" w:rsidRDefault="00840926">
            <w:r>
              <w:t>To discuss with other lecturers how they achieve this.</w:t>
            </w:r>
          </w:p>
          <w:p w14:paraId="56ECB114" w14:textId="77777777" w:rsidR="00840926" w:rsidRDefault="00840926"/>
          <w:p w14:paraId="68D4CA9F" w14:textId="41579D9B" w:rsidR="00840926" w:rsidRDefault="00840926">
            <w:r>
              <w:t xml:space="preserve">To do further research on teaching strategies. </w:t>
            </w:r>
          </w:p>
        </w:tc>
        <w:tc>
          <w:tcPr>
            <w:tcW w:w="2254" w:type="dxa"/>
          </w:tcPr>
          <w:p w14:paraId="466E1B5D" w14:textId="6B319BA6" w:rsidR="00840926" w:rsidRDefault="00840926">
            <w:r>
              <w:t>2 months</w:t>
            </w:r>
          </w:p>
        </w:tc>
      </w:tr>
      <w:tr w:rsidR="00840926" w14:paraId="47FB8689" w14:textId="77777777" w:rsidTr="00840926">
        <w:tc>
          <w:tcPr>
            <w:tcW w:w="2254" w:type="dxa"/>
          </w:tcPr>
          <w:p w14:paraId="2AD86FA0" w14:textId="7247D0E7" w:rsidR="00840926" w:rsidRDefault="00840926">
            <w:r>
              <w:t xml:space="preserve">To do more groupwork </w:t>
            </w:r>
          </w:p>
        </w:tc>
        <w:tc>
          <w:tcPr>
            <w:tcW w:w="2254" w:type="dxa"/>
          </w:tcPr>
          <w:p w14:paraId="4C3F0971" w14:textId="49AFD534" w:rsidR="00840926" w:rsidRDefault="00840926">
            <w:r>
              <w:t>To allow students to do more pair/ groupwork in lessons to spark creativity and enhance learning.</w:t>
            </w:r>
          </w:p>
        </w:tc>
        <w:tc>
          <w:tcPr>
            <w:tcW w:w="2254" w:type="dxa"/>
          </w:tcPr>
          <w:p w14:paraId="295A165C" w14:textId="14A647E5" w:rsidR="00840926" w:rsidRDefault="00840926">
            <w:r>
              <w:t>After observing two lecturers I now have some ideas on what activities could be affective in the classroom.</w:t>
            </w:r>
          </w:p>
        </w:tc>
        <w:tc>
          <w:tcPr>
            <w:tcW w:w="2254" w:type="dxa"/>
          </w:tcPr>
          <w:p w14:paraId="001886E4" w14:textId="333B88EE" w:rsidR="00840926" w:rsidRDefault="00840926">
            <w:r>
              <w:t>1 month</w:t>
            </w:r>
          </w:p>
        </w:tc>
      </w:tr>
      <w:tr w:rsidR="00840926" w14:paraId="78C90652" w14:textId="77777777" w:rsidTr="00840926">
        <w:tc>
          <w:tcPr>
            <w:tcW w:w="2254" w:type="dxa"/>
          </w:tcPr>
          <w:p w14:paraId="176507F8" w14:textId="3B706609" w:rsidR="00840926" w:rsidRDefault="00840926">
            <w:r>
              <w:t xml:space="preserve">To use other learning environments </w:t>
            </w:r>
          </w:p>
        </w:tc>
        <w:tc>
          <w:tcPr>
            <w:tcW w:w="2254" w:type="dxa"/>
          </w:tcPr>
          <w:p w14:paraId="19EF802D" w14:textId="3878A92B" w:rsidR="00840926" w:rsidRDefault="00840926">
            <w:r>
              <w:t>To plan lessons for somewhere other than a classroom. Using outdoor space or the leisure centre like lecturer B would be a great idea.</w:t>
            </w:r>
          </w:p>
        </w:tc>
        <w:tc>
          <w:tcPr>
            <w:tcW w:w="2254" w:type="dxa"/>
          </w:tcPr>
          <w:p w14:paraId="1414F1FA" w14:textId="3F676A1C" w:rsidR="00840926" w:rsidRDefault="00840926">
            <w:r>
              <w:t xml:space="preserve">To plan practical sessions outdoor or in the leisure centre so that students can do practical activities so enhance learning. </w:t>
            </w:r>
          </w:p>
        </w:tc>
        <w:tc>
          <w:tcPr>
            <w:tcW w:w="2254" w:type="dxa"/>
          </w:tcPr>
          <w:p w14:paraId="0293BD12" w14:textId="5408DC8F" w:rsidR="00840926" w:rsidRDefault="00840926" w:rsidP="00840926">
            <w:r>
              <w:t xml:space="preserve">1-2 months </w:t>
            </w:r>
          </w:p>
        </w:tc>
      </w:tr>
      <w:tr w:rsidR="00840926" w14:paraId="05B66764" w14:textId="77777777" w:rsidTr="00840926">
        <w:tc>
          <w:tcPr>
            <w:tcW w:w="2254" w:type="dxa"/>
          </w:tcPr>
          <w:p w14:paraId="24D525E6" w14:textId="2187E868" w:rsidR="00840926" w:rsidRDefault="00840926">
            <w:r>
              <w:t xml:space="preserve">To explore other technology </w:t>
            </w:r>
          </w:p>
        </w:tc>
        <w:tc>
          <w:tcPr>
            <w:tcW w:w="2254" w:type="dxa"/>
          </w:tcPr>
          <w:p w14:paraId="201BA7B9" w14:textId="3FAFF383" w:rsidR="00840926" w:rsidRDefault="00840926">
            <w:r>
              <w:t>To research strategies for students to use digital technology in the lesson to participate and answer Q&amp;A’s</w:t>
            </w:r>
          </w:p>
        </w:tc>
        <w:tc>
          <w:tcPr>
            <w:tcW w:w="2254" w:type="dxa"/>
          </w:tcPr>
          <w:p w14:paraId="5FFE1C67" w14:textId="69E6B78B" w:rsidR="00840926" w:rsidRDefault="00840926">
            <w:r>
              <w:t xml:space="preserve">Using </w:t>
            </w:r>
            <w:proofErr w:type="spellStart"/>
            <w:r>
              <w:t>Menti</w:t>
            </w:r>
            <w:proofErr w:type="spellEnd"/>
            <w:r>
              <w:t xml:space="preserve"> </w:t>
            </w:r>
            <w:r w:rsidR="00F408E9">
              <w:t xml:space="preserve">like </w:t>
            </w:r>
            <w:r>
              <w:t>Lecturer B was a great way for students to participate. Researching other ways would also be effective.</w:t>
            </w:r>
          </w:p>
        </w:tc>
        <w:tc>
          <w:tcPr>
            <w:tcW w:w="2254" w:type="dxa"/>
          </w:tcPr>
          <w:p w14:paraId="32947E1A" w14:textId="2DB33361" w:rsidR="00840926" w:rsidRDefault="00840926" w:rsidP="00840926">
            <w:r>
              <w:t>1-2 months</w:t>
            </w:r>
          </w:p>
        </w:tc>
      </w:tr>
      <w:tr w:rsidR="00840926" w14:paraId="35A058F1" w14:textId="77777777" w:rsidTr="00840926">
        <w:tc>
          <w:tcPr>
            <w:tcW w:w="2254" w:type="dxa"/>
          </w:tcPr>
          <w:p w14:paraId="46D88041" w14:textId="6CF69D6E" w:rsidR="00840926" w:rsidRDefault="00E211BF">
            <w:r>
              <w:t>Make time for every student</w:t>
            </w:r>
          </w:p>
        </w:tc>
        <w:tc>
          <w:tcPr>
            <w:tcW w:w="2254" w:type="dxa"/>
          </w:tcPr>
          <w:p w14:paraId="7ABD0E9C" w14:textId="1C29A0BD" w:rsidR="00840926" w:rsidRDefault="00E211BF">
            <w:r>
              <w:t>Ensure that every student has an opportunity to interact 1:1 with me during the lecture to ensure that every student’s needs are met.</w:t>
            </w:r>
          </w:p>
        </w:tc>
        <w:tc>
          <w:tcPr>
            <w:tcW w:w="2254" w:type="dxa"/>
          </w:tcPr>
          <w:p w14:paraId="41E65E13" w14:textId="127F9B01" w:rsidR="00840926" w:rsidRDefault="00E211BF">
            <w:r>
              <w:t xml:space="preserve">Allow time in the lesson to walk around the room to talk to every </w:t>
            </w:r>
            <w:r w:rsidR="00103C14">
              <w:t>student</w:t>
            </w:r>
            <w:r>
              <w:t xml:space="preserve"> to ask if they have any questions they’d like to discuss or if they needed help with anything.</w:t>
            </w:r>
          </w:p>
        </w:tc>
        <w:tc>
          <w:tcPr>
            <w:tcW w:w="2254" w:type="dxa"/>
          </w:tcPr>
          <w:p w14:paraId="3DB3CBDB" w14:textId="37EEA3AB" w:rsidR="00840926" w:rsidRDefault="00E211BF" w:rsidP="00840926">
            <w:r>
              <w:t>2 months</w:t>
            </w:r>
          </w:p>
        </w:tc>
      </w:tr>
    </w:tbl>
    <w:p w14:paraId="4559888C" w14:textId="77777777" w:rsidR="00840926" w:rsidRDefault="00840926"/>
    <w:p w14:paraId="245090A6" w14:textId="77777777" w:rsidR="00F408E9" w:rsidRDefault="00F408E9" w:rsidP="00F408E9">
      <w:pPr>
        <w:rPr>
          <w:b/>
          <w:bCs/>
          <w:sz w:val="28"/>
          <w:szCs w:val="28"/>
        </w:rPr>
      </w:pPr>
    </w:p>
    <w:p w14:paraId="5BF7BE79" w14:textId="353A9AC7" w:rsidR="00F408E9" w:rsidRPr="00F408E9" w:rsidRDefault="00F408E9" w:rsidP="00F408E9">
      <w:pPr>
        <w:rPr>
          <w:b/>
          <w:bCs/>
          <w:sz w:val="28"/>
          <w:szCs w:val="28"/>
        </w:rPr>
      </w:pPr>
      <w:r w:rsidRPr="00F408E9">
        <w:rPr>
          <w:b/>
          <w:bCs/>
          <w:sz w:val="28"/>
          <w:szCs w:val="28"/>
        </w:rPr>
        <w:t xml:space="preserve">Conclusion </w:t>
      </w:r>
    </w:p>
    <w:p w14:paraId="4A53126E" w14:textId="77777777" w:rsidR="00F408E9" w:rsidRDefault="00F408E9" w:rsidP="00F408E9"/>
    <w:p w14:paraId="6FF6E411" w14:textId="77777777" w:rsidR="00F408E9" w:rsidRDefault="00F408E9" w:rsidP="00F408E9">
      <w:pPr>
        <w:spacing w:line="360" w:lineRule="auto"/>
      </w:pPr>
      <w:r>
        <w:lastRenderedPageBreak/>
        <w:t xml:space="preserve">After looking at both lecturers, both Lecturer A and Lecturer B use some great strategies in their lessons. Lecturer A looked at the past and planned the future while Lecturer B focussed more on the present. Research by many supports and encourages teachers to look at the past and present however, Lecturer B used the lecture to focus more on practical sporting skills rather than theory which allowed students to use skills outside of the classroom. From lecturer A I learned that it was important to plan well for every lecture. Lecturer A timed the lesson well and allowed enough time for students to do lots of group work rather than listening to the lecturer speak. Additionally, Lecturer A discussed the plan for the lesson at the beginning of the lecture to ensure that all students knew what was going to be happening. For some learners, routine and structure is important. As discussed previously by Marzano (2001), structured lessons provide a clear outlook for students which could benefit those who may have additional learning needs. Lecturer A catered to all and created an inclusive classroom environment. </w:t>
      </w:r>
    </w:p>
    <w:p w14:paraId="6D9865C5" w14:textId="77777777" w:rsidR="00F408E9" w:rsidRDefault="00F408E9" w:rsidP="00F408E9">
      <w:pPr>
        <w:spacing w:line="360" w:lineRule="auto"/>
      </w:pPr>
    </w:p>
    <w:p w14:paraId="0A8531AD" w14:textId="77777777" w:rsidR="00F408E9" w:rsidRDefault="00F408E9" w:rsidP="00F408E9">
      <w:pPr>
        <w:spacing w:line="360" w:lineRule="auto"/>
      </w:pPr>
      <w:r>
        <w:t xml:space="preserve">Observing Lecturer B taught me the importance of doing practical lessons. Students accomplish more in practical lessons due to them understanding the task by physically having to do it. Additionally, Lecturer B demonstrated a lot during the lesson which allowed visual learners to fully understand. Lecturer B also created an inclusive environment for a range of different learners. </w:t>
      </w:r>
    </w:p>
    <w:p w14:paraId="32CF7E1C" w14:textId="77777777" w:rsidR="00F408E9" w:rsidRDefault="00F408E9" w:rsidP="00F408E9">
      <w:pPr>
        <w:spacing w:line="360" w:lineRule="auto"/>
      </w:pPr>
    </w:p>
    <w:p w14:paraId="5F05BC4D" w14:textId="43D263A4" w:rsidR="000E1E06" w:rsidRDefault="00F408E9" w:rsidP="00F408E9">
      <w:pPr>
        <w:spacing w:line="360" w:lineRule="auto"/>
      </w:pPr>
      <w:r>
        <w:t xml:space="preserve">In conclusion, observing both lecturers </w:t>
      </w:r>
      <w:proofErr w:type="gramStart"/>
      <w:r>
        <w:t>has</w:t>
      </w:r>
      <w:proofErr w:type="gramEnd"/>
      <w:r>
        <w:t xml:space="preserve"> provided knowledge and understanding on how to create an inclusive environment. Additionally, it has taught me a variety of ways to observe learners in the classroom through doing an array of activities. Finally, both lecturers have provided an understanding of ways to ensure that student engagement and academic attainment are best achieved using different life skills like groupwork. </w:t>
      </w:r>
      <w:r w:rsidR="00B832AF">
        <w:t xml:space="preserve"> </w:t>
      </w:r>
      <w:r w:rsidR="000E1E06">
        <w:t xml:space="preserve"> </w:t>
      </w:r>
    </w:p>
    <w:p w14:paraId="4676D9C1" w14:textId="77777777" w:rsidR="00D760FB" w:rsidRDefault="00D760FB" w:rsidP="00F408E9">
      <w:pPr>
        <w:spacing w:line="360" w:lineRule="auto"/>
      </w:pPr>
    </w:p>
    <w:p w14:paraId="27BF162E" w14:textId="34FE2A8A" w:rsidR="00D760FB" w:rsidRPr="00F408E9" w:rsidRDefault="00D760FB" w:rsidP="00F408E9">
      <w:pPr>
        <w:spacing w:line="360" w:lineRule="auto"/>
        <w:rPr>
          <w:b/>
          <w:bCs/>
          <w:sz w:val="28"/>
          <w:szCs w:val="28"/>
        </w:rPr>
      </w:pPr>
      <w:r w:rsidRPr="00F408E9">
        <w:rPr>
          <w:b/>
          <w:bCs/>
          <w:sz w:val="28"/>
          <w:szCs w:val="28"/>
        </w:rPr>
        <w:t xml:space="preserve">References </w:t>
      </w:r>
    </w:p>
    <w:p w14:paraId="07BE9E57" w14:textId="77777777" w:rsidR="00D760FB" w:rsidRDefault="00D760FB" w:rsidP="00F408E9">
      <w:pPr>
        <w:spacing w:line="360" w:lineRule="auto"/>
      </w:pPr>
    </w:p>
    <w:p w14:paraId="4C74245C" w14:textId="77777777" w:rsidR="00D760FB" w:rsidRDefault="00D760FB" w:rsidP="00F408E9">
      <w:pPr>
        <w:spacing w:line="360" w:lineRule="auto"/>
      </w:pPr>
      <w:proofErr w:type="gramStart"/>
      <w:r w:rsidRPr="00D760FB">
        <w:t>Beauchamp ,</w:t>
      </w:r>
      <w:proofErr w:type="gramEnd"/>
      <w:r w:rsidRPr="00D760FB">
        <w:t xml:space="preserve"> M. and Eys , M. (2007) </w:t>
      </w:r>
      <w:r w:rsidRPr="00D760FB">
        <w:rPr>
          <w:i/>
          <w:iCs/>
        </w:rPr>
        <w:t>Group Dynamics in exercise and sport psychology</w:t>
      </w:r>
      <w:r w:rsidRPr="00D760FB">
        <w:t>, </w:t>
      </w:r>
      <w:r w:rsidRPr="00D760FB">
        <w:rPr>
          <w:i/>
          <w:iCs/>
        </w:rPr>
        <w:t>Google Books</w:t>
      </w:r>
      <w:r w:rsidRPr="00D760FB">
        <w:t xml:space="preserve">. Available at: </w:t>
      </w:r>
      <w:r w:rsidRPr="00D760FB">
        <w:lastRenderedPageBreak/>
        <w:t>https://books.google.co.uk/books/about/Group_Dynamics_in_Exercise_and_Sport_Psy.html?id=UbkNGPu_FPMC&amp;redir_esc=y (Accessed: November 2024). </w:t>
      </w:r>
    </w:p>
    <w:p w14:paraId="1E874F63" w14:textId="77777777" w:rsidR="00D760FB" w:rsidRPr="00D760FB" w:rsidRDefault="00D760FB" w:rsidP="00F408E9">
      <w:pPr>
        <w:spacing w:line="360" w:lineRule="auto"/>
      </w:pPr>
    </w:p>
    <w:p w14:paraId="1EA3A954" w14:textId="77777777" w:rsidR="00D760FB" w:rsidRDefault="00D760FB" w:rsidP="00F408E9">
      <w:pPr>
        <w:spacing w:line="360" w:lineRule="auto"/>
      </w:pPr>
      <w:proofErr w:type="gramStart"/>
      <w:r w:rsidRPr="00D760FB">
        <w:t>Black ,</w:t>
      </w:r>
      <w:proofErr w:type="gramEnd"/>
      <w:r w:rsidRPr="00D760FB">
        <w:t xml:space="preserve"> P. and </w:t>
      </w:r>
      <w:proofErr w:type="spellStart"/>
      <w:r w:rsidRPr="00D760FB">
        <w:t>Wiliam</w:t>
      </w:r>
      <w:proofErr w:type="spellEnd"/>
      <w:r w:rsidRPr="00D760FB">
        <w:t xml:space="preserve"> , D. (2006) </w:t>
      </w:r>
      <w:r w:rsidRPr="00D760FB">
        <w:rPr>
          <w:i/>
          <w:iCs/>
        </w:rPr>
        <w:t>Assessment and Classroom Learning</w:t>
      </w:r>
      <w:r w:rsidRPr="00D760FB">
        <w:t>, </w:t>
      </w:r>
      <w:r w:rsidRPr="00D760FB">
        <w:rPr>
          <w:i/>
          <w:iCs/>
        </w:rPr>
        <w:t>Taylor &amp; Francis </w:t>
      </w:r>
      <w:r w:rsidRPr="00D760FB">
        <w:t>. Available at: https://www.tandfonline.com/doi/epdf/10.1080/0969595980050102?needAccess=true (Accessed: November 2024). </w:t>
      </w:r>
    </w:p>
    <w:p w14:paraId="5C5A4650" w14:textId="77777777" w:rsidR="00D760FB" w:rsidRPr="00D760FB" w:rsidRDefault="00D760FB" w:rsidP="00F408E9">
      <w:pPr>
        <w:spacing w:line="360" w:lineRule="auto"/>
      </w:pPr>
    </w:p>
    <w:p w14:paraId="6FF5F815" w14:textId="77777777" w:rsidR="00D760FB" w:rsidRPr="00D760FB" w:rsidRDefault="00D760FB" w:rsidP="00F408E9">
      <w:pPr>
        <w:spacing w:line="360" w:lineRule="auto"/>
      </w:pPr>
      <w:proofErr w:type="gramStart"/>
      <w:r w:rsidRPr="00D760FB">
        <w:t>Danielson ,</w:t>
      </w:r>
      <w:proofErr w:type="gramEnd"/>
      <w:r w:rsidRPr="00D760FB">
        <w:t xml:space="preserve"> C. (2007) </w:t>
      </w:r>
      <w:r w:rsidRPr="00D760FB">
        <w:rPr>
          <w:i/>
          <w:iCs/>
        </w:rPr>
        <w:t>Enhancing professional practice</w:t>
      </w:r>
      <w:r w:rsidRPr="00D760FB">
        <w:t>, </w:t>
      </w:r>
      <w:r w:rsidRPr="00D760FB">
        <w:rPr>
          <w:i/>
          <w:iCs/>
        </w:rPr>
        <w:t>Google Books</w:t>
      </w:r>
      <w:r w:rsidRPr="00D760FB">
        <w:t>. Available at: https://books.google.co.uk/books/about/Enhancing_Professional_Practice.html?id=QTOIcGgyLCoC&amp;redir_esc=y (Accessed: November 2024). </w:t>
      </w:r>
    </w:p>
    <w:p w14:paraId="7042B917" w14:textId="77777777" w:rsidR="00D760FB" w:rsidRDefault="00D760FB" w:rsidP="00F408E9">
      <w:pPr>
        <w:spacing w:line="360" w:lineRule="auto"/>
      </w:pPr>
    </w:p>
    <w:p w14:paraId="07A3AF12" w14:textId="7DEFB6BF" w:rsidR="00D760FB" w:rsidRDefault="00D760FB" w:rsidP="00F408E9">
      <w:pPr>
        <w:spacing w:line="360" w:lineRule="auto"/>
      </w:pPr>
      <w:r w:rsidRPr="00D760FB">
        <w:t>Dillion, J. (1988) </w:t>
      </w:r>
      <w:r w:rsidRPr="00D760FB">
        <w:rPr>
          <w:i/>
          <w:iCs/>
        </w:rPr>
        <w:t>Questioning and teaching</w:t>
      </w:r>
      <w:r w:rsidRPr="00D760FB">
        <w:t>, </w:t>
      </w:r>
      <w:r w:rsidRPr="00D760FB">
        <w:rPr>
          <w:i/>
          <w:iCs/>
        </w:rPr>
        <w:t>Google Books</w:t>
      </w:r>
      <w:r w:rsidRPr="00D760FB">
        <w:t>. Available at: https://books.google.co.uk/books/about/Questioning_and_Teaching.html?id=1TF1QgAACAAJ&amp;redir_esc=y (Accessed: November 2024). </w:t>
      </w:r>
    </w:p>
    <w:p w14:paraId="0603BE08" w14:textId="77777777" w:rsidR="00D760FB" w:rsidRPr="00D760FB" w:rsidRDefault="00D760FB" w:rsidP="00F408E9">
      <w:pPr>
        <w:spacing w:line="360" w:lineRule="auto"/>
      </w:pPr>
    </w:p>
    <w:p w14:paraId="2D7FF7D1" w14:textId="77777777" w:rsidR="00D760FB" w:rsidRDefault="00D760FB" w:rsidP="00F408E9">
      <w:pPr>
        <w:spacing w:line="360" w:lineRule="auto"/>
      </w:pPr>
      <w:r w:rsidRPr="00D760FB">
        <w:t>Gibbs, L. (1988) </w:t>
      </w:r>
      <w:r w:rsidRPr="00D760FB">
        <w:rPr>
          <w:i/>
          <w:iCs/>
        </w:rPr>
        <w:t>Gibbs’ reflective cycle the 6 stages.</w:t>
      </w:r>
      <w:r w:rsidRPr="00D760FB">
        <w:t>, </w:t>
      </w:r>
      <w:r w:rsidRPr="00D760FB">
        <w:rPr>
          <w:i/>
          <w:iCs/>
        </w:rPr>
        <w:t xml:space="preserve">University of </w:t>
      </w:r>
      <w:proofErr w:type="gramStart"/>
      <w:r w:rsidRPr="00D760FB">
        <w:rPr>
          <w:i/>
          <w:iCs/>
        </w:rPr>
        <w:t>Cumbria </w:t>
      </w:r>
      <w:r w:rsidRPr="00D760FB">
        <w:t>.</w:t>
      </w:r>
      <w:proofErr w:type="gramEnd"/>
      <w:r w:rsidRPr="00D760FB">
        <w:t xml:space="preserve"> Available at: https://my.cumbria.ac.uk/media/MyCumbria/Documents/ReflectiveCycleGibbs.pdf (Accessed: November 2024). </w:t>
      </w:r>
    </w:p>
    <w:p w14:paraId="3FA184D5" w14:textId="77777777" w:rsidR="00D760FB" w:rsidRPr="00D760FB" w:rsidRDefault="00D760FB" w:rsidP="00F408E9">
      <w:pPr>
        <w:spacing w:line="360" w:lineRule="auto"/>
      </w:pPr>
    </w:p>
    <w:p w14:paraId="2152E232" w14:textId="77777777" w:rsidR="00D760FB" w:rsidRDefault="00D760FB" w:rsidP="00F408E9">
      <w:pPr>
        <w:spacing w:line="360" w:lineRule="auto"/>
      </w:pPr>
      <w:r w:rsidRPr="00D760FB">
        <w:t>Hattie, J. (2009) </w:t>
      </w:r>
      <w:r w:rsidRPr="00D760FB">
        <w:rPr>
          <w:i/>
          <w:iCs/>
        </w:rPr>
        <w:t>Visible learning: A synthesis of over 800 meta-analyses ...</w:t>
      </w:r>
      <w:r w:rsidRPr="00D760FB">
        <w:t>, </w:t>
      </w:r>
      <w:r w:rsidRPr="00D760FB">
        <w:rPr>
          <w:i/>
          <w:iCs/>
        </w:rPr>
        <w:t xml:space="preserve">Visible </w:t>
      </w:r>
      <w:proofErr w:type="gramStart"/>
      <w:r w:rsidRPr="00D760FB">
        <w:rPr>
          <w:i/>
          <w:iCs/>
        </w:rPr>
        <w:t>Learning </w:t>
      </w:r>
      <w:r w:rsidRPr="00D760FB">
        <w:t>.</w:t>
      </w:r>
      <w:proofErr w:type="gramEnd"/>
      <w:r w:rsidRPr="00D760FB">
        <w:t xml:space="preserve"> Available at: https://inspirasifoundation.org/wp-content/uploads/2020/05/John-Hattie-Visible-Learning_-A-synthesis-of-over-800-meta-analyses-relating-to-achievement-2008.pdf (Accessed: November 2024). </w:t>
      </w:r>
    </w:p>
    <w:p w14:paraId="4E0C9FD6" w14:textId="77777777" w:rsidR="00D760FB" w:rsidRPr="00D760FB" w:rsidRDefault="00D760FB" w:rsidP="00F408E9">
      <w:pPr>
        <w:spacing w:line="360" w:lineRule="auto"/>
      </w:pPr>
    </w:p>
    <w:p w14:paraId="03BC66C5" w14:textId="77777777" w:rsidR="00D760FB" w:rsidRDefault="00D760FB" w:rsidP="00F408E9">
      <w:pPr>
        <w:spacing w:line="360" w:lineRule="auto"/>
      </w:pPr>
      <w:r w:rsidRPr="00D760FB">
        <w:t xml:space="preserve">Johnson, D., </w:t>
      </w:r>
      <w:proofErr w:type="gramStart"/>
      <w:r w:rsidRPr="00D760FB">
        <w:t>Johnson ,</w:t>
      </w:r>
      <w:proofErr w:type="gramEnd"/>
      <w:r w:rsidRPr="00D760FB">
        <w:t xml:space="preserve"> R. and Smith, K. (2014) </w:t>
      </w:r>
      <w:r w:rsidRPr="00D760FB">
        <w:rPr>
          <w:i/>
          <w:iCs/>
        </w:rPr>
        <w:t>Cooperative learning: Improving university instruction by ...</w:t>
      </w:r>
      <w:r w:rsidRPr="00D760FB">
        <w:t>, </w:t>
      </w:r>
      <w:proofErr w:type="spellStart"/>
      <w:r w:rsidRPr="00D760FB">
        <w:rPr>
          <w:i/>
          <w:iCs/>
        </w:rPr>
        <w:t>static.pseupdate</w:t>
      </w:r>
      <w:proofErr w:type="spellEnd"/>
      <w:r w:rsidRPr="00D760FB">
        <w:t>. Available at: http://static.pseupdate.mior.ca.s3.amazonaws.com/media/links/Cooperative_learn_validated_theory.pdf (Accessed: November 2024). </w:t>
      </w:r>
    </w:p>
    <w:p w14:paraId="6143290C" w14:textId="77777777" w:rsidR="00D760FB" w:rsidRPr="00D760FB" w:rsidRDefault="00D760FB" w:rsidP="00F408E9">
      <w:pPr>
        <w:spacing w:line="360" w:lineRule="auto"/>
      </w:pPr>
    </w:p>
    <w:p w14:paraId="6DBF356E" w14:textId="77777777" w:rsidR="00D760FB" w:rsidRDefault="00D760FB" w:rsidP="00F408E9">
      <w:pPr>
        <w:spacing w:line="360" w:lineRule="auto"/>
      </w:pPr>
      <w:r w:rsidRPr="00D760FB">
        <w:t xml:space="preserve">Johnson, D., Johnson, R. and </w:t>
      </w:r>
      <w:proofErr w:type="spellStart"/>
      <w:r w:rsidRPr="00D760FB">
        <w:t>Holubec</w:t>
      </w:r>
      <w:proofErr w:type="spellEnd"/>
      <w:r w:rsidRPr="00D760FB">
        <w:t>, E. (1994) </w:t>
      </w:r>
      <w:r w:rsidRPr="00D760FB">
        <w:rPr>
          <w:i/>
          <w:iCs/>
        </w:rPr>
        <w:t>Cooperative learning in the classroom</w:t>
      </w:r>
      <w:r w:rsidRPr="00D760FB">
        <w:t>, </w:t>
      </w:r>
      <w:r w:rsidRPr="00D760FB">
        <w:rPr>
          <w:i/>
          <w:iCs/>
        </w:rPr>
        <w:t>Google Books</w:t>
      </w:r>
      <w:r w:rsidRPr="00D760FB">
        <w:t xml:space="preserve">. Available at: </w:t>
      </w:r>
      <w:r w:rsidRPr="00D760FB">
        <w:lastRenderedPageBreak/>
        <w:t>https://books.google.co.uk/books/about/Cooperative_Learning_in_the_Classroom.html?id=Cs-dAAAAMAAJ&amp;redir_esc=y (Accessed: 15 November 2024). </w:t>
      </w:r>
    </w:p>
    <w:p w14:paraId="286979EA" w14:textId="77777777" w:rsidR="00D760FB" w:rsidRPr="00D760FB" w:rsidRDefault="00D760FB" w:rsidP="00F408E9">
      <w:pPr>
        <w:spacing w:line="360" w:lineRule="auto"/>
      </w:pPr>
    </w:p>
    <w:p w14:paraId="5B71C10F" w14:textId="77777777" w:rsidR="00D760FB" w:rsidRDefault="00D760FB" w:rsidP="00F408E9">
      <w:pPr>
        <w:spacing w:line="360" w:lineRule="auto"/>
      </w:pPr>
      <w:r w:rsidRPr="00D760FB">
        <w:t>Kolb, D. (1984) </w:t>
      </w:r>
      <w:r w:rsidRPr="00D760FB">
        <w:rPr>
          <w:i/>
          <w:iCs/>
        </w:rPr>
        <w:t>Experiential learning</w:t>
      </w:r>
      <w:r w:rsidRPr="00D760FB">
        <w:t>, </w:t>
      </w:r>
      <w:r w:rsidRPr="00D760FB">
        <w:rPr>
          <w:i/>
          <w:iCs/>
        </w:rPr>
        <w:t>Google Books</w:t>
      </w:r>
      <w:r w:rsidRPr="00D760FB">
        <w:t>. Available at: https://books.google.co.uk/books/about/Experiential_Learning.html?id=zXruAAAAMAAJ (Accessed: November 2024). </w:t>
      </w:r>
    </w:p>
    <w:p w14:paraId="7490E661" w14:textId="77777777" w:rsidR="00D760FB" w:rsidRPr="00D760FB" w:rsidRDefault="00D760FB" w:rsidP="00F408E9">
      <w:pPr>
        <w:spacing w:line="360" w:lineRule="auto"/>
      </w:pPr>
    </w:p>
    <w:p w14:paraId="36083F48" w14:textId="77777777" w:rsidR="00D760FB" w:rsidRDefault="00D760FB" w:rsidP="00F408E9">
      <w:pPr>
        <w:spacing w:line="360" w:lineRule="auto"/>
      </w:pPr>
      <w:proofErr w:type="gramStart"/>
      <w:r w:rsidRPr="00D760FB">
        <w:t>Marzano ,</w:t>
      </w:r>
      <w:proofErr w:type="gramEnd"/>
      <w:r w:rsidRPr="00D760FB">
        <w:t xml:space="preserve"> R. (2007) </w:t>
      </w:r>
      <w:r w:rsidRPr="00D760FB">
        <w:rPr>
          <w:i/>
          <w:iCs/>
        </w:rPr>
        <w:t>The art and science of teaching</w:t>
      </w:r>
      <w:r w:rsidRPr="00D760FB">
        <w:t>, </w:t>
      </w:r>
      <w:r w:rsidRPr="00D760FB">
        <w:rPr>
          <w:i/>
          <w:iCs/>
        </w:rPr>
        <w:t>Google Books</w:t>
      </w:r>
      <w:r w:rsidRPr="00D760FB">
        <w:t>. Available at: https://books.google.co.uk/books/about/The_Art_and_Science_of_Teaching.html?id=JBeFD6sTx_IC&amp;redir_esc=y (Accessed: November 2024). </w:t>
      </w:r>
    </w:p>
    <w:p w14:paraId="1FCE4C6D" w14:textId="77777777" w:rsidR="00D760FB" w:rsidRPr="00D760FB" w:rsidRDefault="00D760FB" w:rsidP="00F408E9">
      <w:pPr>
        <w:spacing w:line="360" w:lineRule="auto"/>
      </w:pPr>
    </w:p>
    <w:p w14:paraId="75707708" w14:textId="77777777" w:rsidR="00D760FB" w:rsidRDefault="00D760FB" w:rsidP="00F408E9">
      <w:pPr>
        <w:spacing w:line="360" w:lineRule="auto"/>
      </w:pPr>
      <w:proofErr w:type="gramStart"/>
      <w:r w:rsidRPr="00D760FB">
        <w:t>Marzano ,</w:t>
      </w:r>
      <w:proofErr w:type="gramEnd"/>
      <w:r w:rsidRPr="00D760FB">
        <w:t xml:space="preserve"> R., Pickering , D. and Pollock , J. (2001) </w:t>
      </w:r>
      <w:r w:rsidRPr="00D760FB">
        <w:rPr>
          <w:i/>
          <w:iCs/>
        </w:rPr>
        <w:t>Classroom instruction that works</w:t>
      </w:r>
      <w:r w:rsidRPr="00D760FB">
        <w:t>, </w:t>
      </w:r>
      <w:r w:rsidRPr="00D760FB">
        <w:rPr>
          <w:i/>
          <w:iCs/>
        </w:rPr>
        <w:t>Google Books</w:t>
      </w:r>
      <w:r w:rsidRPr="00D760FB">
        <w:t>. Available at: https://books.google.co.uk/books/about/Classroom_Instruction_that_Works.html?id=c25kDO0adxwC&amp;redir_esc=y (Accessed: 15 November 2024). </w:t>
      </w:r>
    </w:p>
    <w:p w14:paraId="42437654" w14:textId="77777777" w:rsidR="00D760FB" w:rsidRPr="00D760FB" w:rsidRDefault="00D760FB" w:rsidP="00F408E9">
      <w:pPr>
        <w:spacing w:line="360" w:lineRule="auto"/>
      </w:pPr>
    </w:p>
    <w:p w14:paraId="769371DA" w14:textId="77777777" w:rsidR="00D760FB" w:rsidRDefault="00D760FB" w:rsidP="00F408E9">
      <w:pPr>
        <w:spacing w:line="360" w:lineRule="auto"/>
      </w:pPr>
      <w:r w:rsidRPr="00D760FB">
        <w:t>Mayer, R. (2009) </w:t>
      </w:r>
      <w:r w:rsidRPr="00D760FB">
        <w:rPr>
          <w:i/>
          <w:iCs/>
        </w:rPr>
        <w:t>Multimedia learning</w:t>
      </w:r>
      <w:r w:rsidRPr="00D760FB">
        <w:t>, </w:t>
      </w:r>
      <w:r w:rsidRPr="00D760FB">
        <w:rPr>
          <w:i/>
          <w:iCs/>
        </w:rPr>
        <w:t>Google Books</w:t>
      </w:r>
      <w:r w:rsidRPr="00D760FB">
        <w:t>. Available at: https://books.google.co.uk/books/about/Multimedia_Learning.html?id=5g0AM1CHysgC&amp;redir_esc=y (Accessed: November 2024). </w:t>
      </w:r>
    </w:p>
    <w:p w14:paraId="1958875F" w14:textId="77777777" w:rsidR="00D760FB" w:rsidRPr="00D760FB" w:rsidRDefault="00D760FB" w:rsidP="00F408E9">
      <w:pPr>
        <w:spacing w:line="360" w:lineRule="auto"/>
      </w:pPr>
    </w:p>
    <w:p w14:paraId="1183B375" w14:textId="77777777" w:rsidR="00D760FB" w:rsidRPr="00D760FB" w:rsidRDefault="00D760FB" w:rsidP="00F408E9">
      <w:pPr>
        <w:spacing w:line="360" w:lineRule="auto"/>
      </w:pPr>
      <w:proofErr w:type="spellStart"/>
      <w:r w:rsidRPr="00D760FB">
        <w:t>Pegrum</w:t>
      </w:r>
      <w:proofErr w:type="spellEnd"/>
      <w:r w:rsidRPr="00D760FB">
        <w:t xml:space="preserve">, M., </w:t>
      </w:r>
      <w:proofErr w:type="spellStart"/>
      <w:r w:rsidRPr="00D760FB">
        <w:t>Hockly</w:t>
      </w:r>
      <w:proofErr w:type="spellEnd"/>
      <w:r w:rsidRPr="00D760FB">
        <w:t xml:space="preserve">, N. and </w:t>
      </w:r>
      <w:proofErr w:type="spellStart"/>
      <w:proofErr w:type="gramStart"/>
      <w:r w:rsidRPr="00D760FB">
        <w:t>Dudeney</w:t>
      </w:r>
      <w:proofErr w:type="spellEnd"/>
      <w:r w:rsidRPr="00D760FB">
        <w:t xml:space="preserve"> ,</w:t>
      </w:r>
      <w:proofErr w:type="gramEnd"/>
      <w:r w:rsidRPr="00D760FB">
        <w:t xml:space="preserve"> G. (2014) </w:t>
      </w:r>
      <w:r w:rsidRPr="00D760FB">
        <w:rPr>
          <w:i/>
          <w:iCs/>
        </w:rPr>
        <w:t>Digital literacies</w:t>
      </w:r>
      <w:r w:rsidRPr="00D760FB">
        <w:t>, </w:t>
      </w:r>
      <w:r w:rsidRPr="00D760FB">
        <w:rPr>
          <w:i/>
          <w:iCs/>
        </w:rPr>
        <w:t>Google Books</w:t>
      </w:r>
      <w:r w:rsidRPr="00D760FB">
        <w:t>. Available at: https://books.google.co.uk/books/about/Digital_Literacies.html?id=pMK3AwAAQBAJ&amp;redir_esc=y (Accessed: November 2024). </w:t>
      </w:r>
    </w:p>
    <w:p w14:paraId="6FC200A6" w14:textId="77777777" w:rsidR="00D760FB" w:rsidRDefault="00D760FB" w:rsidP="00F408E9">
      <w:pPr>
        <w:spacing w:line="360" w:lineRule="auto"/>
      </w:pPr>
    </w:p>
    <w:p w14:paraId="04883B57" w14:textId="744E027A" w:rsidR="00D760FB" w:rsidRDefault="00D760FB" w:rsidP="00F408E9">
      <w:pPr>
        <w:spacing w:line="360" w:lineRule="auto"/>
      </w:pPr>
      <w:proofErr w:type="gramStart"/>
      <w:r w:rsidRPr="00D760FB">
        <w:t>Rogers ,</w:t>
      </w:r>
      <w:proofErr w:type="gramEnd"/>
      <w:r w:rsidRPr="00D760FB">
        <w:t xml:space="preserve"> C. (1969) </w:t>
      </w:r>
      <w:r w:rsidRPr="00D760FB">
        <w:rPr>
          <w:i/>
          <w:iCs/>
        </w:rPr>
        <w:t>Freedom to learn</w:t>
      </w:r>
      <w:r w:rsidRPr="00D760FB">
        <w:t>, </w:t>
      </w:r>
      <w:r w:rsidRPr="00D760FB">
        <w:rPr>
          <w:i/>
          <w:iCs/>
        </w:rPr>
        <w:t>Google Books</w:t>
      </w:r>
      <w:r w:rsidRPr="00D760FB">
        <w:t>. Available at: https://books.google.co.uk/books/about/Freedom_to_Learn.html?id=qJxpAAAAMAAJ&amp;redir_esc=y (Accessed: November 2024). </w:t>
      </w:r>
    </w:p>
    <w:p w14:paraId="0C1F1EE6" w14:textId="77777777" w:rsidR="00D760FB" w:rsidRPr="00D760FB" w:rsidRDefault="00D760FB" w:rsidP="00F408E9">
      <w:pPr>
        <w:spacing w:line="360" w:lineRule="auto"/>
      </w:pPr>
    </w:p>
    <w:p w14:paraId="7959360B" w14:textId="77777777" w:rsidR="00D760FB" w:rsidRDefault="00D760FB" w:rsidP="00F408E9">
      <w:pPr>
        <w:spacing w:line="360" w:lineRule="auto"/>
      </w:pPr>
      <w:r w:rsidRPr="00D760FB">
        <w:t>Shute, V. (2008) </w:t>
      </w:r>
      <w:r w:rsidRPr="00D760FB">
        <w:rPr>
          <w:i/>
          <w:iCs/>
        </w:rPr>
        <w:t>(PDF) focus on formative feedback</w:t>
      </w:r>
      <w:r w:rsidRPr="00D760FB">
        <w:t>, </w:t>
      </w:r>
      <w:r w:rsidRPr="00D760FB">
        <w:rPr>
          <w:i/>
          <w:iCs/>
        </w:rPr>
        <w:t xml:space="preserve">Research </w:t>
      </w:r>
      <w:proofErr w:type="gramStart"/>
      <w:r w:rsidRPr="00D760FB">
        <w:rPr>
          <w:i/>
          <w:iCs/>
        </w:rPr>
        <w:t>Gate </w:t>
      </w:r>
      <w:r w:rsidRPr="00D760FB">
        <w:t>.</w:t>
      </w:r>
      <w:proofErr w:type="gramEnd"/>
      <w:r w:rsidRPr="00D760FB">
        <w:t xml:space="preserve"> Available at: https://www.researchgate.net/publication/220017728_Focus_on_Formative_Feedback (Accessed: 15 November 2024). </w:t>
      </w:r>
    </w:p>
    <w:p w14:paraId="590DB543" w14:textId="77777777" w:rsidR="00D760FB" w:rsidRPr="00D760FB" w:rsidRDefault="00D760FB" w:rsidP="00F408E9">
      <w:pPr>
        <w:spacing w:line="360" w:lineRule="auto"/>
      </w:pPr>
    </w:p>
    <w:p w14:paraId="6E7B4219" w14:textId="77777777" w:rsidR="00D760FB" w:rsidRPr="00D760FB" w:rsidRDefault="00D760FB" w:rsidP="00F408E9">
      <w:pPr>
        <w:spacing w:line="360" w:lineRule="auto"/>
      </w:pPr>
      <w:r w:rsidRPr="00D760FB">
        <w:t>Vygotsky, L. (1978) </w:t>
      </w:r>
      <w:r w:rsidRPr="00D760FB">
        <w:rPr>
          <w:i/>
          <w:iCs/>
        </w:rPr>
        <w:t>Mind in society</w:t>
      </w:r>
      <w:r w:rsidRPr="00D760FB">
        <w:t>, </w:t>
      </w:r>
      <w:r w:rsidRPr="00D760FB">
        <w:rPr>
          <w:i/>
          <w:iCs/>
        </w:rPr>
        <w:t>Google Books</w:t>
      </w:r>
      <w:r w:rsidRPr="00D760FB">
        <w:t>. Available at: https://books.google.co.uk/books/about/Mind_in_Society.html?id=RxjjUefze_oC&amp;redir_esc=y (Accessed: November 2024). </w:t>
      </w:r>
    </w:p>
    <w:p w14:paraId="74F60340" w14:textId="77777777" w:rsidR="00D760FB" w:rsidRDefault="00D760FB" w:rsidP="00F408E9">
      <w:pPr>
        <w:spacing w:line="360" w:lineRule="auto"/>
      </w:pPr>
    </w:p>
    <w:p w14:paraId="09A94149" w14:textId="77777777" w:rsidR="00D760FB" w:rsidRPr="00D760FB" w:rsidRDefault="00D760FB" w:rsidP="00F408E9">
      <w:pPr>
        <w:spacing w:line="360" w:lineRule="auto"/>
      </w:pPr>
      <w:proofErr w:type="spellStart"/>
      <w:r w:rsidRPr="00D760FB">
        <w:t>Wiliam</w:t>
      </w:r>
      <w:proofErr w:type="spellEnd"/>
      <w:r w:rsidRPr="00D760FB">
        <w:t>, D. (2011) </w:t>
      </w:r>
      <w:r w:rsidRPr="00D760FB">
        <w:rPr>
          <w:i/>
          <w:iCs/>
        </w:rPr>
        <w:t>Embedded formative assessment</w:t>
      </w:r>
      <w:r w:rsidRPr="00D760FB">
        <w:t>, </w:t>
      </w:r>
      <w:r w:rsidRPr="00D760FB">
        <w:rPr>
          <w:i/>
          <w:iCs/>
        </w:rPr>
        <w:t>Google Books</w:t>
      </w:r>
      <w:r w:rsidRPr="00D760FB">
        <w:t>. Available at: https://books.google.co.uk/books/about/Embedded_Formative_Assessment.html?id=Z62NZwEACAAJ (Accessed: November 2024). </w:t>
      </w:r>
    </w:p>
    <w:p w14:paraId="09C5A372" w14:textId="77777777" w:rsidR="00D760FB" w:rsidRDefault="00D760FB" w:rsidP="00F408E9">
      <w:pPr>
        <w:spacing w:line="360" w:lineRule="auto"/>
      </w:pPr>
    </w:p>
    <w:sectPr w:rsidR="00D760FB">
      <w:headerReference w:type="even" r:id="rId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4AB52E" w14:textId="77777777" w:rsidR="00B719A1" w:rsidRDefault="00B719A1" w:rsidP="00F408E9">
      <w:r>
        <w:separator/>
      </w:r>
    </w:p>
  </w:endnote>
  <w:endnote w:type="continuationSeparator" w:id="0">
    <w:p w14:paraId="44C32453" w14:textId="77777777" w:rsidR="00B719A1" w:rsidRDefault="00B719A1" w:rsidP="00F408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857703" w14:textId="77777777" w:rsidR="00B719A1" w:rsidRDefault="00B719A1" w:rsidP="00F408E9">
      <w:r>
        <w:separator/>
      </w:r>
    </w:p>
  </w:footnote>
  <w:footnote w:type="continuationSeparator" w:id="0">
    <w:p w14:paraId="05983AA7" w14:textId="77777777" w:rsidR="00B719A1" w:rsidRDefault="00B719A1" w:rsidP="00F408E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105400972"/>
      <w:docPartObj>
        <w:docPartGallery w:val="Page Numbers (Top of Page)"/>
        <w:docPartUnique/>
      </w:docPartObj>
    </w:sdtPr>
    <w:sdtContent>
      <w:p w14:paraId="607EEB90" w14:textId="5EE8C485" w:rsidR="00F408E9" w:rsidRDefault="00F408E9" w:rsidP="00D6066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8A89208" w14:textId="77777777" w:rsidR="00F408E9" w:rsidRDefault="00F408E9" w:rsidP="00F408E9">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990434335"/>
      <w:docPartObj>
        <w:docPartGallery w:val="Page Numbers (Top of Page)"/>
        <w:docPartUnique/>
      </w:docPartObj>
    </w:sdtPr>
    <w:sdtContent>
      <w:p w14:paraId="4FF2CD7C" w14:textId="652E2456" w:rsidR="00F408E9" w:rsidRDefault="00F408E9" w:rsidP="00D6066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2E8924C" w14:textId="681079BC" w:rsidR="00F408E9" w:rsidRDefault="0087738C" w:rsidP="00F408E9">
    <w:pPr>
      <w:pStyle w:val="Header"/>
      <w:ind w:right="360"/>
    </w:pPr>
    <w:r>
      <w:t>1912380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58868A2"/>
    <w:multiLevelType w:val="hybridMultilevel"/>
    <w:tmpl w:val="F80A2178"/>
    <w:lvl w:ilvl="0" w:tplc="06CAF8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C653DE"/>
    <w:multiLevelType w:val="hybridMultilevel"/>
    <w:tmpl w:val="AC303FD0"/>
    <w:lvl w:ilvl="0" w:tplc="5B9AA40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60448311">
    <w:abstractNumId w:val="1"/>
  </w:num>
  <w:num w:numId="2" w16cid:durableId="12882005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3C20"/>
    <w:rsid w:val="0001238F"/>
    <w:rsid w:val="000229B9"/>
    <w:rsid w:val="0007755D"/>
    <w:rsid w:val="000C0067"/>
    <w:rsid w:val="000E1E06"/>
    <w:rsid w:val="00103C14"/>
    <w:rsid w:val="001243FE"/>
    <w:rsid w:val="0015643C"/>
    <w:rsid w:val="00195812"/>
    <w:rsid w:val="001B6C4F"/>
    <w:rsid w:val="00204112"/>
    <w:rsid w:val="002A138B"/>
    <w:rsid w:val="004B10D5"/>
    <w:rsid w:val="004D149A"/>
    <w:rsid w:val="00512EA2"/>
    <w:rsid w:val="005C1878"/>
    <w:rsid w:val="00672A75"/>
    <w:rsid w:val="007A15CB"/>
    <w:rsid w:val="007D3E37"/>
    <w:rsid w:val="007F5301"/>
    <w:rsid w:val="00840926"/>
    <w:rsid w:val="008543D7"/>
    <w:rsid w:val="0087738C"/>
    <w:rsid w:val="00903174"/>
    <w:rsid w:val="0093656A"/>
    <w:rsid w:val="00944452"/>
    <w:rsid w:val="009E6E7F"/>
    <w:rsid w:val="00A01860"/>
    <w:rsid w:val="00A04957"/>
    <w:rsid w:val="00A33823"/>
    <w:rsid w:val="00A5540F"/>
    <w:rsid w:val="00AA36BA"/>
    <w:rsid w:val="00AD6732"/>
    <w:rsid w:val="00B719A1"/>
    <w:rsid w:val="00B832AF"/>
    <w:rsid w:val="00BF6BD1"/>
    <w:rsid w:val="00C27011"/>
    <w:rsid w:val="00D04460"/>
    <w:rsid w:val="00D760FB"/>
    <w:rsid w:val="00DA7009"/>
    <w:rsid w:val="00DC029C"/>
    <w:rsid w:val="00DF531E"/>
    <w:rsid w:val="00E211BF"/>
    <w:rsid w:val="00E34ECA"/>
    <w:rsid w:val="00E93C20"/>
    <w:rsid w:val="00F17C9C"/>
    <w:rsid w:val="00F408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5AF736"/>
  <w15:chartTrackingRefBased/>
  <w15:docId w15:val="{911A69F6-9DA6-D54C-84A6-879C03758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3C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3C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3C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3C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3C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3C2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3C2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3C2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3C2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3C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3C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3C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3C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3C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3C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3C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3C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3C20"/>
    <w:rPr>
      <w:rFonts w:eastAsiaTheme="majorEastAsia" w:cstheme="majorBidi"/>
      <w:color w:val="272727" w:themeColor="text1" w:themeTint="D8"/>
    </w:rPr>
  </w:style>
  <w:style w:type="paragraph" w:styleId="Title">
    <w:name w:val="Title"/>
    <w:basedOn w:val="Normal"/>
    <w:next w:val="Normal"/>
    <w:link w:val="TitleChar"/>
    <w:uiPriority w:val="10"/>
    <w:qFormat/>
    <w:rsid w:val="00E93C2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3C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3C2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3C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3C2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93C20"/>
    <w:rPr>
      <w:i/>
      <w:iCs/>
      <w:color w:val="404040" w:themeColor="text1" w:themeTint="BF"/>
    </w:rPr>
  </w:style>
  <w:style w:type="paragraph" w:styleId="ListParagraph">
    <w:name w:val="List Paragraph"/>
    <w:basedOn w:val="Normal"/>
    <w:uiPriority w:val="34"/>
    <w:qFormat/>
    <w:rsid w:val="00E93C20"/>
    <w:pPr>
      <w:ind w:left="720"/>
      <w:contextualSpacing/>
    </w:pPr>
  </w:style>
  <w:style w:type="character" w:styleId="IntenseEmphasis">
    <w:name w:val="Intense Emphasis"/>
    <w:basedOn w:val="DefaultParagraphFont"/>
    <w:uiPriority w:val="21"/>
    <w:qFormat/>
    <w:rsid w:val="00E93C20"/>
    <w:rPr>
      <w:i/>
      <w:iCs/>
      <w:color w:val="0F4761" w:themeColor="accent1" w:themeShade="BF"/>
    </w:rPr>
  </w:style>
  <w:style w:type="paragraph" w:styleId="IntenseQuote">
    <w:name w:val="Intense Quote"/>
    <w:basedOn w:val="Normal"/>
    <w:next w:val="Normal"/>
    <w:link w:val="IntenseQuoteChar"/>
    <w:uiPriority w:val="30"/>
    <w:qFormat/>
    <w:rsid w:val="00E93C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3C20"/>
    <w:rPr>
      <w:i/>
      <w:iCs/>
      <w:color w:val="0F4761" w:themeColor="accent1" w:themeShade="BF"/>
    </w:rPr>
  </w:style>
  <w:style w:type="character" w:styleId="IntenseReference">
    <w:name w:val="Intense Reference"/>
    <w:basedOn w:val="DefaultParagraphFont"/>
    <w:uiPriority w:val="32"/>
    <w:qFormat/>
    <w:rsid w:val="00E93C20"/>
    <w:rPr>
      <w:b/>
      <w:bCs/>
      <w:smallCaps/>
      <w:color w:val="0F4761" w:themeColor="accent1" w:themeShade="BF"/>
      <w:spacing w:val="5"/>
    </w:rPr>
  </w:style>
  <w:style w:type="table" w:styleId="TableGrid">
    <w:name w:val="Table Grid"/>
    <w:basedOn w:val="TableNormal"/>
    <w:uiPriority w:val="39"/>
    <w:rsid w:val="0084092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408E9"/>
    <w:pPr>
      <w:tabs>
        <w:tab w:val="center" w:pos="4513"/>
        <w:tab w:val="right" w:pos="9026"/>
      </w:tabs>
    </w:pPr>
  </w:style>
  <w:style w:type="character" w:customStyle="1" w:styleId="HeaderChar">
    <w:name w:val="Header Char"/>
    <w:basedOn w:val="DefaultParagraphFont"/>
    <w:link w:val="Header"/>
    <w:uiPriority w:val="99"/>
    <w:rsid w:val="00F408E9"/>
  </w:style>
  <w:style w:type="paragraph" w:styleId="Footer">
    <w:name w:val="footer"/>
    <w:basedOn w:val="Normal"/>
    <w:link w:val="FooterChar"/>
    <w:uiPriority w:val="99"/>
    <w:unhideWhenUsed/>
    <w:rsid w:val="00F408E9"/>
    <w:pPr>
      <w:tabs>
        <w:tab w:val="center" w:pos="4513"/>
        <w:tab w:val="right" w:pos="9026"/>
      </w:tabs>
    </w:pPr>
  </w:style>
  <w:style w:type="character" w:customStyle="1" w:styleId="FooterChar">
    <w:name w:val="Footer Char"/>
    <w:basedOn w:val="DefaultParagraphFont"/>
    <w:link w:val="Footer"/>
    <w:uiPriority w:val="99"/>
    <w:rsid w:val="00F408E9"/>
  </w:style>
  <w:style w:type="character" w:styleId="PageNumber">
    <w:name w:val="page number"/>
    <w:basedOn w:val="DefaultParagraphFont"/>
    <w:uiPriority w:val="99"/>
    <w:semiHidden/>
    <w:unhideWhenUsed/>
    <w:rsid w:val="00F408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380730">
      <w:bodyDiv w:val="1"/>
      <w:marLeft w:val="0"/>
      <w:marRight w:val="0"/>
      <w:marTop w:val="0"/>
      <w:marBottom w:val="0"/>
      <w:divBdr>
        <w:top w:val="none" w:sz="0" w:space="0" w:color="auto"/>
        <w:left w:val="none" w:sz="0" w:space="0" w:color="auto"/>
        <w:bottom w:val="none" w:sz="0" w:space="0" w:color="auto"/>
        <w:right w:val="none" w:sz="0" w:space="0" w:color="auto"/>
      </w:divBdr>
    </w:div>
    <w:div w:id="211501246">
      <w:bodyDiv w:val="1"/>
      <w:marLeft w:val="0"/>
      <w:marRight w:val="0"/>
      <w:marTop w:val="0"/>
      <w:marBottom w:val="0"/>
      <w:divBdr>
        <w:top w:val="none" w:sz="0" w:space="0" w:color="auto"/>
        <w:left w:val="none" w:sz="0" w:space="0" w:color="auto"/>
        <w:bottom w:val="none" w:sz="0" w:space="0" w:color="auto"/>
        <w:right w:val="none" w:sz="0" w:space="0" w:color="auto"/>
      </w:divBdr>
    </w:div>
    <w:div w:id="440732127">
      <w:bodyDiv w:val="1"/>
      <w:marLeft w:val="0"/>
      <w:marRight w:val="0"/>
      <w:marTop w:val="0"/>
      <w:marBottom w:val="0"/>
      <w:divBdr>
        <w:top w:val="none" w:sz="0" w:space="0" w:color="auto"/>
        <w:left w:val="none" w:sz="0" w:space="0" w:color="auto"/>
        <w:bottom w:val="none" w:sz="0" w:space="0" w:color="auto"/>
        <w:right w:val="none" w:sz="0" w:space="0" w:color="auto"/>
      </w:divBdr>
    </w:div>
    <w:div w:id="504396899">
      <w:bodyDiv w:val="1"/>
      <w:marLeft w:val="0"/>
      <w:marRight w:val="0"/>
      <w:marTop w:val="0"/>
      <w:marBottom w:val="0"/>
      <w:divBdr>
        <w:top w:val="none" w:sz="0" w:space="0" w:color="auto"/>
        <w:left w:val="none" w:sz="0" w:space="0" w:color="auto"/>
        <w:bottom w:val="none" w:sz="0" w:space="0" w:color="auto"/>
        <w:right w:val="none" w:sz="0" w:space="0" w:color="auto"/>
      </w:divBdr>
    </w:div>
    <w:div w:id="729033561">
      <w:bodyDiv w:val="1"/>
      <w:marLeft w:val="0"/>
      <w:marRight w:val="0"/>
      <w:marTop w:val="0"/>
      <w:marBottom w:val="0"/>
      <w:divBdr>
        <w:top w:val="none" w:sz="0" w:space="0" w:color="auto"/>
        <w:left w:val="none" w:sz="0" w:space="0" w:color="auto"/>
        <w:bottom w:val="none" w:sz="0" w:space="0" w:color="auto"/>
        <w:right w:val="none" w:sz="0" w:space="0" w:color="auto"/>
      </w:divBdr>
    </w:div>
    <w:div w:id="1409230492">
      <w:bodyDiv w:val="1"/>
      <w:marLeft w:val="0"/>
      <w:marRight w:val="0"/>
      <w:marTop w:val="0"/>
      <w:marBottom w:val="0"/>
      <w:divBdr>
        <w:top w:val="none" w:sz="0" w:space="0" w:color="auto"/>
        <w:left w:val="none" w:sz="0" w:space="0" w:color="auto"/>
        <w:bottom w:val="none" w:sz="0" w:space="0" w:color="auto"/>
        <w:right w:val="none" w:sz="0" w:space="0" w:color="auto"/>
      </w:divBdr>
    </w:div>
    <w:div w:id="1775786384">
      <w:bodyDiv w:val="1"/>
      <w:marLeft w:val="0"/>
      <w:marRight w:val="0"/>
      <w:marTop w:val="0"/>
      <w:marBottom w:val="0"/>
      <w:divBdr>
        <w:top w:val="none" w:sz="0" w:space="0" w:color="auto"/>
        <w:left w:val="none" w:sz="0" w:space="0" w:color="auto"/>
        <w:bottom w:val="none" w:sz="0" w:space="0" w:color="auto"/>
        <w:right w:val="none" w:sz="0" w:space="0" w:color="auto"/>
      </w:divBdr>
    </w:div>
    <w:div w:id="1933851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874</TotalTime>
  <Pages>10</Pages>
  <Words>2705</Words>
  <Characters>15425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Carwyn Wood (1912380)</dc:creator>
  <cp:keywords/>
  <dc:description/>
  <cp:lastModifiedBy>Carwyn Wood (1912380)</cp:lastModifiedBy>
  <cp:revision>13</cp:revision>
  <dcterms:created xsi:type="dcterms:W3CDTF">2024-11-13T18:08:00Z</dcterms:created>
  <dcterms:modified xsi:type="dcterms:W3CDTF">2024-11-15T20:35:00Z</dcterms:modified>
</cp:coreProperties>
</file>