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0A8" w:rsidRPr="00D270A8" w:rsidRDefault="00D270A8" w:rsidP="00D270A8">
      <w:pPr>
        <w:spacing w:before="375" w:after="0" w:line="460" w:lineRule="atLeast"/>
        <w:outlineLvl w:val="1"/>
        <w:rPr>
          <w:rFonts w:ascii="Times New Roman" w:eastAsia="Times New Roman" w:hAnsi="Times New Roman" w:cs="Times New Roman"/>
          <w:b/>
          <w:bCs/>
          <w:color w:val="000000"/>
          <w:sz w:val="38"/>
          <w:szCs w:val="38"/>
          <w:lang w:eastAsia="en-GB"/>
        </w:rPr>
      </w:pPr>
      <w:r w:rsidRPr="00D270A8">
        <w:rPr>
          <w:rFonts w:ascii="Times New Roman" w:eastAsia="Times New Roman" w:hAnsi="Times New Roman" w:cs="Times New Roman"/>
          <w:b/>
          <w:bCs/>
          <w:color w:val="000000"/>
          <w:sz w:val="38"/>
          <w:szCs w:val="38"/>
          <w:lang w:eastAsia="en-GB"/>
        </w:rPr>
        <w:t>Types of Phenomenology</w:t>
      </w:r>
    </w:p>
    <w:p w:rsidR="00D270A8" w:rsidRPr="00D270A8" w:rsidRDefault="00D270A8" w:rsidP="00D270A8">
      <w:pPr>
        <w:spacing w:before="274" w:after="0" w:line="411" w:lineRule="atLeast"/>
        <w:rPr>
          <w:rFonts w:ascii="Times New Roman" w:eastAsia="Times New Roman" w:hAnsi="Times New Roman" w:cs="Times New Roman"/>
          <w:color w:val="000000"/>
          <w:sz w:val="27"/>
          <w:szCs w:val="27"/>
          <w:lang w:eastAsia="en-GB"/>
        </w:rPr>
      </w:pPr>
      <w:r w:rsidRPr="00D270A8">
        <w:rPr>
          <w:rFonts w:ascii="Times New Roman" w:eastAsia="Times New Roman" w:hAnsi="Times New Roman" w:cs="Times New Roman"/>
          <w:color w:val="000000"/>
          <w:sz w:val="27"/>
          <w:szCs w:val="27"/>
          <w:lang w:eastAsia="en-GB"/>
        </w:rPr>
        <w:t xml:space="preserve">Two approaches to phenomenology are highlighted in this discussion: hermeneutic phenomenology (van </w:t>
      </w:r>
      <w:proofErr w:type="spellStart"/>
      <w:r w:rsidRPr="00D270A8">
        <w:rPr>
          <w:rFonts w:ascii="Times New Roman" w:eastAsia="Times New Roman" w:hAnsi="Times New Roman" w:cs="Times New Roman"/>
          <w:color w:val="000000"/>
          <w:sz w:val="27"/>
          <w:szCs w:val="27"/>
          <w:lang w:eastAsia="en-GB"/>
        </w:rPr>
        <w:t>Manen</w:t>
      </w:r>
      <w:proofErr w:type="spellEnd"/>
      <w:r w:rsidRPr="00D270A8">
        <w:rPr>
          <w:rFonts w:ascii="Times New Roman" w:eastAsia="Times New Roman" w:hAnsi="Times New Roman" w:cs="Times New Roman"/>
          <w:color w:val="000000"/>
          <w:sz w:val="27"/>
          <w:szCs w:val="27"/>
          <w:lang w:eastAsia="en-GB"/>
        </w:rPr>
        <w:t>, 1990, 2014) and empirical, transcendental, or psychological phenomenology (</w:t>
      </w:r>
      <w:proofErr w:type="spellStart"/>
      <w:r w:rsidRPr="00D270A8">
        <w:rPr>
          <w:rFonts w:ascii="Times New Roman" w:eastAsia="Times New Roman" w:hAnsi="Times New Roman" w:cs="Times New Roman"/>
          <w:color w:val="000000"/>
          <w:sz w:val="27"/>
          <w:szCs w:val="27"/>
          <w:lang w:eastAsia="en-GB"/>
        </w:rPr>
        <w:t>Moustakas</w:t>
      </w:r>
      <w:proofErr w:type="spellEnd"/>
      <w:r w:rsidRPr="00D270A8">
        <w:rPr>
          <w:rFonts w:ascii="Times New Roman" w:eastAsia="Times New Roman" w:hAnsi="Times New Roman" w:cs="Times New Roman"/>
          <w:color w:val="000000"/>
          <w:sz w:val="27"/>
          <w:szCs w:val="27"/>
          <w:lang w:eastAsia="en-GB"/>
        </w:rPr>
        <w:t xml:space="preserve">, 1994). </w:t>
      </w:r>
      <w:proofErr w:type="gramStart"/>
      <w:r w:rsidRPr="00D270A8">
        <w:rPr>
          <w:rFonts w:ascii="Times New Roman" w:eastAsia="Times New Roman" w:hAnsi="Times New Roman" w:cs="Times New Roman"/>
          <w:color w:val="000000"/>
          <w:sz w:val="27"/>
          <w:szCs w:val="27"/>
          <w:lang w:eastAsia="en-GB"/>
        </w:rPr>
        <w:t>van</w:t>
      </w:r>
      <w:proofErr w:type="gramEnd"/>
      <w:r w:rsidRPr="00D270A8">
        <w:rPr>
          <w:rFonts w:ascii="Times New Roman" w:eastAsia="Times New Roman" w:hAnsi="Times New Roman" w:cs="Times New Roman"/>
          <w:color w:val="000000"/>
          <w:sz w:val="27"/>
          <w:szCs w:val="27"/>
          <w:lang w:eastAsia="en-GB"/>
        </w:rPr>
        <w:t xml:space="preserve"> </w:t>
      </w:r>
      <w:proofErr w:type="spellStart"/>
      <w:r w:rsidRPr="00D270A8">
        <w:rPr>
          <w:rFonts w:ascii="Times New Roman" w:eastAsia="Times New Roman" w:hAnsi="Times New Roman" w:cs="Times New Roman"/>
          <w:color w:val="000000"/>
          <w:sz w:val="27"/>
          <w:szCs w:val="27"/>
          <w:lang w:eastAsia="en-GB"/>
        </w:rPr>
        <w:t>Manen</w:t>
      </w:r>
      <w:proofErr w:type="spellEnd"/>
      <w:r w:rsidRPr="00D270A8">
        <w:rPr>
          <w:rFonts w:ascii="Times New Roman" w:eastAsia="Times New Roman" w:hAnsi="Times New Roman" w:cs="Times New Roman"/>
          <w:color w:val="000000"/>
          <w:sz w:val="27"/>
          <w:szCs w:val="27"/>
          <w:lang w:eastAsia="en-GB"/>
        </w:rPr>
        <w:t xml:space="preserve"> (1990, 2014) is widely cited in the health literature (Morse &amp; Field, 1995). An educator, van </w:t>
      </w:r>
      <w:proofErr w:type="spellStart"/>
      <w:r w:rsidRPr="00D270A8">
        <w:rPr>
          <w:rFonts w:ascii="Times New Roman" w:eastAsia="Times New Roman" w:hAnsi="Times New Roman" w:cs="Times New Roman"/>
          <w:color w:val="000000"/>
          <w:sz w:val="27"/>
          <w:szCs w:val="27"/>
          <w:lang w:eastAsia="en-GB"/>
        </w:rPr>
        <w:t>Manen</w:t>
      </w:r>
      <w:proofErr w:type="spellEnd"/>
      <w:r w:rsidRPr="00D270A8">
        <w:rPr>
          <w:rFonts w:ascii="Times New Roman" w:eastAsia="Times New Roman" w:hAnsi="Times New Roman" w:cs="Times New Roman"/>
          <w:color w:val="000000"/>
          <w:sz w:val="27"/>
          <w:szCs w:val="27"/>
          <w:lang w:eastAsia="en-GB"/>
        </w:rPr>
        <w:t xml:space="preserve"> (1990) has written an instructive book on </w:t>
      </w:r>
      <w:r w:rsidRPr="00D270A8">
        <w:rPr>
          <w:rFonts w:ascii="Times New Roman" w:eastAsia="Times New Roman" w:hAnsi="Times New Roman" w:cs="Times New Roman"/>
          <w:b/>
          <w:bCs/>
          <w:i/>
          <w:iCs/>
          <w:color w:val="000000"/>
          <w:sz w:val="27"/>
          <w:szCs w:val="27"/>
          <w:lang w:eastAsia="en-GB"/>
        </w:rPr>
        <w:t>hermeneutical phenomenology</w:t>
      </w:r>
      <w:r w:rsidRPr="00D270A8">
        <w:rPr>
          <w:rFonts w:ascii="Times New Roman" w:eastAsia="Times New Roman" w:hAnsi="Times New Roman" w:cs="Times New Roman"/>
          <w:color w:val="000000"/>
          <w:sz w:val="27"/>
          <w:szCs w:val="27"/>
          <w:lang w:eastAsia="en-GB"/>
        </w:rPr>
        <w:t xml:space="preserve"> in which he describes research as oriented toward lived experience (phenomenology) and interpreting the “texts” of life (hermeneutics; p. 4). Although van </w:t>
      </w:r>
      <w:proofErr w:type="spellStart"/>
      <w:r w:rsidRPr="00D270A8">
        <w:rPr>
          <w:rFonts w:ascii="Times New Roman" w:eastAsia="Times New Roman" w:hAnsi="Times New Roman" w:cs="Times New Roman"/>
          <w:color w:val="000000"/>
          <w:sz w:val="27"/>
          <w:szCs w:val="27"/>
          <w:lang w:eastAsia="en-GB"/>
        </w:rPr>
        <w:t>Manen</w:t>
      </w:r>
      <w:proofErr w:type="spellEnd"/>
      <w:r w:rsidRPr="00D270A8">
        <w:rPr>
          <w:rFonts w:ascii="Times New Roman" w:eastAsia="Times New Roman" w:hAnsi="Times New Roman" w:cs="Times New Roman"/>
          <w:color w:val="000000"/>
          <w:sz w:val="27"/>
          <w:szCs w:val="27"/>
          <w:lang w:eastAsia="en-GB"/>
        </w:rPr>
        <w:t xml:space="preserve"> does not approach phenomenology with a set of rules or methods, he discusses it as a dynamic interplay among six research activities. Researchers first turn to a phenomenon, an “abiding concern” (van </w:t>
      </w:r>
      <w:proofErr w:type="spellStart"/>
      <w:r w:rsidRPr="00D270A8">
        <w:rPr>
          <w:rFonts w:ascii="Times New Roman" w:eastAsia="Times New Roman" w:hAnsi="Times New Roman" w:cs="Times New Roman"/>
          <w:color w:val="000000"/>
          <w:sz w:val="27"/>
          <w:szCs w:val="27"/>
          <w:lang w:eastAsia="en-GB"/>
        </w:rPr>
        <w:t>Manen</w:t>
      </w:r>
      <w:proofErr w:type="spellEnd"/>
      <w:r w:rsidRPr="00D270A8">
        <w:rPr>
          <w:rFonts w:ascii="Times New Roman" w:eastAsia="Times New Roman" w:hAnsi="Times New Roman" w:cs="Times New Roman"/>
          <w:color w:val="000000"/>
          <w:sz w:val="27"/>
          <w:szCs w:val="27"/>
          <w:lang w:eastAsia="en-GB"/>
        </w:rPr>
        <w:t xml:space="preserve">, 1990, p. 31), which seriously interests them (e.g., reading, running, driving, mothering). In the process, they reflect on essential themes, what constitutes the nature of this lived </w:t>
      </w:r>
      <w:proofErr w:type="gramStart"/>
      <w:r w:rsidRPr="00D270A8">
        <w:rPr>
          <w:rFonts w:ascii="Times New Roman" w:eastAsia="Times New Roman" w:hAnsi="Times New Roman" w:cs="Times New Roman"/>
          <w:color w:val="000000"/>
          <w:sz w:val="27"/>
          <w:szCs w:val="27"/>
          <w:lang w:eastAsia="en-GB"/>
        </w:rPr>
        <w:t>experience.</w:t>
      </w:r>
      <w:proofErr w:type="gramEnd"/>
      <w:r w:rsidRPr="00D270A8">
        <w:rPr>
          <w:rFonts w:ascii="Times New Roman" w:eastAsia="Times New Roman" w:hAnsi="Times New Roman" w:cs="Times New Roman"/>
          <w:color w:val="000000"/>
          <w:sz w:val="27"/>
          <w:szCs w:val="27"/>
          <w:lang w:eastAsia="en-GB"/>
        </w:rPr>
        <w:t xml:space="preserve"> They write a description of the phenomenon, maintaining a strong relation to the topic of inquiry and balancing the parts of the writing to the whole. Phenomenology is not only a description but it is also an interpretive process in which the researcher makes an interpretation of the meaning of the lived experiences.</w:t>
      </w:r>
    </w:p>
    <w:p w:rsidR="00D270A8" w:rsidRPr="00D270A8" w:rsidRDefault="00D270A8" w:rsidP="00D270A8">
      <w:pPr>
        <w:spacing w:before="274" w:after="0" w:line="411" w:lineRule="atLeast"/>
        <w:rPr>
          <w:rFonts w:ascii="Times New Roman" w:eastAsia="Times New Roman" w:hAnsi="Times New Roman" w:cs="Times New Roman"/>
          <w:color w:val="000000"/>
          <w:sz w:val="27"/>
          <w:szCs w:val="27"/>
          <w:lang w:eastAsia="en-GB"/>
        </w:rPr>
      </w:pPr>
      <w:r w:rsidRPr="00D270A8">
        <w:rPr>
          <w:rFonts w:ascii="Times New Roman" w:eastAsia="Times New Roman" w:hAnsi="Times New Roman" w:cs="Times New Roman"/>
          <w:color w:val="000000"/>
          <w:sz w:val="27"/>
          <w:szCs w:val="27"/>
          <w:lang w:eastAsia="en-GB"/>
        </w:rPr>
        <w:t>Icelandic researchers offer an example of a hermeneutical phenomenology in their examination of the experience of spirituality and its influence on the lives of ten persons receiving palliative care and their well-being (</w:t>
      </w:r>
      <w:proofErr w:type="spellStart"/>
      <w:r w:rsidRPr="00D270A8">
        <w:rPr>
          <w:rFonts w:ascii="Times New Roman" w:eastAsia="Times New Roman" w:hAnsi="Times New Roman" w:cs="Times New Roman"/>
          <w:color w:val="000000"/>
          <w:sz w:val="27"/>
          <w:szCs w:val="27"/>
          <w:lang w:eastAsia="en-GB"/>
        </w:rPr>
        <w:t>Asgeirsdottir</w:t>
      </w:r>
      <w:proofErr w:type="spellEnd"/>
      <w:r w:rsidRPr="00D270A8">
        <w:rPr>
          <w:rFonts w:ascii="Times New Roman" w:eastAsia="Times New Roman" w:hAnsi="Times New Roman" w:cs="Times New Roman"/>
          <w:color w:val="000000"/>
          <w:sz w:val="27"/>
          <w:szCs w:val="27"/>
          <w:lang w:eastAsia="en-GB"/>
        </w:rPr>
        <w:t xml:space="preserve"> et al., 2013). Both the religious and nonreligious aspects were emphasized and implications for the function of a theological approach in palliative care are discussed.</w:t>
      </w:r>
    </w:p>
    <w:p w:rsidR="00D270A8" w:rsidRDefault="00D270A8" w:rsidP="00D270A8">
      <w:pPr>
        <w:pStyle w:val="edition"/>
        <w:spacing w:before="274" w:beforeAutospacing="0" w:after="0" w:afterAutospacing="0" w:line="411" w:lineRule="atLeast"/>
        <w:rPr>
          <w:color w:val="000000"/>
          <w:sz w:val="27"/>
          <w:szCs w:val="27"/>
        </w:rPr>
      </w:pPr>
      <w:proofErr w:type="spellStart"/>
      <w:r w:rsidRPr="00D270A8">
        <w:rPr>
          <w:color w:val="000000"/>
          <w:sz w:val="27"/>
          <w:szCs w:val="27"/>
        </w:rPr>
        <w:t>Moustakas’s</w:t>
      </w:r>
      <w:proofErr w:type="spellEnd"/>
      <w:r w:rsidRPr="00D270A8">
        <w:rPr>
          <w:color w:val="000000"/>
          <w:sz w:val="27"/>
          <w:szCs w:val="27"/>
        </w:rPr>
        <w:t xml:space="preserve"> (1994) transcendental or psychological phenomenology is focused less on the interpretations of the researcher and more on a description of the experiences of participants. In addition, </w:t>
      </w:r>
      <w:proofErr w:type="spellStart"/>
      <w:r w:rsidRPr="00D270A8">
        <w:rPr>
          <w:color w:val="000000"/>
          <w:sz w:val="27"/>
          <w:szCs w:val="27"/>
        </w:rPr>
        <w:t>Moustakas</w:t>
      </w:r>
      <w:proofErr w:type="spellEnd"/>
      <w:r w:rsidRPr="00D270A8">
        <w:rPr>
          <w:color w:val="000000"/>
          <w:sz w:val="27"/>
          <w:szCs w:val="27"/>
        </w:rPr>
        <w:t xml:space="preserve"> focuses on one of Husserl’s concepts, </w:t>
      </w:r>
      <w:proofErr w:type="spellStart"/>
      <w:r w:rsidRPr="00D270A8">
        <w:rPr>
          <w:b/>
          <w:bCs/>
          <w:i/>
          <w:iCs/>
          <w:color w:val="000000"/>
          <w:sz w:val="27"/>
          <w:szCs w:val="27"/>
        </w:rPr>
        <w:t>epoche</w:t>
      </w:r>
      <w:proofErr w:type="spellEnd"/>
      <w:r w:rsidRPr="00D270A8">
        <w:rPr>
          <w:b/>
          <w:bCs/>
          <w:i/>
          <w:iCs/>
          <w:color w:val="000000"/>
          <w:sz w:val="27"/>
          <w:szCs w:val="27"/>
        </w:rPr>
        <w:t>, or bracketing</w:t>
      </w:r>
      <w:r w:rsidRPr="00D270A8">
        <w:rPr>
          <w:color w:val="000000"/>
          <w:sz w:val="27"/>
          <w:szCs w:val="27"/>
        </w:rPr>
        <w:t xml:space="preserve">, in which investigators set aside their experiences, as much as possible, to take a fresh perspective toward the phenomenon under examination. Hence, </w:t>
      </w:r>
      <w:r w:rsidRPr="00D270A8">
        <w:rPr>
          <w:i/>
          <w:iCs/>
          <w:color w:val="000000"/>
          <w:sz w:val="27"/>
          <w:szCs w:val="27"/>
        </w:rPr>
        <w:t>transcendental</w:t>
      </w:r>
      <w:r w:rsidRPr="00D270A8">
        <w:rPr>
          <w:color w:val="000000"/>
          <w:sz w:val="27"/>
          <w:szCs w:val="27"/>
        </w:rPr>
        <w:t xml:space="preserve"> means “in which everything is perceived freshly, as if for the first time” (</w:t>
      </w:r>
      <w:proofErr w:type="spellStart"/>
      <w:r w:rsidRPr="00D270A8">
        <w:rPr>
          <w:color w:val="000000"/>
          <w:sz w:val="27"/>
          <w:szCs w:val="27"/>
        </w:rPr>
        <w:t>Moustakas</w:t>
      </w:r>
      <w:proofErr w:type="spellEnd"/>
      <w:r w:rsidRPr="00D270A8">
        <w:rPr>
          <w:color w:val="000000"/>
          <w:sz w:val="27"/>
          <w:szCs w:val="27"/>
        </w:rPr>
        <w:t xml:space="preserve">, 1994, p. 34). </w:t>
      </w:r>
      <w:proofErr w:type="spellStart"/>
      <w:r w:rsidRPr="00D270A8">
        <w:rPr>
          <w:color w:val="000000"/>
          <w:sz w:val="27"/>
          <w:szCs w:val="27"/>
        </w:rPr>
        <w:t>Moustakas</w:t>
      </w:r>
      <w:proofErr w:type="spellEnd"/>
      <w:r w:rsidRPr="00D270A8">
        <w:rPr>
          <w:color w:val="000000"/>
          <w:sz w:val="27"/>
          <w:szCs w:val="27"/>
        </w:rPr>
        <w:t xml:space="preserve"> admits that </w:t>
      </w:r>
      <w:r w:rsidRPr="00D270A8">
        <w:rPr>
          <w:color w:val="000000"/>
          <w:sz w:val="27"/>
          <w:szCs w:val="27"/>
        </w:rPr>
        <w:lastRenderedPageBreak/>
        <w:t xml:space="preserve">this state is seldom perfectly achieved. However, we see researchers who embrace this idea when they begin a project by describing their own experiences </w:t>
      </w:r>
      <w:r>
        <w:rPr>
          <w:color w:val="000000"/>
          <w:sz w:val="27"/>
          <w:szCs w:val="27"/>
        </w:rPr>
        <w:t>with the phenomenon and bracketing out their views before proceeding with the experiences of others.</w:t>
      </w:r>
    </w:p>
    <w:p w:rsidR="00D270A8" w:rsidRDefault="00D270A8" w:rsidP="00D270A8">
      <w:pPr>
        <w:pStyle w:val="edition"/>
        <w:spacing w:before="274" w:beforeAutospacing="0" w:after="0" w:afterAutospacing="0" w:line="411" w:lineRule="atLeast"/>
        <w:rPr>
          <w:color w:val="000000"/>
          <w:sz w:val="27"/>
          <w:szCs w:val="27"/>
        </w:rPr>
      </w:pPr>
      <w:r>
        <w:rPr>
          <w:color w:val="000000"/>
          <w:sz w:val="27"/>
          <w:szCs w:val="27"/>
        </w:rPr>
        <w:t xml:space="preserve">Besides bracketing, empirical, </w:t>
      </w:r>
      <w:r>
        <w:rPr>
          <w:b/>
          <w:bCs/>
          <w:i/>
          <w:iCs/>
          <w:color w:val="000000"/>
          <w:sz w:val="27"/>
          <w:szCs w:val="27"/>
        </w:rPr>
        <w:t>transcendental phenomenology</w:t>
      </w:r>
      <w:r>
        <w:rPr>
          <w:color w:val="000000"/>
          <w:sz w:val="27"/>
          <w:szCs w:val="27"/>
        </w:rPr>
        <w:t xml:space="preserve"> draws on the </w:t>
      </w:r>
      <w:r>
        <w:rPr>
          <w:i/>
          <w:iCs/>
          <w:color w:val="000000"/>
          <w:sz w:val="27"/>
          <w:szCs w:val="27"/>
        </w:rPr>
        <w:t>Duquesne Studies in Phenomenological Psychology</w:t>
      </w:r>
      <w:r>
        <w:rPr>
          <w:color w:val="000000"/>
          <w:sz w:val="27"/>
          <w:szCs w:val="27"/>
        </w:rPr>
        <w:t xml:space="preserve"> (e.g., Giorgi, 1985, 2009) and the data analysis procedures of Van </w:t>
      </w:r>
      <w:proofErr w:type="spellStart"/>
      <w:r>
        <w:rPr>
          <w:color w:val="000000"/>
          <w:sz w:val="27"/>
          <w:szCs w:val="27"/>
        </w:rPr>
        <w:t>Kaam</w:t>
      </w:r>
      <w:proofErr w:type="spellEnd"/>
      <w:r>
        <w:rPr>
          <w:color w:val="000000"/>
          <w:sz w:val="27"/>
          <w:szCs w:val="27"/>
        </w:rPr>
        <w:t xml:space="preserve"> (1966) and </w:t>
      </w:r>
      <w:proofErr w:type="spellStart"/>
      <w:r>
        <w:rPr>
          <w:color w:val="000000"/>
          <w:sz w:val="27"/>
          <w:szCs w:val="27"/>
        </w:rPr>
        <w:t>Colaizzi</w:t>
      </w:r>
      <w:proofErr w:type="spellEnd"/>
      <w:r>
        <w:rPr>
          <w:color w:val="000000"/>
          <w:sz w:val="27"/>
          <w:szCs w:val="27"/>
        </w:rPr>
        <w:t xml:space="preserve"> (1978). The procedures, illustrated by </w:t>
      </w:r>
      <w:proofErr w:type="spellStart"/>
      <w:r>
        <w:rPr>
          <w:color w:val="000000"/>
          <w:sz w:val="27"/>
          <w:szCs w:val="27"/>
        </w:rPr>
        <w:t>Moustakas</w:t>
      </w:r>
      <w:proofErr w:type="spellEnd"/>
      <w:r>
        <w:rPr>
          <w:color w:val="000000"/>
          <w:sz w:val="27"/>
          <w:szCs w:val="27"/>
        </w:rPr>
        <w:t xml:space="preserve"> (1994), consist of identifying a phenomenon to study, bracketing out one’s experiences, and collecting data from several persons who have experienced the phenomenon. The researcher then </w:t>
      </w:r>
      <w:proofErr w:type="spellStart"/>
      <w:r>
        <w:rPr>
          <w:color w:val="000000"/>
          <w:sz w:val="27"/>
          <w:szCs w:val="27"/>
        </w:rPr>
        <w:t>analyzes</w:t>
      </w:r>
      <w:proofErr w:type="spellEnd"/>
      <w:r>
        <w:rPr>
          <w:color w:val="000000"/>
          <w:sz w:val="27"/>
          <w:szCs w:val="27"/>
        </w:rPr>
        <w:t xml:space="preserve"> the data by reducing the information to significant statements or quotes and combines the statements into themes. Following that, the researcher develops a </w:t>
      </w:r>
      <w:r>
        <w:rPr>
          <w:b/>
          <w:bCs/>
          <w:i/>
          <w:iCs/>
          <w:color w:val="000000"/>
          <w:sz w:val="27"/>
          <w:szCs w:val="27"/>
        </w:rPr>
        <w:t>textural description</w:t>
      </w:r>
      <w:r>
        <w:rPr>
          <w:color w:val="000000"/>
          <w:sz w:val="27"/>
          <w:szCs w:val="27"/>
        </w:rPr>
        <w:t xml:space="preserve"> of the experiences of the persons (what participants experienced), a </w:t>
      </w:r>
      <w:r>
        <w:rPr>
          <w:b/>
          <w:bCs/>
          <w:i/>
          <w:iCs/>
          <w:color w:val="000000"/>
          <w:sz w:val="27"/>
          <w:szCs w:val="27"/>
        </w:rPr>
        <w:t>structural description</w:t>
      </w:r>
      <w:r>
        <w:rPr>
          <w:color w:val="000000"/>
          <w:sz w:val="27"/>
          <w:szCs w:val="27"/>
        </w:rPr>
        <w:t xml:space="preserve"> of their experiences (how they experienced it in terms of the conditions, situations, or context), and a combination of the textural and structural descriptions to convey an overall essence of the experience. Transcendental phenomenology was used in the dissertation work to examine the experiences and perceptions of 13 developmental math students (</w:t>
      </w:r>
      <w:proofErr w:type="spellStart"/>
      <w:r>
        <w:rPr>
          <w:color w:val="000000"/>
          <w:sz w:val="27"/>
          <w:szCs w:val="27"/>
        </w:rPr>
        <w:t>Cordes</w:t>
      </w:r>
      <w:proofErr w:type="spellEnd"/>
      <w:r>
        <w:rPr>
          <w:color w:val="000000"/>
          <w:sz w:val="27"/>
          <w:szCs w:val="27"/>
        </w:rPr>
        <w:t>, 2014). The essence of the participant experience involved descriptions of isolation, self-doubt, and clouding of success.</w:t>
      </w:r>
    </w:p>
    <w:p w:rsidR="00D270A8" w:rsidRPr="00D270A8" w:rsidRDefault="00D270A8" w:rsidP="00D270A8">
      <w:pPr>
        <w:spacing w:before="274" w:after="0" w:line="411" w:lineRule="atLeast"/>
        <w:rPr>
          <w:rFonts w:ascii="Times New Roman" w:eastAsia="Times New Roman" w:hAnsi="Times New Roman" w:cs="Times New Roman"/>
          <w:color w:val="000000"/>
          <w:sz w:val="27"/>
          <w:szCs w:val="27"/>
          <w:lang w:eastAsia="en-GB"/>
        </w:rPr>
      </w:pPr>
      <w:bookmarkStart w:id="0" w:name="_GoBack"/>
      <w:bookmarkEnd w:id="0"/>
    </w:p>
    <w:p w:rsidR="00F43F1B" w:rsidRDefault="00F43F1B"/>
    <w:sectPr w:rsidR="00F43F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0A8"/>
    <w:rsid w:val="00D270A8"/>
    <w:rsid w:val="00F43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270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70A8"/>
    <w:rPr>
      <w:rFonts w:ascii="Times New Roman" w:eastAsia="Times New Roman" w:hAnsi="Times New Roman" w:cs="Times New Roman"/>
      <w:b/>
      <w:bCs/>
      <w:sz w:val="36"/>
      <w:szCs w:val="36"/>
      <w:lang w:eastAsia="en-GB"/>
    </w:rPr>
  </w:style>
  <w:style w:type="paragraph" w:customStyle="1" w:styleId="edition">
    <w:name w:val="edition"/>
    <w:basedOn w:val="Normal"/>
    <w:rsid w:val="00D270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270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70A8"/>
    <w:rPr>
      <w:rFonts w:ascii="Times New Roman" w:eastAsia="Times New Roman" w:hAnsi="Times New Roman" w:cs="Times New Roman"/>
      <w:b/>
      <w:bCs/>
      <w:sz w:val="36"/>
      <w:szCs w:val="36"/>
      <w:lang w:eastAsia="en-GB"/>
    </w:rPr>
  </w:style>
  <w:style w:type="paragraph" w:customStyle="1" w:styleId="edition">
    <w:name w:val="edition"/>
    <w:basedOn w:val="Normal"/>
    <w:rsid w:val="00D270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4130862">
      <w:bodyDiv w:val="1"/>
      <w:marLeft w:val="0"/>
      <w:marRight w:val="0"/>
      <w:marTop w:val="0"/>
      <w:marBottom w:val="0"/>
      <w:divBdr>
        <w:top w:val="none" w:sz="0" w:space="0" w:color="auto"/>
        <w:left w:val="none" w:sz="0" w:space="0" w:color="auto"/>
        <w:bottom w:val="none" w:sz="0" w:space="0" w:color="auto"/>
        <w:right w:val="none" w:sz="0" w:space="0" w:color="auto"/>
      </w:divBdr>
    </w:div>
    <w:div w:id="207809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3153</Characters>
  <Application>Microsoft Office Word</Application>
  <DocSecurity>0</DocSecurity>
  <Lines>26</Lines>
  <Paragraphs>7</Paragraphs>
  <ScaleCrop>false</ScaleCrop>
  <Company/>
  <LinksUpToDate>false</LinksUpToDate>
  <CharactersWithSpaces>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T</cp:lastModifiedBy>
  <cp:revision>1</cp:revision>
  <dcterms:created xsi:type="dcterms:W3CDTF">2019-05-12T23:29:00Z</dcterms:created>
  <dcterms:modified xsi:type="dcterms:W3CDTF">2019-05-12T23:30:00Z</dcterms:modified>
</cp:coreProperties>
</file>