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C7ED6E" w14:textId="77777777" w:rsidR="00800CF3" w:rsidRDefault="00000000" w:rsidP="00650661">
      <w:pPr>
        <w:spacing w:line="480" w:lineRule="auto"/>
        <w:ind w:firstLineChars="600" w:firstLine="1440"/>
        <w:rPr>
          <w:rFonts w:ascii="Times New Roman Regular" w:hAnsi="Times New Roman Regular" w:cs="Times New Roman Regular" w:hint="eastAsia"/>
          <w:sz w:val="24"/>
        </w:rPr>
      </w:pPr>
      <w:r>
        <w:rPr>
          <w:rFonts w:ascii="Times New Roman Regular" w:hAnsi="Times New Roman Regular" w:cs="Times New Roman Regular"/>
          <w:sz w:val="24"/>
        </w:rPr>
        <w:t>Critical review of factors affecting second language learning</w:t>
      </w:r>
    </w:p>
    <w:p w14:paraId="3CEC5EB1" w14:textId="77777777" w:rsidR="00800CF3" w:rsidRDefault="00000000">
      <w:pPr>
        <w:numPr>
          <w:ilvl w:val="0"/>
          <w:numId w:val="1"/>
        </w:numPr>
        <w:spacing w:line="480" w:lineRule="auto"/>
        <w:rPr>
          <w:rFonts w:ascii="Times New Roman Regular" w:hAnsi="Times New Roman Regular" w:cs="Times New Roman Regular" w:hint="eastAsia"/>
          <w:sz w:val="24"/>
        </w:rPr>
      </w:pPr>
      <w:r>
        <w:rPr>
          <w:rFonts w:ascii="Times New Roman Regular" w:hAnsi="Times New Roman Regular" w:cs="Times New Roman Regular"/>
          <w:sz w:val="24"/>
          <w:lang w:eastAsia="zh-Hans"/>
        </w:rPr>
        <w:t>Introduction</w:t>
      </w:r>
    </w:p>
    <w:p w14:paraId="52F97BF3" w14:textId="04338EEA" w:rsidR="00800CF3" w:rsidRDefault="00000000">
      <w:pPr>
        <w:spacing w:line="480" w:lineRule="auto"/>
        <w:rPr>
          <w:rFonts w:ascii="Times New Roman Regular" w:hAnsi="Times New Roman Regular" w:cs="Times New Roman Regular" w:hint="eastAsia"/>
          <w:sz w:val="24"/>
        </w:rPr>
      </w:pPr>
      <w:r>
        <w:rPr>
          <w:rFonts w:ascii="Times New Roman Regular" w:hAnsi="Times New Roman Regular" w:cs="Times New Roman Regular"/>
          <w:sz w:val="24"/>
        </w:rPr>
        <w:t xml:space="preserve">Learning a second language and acclimating to a new culture and way of thinking </w:t>
      </w:r>
      <w:r w:rsidR="00650661">
        <w:rPr>
          <w:rFonts w:ascii="Times New Roman Regular" w:hAnsi="Times New Roman Regular" w:cs="Times New Roman Regular"/>
          <w:sz w:val="24"/>
        </w:rPr>
        <w:t>is</w:t>
      </w:r>
      <w:r>
        <w:rPr>
          <w:rFonts w:ascii="Times New Roman Regular" w:hAnsi="Times New Roman Regular" w:cs="Times New Roman Regular"/>
          <w:sz w:val="24"/>
        </w:rPr>
        <w:t xml:space="preserve"> necessary for being open-minded, understanding, and accepting. Man is a creation of his environment and culture. As a result, learning a second language necessitates introducing yourself to a new setting and culture, which calls for having open minds. As a person learns a second language, their mental boundaries are extended. He or she is capable of forming a novel perspective. Second language learning (SLL), in contrast to first language learning (L1), focuses on the process and research of how people acquire a second language, sometimes referred to as a target language or L2 (mother tongue) (</w:t>
      </w:r>
      <w:r>
        <w:rPr>
          <w:rFonts w:ascii="Times New Roman Regular" w:eastAsia="宋体" w:hAnsi="Times New Roman Regular" w:cs="Times New Roman Regular"/>
          <w:color w:val="222222"/>
          <w:kern w:val="0"/>
          <w:sz w:val="24"/>
          <w:shd w:val="clear" w:color="auto" w:fill="FFFFFF"/>
          <w:lang w:bidi="ar"/>
        </w:rPr>
        <w:t>Andreou et al., 2005</w:t>
      </w:r>
      <w:r>
        <w:rPr>
          <w:rFonts w:ascii="Times New Roman Regular" w:hAnsi="Times New Roman Regular" w:cs="Times New Roman Regular"/>
          <w:sz w:val="24"/>
        </w:rPr>
        <w:t xml:space="preserve">). </w:t>
      </w:r>
      <w:r w:rsidR="00D4289D" w:rsidRPr="00D4289D">
        <w:rPr>
          <w:rFonts w:ascii="Times New Roman Regular" w:hAnsi="Times New Roman Regular" w:cs="Times New Roman Regular"/>
          <w:sz w:val="24"/>
        </w:rPr>
        <w:t>Learning a language other than one's native tongue outside of a formal educational setting is known as "second language acquisition." There is a wide range of research that focuses on the factors that influence second language acquisition and increase the capacity to use a second language in order to assist students in effectively mastering and using this language through the relevant principles and theories of learning a second language.</w:t>
      </w:r>
      <w:r w:rsidR="00D4289D">
        <w:rPr>
          <w:rFonts w:ascii="Times New Roman Regular" w:hAnsi="Times New Roman Regular" w:cs="Times New Roman Regular"/>
          <w:sz w:val="24"/>
        </w:rPr>
        <w:t xml:space="preserve"> </w:t>
      </w:r>
      <w:r>
        <w:rPr>
          <w:rFonts w:ascii="Times New Roman Regular" w:hAnsi="Times New Roman Regular" w:cs="Times New Roman Regular"/>
          <w:sz w:val="24"/>
        </w:rPr>
        <w:t>This article will provide a critical analysis of the factors that Candlin &amp; Mercer and Lightbown &amp; Spada (2001) identified as having an impact on second language learning (2000). In order to provide a compelling defense, this article will especially focus on "age" as an influencing factor and integrate it with a number of other concepts.</w:t>
      </w:r>
    </w:p>
    <w:p w14:paraId="4814F657" w14:textId="77777777" w:rsidR="00800CF3" w:rsidRDefault="00800CF3">
      <w:pPr>
        <w:spacing w:line="480" w:lineRule="auto"/>
        <w:rPr>
          <w:rFonts w:ascii="Times New Roman Regular" w:hAnsi="Times New Roman Regular" w:cs="Times New Roman Regular" w:hint="eastAsia"/>
          <w:sz w:val="24"/>
        </w:rPr>
      </w:pPr>
    </w:p>
    <w:p w14:paraId="673B3202" w14:textId="77777777" w:rsidR="00800CF3" w:rsidRDefault="00000000">
      <w:pPr>
        <w:numPr>
          <w:ilvl w:val="0"/>
          <w:numId w:val="1"/>
        </w:numPr>
        <w:spacing w:line="480" w:lineRule="auto"/>
        <w:rPr>
          <w:rFonts w:ascii="Times New Roman Regular" w:eastAsia="宋体" w:hAnsi="Times New Roman Regular" w:cs="Times New Roman Regular" w:hint="eastAsia"/>
          <w:color w:val="222222"/>
          <w:kern w:val="0"/>
          <w:sz w:val="24"/>
          <w:shd w:val="clear" w:color="auto" w:fill="FFFFFF"/>
          <w:lang w:eastAsia="zh-Hans" w:bidi="ar"/>
        </w:rPr>
      </w:pPr>
      <w:r>
        <w:rPr>
          <w:rFonts w:ascii="Times New Roman Regular" w:eastAsia="宋体" w:hAnsi="Times New Roman Regular" w:cs="Times New Roman Regular"/>
          <w:color w:val="222222"/>
          <w:kern w:val="0"/>
          <w:sz w:val="24"/>
          <w:shd w:val="clear" w:color="auto" w:fill="FFFFFF"/>
          <w:lang w:eastAsia="zh-Hans" w:bidi="ar"/>
        </w:rPr>
        <w:t xml:space="preserve">Review of researches of </w:t>
      </w:r>
      <w:r>
        <w:rPr>
          <w:rFonts w:ascii="Times New Roman Regular" w:eastAsia="宋体" w:hAnsi="Times New Roman Regular" w:cs="Times New Roman Regular"/>
          <w:color w:val="222222"/>
          <w:kern w:val="0"/>
          <w:sz w:val="24"/>
          <w:shd w:val="clear" w:color="auto" w:fill="FFFFFF"/>
          <w:lang w:bidi="ar"/>
        </w:rPr>
        <w:t xml:space="preserve">Lightbown&amp; Spada(2001) and </w:t>
      </w:r>
      <w:r>
        <w:rPr>
          <w:rFonts w:ascii="Times New Roman Regular" w:hAnsi="Times New Roman Regular" w:cs="Times New Roman Regular"/>
          <w:sz w:val="24"/>
        </w:rPr>
        <w:t xml:space="preserve">Candlin &amp; </w:t>
      </w:r>
      <w:r>
        <w:rPr>
          <w:rFonts w:ascii="Times New Roman Regular" w:hAnsi="Times New Roman Regular" w:cs="Times New Roman Regular"/>
          <w:sz w:val="24"/>
          <w:lang w:eastAsia="zh-Hans"/>
        </w:rPr>
        <w:t>Mercer</w:t>
      </w:r>
      <w:r>
        <w:rPr>
          <w:rFonts w:ascii="Times New Roman Regular" w:hAnsi="Times New Roman Regular" w:cs="Times New Roman Regular"/>
          <w:sz w:val="24"/>
          <w:lang w:eastAsia="zh-Hans"/>
        </w:rPr>
        <w:t>（</w:t>
      </w:r>
      <w:r>
        <w:rPr>
          <w:rFonts w:ascii="Times New Roman Regular" w:hAnsi="Times New Roman Regular" w:cs="Times New Roman Regular"/>
          <w:sz w:val="24"/>
          <w:lang w:eastAsia="zh-Hans"/>
        </w:rPr>
        <w:t>2000</w:t>
      </w:r>
      <w:r>
        <w:rPr>
          <w:rFonts w:ascii="Times New Roman Regular" w:hAnsi="Times New Roman Regular" w:cs="Times New Roman Regular"/>
          <w:sz w:val="24"/>
          <w:lang w:eastAsia="zh-Hans"/>
        </w:rPr>
        <w:t>）</w:t>
      </w:r>
    </w:p>
    <w:p w14:paraId="64FA5EBA" w14:textId="1F437352" w:rsidR="00800CF3" w:rsidRDefault="00000000">
      <w:pPr>
        <w:spacing w:line="480" w:lineRule="auto"/>
        <w:rPr>
          <w:rFonts w:ascii="Times New Roman Regular" w:eastAsia="宋体" w:hAnsi="Times New Roman Regular" w:cs="Times New Roman Regular" w:hint="eastAsia"/>
          <w:color w:val="222222"/>
          <w:kern w:val="0"/>
          <w:sz w:val="24"/>
          <w:shd w:val="clear" w:color="auto" w:fill="FFFFFF"/>
          <w:lang w:eastAsia="zh-Hans" w:bidi="ar"/>
        </w:rPr>
      </w:pPr>
      <w:r>
        <w:rPr>
          <w:rFonts w:ascii="Times New Roman Regular" w:eastAsia="宋体" w:hAnsi="Times New Roman Regular" w:cs="Times New Roman Regular"/>
          <w:color w:val="222222"/>
          <w:kern w:val="0"/>
          <w:sz w:val="24"/>
          <w:shd w:val="clear" w:color="auto" w:fill="FFFFFF"/>
          <w:lang w:eastAsia="zh-Hans" w:bidi="ar"/>
        </w:rPr>
        <w:t xml:space="preserve">Age, ability, desire, learning techniques, and linguistic input are among the subjects that </w:t>
      </w:r>
      <w:r>
        <w:rPr>
          <w:rFonts w:ascii="Times New Roman Regular" w:eastAsia="宋体" w:hAnsi="Times New Roman Regular" w:cs="Times New Roman Regular"/>
          <w:color w:val="222222"/>
          <w:kern w:val="0"/>
          <w:sz w:val="24"/>
          <w:shd w:val="clear" w:color="auto" w:fill="FFFFFF"/>
          <w:lang w:eastAsia="zh-Hans" w:bidi="ar"/>
        </w:rPr>
        <w:lastRenderedPageBreak/>
        <w:t xml:space="preserve">Lightbown &amp; Spada cover (2001). This essay's major argument is that age plays a big part in learning a second language. According to the authors, younger children have greater success learning a second language than older students do. This is true because young students are less distracted by their mother language and more receptive to new experiences. Also, younger children may have more </w:t>
      </w:r>
      <w:r w:rsidR="00650661">
        <w:rPr>
          <w:rFonts w:ascii="Times New Roman Regular" w:eastAsia="宋体" w:hAnsi="Times New Roman Regular" w:cs="Times New Roman Regular"/>
          <w:color w:val="222222"/>
          <w:kern w:val="0"/>
          <w:sz w:val="24"/>
          <w:shd w:val="clear" w:color="auto" w:fill="FFFFFF"/>
          <w:lang w:eastAsia="zh-Hans" w:bidi="ar"/>
        </w:rPr>
        <w:t>opportunities</w:t>
      </w:r>
      <w:r>
        <w:rPr>
          <w:rFonts w:ascii="Times New Roman Regular" w:eastAsia="宋体" w:hAnsi="Times New Roman Regular" w:cs="Times New Roman Regular"/>
          <w:color w:val="222222"/>
          <w:kern w:val="0"/>
          <w:sz w:val="24"/>
          <w:shd w:val="clear" w:color="auto" w:fill="FFFFFF"/>
          <w:lang w:eastAsia="zh-Hans" w:bidi="ar"/>
        </w:rPr>
        <w:t xml:space="preserve"> to study and use the language, which may provide better language acquisition outcomes. Moreover, the writers examine language input. They claim that </w:t>
      </w:r>
      <w:r w:rsidR="00650661">
        <w:rPr>
          <w:rFonts w:ascii="Times New Roman Regular" w:eastAsia="宋体" w:hAnsi="Times New Roman Regular" w:cs="Times New Roman Regular"/>
          <w:color w:val="222222"/>
          <w:kern w:val="0"/>
          <w:sz w:val="24"/>
          <w:shd w:val="clear" w:color="auto" w:fill="FFFFFF"/>
          <w:lang w:eastAsia="zh-Hans" w:bidi="ar"/>
        </w:rPr>
        <w:t>for</w:t>
      </w:r>
      <w:r>
        <w:rPr>
          <w:rFonts w:ascii="Times New Roman Regular" w:eastAsia="宋体" w:hAnsi="Times New Roman Regular" w:cs="Times New Roman Regular"/>
          <w:color w:val="222222"/>
          <w:kern w:val="0"/>
          <w:sz w:val="24"/>
          <w:shd w:val="clear" w:color="auto" w:fill="FFFFFF"/>
          <w:lang w:eastAsia="zh-Hans" w:bidi="ar"/>
        </w:rPr>
        <w:t xml:space="preserve"> learners to effectively pick up a second language, they must be exposed to enough and the right kinds of linguistic information. Learners must be exposed to a variety of inputs, which may include both spoken and written language, in order to develop their language skills. The writers extensively discuss aptitude, or a learner's natural potential to learn a second language (Lightbown &amp; Spada, 2000). The ability to learn new languages, intelligence and cognitive ability are all thought to be related to aptitude. Behaviorist theories, particularly those that stress auditory language approaches, view learning a second or foreign language as a process of habit development that may be aided by repetition and pattern rehearsal. </w:t>
      </w:r>
    </w:p>
    <w:p w14:paraId="7410E3E7" w14:textId="77777777" w:rsidR="00800CF3" w:rsidRDefault="00800CF3">
      <w:pPr>
        <w:spacing w:line="480" w:lineRule="auto"/>
        <w:rPr>
          <w:rFonts w:ascii="Times New Roman Regular" w:eastAsia="宋体" w:hAnsi="Times New Roman Regular" w:cs="Times New Roman Regular" w:hint="eastAsia"/>
          <w:color w:val="222222"/>
          <w:kern w:val="0"/>
          <w:sz w:val="24"/>
          <w:shd w:val="clear" w:color="auto" w:fill="FFFFFF"/>
          <w:lang w:eastAsia="zh-Hans" w:bidi="ar"/>
        </w:rPr>
      </w:pPr>
    </w:p>
    <w:p w14:paraId="4704090F" w14:textId="4F8C3FBE" w:rsidR="00800CF3" w:rsidRDefault="00000000">
      <w:pPr>
        <w:spacing w:line="480" w:lineRule="auto"/>
        <w:rPr>
          <w:rFonts w:ascii="Times New Roman Regular" w:eastAsia="宋体" w:hAnsi="Times New Roman Regular" w:cs="Times New Roman Regular" w:hint="eastAsia"/>
          <w:color w:val="222222"/>
          <w:kern w:val="0"/>
          <w:sz w:val="24"/>
          <w:shd w:val="clear" w:color="auto" w:fill="FFFFFF"/>
          <w:lang w:eastAsia="zh-Hans" w:bidi="ar"/>
        </w:rPr>
      </w:pPr>
      <w:r>
        <w:rPr>
          <w:rFonts w:ascii="Times New Roman Regular" w:eastAsia="宋体" w:hAnsi="Times New Roman Regular" w:cs="Times New Roman Regular"/>
          <w:color w:val="222222"/>
          <w:kern w:val="0"/>
          <w:sz w:val="24"/>
          <w:shd w:val="clear" w:color="auto" w:fill="FFFFFF"/>
          <w:lang w:eastAsia="zh-Hans" w:bidi="ar"/>
        </w:rPr>
        <w:t xml:space="preserve">The behaviorist learning theory was ultimately disproved because it saw the student as a passive receiver and the instructor as the primary information source (Demirezen, 1988). Even while they admit that aptitude is not the sole element affecting language learning success, the authors contend that students with high aptitude are more likely to succeed in learning a second language. The goal of learning skills is also discussed throughout the text. The techniques that students employ to learn a second language include memorization, </w:t>
      </w:r>
      <w:r>
        <w:rPr>
          <w:rFonts w:ascii="Times New Roman Regular" w:eastAsia="宋体" w:hAnsi="Times New Roman Regular" w:cs="Times New Roman Regular"/>
          <w:color w:val="222222"/>
          <w:kern w:val="0"/>
          <w:sz w:val="24"/>
          <w:shd w:val="clear" w:color="auto" w:fill="FFFFFF"/>
          <w:lang w:eastAsia="zh-Hans" w:bidi="ar"/>
        </w:rPr>
        <w:lastRenderedPageBreak/>
        <w:t>repetition, and reasoning. According to Lightbown &amp; Spada (2000), pupils who employ efficient learning techniques are more likely to be successful while learning a second language. Planning, managing one's attention, and being aware of one's thinking are all examples of effective learning practices.</w:t>
      </w:r>
    </w:p>
    <w:p w14:paraId="00DC4CE9" w14:textId="77777777" w:rsidR="00800CF3" w:rsidRDefault="00800CF3">
      <w:pPr>
        <w:spacing w:line="480" w:lineRule="auto"/>
        <w:rPr>
          <w:rFonts w:ascii="Times New Roman Regular" w:eastAsia="宋体" w:hAnsi="Times New Roman Regular" w:cs="Times New Roman Regular" w:hint="eastAsia"/>
          <w:color w:val="222222"/>
          <w:kern w:val="0"/>
          <w:sz w:val="24"/>
          <w:shd w:val="clear" w:color="auto" w:fill="FFFFFF"/>
          <w:lang w:eastAsia="zh-Hans" w:bidi="ar"/>
        </w:rPr>
      </w:pPr>
    </w:p>
    <w:p w14:paraId="1E7F2C90" w14:textId="77777777" w:rsidR="00800CF3" w:rsidRDefault="00000000">
      <w:pPr>
        <w:spacing w:line="480" w:lineRule="auto"/>
        <w:rPr>
          <w:rFonts w:ascii="Times New Roman Regular" w:eastAsia="宋体" w:hAnsi="Times New Roman Regular" w:cs="Times New Roman Regular" w:hint="eastAsia"/>
          <w:color w:val="222222"/>
          <w:kern w:val="0"/>
          <w:sz w:val="24"/>
          <w:shd w:val="clear" w:color="auto" w:fill="FFFFFF"/>
          <w:lang w:eastAsia="zh-Hans" w:bidi="ar"/>
        </w:rPr>
      </w:pPr>
      <w:r>
        <w:rPr>
          <w:rFonts w:ascii="Times New Roman Regular" w:eastAsia="宋体" w:hAnsi="Times New Roman Regular" w:cs="Times New Roman Regular"/>
          <w:color w:val="222222"/>
          <w:kern w:val="0"/>
          <w:sz w:val="24"/>
          <w:shd w:val="clear" w:color="auto" w:fill="FFFFFF"/>
          <w:lang w:eastAsia="zh-Hans" w:bidi="ar"/>
        </w:rPr>
        <w:t>In a manner similar to this, Candlin &amp; Mercer (2000) investigated a few contributing factors but primarily focused on a number of difficulties related to the social context of English teaching. The author claims that language education is a sort of social activity that takes place against a certain social, cultural, and historical backdrop. The author draws from a variety of fields, including linguistics, sociology, psychology, anthropology, and education, to have a nuanced and full understanding of the difficult issues inherent in language learning. We can see how several social factors, including the teacher's social background, language, culture, and identity, classroom interaction, and discourse, as well as the development and implementation of language policies and programs, have an effect on second language learning. In actuality, a number of similar studies have demonstrated that social factors do in fact have an impact on a person's ability to learn. During that time, "sociocultural theory" began to have an effect on the study of second languages, and the "social" aspect of language learning began to receive more attention. a compelling sociocultural hypothesis based on Vygotsky's investigations. According to Swain et al. (2015), the foundation of sociocultural theory (SCT) is the idea that all learning is first social and then human. The aim of learning and using a second language is often "native language competency," however this ignores the learner's other identities in the social and cultural context.</w:t>
      </w:r>
    </w:p>
    <w:p w14:paraId="0FDD4059" w14:textId="77777777" w:rsidR="00800CF3" w:rsidRDefault="00800CF3">
      <w:pPr>
        <w:widowControl/>
        <w:spacing w:line="480" w:lineRule="auto"/>
        <w:jc w:val="left"/>
        <w:rPr>
          <w:rFonts w:ascii="Times New Roman Regular" w:eastAsia="宋体" w:hAnsi="Times New Roman Regular" w:cs="Times New Roman Regular" w:hint="eastAsia"/>
          <w:color w:val="222222"/>
          <w:kern w:val="0"/>
          <w:sz w:val="24"/>
          <w:shd w:val="clear" w:color="auto" w:fill="FFFFFF"/>
          <w:lang w:bidi="ar"/>
        </w:rPr>
      </w:pPr>
    </w:p>
    <w:p w14:paraId="35FA3F82" w14:textId="77777777" w:rsidR="00800CF3" w:rsidRDefault="00800CF3">
      <w:pPr>
        <w:widowControl/>
        <w:spacing w:line="480" w:lineRule="auto"/>
        <w:jc w:val="left"/>
        <w:rPr>
          <w:rFonts w:ascii="Times New Roman Regular" w:eastAsia="宋体" w:hAnsi="Times New Roman Regular" w:cs="Times New Roman Regular" w:hint="eastAsia"/>
          <w:color w:val="222222"/>
          <w:kern w:val="0"/>
          <w:sz w:val="24"/>
          <w:shd w:val="clear" w:color="auto" w:fill="FFFFFF"/>
          <w:lang w:eastAsia="zh-Hans" w:bidi="ar"/>
        </w:rPr>
      </w:pPr>
    </w:p>
    <w:p w14:paraId="5C631DA7" w14:textId="77777777" w:rsidR="00800CF3" w:rsidRDefault="00000000">
      <w:pPr>
        <w:numPr>
          <w:ilvl w:val="0"/>
          <w:numId w:val="1"/>
        </w:numPr>
        <w:spacing w:line="480" w:lineRule="auto"/>
        <w:rPr>
          <w:rFonts w:ascii="Times New Roman Regular" w:hAnsi="Times New Roman Regular" w:cs="Times New Roman Regular" w:hint="eastAsia"/>
          <w:sz w:val="24"/>
        </w:rPr>
      </w:pPr>
      <w:r>
        <w:rPr>
          <w:rFonts w:ascii="Times New Roman Regular" w:hAnsi="Times New Roman Regular" w:cs="Times New Roman Regular"/>
          <w:sz w:val="24"/>
        </w:rPr>
        <w:t>Age as a factor affecting second language learning</w:t>
      </w:r>
    </w:p>
    <w:p w14:paraId="61757379" w14:textId="77777777" w:rsidR="00800CF3" w:rsidRDefault="00000000">
      <w:pPr>
        <w:spacing w:line="480" w:lineRule="auto"/>
        <w:rPr>
          <w:rFonts w:ascii="Times New Roman Regular" w:hAnsi="Times New Roman Regular" w:cs="Times New Roman Regular" w:hint="eastAsia"/>
          <w:sz w:val="24"/>
          <w:lang w:eastAsia="zh-Hans"/>
        </w:rPr>
      </w:pPr>
      <w:r>
        <w:rPr>
          <w:rFonts w:ascii="Times New Roman Regular" w:hAnsi="Times New Roman Regular" w:cs="Times New Roman Regular"/>
          <w:sz w:val="24"/>
          <w:lang w:eastAsia="zh-Hans"/>
        </w:rPr>
        <w:t>Spada and Lightbown talk about the subject of aging (2001). In reality, academics have identified learner age as one of the major issues in the field of second language (L2) acquisition, regardless of whether their specialization is theoretical or practical. Younger children are usually believed to have certain benefits over older students while learning a language. Most people believe that younger children can learn languages more quickly than older children (Andreou et al., 2005). As children must reach a certain developmental stage before gaining knowledge appropriate for that level, teaching them earlier or later is incorrect, according to Piaget's developmental psychology (Huitt &amp; Hummel, 2013). This demonstrates the importance of age in language acquisition.</w:t>
      </w:r>
    </w:p>
    <w:p w14:paraId="71DBC0B2" w14:textId="77777777" w:rsidR="00800CF3" w:rsidRDefault="00800CF3">
      <w:pPr>
        <w:spacing w:line="480" w:lineRule="auto"/>
        <w:rPr>
          <w:rFonts w:ascii="Times New Roman Regular" w:hAnsi="Times New Roman Regular" w:cs="Times New Roman Regular" w:hint="eastAsia"/>
          <w:sz w:val="24"/>
          <w:lang w:eastAsia="zh-Hans"/>
        </w:rPr>
      </w:pPr>
    </w:p>
    <w:p w14:paraId="167C6168" w14:textId="50EEA4C9" w:rsidR="00800CF3" w:rsidRDefault="00000000">
      <w:pPr>
        <w:spacing w:line="480" w:lineRule="auto"/>
        <w:rPr>
          <w:rFonts w:ascii="Times New Roman Regular" w:hAnsi="Times New Roman Regular" w:cs="Times New Roman Regular" w:hint="eastAsia"/>
          <w:sz w:val="24"/>
          <w:lang w:eastAsia="zh-Hans"/>
        </w:rPr>
      </w:pPr>
      <w:r>
        <w:rPr>
          <w:rFonts w:ascii="Times New Roman Regular" w:hAnsi="Times New Roman Regular" w:cs="Times New Roman Regular"/>
          <w:sz w:val="24"/>
          <w:lang w:eastAsia="zh-Hans"/>
        </w:rPr>
        <w:t xml:space="preserve">According to Spada &amp; Lightbown (2019), language learning capacity and motivation are the two key components for successful language mastering, and </w:t>
      </w:r>
      <w:r w:rsidR="00650661">
        <w:rPr>
          <w:rFonts w:ascii="Times New Roman Regular" w:hAnsi="Times New Roman Regular" w:cs="Times New Roman Regular"/>
          <w:sz w:val="24"/>
          <w:lang w:eastAsia="zh-Hans"/>
        </w:rPr>
        <w:t xml:space="preserve">the </w:t>
      </w:r>
      <w:r>
        <w:rPr>
          <w:rFonts w:ascii="Times New Roman Regular" w:hAnsi="Times New Roman Regular" w:cs="Times New Roman Regular"/>
          <w:sz w:val="24"/>
          <w:lang w:eastAsia="zh-Hans"/>
        </w:rPr>
        <w:t xml:space="preserve">age of learners has a significant impact on language learning ability. Age is a crucial physiological aspect in acquiring a first or second language, and psychologists, linguists, and educators have focused a lot of emphasis on this issue. They put a lot of time and attention into examining the connection between age and SLA from several angles. In SLA, it is widely acknowledged that children outperform adults, while the topic of learning motivation is still hotly contested. Cazden (1988) made the claim that children, adolescents, and adults go through the same learning process in which they must process linguistic input based on a number of research. </w:t>
      </w:r>
      <w:r>
        <w:rPr>
          <w:rFonts w:ascii="Times New Roman Regular" w:hAnsi="Times New Roman Regular" w:cs="Times New Roman Regular"/>
          <w:sz w:val="24"/>
          <w:lang w:eastAsia="zh-Hans"/>
        </w:rPr>
        <w:lastRenderedPageBreak/>
        <w:t>They do, however, develop at quite different rates and accomplish at very different levels. Children can do better in pronunciation and standard accents, but after a lengthy learning process, they are more likely to succeed in acquiring and conversing with a second language</w:t>
      </w:r>
      <w:r>
        <w:rPr>
          <w:rFonts w:ascii="Times New Roman Regular" w:hAnsi="Times New Roman Regular" w:cs="Times New Roman Regular"/>
          <w:sz w:val="24"/>
        </w:rPr>
        <w:t xml:space="preserve"> (</w:t>
      </w:r>
      <w:r>
        <w:rPr>
          <w:rFonts w:ascii="Times New Roman Regular" w:eastAsia="宋体" w:hAnsi="Times New Roman Regular" w:cs="Times New Roman Regular"/>
          <w:color w:val="222222"/>
          <w:kern w:val="0"/>
          <w:sz w:val="24"/>
          <w:shd w:val="clear" w:color="auto" w:fill="FFFFFF"/>
          <w:lang w:bidi="ar"/>
        </w:rPr>
        <w:t>Andreou et al., 2005</w:t>
      </w:r>
      <w:r>
        <w:rPr>
          <w:rFonts w:ascii="Times New Roman Regular" w:hAnsi="Times New Roman Regular" w:cs="Times New Roman Regular"/>
          <w:sz w:val="24"/>
        </w:rPr>
        <w:t>)</w:t>
      </w:r>
      <w:r>
        <w:rPr>
          <w:rFonts w:ascii="Times New Roman Regular" w:hAnsi="Times New Roman Regular" w:cs="Times New Roman Regular"/>
          <w:sz w:val="24"/>
          <w:lang w:eastAsia="zh-Hans"/>
        </w:rPr>
        <w:t>. In general, adults can perform better in the early stages since they have greater cognitive capacities. Although various people have different perspectives, it is impossible to overlook the significance of the age issue in SLA.</w:t>
      </w:r>
    </w:p>
    <w:p w14:paraId="3CB18642" w14:textId="77777777" w:rsidR="00800CF3" w:rsidRDefault="00800CF3">
      <w:pPr>
        <w:spacing w:line="480" w:lineRule="auto"/>
        <w:rPr>
          <w:rFonts w:ascii="Times New Roman Regular" w:hAnsi="Times New Roman Regular" w:cs="Times New Roman Regular" w:hint="eastAsia"/>
          <w:sz w:val="24"/>
          <w:lang w:eastAsia="zh-Hans"/>
        </w:rPr>
      </w:pPr>
    </w:p>
    <w:p w14:paraId="187E4A2B" w14:textId="20A971D3" w:rsidR="00BD3143" w:rsidRDefault="00000000">
      <w:pPr>
        <w:spacing w:line="480" w:lineRule="auto"/>
        <w:rPr>
          <w:rFonts w:ascii="Times New Roman Regular" w:hAnsi="Times New Roman Regular" w:cs="Times New Roman Regular" w:hint="eastAsia"/>
          <w:sz w:val="24"/>
          <w:lang w:eastAsia="zh-Hans"/>
        </w:rPr>
      </w:pPr>
      <w:r>
        <w:rPr>
          <w:rFonts w:ascii="Times New Roman Regular" w:hAnsi="Times New Roman Regular" w:cs="Times New Roman Regular"/>
          <w:sz w:val="24"/>
          <w:lang w:eastAsia="zh-Hans"/>
        </w:rPr>
        <w:t xml:space="preserve">Young language learners are considered to have an accent that is comparable to their native tongue and the ability to speak smoothly in a second language. Post-adolescent learners develop sophisticated learning patterns rather than the accent of a second language the way native speakers do. When learning a second language, both children and adults go through several phases of growth. Cognitive development and neurological variables affect learning. Young learners develop a range of cognitive, emotional, physical, and social abilities during their development that </w:t>
      </w:r>
      <w:r w:rsidR="00650661">
        <w:rPr>
          <w:rFonts w:ascii="Times New Roman Regular" w:hAnsi="Times New Roman Regular" w:cs="Times New Roman Regular"/>
          <w:sz w:val="24"/>
          <w:lang w:eastAsia="zh-Hans"/>
        </w:rPr>
        <w:t>is</w:t>
      </w:r>
      <w:r>
        <w:rPr>
          <w:rFonts w:ascii="Times New Roman Regular" w:hAnsi="Times New Roman Regular" w:cs="Times New Roman Regular"/>
          <w:sz w:val="24"/>
          <w:lang w:eastAsia="zh-Hans"/>
        </w:rPr>
        <w:t xml:space="preserve"> essential for understanding how to teach L2 and applying what they have learned (Adwani &amp; Shrivastava, 2017). Long believed that young infants could quickly learn a second language (Penfield &amp; Roberts, 2014). The key period hypothesis backs up the notion that language acquisition is superior in young learners compared to adults. </w:t>
      </w:r>
    </w:p>
    <w:p w14:paraId="76C01694" w14:textId="66856E57" w:rsidR="00BD3143" w:rsidRDefault="00BD3143">
      <w:pPr>
        <w:spacing w:line="480" w:lineRule="auto"/>
        <w:rPr>
          <w:rFonts w:ascii="Times New Roman Regular" w:hAnsi="Times New Roman Regular" w:cs="Times New Roman Regular" w:hint="eastAsia"/>
          <w:sz w:val="24"/>
          <w:lang w:eastAsia="zh-Hans"/>
        </w:rPr>
      </w:pPr>
      <w:r w:rsidRPr="00BD3143">
        <w:rPr>
          <w:rFonts w:ascii="Times New Roman Regular" w:hAnsi="Times New Roman Regular" w:cs="Times New Roman Regular"/>
          <w:sz w:val="24"/>
          <w:lang w:eastAsia="zh-Hans"/>
        </w:rPr>
        <w:t xml:space="preserve">This </w:t>
      </w:r>
      <w:r>
        <w:rPr>
          <w:rFonts w:ascii="Times New Roman Regular" w:hAnsi="Times New Roman Regular" w:cs="Times New Roman Regular" w:hint="eastAsia"/>
          <w:sz w:val="24"/>
        </w:rPr>
        <w:t>hyp</w:t>
      </w:r>
      <w:r>
        <w:rPr>
          <w:rFonts w:ascii="Times New Roman Regular" w:hAnsi="Times New Roman Regular" w:cs="Times New Roman Regular"/>
          <w:sz w:val="24"/>
          <w:lang w:eastAsia="zh-Hans"/>
        </w:rPr>
        <w:t>othesis</w:t>
      </w:r>
      <w:r w:rsidRPr="00BD3143">
        <w:rPr>
          <w:rFonts w:ascii="Times New Roman Regular" w:hAnsi="Times New Roman Regular" w:cs="Times New Roman Regular"/>
          <w:sz w:val="24"/>
          <w:lang w:eastAsia="zh-Hans"/>
        </w:rPr>
        <w:t xml:space="preserve"> expects that there is a period in human existence when language obtaining happens normally and without exertion, and that after this period, language learning can never again be pretty much as viable as recently depicted.</w:t>
      </w:r>
      <w:r>
        <w:rPr>
          <w:rFonts w:ascii="Times New Roman Regular" w:hAnsi="Times New Roman Regular" w:cs="Times New Roman Regular"/>
          <w:sz w:val="24"/>
          <w:lang w:eastAsia="zh-Hans"/>
        </w:rPr>
        <w:t xml:space="preserve"> </w:t>
      </w:r>
      <w:r w:rsidRPr="00BD3143">
        <w:rPr>
          <w:rFonts w:ascii="Times New Roman Regular" w:hAnsi="Times New Roman Regular" w:cs="Times New Roman Regular"/>
          <w:sz w:val="24"/>
          <w:lang w:eastAsia="zh-Hans"/>
        </w:rPr>
        <w:t xml:space="preserve">Research in neurophysiology serves as the foundation for this theory. When the left hemisphere of the brain is injured in a child before puberty, the language area is moved from the left to the right side of the brain, </w:t>
      </w:r>
      <w:r w:rsidRPr="00BD3143">
        <w:rPr>
          <w:rFonts w:ascii="Times New Roman Regular" w:hAnsi="Times New Roman Regular" w:cs="Times New Roman Regular"/>
          <w:sz w:val="24"/>
          <w:lang w:eastAsia="zh-Hans"/>
        </w:rPr>
        <w:lastRenderedPageBreak/>
        <w:t>restoring language function. It is challenging to regain language function once it has been lost since by adolescence, the lateralization of language in the human brain has been accomplished and is fixed on the left side of the brain.</w:t>
      </w:r>
      <w:r>
        <w:rPr>
          <w:rFonts w:ascii="Times New Roman Regular" w:hAnsi="Times New Roman Regular" w:cs="Times New Roman Regular"/>
          <w:sz w:val="24"/>
          <w:lang w:eastAsia="zh-Hans"/>
        </w:rPr>
        <w:t xml:space="preserve"> </w:t>
      </w:r>
      <w:r w:rsidRPr="00BD3143">
        <w:rPr>
          <w:rFonts w:ascii="Times New Roman Regular" w:hAnsi="Times New Roman Regular" w:cs="Times New Roman Regular"/>
          <w:sz w:val="24"/>
          <w:lang w:eastAsia="zh-Hans"/>
        </w:rPr>
        <w:t>Penfield and Roberts (1959) even suggest that the optimal time for language acquisition is between the ages of 0 and 10. Although subsequent research on the theory, and in particular the exact optimal age for learning a language, has been questioned by some The important influence of age on foreign language learning is undeniable.</w:t>
      </w:r>
    </w:p>
    <w:p w14:paraId="017863A7" w14:textId="685B7033" w:rsidR="00800CF3" w:rsidRDefault="00000000">
      <w:pPr>
        <w:spacing w:line="480" w:lineRule="auto"/>
        <w:rPr>
          <w:rFonts w:ascii="Times New Roman Regular" w:hAnsi="Times New Roman Regular" w:cs="Times New Roman Regular" w:hint="eastAsia"/>
          <w:sz w:val="24"/>
          <w:lang w:eastAsia="zh-Hans"/>
        </w:rPr>
      </w:pPr>
      <w:r>
        <w:rPr>
          <w:rFonts w:ascii="Times New Roman Regular" w:hAnsi="Times New Roman Regular" w:cs="Times New Roman Regular"/>
          <w:sz w:val="24"/>
          <w:lang w:eastAsia="zh-Hans"/>
        </w:rPr>
        <w:t xml:space="preserve">Younger students are better students, according to some studies, while older students are better students, according to others. There are several theories on how kids and adults learn a foreign or second language. Children lack the pressure and maturity to acquire a second language, but adults frequently find themselves in circumstances that call for the use of more complicated language and the expression of more complex concepts (Adwani &amp; Shrivastava, 2017). Singleton &amp; Ryan (2002) offer a variety of suggestions about age and second language acquisition. The two most common ideas are "smaller = better" and "larger = better," and by emphasizing learners' </w:t>
      </w:r>
      <w:r w:rsidR="00650661">
        <w:rPr>
          <w:rFonts w:ascii="Times New Roman Regular" w:hAnsi="Times New Roman Regular" w:cs="Times New Roman Regular"/>
          <w:sz w:val="24"/>
          <w:lang w:eastAsia="zh-Hans"/>
        </w:rPr>
        <w:t>pronunciation</w:t>
      </w:r>
      <w:r>
        <w:rPr>
          <w:rFonts w:ascii="Times New Roman Regular" w:hAnsi="Times New Roman Regular" w:cs="Times New Roman Regular"/>
          <w:sz w:val="24"/>
          <w:lang w:eastAsia="zh-Hans"/>
        </w:rPr>
        <w:t xml:space="preserve"> abilities and other language traits, he expands on earlier work on age-related issues.</w:t>
      </w:r>
      <w:r w:rsidR="00200A96" w:rsidRPr="00200A96">
        <w:t xml:space="preserve"> </w:t>
      </w:r>
      <w:r w:rsidR="00200A96" w:rsidRPr="00200A96">
        <w:rPr>
          <w:rFonts w:ascii="Times New Roman" w:hAnsi="Times New Roman" w:cs="Times New Roman"/>
          <w:sz w:val="24"/>
        </w:rPr>
        <w:t xml:space="preserve">Krashen, Long, and Scarcella (1979) even make the case that older children learn language more quickly than younger children and that adults learn language more quickly than toddlers. Adolescents perform best in acquiring lexicon and syntax, followed by adults, and children do significantly worse, according to Snow and Hoefnagel-research Hhle's from 1978, which supports the claims of other academics that teenagers are the best language learners. While in-depth research into the age of language learning has revealed the complexity of foreign language learning, the importance of age in </w:t>
      </w:r>
      <w:r w:rsidR="00200A96" w:rsidRPr="00200A96">
        <w:rPr>
          <w:rFonts w:ascii="Times New Roman" w:hAnsi="Times New Roman" w:cs="Times New Roman"/>
          <w:sz w:val="24"/>
        </w:rPr>
        <w:lastRenderedPageBreak/>
        <w:t>foreign language learning cannot be overstated. The majority of experiments conducted around the ideal age for learning a foreign language have produced mixed results.</w:t>
      </w:r>
    </w:p>
    <w:p w14:paraId="0293B0B3" w14:textId="77777777" w:rsidR="00800CF3" w:rsidRDefault="00800CF3">
      <w:pPr>
        <w:spacing w:line="480" w:lineRule="auto"/>
        <w:rPr>
          <w:rFonts w:ascii="Times New Roman Regular" w:hAnsi="Times New Roman Regular" w:cs="Times New Roman Regular" w:hint="eastAsia"/>
          <w:sz w:val="24"/>
          <w:lang w:eastAsia="zh-Hans"/>
        </w:rPr>
      </w:pPr>
    </w:p>
    <w:p w14:paraId="76EE6AE3" w14:textId="77777777" w:rsidR="00800CF3" w:rsidRDefault="00000000">
      <w:pPr>
        <w:numPr>
          <w:ilvl w:val="0"/>
          <w:numId w:val="1"/>
        </w:numPr>
        <w:spacing w:line="480" w:lineRule="auto"/>
        <w:rPr>
          <w:rFonts w:ascii="Times New Roman Regular" w:hAnsi="Times New Roman Regular" w:cs="Times New Roman Regular" w:hint="eastAsia"/>
          <w:sz w:val="24"/>
        </w:rPr>
      </w:pPr>
      <w:r>
        <w:rPr>
          <w:rFonts w:ascii="Times New Roman Regular" w:hAnsi="Times New Roman Regular" w:cs="Times New Roman Regular"/>
          <w:sz w:val="24"/>
        </w:rPr>
        <w:t>Conclusion</w:t>
      </w:r>
    </w:p>
    <w:p w14:paraId="33878415" w14:textId="4E3F6B4C" w:rsidR="00800CF3" w:rsidRDefault="007E48E9">
      <w:pPr>
        <w:spacing w:line="480" w:lineRule="auto"/>
        <w:rPr>
          <w:rFonts w:ascii="Times New Roman Regular" w:hAnsi="Times New Roman Regular" w:cs="Times New Roman Regular" w:hint="eastAsia"/>
          <w:sz w:val="24"/>
          <w:lang w:eastAsia="zh-Hans"/>
        </w:rPr>
      </w:pPr>
      <w:r w:rsidRPr="007E48E9">
        <w:rPr>
          <w:rFonts w:ascii="Times New Roman Regular" w:hAnsi="Times New Roman Regular" w:cs="Times New Roman Regular"/>
          <w:sz w:val="24"/>
          <w:lang w:eastAsia="zh-Hans"/>
        </w:rPr>
        <w:t xml:space="preserve">The process of acquiring a language other than your mother tongue outside of a formal educational context is known as second language acquisition. Several research </w:t>
      </w:r>
      <w:r w:rsidR="00650661">
        <w:rPr>
          <w:rFonts w:ascii="Times New Roman Regular" w:hAnsi="Times New Roman Regular" w:cs="Times New Roman Regular"/>
          <w:sz w:val="24"/>
          <w:lang w:eastAsia="zh-Hans"/>
        </w:rPr>
        <w:t>has</w:t>
      </w:r>
      <w:r w:rsidRPr="007E48E9">
        <w:rPr>
          <w:rFonts w:ascii="Times New Roman Regular" w:hAnsi="Times New Roman Regular" w:cs="Times New Roman Regular"/>
          <w:sz w:val="24"/>
          <w:lang w:eastAsia="zh-Hans"/>
        </w:rPr>
        <w:t xml:space="preserve"> concentrated on the variables that influence second language acquisition and develop the capacity to </w:t>
      </w:r>
      <w:r w:rsidR="00650661">
        <w:rPr>
          <w:rFonts w:ascii="Times New Roman Regular" w:hAnsi="Times New Roman Regular" w:cs="Times New Roman Regular"/>
          <w:sz w:val="24"/>
          <w:lang w:eastAsia="zh-Hans"/>
        </w:rPr>
        <w:t>utilize</w:t>
      </w:r>
      <w:r w:rsidRPr="007E48E9">
        <w:rPr>
          <w:rFonts w:ascii="Times New Roman Regular" w:hAnsi="Times New Roman Regular" w:cs="Times New Roman Regular"/>
          <w:sz w:val="24"/>
          <w:lang w:eastAsia="zh-Hans"/>
        </w:rPr>
        <w:t xml:space="preserve"> a second language in order to assist students in efficiently mastering and using a second language via the pertinent concepts and theories of learning this language.</w:t>
      </w:r>
      <w:r>
        <w:rPr>
          <w:rFonts w:ascii="Times New Roman Regular" w:hAnsi="Times New Roman Regular" w:cs="Times New Roman Regular"/>
          <w:sz w:val="24"/>
          <w:lang w:eastAsia="zh-Hans"/>
        </w:rPr>
        <w:t xml:space="preserve"> The factors examined by Candlin &amp; Mercer (2000) and Lightbown &amp; Spada (2001) are listed.</w:t>
      </w:r>
      <w:r w:rsidRPr="007E48E9">
        <w:t xml:space="preserve"> </w:t>
      </w:r>
      <w:r w:rsidRPr="007E48E9">
        <w:rPr>
          <w:rFonts w:ascii="Times New Roman Regular" w:hAnsi="Times New Roman Regular" w:cs="Times New Roman Regular"/>
          <w:sz w:val="24"/>
          <w:lang w:eastAsia="zh-Hans"/>
        </w:rPr>
        <w:t>The concept of "age" is the subject of an in-depth and critical examination in this piece. There is no convincing evidence to suggest that children learning a second language perform better than adults learning a language over the long term. In conclusion, a person's age is one factor that influences how they learn a second language. Numerous studies show a strong correlation between age and crucial times.</w:t>
      </w:r>
    </w:p>
    <w:p w14:paraId="70E2DD49" w14:textId="49859236" w:rsidR="00800CF3" w:rsidRDefault="00800CF3">
      <w:pPr>
        <w:spacing w:line="480" w:lineRule="auto"/>
        <w:rPr>
          <w:rFonts w:ascii="Times New Roman Regular" w:hAnsi="Times New Roman Regular" w:cs="Times New Roman Regular" w:hint="eastAsia"/>
          <w:sz w:val="24"/>
          <w:lang w:eastAsia="zh-Hans"/>
        </w:rPr>
      </w:pPr>
    </w:p>
    <w:p w14:paraId="2446F0BE" w14:textId="508E7BAB" w:rsidR="00C87F5A" w:rsidRDefault="00C87F5A">
      <w:pPr>
        <w:spacing w:line="480" w:lineRule="auto"/>
        <w:rPr>
          <w:rFonts w:ascii="Times New Roman Regular" w:hAnsi="Times New Roman Regular" w:cs="Times New Roman Regular" w:hint="eastAsia"/>
          <w:sz w:val="24"/>
          <w:lang w:eastAsia="zh-Hans"/>
        </w:rPr>
      </w:pPr>
    </w:p>
    <w:p w14:paraId="052B3660" w14:textId="65D1BFE3" w:rsidR="00C87F5A" w:rsidRDefault="00C87F5A">
      <w:pPr>
        <w:spacing w:line="480" w:lineRule="auto"/>
        <w:rPr>
          <w:rFonts w:ascii="Times New Roman Regular" w:hAnsi="Times New Roman Regular" w:cs="Times New Roman Regular" w:hint="eastAsia"/>
          <w:sz w:val="24"/>
          <w:lang w:eastAsia="zh-Hans"/>
        </w:rPr>
      </w:pPr>
    </w:p>
    <w:p w14:paraId="3ABB5E74" w14:textId="41234CB3" w:rsidR="00C87F5A" w:rsidRDefault="00C87F5A">
      <w:pPr>
        <w:spacing w:line="480" w:lineRule="auto"/>
        <w:rPr>
          <w:rFonts w:ascii="Times New Roman Regular" w:hAnsi="Times New Roman Regular" w:cs="Times New Roman Regular" w:hint="eastAsia"/>
          <w:sz w:val="24"/>
          <w:lang w:eastAsia="zh-Hans"/>
        </w:rPr>
      </w:pPr>
    </w:p>
    <w:p w14:paraId="02425097" w14:textId="451A5100" w:rsidR="00C87F5A" w:rsidRDefault="00C87F5A">
      <w:pPr>
        <w:spacing w:line="480" w:lineRule="auto"/>
        <w:rPr>
          <w:rFonts w:ascii="Times New Roman Regular" w:hAnsi="Times New Roman Regular" w:cs="Times New Roman Regular" w:hint="eastAsia"/>
          <w:sz w:val="24"/>
          <w:lang w:eastAsia="zh-Hans"/>
        </w:rPr>
      </w:pPr>
    </w:p>
    <w:p w14:paraId="1DA243EC" w14:textId="751473D2" w:rsidR="00C87F5A" w:rsidRDefault="00C87F5A">
      <w:pPr>
        <w:spacing w:line="480" w:lineRule="auto"/>
        <w:rPr>
          <w:rFonts w:ascii="Times New Roman Regular" w:hAnsi="Times New Roman Regular" w:cs="Times New Roman Regular" w:hint="eastAsia"/>
          <w:sz w:val="24"/>
          <w:lang w:eastAsia="zh-Hans"/>
        </w:rPr>
      </w:pPr>
    </w:p>
    <w:p w14:paraId="2CAC3D3F" w14:textId="77777777" w:rsidR="00C87F5A" w:rsidRDefault="00C87F5A">
      <w:pPr>
        <w:spacing w:line="480" w:lineRule="auto"/>
        <w:rPr>
          <w:rFonts w:ascii="Times New Roman Regular" w:hAnsi="Times New Roman Regular" w:cs="Times New Roman Regular" w:hint="eastAsia"/>
          <w:sz w:val="24"/>
          <w:lang w:eastAsia="zh-Hans"/>
        </w:rPr>
      </w:pPr>
    </w:p>
    <w:p w14:paraId="4A503A8C" w14:textId="77777777" w:rsidR="00800CF3" w:rsidRDefault="00000000">
      <w:pPr>
        <w:spacing w:line="480" w:lineRule="auto"/>
        <w:rPr>
          <w:rFonts w:ascii="Times New Roman Regular" w:hAnsi="Times New Roman Regular" w:cs="Times New Roman Regular" w:hint="eastAsia"/>
          <w:sz w:val="24"/>
        </w:rPr>
      </w:pPr>
      <w:r>
        <w:rPr>
          <w:rFonts w:ascii="Times New Roman Regular" w:hAnsi="Times New Roman Regular" w:cs="Times New Roman Regular"/>
          <w:sz w:val="24"/>
        </w:rPr>
        <w:lastRenderedPageBreak/>
        <w:t>References</w:t>
      </w:r>
    </w:p>
    <w:p w14:paraId="02E2DE9C" w14:textId="77777777" w:rsidR="00800CF3" w:rsidRDefault="00000000">
      <w:pPr>
        <w:widowControl/>
        <w:spacing w:line="480" w:lineRule="auto"/>
        <w:ind w:left="480" w:hangingChars="200" w:hanging="480"/>
        <w:jc w:val="left"/>
        <w:rPr>
          <w:rFonts w:ascii="Times New Roman Regular" w:hAnsi="Times New Roman Regular" w:cs="Times New Roman Regular" w:hint="eastAsia"/>
          <w:sz w:val="24"/>
        </w:rPr>
      </w:pPr>
      <w:r>
        <w:rPr>
          <w:rFonts w:ascii="Times New Roman Regular" w:eastAsia="宋体" w:hAnsi="Times New Roman Regular" w:cs="Times New Roman Regular"/>
          <w:color w:val="222222"/>
          <w:kern w:val="0"/>
          <w:sz w:val="24"/>
          <w:shd w:val="clear" w:color="auto" w:fill="FFFFFF"/>
          <w:lang w:bidi="ar"/>
        </w:rPr>
        <w:t>Adwani, P., &amp; Shrivastava, S. (2017). Analysis of factors affecting second language acquisition. </w:t>
      </w:r>
      <w:r>
        <w:rPr>
          <w:rFonts w:ascii="Times New Roman Regular" w:eastAsia="宋体" w:hAnsi="Times New Roman Regular" w:cs="Times New Roman Regular"/>
          <w:i/>
          <w:iCs/>
          <w:color w:val="222222"/>
          <w:kern w:val="0"/>
          <w:sz w:val="24"/>
          <w:shd w:val="clear" w:color="auto" w:fill="FFFFFF"/>
          <w:lang w:bidi="ar"/>
        </w:rPr>
        <w:t>International Journal of Social Sciences and Management</w:t>
      </w:r>
      <w:r>
        <w:rPr>
          <w:rFonts w:ascii="Times New Roman Regular" w:eastAsia="宋体" w:hAnsi="Times New Roman Regular" w:cs="Times New Roman Regular"/>
          <w:color w:val="222222"/>
          <w:kern w:val="0"/>
          <w:sz w:val="24"/>
          <w:shd w:val="clear" w:color="auto" w:fill="FFFFFF"/>
          <w:lang w:bidi="ar"/>
        </w:rPr>
        <w:t>, </w:t>
      </w:r>
      <w:r>
        <w:rPr>
          <w:rFonts w:ascii="Times New Roman Regular" w:eastAsia="宋体" w:hAnsi="Times New Roman Regular" w:cs="Times New Roman Regular"/>
          <w:i/>
          <w:iCs/>
          <w:color w:val="222222"/>
          <w:kern w:val="0"/>
          <w:sz w:val="24"/>
          <w:shd w:val="clear" w:color="auto" w:fill="FFFFFF"/>
          <w:lang w:bidi="ar"/>
        </w:rPr>
        <w:t>4</w:t>
      </w:r>
      <w:r>
        <w:rPr>
          <w:rFonts w:ascii="Times New Roman Regular" w:eastAsia="宋体" w:hAnsi="Times New Roman Regular" w:cs="Times New Roman Regular"/>
          <w:color w:val="222222"/>
          <w:kern w:val="0"/>
          <w:sz w:val="24"/>
          <w:shd w:val="clear" w:color="auto" w:fill="FFFFFF"/>
          <w:lang w:bidi="ar"/>
        </w:rPr>
        <w:t>(3), 158-164.</w:t>
      </w:r>
    </w:p>
    <w:p w14:paraId="5482C0AA" w14:textId="77777777" w:rsidR="00800CF3" w:rsidRDefault="00000000">
      <w:pPr>
        <w:widowControl/>
        <w:spacing w:line="480" w:lineRule="auto"/>
        <w:ind w:left="480" w:hangingChars="200" w:hanging="480"/>
        <w:jc w:val="left"/>
        <w:rPr>
          <w:rFonts w:ascii="Times New Roman Regular" w:hAnsi="Times New Roman Regular" w:cs="Times New Roman Regular" w:hint="eastAsia"/>
          <w:sz w:val="24"/>
        </w:rPr>
      </w:pPr>
      <w:r>
        <w:rPr>
          <w:rFonts w:ascii="Times New Roman Regular" w:eastAsia="宋体" w:hAnsi="Times New Roman Regular" w:cs="Times New Roman Regular"/>
          <w:color w:val="222222"/>
          <w:kern w:val="0"/>
          <w:sz w:val="24"/>
          <w:shd w:val="clear" w:color="auto" w:fill="FFFFFF"/>
          <w:lang w:bidi="ar"/>
        </w:rPr>
        <w:t>Andreou, G., Vlachos, F., &amp; Andreou, E. (2005). Affecting factors in second language learning. </w:t>
      </w:r>
      <w:r>
        <w:rPr>
          <w:rFonts w:ascii="Times New Roman Regular" w:eastAsia="宋体" w:hAnsi="Times New Roman Regular" w:cs="Times New Roman Regular"/>
          <w:i/>
          <w:iCs/>
          <w:color w:val="222222"/>
          <w:kern w:val="0"/>
          <w:sz w:val="24"/>
          <w:shd w:val="clear" w:color="auto" w:fill="FFFFFF"/>
          <w:lang w:bidi="ar"/>
        </w:rPr>
        <w:t>Journal of psycholinguistic research</w:t>
      </w:r>
      <w:r>
        <w:rPr>
          <w:rFonts w:ascii="Times New Roman Regular" w:eastAsia="宋体" w:hAnsi="Times New Roman Regular" w:cs="Times New Roman Regular"/>
          <w:color w:val="222222"/>
          <w:kern w:val="0"/>
          <w:sz w:val="24"/>
          <w:shd w:val="clear" w:color="auto" w:fill="FFFFFF"/>
          <w:lang w:bidi="ar"/>
        </w:rPr>
        <w:t>, </w:t>
      </w:r>
      <w:r>
        <w:rPr>
          <w:rFonts w:ascii="Times New Roman Regular" w:eastAsia="宋体" w:hAnsi="Times New Roman Regular" w:cs="Times New Roman Regular"/>
          <w:i/>
          <w:iCs/>
          <w:color w:val="222222"/>
          <w:kern w:val="0"/>
          <w:sz w:val="24"/>
          <w:shd w:val="clear" w:color="auto" w:fill="FFFFFF"/>
          <w:lang w:bidi="ar"/>
        </w:rPr>
        <w:t>34</w:t>
      </w:r>
      <w:r>
        <w:rPr>
          <w:rFonts w:ascii="Times New Roman Regular" w:eastAsia="宋体" w:hAnsi="Times New Roman Regular" w:cs="Times New Roman Regular"/>
          <w:color w:val="222222"/>
          <w:kern w:val="0"/>
          <w:sz w:val="24"/>
          <w:shd w:val="clear" w:color="auto" w:fill="FFFFFF"/>
          <w:lang w:bidi="ar"/>
        </w:rPr>
        <w:t>(5).</w:t>
      </w:r>
    </w:p>
    <w:p w14:paraId="37262A3A" w14:textId="77777777" w:rsidR="00800CF3" w:rsidRDefault="00000000">
      <w:pPr>
        <w:widowControl/>
        <w:spacing w:line="480" w:lineRule="auto"/>
        <w:ind w:left="480" w:hangingChars="200" w:hanging="480"/>
        <w:jc w:val="left"/>
        <w:rPr>
          <w:rFonts w:ascii="Times New Roman Regular" w:hAnsi="Times New Roman Regular" w:cs="Times New Roman Regular" w:hint="eastAsia"/>
          <w:sz w:val="24"/>
        </w:rPr>
      </w:pPr>
      <w:r>
        <w:rPr>
          <w:rFonts w:ascii="Times New Roman Regular" w:eastAsia="宋体" w:hAnsi="Times New Roman Regular" w:cs="Times New Roman Regular"/>
          <w:color w:val="222222"/>
          <w:kern w:val="0"/>
          <w:sz w:val="24"/>
          <w:shd w:val="clear" w:color="auto" w:fill="FFFFFF"/>
          <w:lang w:bidi="ar"/>
        </w:rPr>
        <w:t>Cazden, C. B. (1988). </w:t>
      </w:r>
      <w:r>
        <w:rPr>
          <w:rFonts w:ascii="Times New Roman Regular" w:eastAsia="宋体" w:hAnsi="Times New Roman Regular" w:cs="Times New Roman Regular"/>
          <w:i/>
          <w:iCs/>
          <w:color w:val="222222"/>
          <w:kern w:val="0"/>
          <w:sz w:val="24"/>
          <w:shd w:val="clear" w:color="auto" w:fill="FFFFFF"/>
          <w:lang w:bidi="ar"/>
        </w:rPr>
        <w:t>Classroom discourse: The language of teaching and learning</w:t>
      </w:r>
      <w:r>
        <w:rPr>
          <w:rFonts w:ascii="Times New Roman Regular" w:eastAsia="宋体" w:hAnsi="Times New Roman Regular" w:cs="Times New Roman Regular"/>
          <w:color w:val="222222"/>
          <w:kern w:val="0"/>
          <w:sz w:val="24"/>
          <w:shd w:val="clear" w:color="auto" w:fill="FFFFFF"/>
          <w:lang w:bidi="ar"/>
        </w:rPr>
        <w:t>.</w:t>
      </w:r>
    </w:p>
    <w:p w14:paraId="4E2ED633" w14:textId="77777777" w:rsidR="00800CF3" w:rsidRPr="00C87F5A" w:rsidRDefault="00000000">
      <w:pPr>
        <w:widowControl/>
        <w:spacing w:line="480" w:lineRule="auto"/>
        <w:ind w:left="480" w:hangingChars="200" w:hanging="480"/>
        <w:jc w:val="left"/>
        <w:rPr>
          <w:rFonts w:ascii="Times New Roman Regular" w:hAnsi="Times New Roman Regular" w:cs="Times New Roman Regular" w:hint="eastAsia"/>
          <w:sz w:val="24"/>
          <w:lang w:val="es-ES"/>
        </w:rPr>
      </w:pPr>
      <w:r>
        <w:rPr>
          <w:rFonts w:ascii="Times New Roman Regular" w:eastAsia="宋体" w:hAnsi="Times New Roman Regular" w:cs="Times New Roman Regular"/>
          <w:color w:val="222222"/>
          <w:kern w:val="0"/>
          <w:sz w:val="24"/>
          <w:shd w:val="clear" w:color="auto" w:fill="FFFFFF"/>
          <w:lang w:bidi="ar"/>
        </w:rPr>
        <w:t>Demirezen, M. (1988). Behaviorist theory and language learning. </w:t>
      </w:r>
      <w:r w:rsidRPr="00C87F5A">
        <w:rPr>
          <w:rFonts w:ascii="Times New Roman Regular" w:eastAsia="宋体" w:hAnsi="Times New Roman Regular" w:cs="Times New Roman Regular"/>
          <w:i/>
          <w:iCs/>
          <w:color w:val="222222"/>
          <w:kern w:val="0"/>
          <w:sz w:val="24"/>
          <w:shd w:val="clear" w:color="auto" w:fill="FFFFFF"/>
          <w:lang w:val="es-ES" w:bidi="ar"/>
        </w:rPr>
        <w:t>Hacettepe Vniversitesi Eðitim Fakültesi Dergisi</w:t>
      </w:r>
      <w:r w:rsidRPr="00C87F5A">
        <w:rPr>
          <w:rFonts w:ascii="Times New Roman Regular" w:eastAsia="宋体" w:hAnsi="Times New Roman Regular" w:cs="Times New Roman Regular"/>
          <w:color w:val="222222"/>
          <w:kern w:val="0"/>
          <w:sz w:val="24"/>
          <w:shd w:val="clear" w:color="auto" w:fill="FFFFFF"/>
          <w:lang w:val="es-ES" w:bidi="ar"/>
        </w:rPr>
        <w:t>, </w:t>
      </w:r>
      <w:r w:rsidRPr="00C87F5A">
        <w:rPr>
          <w:rFonts w:ascii="Times New Roman Regular" w:eastAsia="宋体" w:hAnsi="Times New Roman Regular" w:cs="Times New Roman Regular"/>
          <w:i/>
          <w:iCs/>
          <w:color w:val="222222"/>
          <w:kern w:val="0"/>
          <w:sz w:val="24"/>
          <w:shd w:val="clear" w:color="auto" w:fill="FFFFFF"/>
          <w:lang w:val="es-ES" w:bidi="ar"/>
        </w:rPr>
        <w:t>3</w:t>
      </w:r>
      <w:r w:rsidRPr="00C87F5A">
        <w:rPr>
          <w:rFonts w:ascii="Times New Roman Regular" w:eastAsia="宋体" w:hAnsi="Times New Roman Regular" w:cs="Times New Roman Regular"/>
          <w:color w:val="222222"/>
          <w:kern w:val="0"/>
          <w:sz w:val="24"/>
          <w:shd w:val="clear" w:color="auto" w:fill="FFFFFF"/>
          <w:lang w:val="es-ES" w:bidi="ar"/>
        </w:rPr>
        <w:t>, 135-40.</w:t>
      </w:r>
    </w:p>
    <w:p w14:paraId="75DC4847" w14:textId="77777777" w:rsidR="00800CF3" w:rsidRDefault="00000000">
      <w:pPr>
        <w:widowControl/>
        <w:spacing w:line="480" w:lineRule="auto"/>
        <w:ind w:left="480" w:hangingChars="200" w:hanging="480"/>
        <w:jc w:val="left"/>
        <w:rPr>
          <w:rFonts w:ascii="Times New Roman Regular" w:hAnsi="Times New Roman Regular" w:cs="Times New Roman Regular" w:hint="eastAsia"/>
          <w:sz w:val="24"/>
        </w:rPr>
      </w:pPr>
      <w:r>
        <w:rPr>
          <w:rFonts w:ascii="Times New Roman Regular" w:eastAsia="宋体" w:hAnsi="Times New Roman Regular" w:cs="Times New Roman Regular"/>
          <w:color w:val="222222"/>
          <w:kern w:val="0"/>
          <w:sz w:val="24"/>
          <w:shd w:val="clear" w:color="auto" w:fill="FFFFFF"/>
          <w:lang w:bidi="ar"/>
        </w:rPr>
        <w:t>Huitt, W., &amp; Hummel, J. (2003). Piaget's theory of cognitive development. </w:t>
      </w:r>
      <w:r>
        <w:rPr>
          <w:rFonts w:ascii="Times New Roman Regular" w:eastAsia="宋体" w:hAnsi="Times New Roman Regular" w:cs="Times New Roman Regular"/>
          <w:i/>
          <w:iCs/>
          <w:color w:val="222222"/>
          <w:kern w:val="0"/>
          <w:sz w:val="24"/>
          <w:shd w:val="clear" w:color="auto" w:fill="FFFFFF"/>
          <w:lang w:bidi="ar"/>
        </w:rPr>
        <w:t>Educational psychology interactive</w:t>
      </w:r>
      <w:r>
        <w:rPr>
          <w:rFonts w:ascii="Times New Roman Regular" w:eastAsia="宋体" w:hAnsi="Times New Roman Regular" w:cs="Times New Roman Regular"/>
          <w:color w:val="222222"/>
          <w:kern w:val="0"/>
          <w:sz w:val="24"/>
          <w:shd w:val="clear" w:color="auto" w:fill="FFFFFF"/>
          <w:lang w:bidi="ar"/>
        </w:rPr>
        <w:t>, </w:t>
      </w:r>
      <w:r>
        <w:rPr>
          <w:rFonts w:ascii="Times New Roman Regular" w:eastAsia="宋体" w:hAnsi="Times New Roman Regular" w:cs="Times New Roman Regular"/>
          <w:i/>
          <w:iCs/>
          <w:color w:val="222222"/>
          <w:kern w:val="0"/>
          <w:sz w:val="24"/>
          <w:shd w:val="clear" w:color="auto" w:fill="FFFFFF"/>
          <w:lang w:bidi="ar"/>
        </w:rPr>
        <w:t>3</w:t>
      </w:r>
      <w:r>
        <w:rPr>
          <w:rFonts w:ascii="Times New Roman Regular" w:eastAsia="宋体" w:hAnsi="Times New Roman Regular" w:cs="Times New Roman Regular"/>
          <w:color w:val="222222"/>
          <w:kern w:val="0"/>
          <w:sz w:val="24"/>
          <w:shd w:val="clear" w:color="auto" w:fill="FFFFFF"/>
          <w:lang w:bidi="ar"/>
        </w:rPr>
        <w:t>(2), 1-5.</w:t>
      </w:r>
    </w:p>
    <w:p w14:paraId="1ECDBF43" w14:textId="77777777" w:rsidR="00800CF3" w:rsidRDefault="00000000">
      <w:pPr>
        <w:widowControl/>
        <w:spacing w:line="480" w:lineRule="auto"/>
        <w:ind w:left="480" w:hangingChars="200" w:hanging="480"/>
        <w:jc w:val="left"/>
        <w:rPr>
          <w:rFonts w:ascii="Times New Roman Regular" w:eastAsia="宋体" w:hAnsi="Times New Roman Regular" w:cs="Times New Roman Regular" w:hint="eastAsia"/>
          <w:color w:val="222222"/>
          <w:kern w:val="0"/>
          <w:sz w:val="24"/>
          <w:shd w:val="clear" w:color="auto" w:fill="FFFFFF"/>
          <w:lang w:bidi="ar"/>
        </w:rPr>
      </w:pPr>
      <w:r>
        <w:rPr>
          <w:rFonts w:ascii="Times New Roman Regular" w:eastAsia="宋体" w:hAnsi="Times New Roman Regular" w:cs="Times New Roman Regular"/>
          <w:color w:val="222222"/>
          <w:kern w:val="0"/>
          <w:sz w:val="24"/>
          <w:shd w:val="clear" w:color="auto" w:fill="FFFFFF"/>
          <w:lang w:bidi="ar"/>
        </w:rPr>
        <w:t>Penfield, W., &amp; Roberts, L. (2014). </w:t>
      </w:r>
      <w:r>
        <w:rPr>
          <w:rFonts w:ascii="Times New Roman Regular" w:eastAsia="宋体" w:hAnsi="Times New Roman Regular" w:cs="Times New Roman Regular"/>
          <w:i/>
          <w:iCs/>
          <w:color w:val="222222"/>
          <w:kern w:val="0"/>
          <w:sz w:val="24"/>
          <w:shd w:val="clear" w:color="auto" w:fill="FFFFFF"/>
          <w:lang w:bidi="ar"/>
        </w:rPr>
        <w:t>Speech and brain mechanisms</w:t>
      </w:r>
      <w:r>
        <w:rPr>
          <w:rFonts w:ascii="Times New Roman Regular" w:eastAsia="宋体" w:hAnsi="Times New Roman Regular" w:cs="Times New Roman Regular"/>
          <w:color w:val="222222"/>
          <w:kern w:val="0"/>
          <w:sz w:val="24"/>
          <w:shd w:val="clear" w:color="auto" w:fill="FFFFFF"/>
          <w:lang w:bidi="ar"/>
        </w:rPr>
        <w:t> (Vol. 62). Princeton University Press.</w:t>
      </w:r>
    </w:p>
    <w:p w14:paraId="562F1D5E" w14:textId="77777777" w:rsidR="00800CF3" w:rsidRDefault="00000000">
      <w:pPr>
        <w:pStyle w:val="Default"/>
        <w:spacing w:line="480" w:lineRule="auto"/>
        <w:ind w:left="480" w:hangingChars="200" w:hanging="480"/>
        <w:jc w:val="both"/>
        <w:rPr>
          <w:rFonts w:ascii="Times New Roman Regular" w:hAnsi="Times New Roman Regular" w:cs="Times New Roman Regular"/>
        </w:rPr>
      </w:pPr>
      <w:r>
        <w:rPr>
          <w:rFonts w:ascii="Times New Roman Regular" w:hAnsi="Times New Roman Regular" w:cs="Times New Roman Regular"/>
        </w:rPr>
        <w:t xml:space="preserve">Singleton, D. M., &amp; Ryan, L. (2002). </w:t>
      </w:r>
      <w:r>
        <w:rPr>
          <w:rFonts w:ascii="Times New Roman Regular" w:hAnsi="Times New Roman Regular" w:cs="Times New Roman Regular"/>
          <w:i/>
          <w:iCs/>
        </w:rPr>
        <w:t>Language acquisition: The age factor</w:t>
      </w:r>
      <w:r>
        <w:rPr>
          <w:rFonts w:ascii="Times New Roman Regular" w:hAnsi="Times New Roman Regular" w:cs="Times New Roman Regular"/>
        </w:rPr>
        <w:t xml:space="preserve">. Clevedon: Multilingual Matters. </w:t>
      </w:r>
    </w:p>
    <w:p w14:paraId="6886898B" w14:textId="77777777" w:rsidR="00800CF3" w:rsidRDefault="00000000">
      <w:pPr>
        <w:widowControl/>
        <w:spacing w:line="480" w:lineRule="auto"/>
        <w:ind w:left="480" w:hangingChars="200" w:hanging="480"/>
        <w:jc w:val="left"/>
        <w:rPr>
          <w:rFonts w:ascii="Times New Roman Regular" w:hAnsi="Times New Roman Regular" w:cs="Times New Roman Regular" w:hint="eastAsia"/>
          <w:sz w:val="24"/>
        </w:rPr>
      </w:pPr>
      <w:r>
        <w:rPr>
          <w:rFonts w:ascii="Times New Roman Regular" w:eastAsia="宋体" w:hAnsi="Times New Roman Regular" w:cs="Times New Roman Regular"/>
          <w:color w:val="222222"/>
          <w:kern w:val="0"/>
          <w:sz w:val="24"/>
          <w:shd w:val="clear" w:color="auto" w:fill="FFFFFF"/>
          <w:lang w:bidi="ar"/>
        </w:rPr>
        <w:t>Spada, N., &amp; Lightbown, P. M. (2019). Second language acquisition. In </w:t>
      </w:r>
      <w:r>
        <w:rPr>
          <w:rFonts w:ascii="Times New Roman Regular" w:eastAsia="宋体" w:hAnsi="Times New Roman Regular" w:cs="Times New Roman Regular"/>
          <w:i/>
          <w:iCs/>
          <w:color w:val="222222"/>
          <w:kern w:val="0"/>
          <w:sz w:val="24"/>
          <w:shd w:val="clear" w:color="auto" w:fill="FFFFFF"/>
          <w:lang w:bidi="ar"/>
        </w:rPr>
        <w:t>An introduction to applied linguistics</w:t>
      </w:r>
      <w:r>
        <w:rPr>
          <w:rFonts w:ascii="Times New Roman Regular" w:eastAsia="宋体" w:hAnsi="Times New Roman Regular" w:cs="Times New Roman Regular"/>
          <w:color w:val="222222"/>
          <w:kern w:val="0"/>
          <w:sz w:val="24"/>
          <w:shd w:val="clear" w:color="auto" w:fill="FFFFFF"/>
          <w:lang w:bidi="ar"/>
        </w:rPr>
        <w:t> (pp. 111-127). Routledge.</w:t>
      </w:r>
    </w:p>
    <w:p w14:paraId="0C579701" w14:textId="77777777" w:rsidR="00800CF3" w:rsidRDefault="00000000">
      <w:pPr>
        <w:widowControl/>
        <w:spacing w:line="480" w:lineRule="auto"/>
        <w:ind w:left="480" w:hangingChars="200" w:hanging="480"/>
        <w:jc w:val="left"/>
        <w:rPr>
          <w:rFonts w:ascii="Times New Roman Regular" w:hAnsi="Times New Roman Regular" w:cs="Times New Roman Regular" w:hint="eastAsia"/>
          <w:sz w:val="24"/>
        </w:rPr>
      </w:pPr>
      <w:r>
        <w:rPr>
          <w:rFonts w:ascii="Times New Roman Regular" w:eastAsia="宋体" w:hAnsi="Times New Roman Regular" w:cs="Times New Roman Regular"/>
          <w:color w:val="222222"/>
          <w:kern w:val="0"/>
          <w:sz w:val="24"/>
          <w:shd w:val="clear" w:color="auto" w:fill="FFFFFF"/>
          <w:lang w:bidi="ar"/>
        </w:rPr>
        <w:t>Swain, M., Kinnear, P., &amp; Steinman, L. (2015). Sociocultural theory in second language education. In </w:t>
      </w:r>
      <w:r>
        <w:rPr>
          <w:rFonts w:ascii="Times New Roman Regular" w:eastAsia="宋体" w:hAnsi="Times New Roman Regular" w:cs="Times New Roman Regular"/>
          <w:i/>
          <w:iCs/>
          <w:color w:val="222222"/>
          <w:kern w:val="0"/>
          <w:sz w:val="24"/>
          <w:shd w:val="clear" w:color="auto" w:fill="FFFFFF"/>
          <w:lang w:bidi="ar"/>
        </w:rPr>
        <w:t>Sociocultural Theory in Second Language Education</w:t>
      </w:r>
      <w:r>
        <w:rPr>
          <w:rFonts w:ascii="Times New Roman Regular" w:eastAsia="宋体" w:hAnsi="Times New Roman Regular" w:cs="Times New Roman Regular"/>
          <w:color w:val="222222"/>
          <w:kern w:val="0"/>
          <w:sz w:val="24"/>
          <w:shd w:val="clear" w:color="auto" w:fill="FFFFFF"/>
          <w:lang w:bidi="ar"/>
        </w:rPr>
        <w:t>. Multilingual matters.</w:t>
      </w:r>
    </w:p>
    <w:p w14:paraId="1748BE5C" w14:textId="77777777" w:rsidR="00800CF3" w:rsidRDefault="00800CF3">
      <w:pPr>
        <w:spacing w:line="480" w:lineRule="auto"/>
        <w:rPr>
          <w:rFonts w:ascii="Times New Roman Regular" w:hAnsi="Times New Roman Regular" w:cs="Times New Roman Regular" w:hint="eastAsia"/>
          <w:sz w:val="24"/>
        </w:rPr>
      </w:pPr>
    </w:p>
    <w:sectPr w:rsidR="00800CF3">
      <w:pgSz w:w="11906" w:h="16838"/>
      <w:pgMar w:top="1440"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F3F3E" w14:textId="77777777" w:rsidR="00B2659A" w:rsidRDefault="00B2659A" w:rsidP="00C87F5A">
      <w:r>
        <w:separator/>
      </w:r>
    </w:p>
  </w:endnote>
  <w:endnote w:type="continuationSeparator" w:id="0">
    <w:p w14:paraId="5D56326C" w14:textId="77777777" w:rsidR="00B2659A" w:rsidRDefault="00B2659A" w:rsidP="00C87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imes New Roman Regular">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C0B728" w14:textId="77777777" w:rsidR="00B2659A" w:rsidRDefault="00B2659A" w:rsidP="00C87F5A">
      <w:r>
        <w:separator/>
      </w:r>
    </w:p>
  </w:footnote>
  <w:footnote w:type="continuationSeparator" w:id="0">
    <w:p w14:paraId="0A0DAA27" w14:textId="77777777" w:rsidR="00B2659A" w:rsidRDefault="00B2659A" w:rsidP="00C87F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762E51"/>
    <w:multiLevelType w:val="singleLevel"/>
    <w:tmpl w:val="5B762E51"/>
    <w:lvl w:ilvl="0">
      <w:start w:val="1"/>
      <w:numFmt w:val="decimal"/>
      <w:suff w:val="space"/>
      <w:lvlText w:val="%1."/>
      <w:lvlJc w:val="left"/>
    </w:lvl>
  </w:abstractNum>
  <w:num w:numId="1" w16cid:durableId="5557026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77BF3241"/>
    <w:rsid w:val="D3BFDFA5"/>
    <w:rsid w:val="DBFFC9C0"/>
    <w:rsid w:val="0008592A"/>
    <w:rsid w:val="00200A96"/>
    <w:rsid w:val="00650661"/>
    <w:rsid w:val="007E48E9"/>
    <w:rsid w:val="00800CF3"/>
    <w:rsid w:val="00B2659A"/>
    <w:rsid w:val="00BD3143"/>
    <w:rsid w:val="00C87F5A"/>
    <w:rsid w:val="00D4289D"/>
    <w:rsid w:val="00D47775"/>
    <w:rsid w:val="375B8104"/>
    <w:rsid w:val="77BF3241"/>
    <w:rsid w:val="7E77A9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8492B8"/>
  <w15:docId w15:val="{84B15E3A-BD06-4215-A6DB-36A04B3ED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Autospacing="1" w:afterAutospacing="1"/>
      <w:jc w:val="left"/>
    </w:pPr>
    <w:rPr>
      <w:rFonts w:cs="Times New Roman"/>
      <w:kern w:val="0"/>
      <w:sz w:val="24"/>
    </w:rPr>
  </w:style>
  <w:style w:type="character" w:styleId="a4">
    <w:name w:val="Hyperlink"/>
    <w:basedOn w:val="a0"/>
    <w:rPr>
      <w:color w:val="0000FF"/>
      <w:u w:val="single"/>
    </w:rPr>
  </w:style>
  <w:style w:type="paragraph" w:customStyle="1" w:styleId="Default">
    <w:name w:val="Default"/>
    <w:qFormat/>
    <w:pPr>
      <w:autoSpaceDE w:val="0"/>
      <w:autoSpaceDN w:val="0"/>
      <w:adjustRightInd w:val="0"/>
    </w:pPr>
    <w:rPr>
      <w:rFonts w:eastAsia="Calibri"/>
      <w:color w:val="000000"/>
      <w:sz w:val="24"/>
      <w:szCs w:val="24"/>
      <w:lang w:val="id-ID" w:eastAsia="en-US"/>
    </w:rPr>
  </w:style>
  <w:style w:type="paragraph" w:styleId="a5">
    <w:name w:val="header"/>
    <w:basedOn w:val="a"/>
    <w:link w:val="a6"/>
    <w:rsid w:val="00C87F5A"/>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rsid w:val="00C87F5A"/>
    <w:rPr>
      <w:rFonts w:asciiTheme="minorHAnsi" w:eastAsiaTheme="minorEastAsia" w:hAnsiTheme="minorHAnsi" w:cstheme="minorBidi"/>
      <w:kern w:val="2"/>
      <w:sz w:val="18"/>
      <w:szCs w:val="18"/>
    </w:rPr>
  </w:style>
  <w:style w:type="paragraph" w:styleId="a7">
    <w:name w:val="footer"/>
    <w:basedOn w:val="a"/>
    <w:link w:val="a8"/>
    <w:rsid w:val="00C87F5A"/>
    <w:pPr>
      <w:tabs>
        <w:tab w:val="center" w:pos="4153"/>
        <w:tab w:val="right" w:pos="8306"/>
      </w:tabs>
      <w:snapToGrid w:val="0"/>
      <w:jc w:val="left"/>
    </w:pPr>
    <w:rPr>
      <w:sz w:val="18"/>
      <w:szCs w:val="18"/>
    </w:rPr>
  </w:style>
  <w:style w:type="character" w:customStyle="1" w:styleId="a8">
    <w:name w:val="页脚 字符"/>
    <w:basedOn w:val="a0"/>
    <w:link w:val="a7"/>
    <w:rsid w:val="00C87F5A"/>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130</TotalTime>
  <Pages>8</Pages>
  <Words>2011</Words>
  <Characters>11143</Characters>
  <Application>Microsoft Office Word</Application>
  <DocSecurity>0</DocSecurity>
  <Lines>174</Lines>
  <Paragraphs>29</Paragraphs>
  <ScaleCrop>false</ScaleCrop>
  <Company/>
  <LinksUpToDate>false</LinksUpToDate>
  <CharactersWithSpaces>13125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12345</dc:creator>
  <cp:lastModifiedBy>张 诗悦</cp:lastModifiedBy>
  <cp:revision>4</cp:revision>
  <dcterms:created xsi:type="dcterms:W3CDTF">2023-03-18T08:22:00Z</dcterms:created>
  <dcterms:modified xsi:type="dcterms:W3CDTF">2023-03-20T03:43:00Z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2052-5.1.1.7676</vt:lpwstr>
  </property>
  <property fmtid="{D5CDD505-2E9C-101B-9397-08002B2CF9AE}" pid="3" name="ICV">
    <vt:lpwstr>6E80291D34F943B3B4931464999C403D</vt:lpwstr>
  </property>
  <property fmtid="{D5CDD505-2E9C-101B-9397-08002B2CF9AE}" pid="4" name="GrammarlyDocumentId">
    <vt:lpwstr>7ce23b8bd7b88722f88526be38fc95fea82601a5e33c97caf394bbbc51c96665</vt:lpwstr>
  </property>
</Properties>
</file>