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05B550" w14:textId="77777777" w:rsidR="00400502" w:rsidRPr="00272CE0" w:rsidRDefault="00400502">
      <w:pPr>
        <w:rPr>
          <w:b/>
          <w:bCs/>
        </w:rPr>
      </w:pPr>
    </w:p>
    <w:p w14:paraId="70BDF8CC" w14:textId="77777777" w:rsidR="00C10BAA" w:rsidRPr="00272CE0" w:rsidRDefault="00C10BAA" w:rsidP="00C10BAA">
      <w:pPr>
        <w:rPr>
          <w:b/>
          <w:bCs/>
        </w:rPr>
      </w:pPr>
    </w:p>
    <w:p w14:paraId="22F03C4E" w14:textId="2C7A4C69" w:rsidR="006933AD" w:rsidRPr="00272CE0" w:rsidRDefault="00F22AA8" w:rsidP="00D61EA7">
      <w:pPr>
        <w:rPr>
          <w:b/>
          <w:bCs/>
        </w:rPr>
      </w:pPr>
      <w:r w:rsidRPr="00AE7409">
        <w:rPr>
          <w:b/>
          <w:bCs/>
          <w:u w:val="single"/>
        </w:rPr>
        <w:t>Neve Pule 2219959</w:t>
      </w:r>
      <w:r w:rsidRPr="00272CE0">
        <w:rPr>
          <w:b/>
          <w:bCs/>
        </w:rPr>
        <w:br/>
        <w:t>Assignment One</w:t>
      </w:r>
      <w:r w:rsidR="00472F1B" w:rsidRPr="00272CE0">
        <w:rPr>
          <w:b/>
          <w:bCs/>
        </w:rPr>
        <w:t xml:space="preserve"> HPRS5907</w:t>
      </w:r>
      <w:r w:rsidR="006933AD" w:rsidRPr="00272CE0">
        <w:rPr>
          <w:b/>
          <w:bCs/>
        </w:rPr>
        <w:br/>
        <w:t>Date Submitted: 13/11/2023</w:t>
      </w:r>
      <w:r w:rsidRPr="00272CE0">
        <w:rPr>
          <w:b/>
          <w:bCs/>
        </w:rPr>
        <w:br/>
      </w:r>
      <w:r w:rsidR="00C10BAA" w:rsidRPr="00AE7409">
        <w:rPr>
          <w:b/>
          <w:bCs/>
          <w:u w:val="single"/>
        </w:rPr>
        <w:t>Word count (excluding footnotes and bibliography)</w:t>
      </w:r>
      <w:r w:rsidR="00C10BAA" w:rsidRPr="00AE7409">
        <w:rPr>
          <w:b/>
          <w:bCs/>
          <w:u w:val="single"/>
        </w:rPr>
        <w:t>: 2696</w:t>
      </w:r>
      <w:r w:rsidR="00472F1B" w:rsidRPr="00AE7409">
        <w:rPr>
          <w:b/>
          <w:bCs/>
          <w:u w:val="single"/>
        </w:rPr>
        <w:t>.</w:t>
      </w:r>
    </w:p>
    <w:p w14:paraId="1452DA39" w14:textId="307306FD" w:rsidR="00D61EA7" w:rsidRDefault="00D61EA7" w:rsidP="00D61EA7">
      <w:r>
        <w:t>This textual analysis will be focused on</w:t>
      </w:r>
      <w:r w:rsidR="000E516F">
        <w:t xml:space="preserve"> the passages </w:t>
      </w:r>
      <w:r>
        <w:t>Judges 5:24-30 and Judges 9:45-57, both considering gendered interpretations with the former adopting a feminist perspective and the latter adopting a perspective based on masculinity studies. Each analysis will consider wider context for the passage, the depiction of the character in focus, the climax of the passage</w:t>
      </w:r>
      <w:r w:rsidR="00267503">
        <w:t>,</w:t>
      </w:r>
      <w:r>
        <w:t xml:space="preserve"> and finish by comparing the character with others in their narrative context. Furthermore, the gendered approaches will be critically analysed in the context of biblical studies through the medium of the</w:t>
      </w:r>
      <w:r w:rsidR="00516BAD">
        <w:t>se two</w:t>
      </w:r>
      <w:r>
        <w:t xml:space="preserve"> passages</w:t>
      </w:r>
      <w:r w:rsidR="00516BAD">
        <w:t>.</w:t>
      </w:r>
    </w:p>
    <w:p w14:paraId="3E5C1B88" w14:textId="2622CB6B" w:rsidR="00E542F0" w:rsidRPr="005F4445" w:rsidRDefault="00A107C9" w:rsidP="00D61EA7">
      <w:pPr>
        <w:rPr>
          <w:sz w:val="28"/>
          <w:szCs w:val="28"/>
          <w:u w:val="single"/>
        </w:rPr>
      </w:pPr>
      <w:r w:rsidRPr="005F4445">
        <w:rPr>
          <w:sz w:val="28"/>
          <w:szCs w:val="28"/>
          <w:u w:val="single"/>
        </w:rPr>
        <w:t>J</w:t>
      </w:r>
      <w:r w:rsidR="005F4445" w:rsidRPr="005F4445">
        <w:rPr>
          <w:sz w:val="28"/>
          <w:szCs w:val="28"/>
          <w:u w:val="single"/>
        </w:rPr>
        <w:t>udges 5:24-30</w:t>
      </w:r>
    </w:p>
    <w:p w14:paraId="4205B2CC" w14:textId="290C0425" w:rsidR="00D04428" w:rsidRDefault="00D04428" w:rsidP="00D61EA7">
      <w:r>
        <w:t>This textual analysis of the poetic account of Jael’s murder of enemy general Sisera will focus on a feminist interpretative approach,</w:t>
      </w:r>
      <w:r w:rsidR="00344A4E">
        <w:t xml:space="preserve"> discussing the issues with arguments of gender reversal, </w:t>
      </w:r>
      <w:r w:rsidR="00136623">
        <w:t>evaluating</w:t>
      </w:r>
      <w:r>
        <w:t xml:space="preserve"> Mandolfo’s criticisms of feminist </w:t>
      </w:r>
      <w:r w:rsidR="00136623">
        <w:t xml:space="preserve">scholars’ </w:t>
      </w:r>
      <w:r>
        <w:t xml:space="preserve">excessive focus on </w:t>
      </w:r>
      <w:r w:rsidR="00136623">
        <w:t>victimised women</w:t>
      </w:r>
      <w:r w:rsidR="00344A4E">
        <w:t>,</w:t>
      </w:r>
      <w:r w:rsidR="00136623">
        <w:t xml:space="preserve"> and </w:t>
      </w:r>
      <w:r>
        <w:t xml:space="preserve">proposing a reading on internalised sexism </w:t>
      </w:r>
      <w:r w:rsidR="00136623">
        <w:t xml:space="preserve">using </w:t>
      </w:r>
      <w:r>
        <w:t xml:space="preserve">Sisera’s mother. </w:t>
      </w:r>
    </w:p>
    <w:p w14:paraId="414C7538" w14:textId="119D3D48" w:rsidR="00C24443" w:rsidRPr="00EC2A3C" w:rsidRDefault="00F14FCD">
      <w:pPr>
        <w:rPr>
          <w:u w:val="single"/>
        </w:rPr>
      </w:pPr>
      <w:r>
        <w:rPr>
          <w:u w:val="single"/>
        </w:rPr>
        <w:t>An introduction to Jael</w:t>
      </w:r>
    </w:p>
    <w:p w14:paraId="0DB103FF" w14:textId="0FB9560A" w:rsidR="00A266AB" w:rsidRDefault="00D04428">
      <w:r>
        <w:t>Judges 5:24-30 tells in poetic form of a scene between a woman named Jael and an enemy of the Israelites, the military commander Sisera, occurring in the context of the Song of Deborah</w:t>
      </w:r>
      <w:r w:rsidR="003130B4">
        <w:t>, which celebrates Israel’s victory over the Canaanites</w:t>
      </w:r>
      <w:r w:rsidR="00344A4E">
        <w:t xml:space="preserve"> (Judges 5).</w:t>
      </w:r>
      <w:r>
        <w:t xml:space="preserve"> Further context is given in the prose account (Judg. 4:17-22): Jael, a foreign woman, invites the fleeing Sisera into her tent, </w:t>
      </w:r>
      <w:r w:rsidR="003130B4">
        <w:t xml:space="preserve">then </w:t>
      </w:r>
      <w:r>
        <w:t xml:space="preserve">drives a peg into his temple and murders him (Judg. 4:21). The story of Jael is nestled within the story of Deborah as the first and only female judge of Israel (Judges 4), with </w:t>
      </w:r>
      <w:r w:rsidR="00F80508">
        <w:t xml:space="preserve">both women </w:t>
      </w:r>
      <w:r>
        <w:t>actively propelling the narrative through decisive action.</w:t>
      </w:r>
    </w:p>
    <w:p w14:paraId="6A4E6E12" w14:textId="72536CF4" w:rsidR="00BA130E" w:rsidRDefault="00D20538">
      <w:r>
        <w:t>J</w:t>
      </w:r>
      <w:r w:rsidR="000F27CE">
        <w:t xml:space="preserve">ael is introduced </w:t>
      </w:r>
      <w:r w:rsidR="00FC2D1E">
        <w:t>in the passage as the ‘most blessed of women’ (5:24), wife of Heber the Kenite</w:t>
      </w:r>
      <w:r w:rsidR="00210B18">
        <w:t xml:space="preserve"> and therefore a Kenite herself, and the ‘most blessed’ ‘tent-dwelling woman’ (5:24). </w:t>
      </w:r>
      <w:r w:rsidR="00AE5EA8">
        <w:t xml:space="preserve">From the beginning of the poetic account, the introduction to Jael as a character highlights the unexpectedness of the narrative’s heroine. </w:t>
      </w:r>
      <w:r w:rsidR="00D465DB">
        <w:t xml:space="preserve">As a woman and a foreigner, </w:t>
      </w:r>
      <w:r w:rsidR="00045CFE">
        <w:t xml:space="preserve">her </w:t>
      </w:r>
      <w:r w:rsidR="008172BC">
        <w:t xml:space="preserve">involvement in a battle poem is </w:t>
      </w:r>
      <w:r w:rsidR="00796711">
        <w:t>unusual.</w:t>
      </w:r>
      <w:r w:rsidR="00587F93">
        <w:rPr>
          <w:rStyle w:val="FootnoteReference"/>
        </w:rPr>
        <w:footnoteReference w:id="1"/>
      </w:r>
    </w:p>
    <w:p w14:paraId="2FF329DA" w14:textId="38C1D0C1" w:rsidR="00E542F0" w:rsidRPr="00790EB7" w:rsidRDefault="00C2298C" w:rsidP="00790EB7">
      <w:pPr>
        <w:rPr>
          <w:rStyle w:val="normaltextrun"/>
        </w:rPr>
      </w:pPr>
      <w:r>
        <w:t>Jael’s labelling as most blessed of nomads (‘tent-dwelling’ [5:24, NRSVUE</w:t>
      </w:r>
      <w:r w:rsidR="007E4672">
        <w:t xml:space="preserve">]) has traditionally been interpreted </w:t>
      </w:r>
      <w:r w:rsidR="00136623">
        <w:t>i</w:t>
      </w:r>
      <w:r w:rsidR="00790EB7">
        <w:t>ncompatibl</w:t>
      </w:r>
      <w:r w:rsidR="00C2334D">
        <w:t>y</w:t>
      </w:r>
      <w:r w:rsidR="00790EB7">
        <w:t xml:space="preserve"> with</w:t>
      </w:r>
      <w:r w:rsidR="007E4672">
        <w:t xml:space="preserve"> culturally</w:t>
      </w:r>
      <w:r w:rsidR="001908ED">
        <w:t xml:space="preserve"> sensitive</w:t>
      </w:r>
      <w:r w:rsidR="007E4672">
        <w:t xml:space="preserve"> understandings. </w:t>
      </w:r>
      <w:r w:rsidR="009C5E0C">
        <w:t xml:space="preserve">For example, Ellicott’s 1879 commentary praises Jael as a heroine of Israel by </w:t>
      </w:r>
      <w:r w:rsidR="00C2334D">
        <w:t xml:space="preserve">separating her </w:t>
      </w:r>
      <w:r w:rsidR="009C5E0C">
        <w:t>from ‘ignorant’ nomadic women.</w:t>
      </w:r>
      <w:r w:rsidR="009C5E0C">
        <w:rPr>
          <w:rStyle w:val="FootnoteReference"/>
        </w:rPr>
        <w:footnoteReference w:id="2"/>
      </w:r>
      <w:r w:rsidR="00E704F3">
        <w:t xml:space="preserve"> This sort of interpretation, marred by Eurocentric and xenophobic</w:t>
      </w:r>
      <w:r w:rsidR="00D34BFF">
        <w:t xml:space="preserve"> Victorian ideas, als</w:t>
      </w:r>
      <w:r w:rsidR="00E10EC9">
        <w:t>o reveals a problem with modern interpretation.</w:t>
      </w:r>
      <w:r w:rsidR="00790EB7">
        <w:t xml:space="preserve"> </w:t>
      </w:r>
      <w:r w:rsidR="00B73CC5" w:rsidRPr="00AA6677">
        <w:rPr>
          <w:rStyle w:val="normaltextrun"/>
          <w:rFonts w:cstheme="minorHAnsi"/>
        </w:rPr>
        <w:t>Feminist interpretation has also been criticised for failing to pay full attention to the significance of intersectionality</w:t>
      </w:r>
      <w:r w:rsidR="002B3E18">
        <w:rPr>
          <w:rStyle w:val="normaltextrun"/>
          <w:rFonts w:cstheme="minorHAnsi"/>
        </w:rPr>
        <w:t xml:space="preserve">. </w:t>
      </w:r>
      <w:r w:rsidR="00A07F61">
        <w:rPr>
          <w:rStyle w:val="normaltextrun"/>
          <w:rFonts w:cstheme="minorHAnsi"/>
        </w:rPr>
        <w:t>In the s</w:t>
      </w:r>
      <w:r w:rsidR="00426E89">
        <w:rPr>
          <w:rStyle w:val="normaltextrun"/>
          <w:rFonts w:cstheme="minorHAnsi"/>
        </w:rPr>
        <w:t xml:space="preserve">tory of Jael, her tribal identity </w:t>
      </w:r>
      <w:r w:rsidR="00B13711">
        <w:rPr>
          <w:rStyle w:val="normaltextrun"/>
          <w:rFonts w:cstheme="minorHAnsi"/>
        </w:rPr>
        <w:t xml:space="preserve">is </w:t>
      </w:r>
      <w:r w:rsidR="001F4BF1">
        <w:rPr>
          <w:rStyle w:val="normaltextrun"/>
          <w:rFonts w:cstheme="minorHAnsi"/>
        </w:rPr>
        <w:t xml:space="preserve">also key and </w:t>
      </w:r>
      <w:r w:rsidR="00B73CC5" w:rsidRPr="00AA6677">
        <w:rPr>
          <w:rStyle w:val="normaltextrun"/>
          <w:rFonts w:cstheme="minorHAnsi"/>
        </w:rPr>
        <w:t>repeatedly affirmed in the poetic account</w:t>
      </w:r>
      <w:r w:rsidR="00635037">
        <w:rPr>
          <w:rStyle w:val="normaltextrun"/>
          <w:rFonts w:cstheme="minorHAnsi"/>
        </w:rPr>
        <w:t xml:space="preserve">. </w:t>
      </w:r>
      <w:r w:rsidR="00BD14D5">
        <w:rPr>
          <w:rStyle w:val="normaltextrun"/>
          <w:rFonts w:cstheme="minorHAnsi"/>
        </w:rPr>
        <w:t>The significance of the tent peg and m</w:t>
      </w:r>
      <w:r w:rsidR="00162EA0">
        <w:rPr>
          <w:rStyle w:val="normaltextrun"/>
          <w:rFonts w:cstheme="minorHAnsi"/>
        </w:rPr>
        <w:t>a</w:t>
      </w:r>
      <w:r w:rsidR="00BD14D5">
        <w:rPr>
          <w:rStyle w:val="normaltextrun"/>
          <w:rFonts w:cstheme="minorHAnsi"/>
        </w:rPr>
        <w:t>llet will be explored in a later paragraph, but the tent</w:t>
      </w:r>
      <w:r w:rsidR="004E73AC">
        <w:rPr>
          <w:rStyle w:val="normaltextrun"/>
          <w:rFonts w:cstheme="minorHAnsi"/>
        </w:rPr>
        <w:t xml:space="preserve">, being both </w:t>
      </w:r>
      <w:r w:rsidR="00BD14D5">
        <w:rPr>
          <w:rStyle w:val="normaltextrun"/>
          <w:rFonts w:cstheme="minorHAnsi"/>
        </w:rPr>
        <w:t xml:space="preserve">the domestic private space governed by </w:t>
      </w:r>
      <w:r w:rsidR="00BD14D5">
        <w:rPr>
          <w:rStyle w:val="normaltextrun"/>
          <w:rFonts w:cstheme="minorHAnsi"/>
        </w:rPr>
        <w:lastRenderedPageBreak/>
        <w:t>women</w:t>
      </w:r>
      <w:r w:rsidR="004E73AC">
        <w:rPr>
          <w:rStyle w:val="normaltextrun"/>
          <w:rFonts w:cstheme="minorHAnsi"/>
        </w:rPr>
        <w:t xml:space="preserve"> </w:t>
      </w:r>
      <w:r w:rsidR="00162EA0">
        <w:rPr>
          <w:rStyle w:val="normaltextrun"/>
          <w:rFonts w:cstheme="minorHAnsi"/>
        </w:rPr>
        <w:t>and her tribe’s traditional dwelling</w:t>
      </w:r>
      <w:r w:rsidR="0018302E">
        <w:rPr>
          <w:rStyle w:val="normaltextrun"/>
          <w:rFonts w:cstheme="minorHAnsi"/>
        </w:rPr>
        <w:t>,</w:t>
      </w:r>
      <w:r w:rsidR="00162EA0">
        <w:rPr>
          <w:rStyle w:val="normaltextrun"/>
          <w:rFonts w:cstheme="minorHAnsi"/>
        </w:rPr>
        <w:t xml:space="preserve"> firmly situate</w:t>
      </w:r>
      <w:r w:rsidR="00A0798C">
        <w:rPr>
          <w:rStyle w:val="normaltextrun"/>
          <w:rFonts w:cstheme="minorHAnsi"/>
        </w:rPr>
        <w:t>s</w:t>
      </w:r>
      <w:r w:rsidR="00162EA0">
        <w:rPr>
          <w:rStyle w:val="normaltextrun"/>
          <w:rFonts w:cstheme="minorHAnsi"/>
        </w:rPr>
        <w:t xml:space="preserve"> the murder in Jael’s territory. </w:t>
      </w:r>
      <w:r w:rsidR="00BA2D91">
        <w:rPr>
          <w:rStyle w:val="normaltextrun"/>
          <w:rFonts w:cstheme="minorHAnsi"/>
        </w:rPr>
        <w:t xml:space="preserve">This example underlines the importance of </w:t>
      </w:r>
      <w:r w:rsidR="008B5EB9">
        <w:rPr>
          <w:rStyle w:val="normaltextrun"/>
          <w:rFonts w:cstheme="minorHAnsi"/>
        </w:rPr>
        <w:t>considering intersectionality and consideration of different dynamics contributing to a woman’s identity.</w:t>
      </w:r>
      <w:r w:rsidR="00B60FC7">
        <w:rPr>
          <w:rStyle w:val="normaltextrun"/>
          <w:rFonts w:cstheme="minorHAnsi"/>
        </w:rPr>
        <w:t xml:space="preserve"> </w:t>
      </w:r>
    </w:p>
    <w:p w14:paraId="65EA1F8A" w14:textId="77777777" w:rsidR="00B60FC7" w:rsidRPr="00B60FC7" w:rsidRDefault="00B60FC7" w:rsidP="00B60FC7">
      <w:pPr>
        <w:pStyle w:val="paragraph"/>
        <w:spacing w:before="0" w:beforeAutospacing="0" w:after="0" w:afterAutospacing="0"/>
        <w:textAlignment w:val="baseline"/>
        <w:rPr>
          <w:rFonts w:asciiTheme="minorHAnsi" w:hAnsiTheme="minorHAnsi" w:cstheme="minorHAnsi"/>
          <w:sz w:val="22"/>
          <w:szCs w:val="22"/>
        </w:rPr>
      </w:pPr>
    </w:p>
    <w:p w14:paraId="7E29B114" w14:textId="0CDF7371" w:rsidR="00E542F0" w:rsidRPr="00E542F0" w:rsidRDefault="00E542F0" w:rsidP="00D547FE">
      <w:pPr>
        <w:rPr>
          <w:u w:val="single"/>
        </w:rPr>
      </w:pPr>
      <w:r w:rsidRPr="00E542F0">
        <w:rPr>
          <w:u w:val="single"/>
        </w:rPr>
        <w:t>The murder</w:t>
      </w:r>
    </w:p>
    <w:p w14:paraId="54B923A3" w14:textId="25EB88A4" w:rsidR="003D7B8D" w:rsidRPr="001F09D4" w:rsidRDefault="00D547FE" w:rsidP="00D547FE">
      <w:pPr>
        <w:rPr>
          <w:rStyle w:val="normaltextrun"/>
        </w:rPr>
      </w:pPr>
      <w:r>
        <w:t xml:space="preserve">When analysing the description of </w:t>
      </w:r>
      <w:r w:rsidR="00A46C44">
        <w:t xml:space="preserve">Jael’s murder of Sisera, </w:t>
      </w:r>
      <w:r>
        <w:t xml:space="preserve">feminist interpretations have examined </w:t>
      </w:r>
      <w:r w:rsidR="00635037">
        <w:t xml:space="preserve">both </w:t>
      </w:r>
      <w:r w:rsidR="00B447DF">
        <w:t>motive and means.</w:t>
      </w:r>
      <w:r w:rsidR="001F09D4">
        <w:t xml:space="preserve"> </w:t>
      </w:r>
      <w:r w:rsidR="00A46C44">
        <w:t xml:space="preserve">Ambiguity on Jael’s motive originates in the text. </w:t>
      </w:r>
      <w:r w:rsidR="00710932">
        <w:rPr>
          <w:rStyle w:val="normaltextrun"/>
          <w:color w:val="000000"/>
          <w:shd w:val="clear" w:color="auto" w:fill="FFFFFF"/>
        </w:rPr>
        <w:t>A popular explanation</w:t>
      </w:r>
      <w:r w:rsidR="00EC3782">
        <w:rPr>
          <w:rStyle w:val="normaltextrun"/>
          <w:color w:val="000000"/>
          <w:shd w:val="clear" w:color="auto" w:fill="FFFFFF"/>
        </w:rPr>
        <w:t xml:space="preserve"> </w:t>
      </w:r>
      <w:r w:rsidR="000110B9">
        <w:rPr>
          <w:rStyle w:val="normaltextrun"/>
          <w:color w:val="000000"/>
          <w:shd w:val="clear" w:color="auto" w:fill="FFFFFF"/>
        </w:rPr>
        <w:t xml:space="preserve">for Jael’s actions came from Fewell and Gunn, who argued she committed the murder ‘under duress’ in some </w:t>
      </w:r>
      <w:r w:rsidR="00866FDC">
        <w:rPr>
          <w:rStyle w:val="normaltextrun"/>
          <w:color w:val="000000"/>
          <w:shd w:val="clear" w:color="auto" w:fill="FFFFFF"/>
        </w:rPr>
        <w:t>form</w:t>
      </w:r>
      <w:r w:rsidR="003D7B8D">
        <w:rPr>
          <w:rStyle w:val="normaltextrun"/>
          <w:color w:val="000000"/>
          <w:shd w:val="clear" w:color="auto" w:fill="FFFFFF"/>
        </w:rPr>
        <w:t xml:space="preserve"> </w:t>
      </w:r>
      <w:r w:rsidR="00866FDC">
        <w:rPr>
          <w:rStyle w:val="normaltextrun"/>
          <w:color w:val="000000"/>
          <w:shd w:val="clear" w:color="auto" w:fill="FFFFFF"/>
        </w:rPr>
        <w:t>and did so ‘conditioned by the violence</w:t>
      </w:r>
      <w:r w:rsidR="009617EB">
        <w:rPr>
          <w:rStyle w:val="normaltextrun"/>
          <w:color w:val="000000"/>
          <w:shd w:val="clear" w:color="auto" w:fill="FFFFFF"/>
        </w:rPr>
        <w:t xml:space="preserve"> that confers authority in patriarchy.’</w:t>
      </w:r>
      <w:r>
        <w:rPr>
          <w:rStyle w:val="FootnoteReference"/>
          <w:color w:val="000000"/>
          <w:shd w:val="clear" w:color="auto" w:fill="FFFFFF"/>
        </w:rPr>
        <w:footnoteReference w:id="3"/>
      </w:r>
      <w:r>
        <w:rPr>
          <w:rStyle w:val="normaltextrun"/>
          <w:color w:val="000000"/>
          <w:shd w:val="clear" w:color="auto" w:fill="FFFFFF"/>
        </w:rPr>
        <w:t xml:space="preserve"> </w:t>
      </w:r>
      <w:r w:rsidR="00E04C75">
        <w:rPr>
          <w:rStyle w:val="normaltextrun"/>
          <w:color w:val="000000"/>
          <w:shd w:val="clear" w:color="auto" w:fill="FFFFFF"/>
        </w:rPr>
        <w:t xml:space="preserve">This explanation can be criticised </w:t>
      </w:r>
      <w:r w:rsidR="009C0D84">
        <w:rPr>
          <w:rStyle w:val="normaltextrun"/>
          <w:color w:val="000000"/>
          <w:shd w:val="clear" w:color="auto" w:fill="FFFFFF"/>
        </w:rPr>
        <w:t xml:space="preserve">for </w:t>
      </w:r>
      <w:r w:rsidR="00E04C75">
        <w:rPr>
          <w:rStyle w:val="normaltextrun"/>
          <w:color w:val="000000"/>
          <w:shd w:val="clear" w:color="auto" w:fill="FFFFFF"/>
        </w:rPr>
        <w:t xml:space="preserve">falling into the same trap as a great deal of feminist analysis. </w:t>
      </w:r>
    </w:p>
    <w:p w14:paraId="336D79A0" w14:textId="50BA6FF7" w:rsidR="00D547FE" w:rsidRDefault="00D547FE" w:rsidP="00D547FE">
      <w:pPr>
        <w:rPr>
          <w:rStyle w:val="normaltextrun"/>
          <w:color w:val="000000"/>
          <w:shd w:val="clear" w:color="auto" w:fill="FFFFFF"/>
        </w:rPr>
      </w:pPr>
      <w:r>
        <w:rPr>
          <w:rStyle w:val="normaltextrun"/>
          <w:color w:val="000000"/>
          <w:shd w:val="clear" w:color="auto" w:fill="FFFFFF"/>
        </w:rPr>
        <w:t>Despite theoretically working to resist androcentric tendencies, the hermeneutic of suspicion employed by feminist interpreters</w:t>
      </w:r>
      <w:r w:rsidR="00C1107E">
        <w:rPr>
          <w:rStyle w:val="normaltextrun"/>
          <w:color w:val="000000"/>
          <w:shd w:val="clear" w:color="auto" w:fill="FFFFFF"/>
        </w:rPr>
        <w:t xml:space="preserve"> often</w:t>
      </w:r>
      <w:r>
        <w:rPr>
          <w:rStyle w:val="normaltextrun"/>
          <w:color w:val="000000"/>
          <w:shd w:val="clear" w:color="auto" w:fill="FFFFFF"/>
        </w:rPr>
        <w:t xml:space="preserve"> leads to an oversubscription of women’s actions to patriarchal influences. While Jael’s actions undoubtedly benefit</w:t>
      </w:r>
      <w:r w:rsidR="00A0798C">
        <w:rPr>
          <w:rStyle w:val="normaltextrun"/>
          <w:color w:val="000000"/>
          <w:shd w:val="clear" w:color="auto" w:fill="FFFFFF"/>
        </w:rPr>
        <w:t>ed</w:t>
      </w:r>
      <w:r>
        <w:rPr>
          <w:rStyle w:val="normaltextrun"/>
          <w:color w:val="000000"/>
          <w:shd w:val="clear" w:color="auto" w:fill="FFFFFF"/>
        </w:rPr>
        <w:t xml:space="preserve"> the Israelites, her motivations are never disclosed; by attributing Jael’s murder to an act of desperation</w:t>
      </w:r>
      <w:r w:rsidR="009253F2">
        <w:rPr>
          <w:rStyle w:val="normaltextrun"/>
          <w:color w:val="000000"/>
          <w:shd w:val="clear" w:color="auto" w:fill="FFFFFF"/>
        </w:rPr>
        <w:t>,</w:t>
      </w:r>
      <w:r>
        <w:rPr>
          <w:rStyle w:val="normaltextrun"/>
          <w:color w:val="000000"/>
          <w:shd w:val="clear" w:color="auto" w:fill="FFFFFF"/>
        </w:rPr>
        <w:t xml:space="preserve"> her autonomy is removed.</w:t>
      </w:r>
      <w:r w:rsidR="00D709A4" w:rsidRPr="00D709A4">
        <w:rPr>
          <w:rStyle w:val="NormalWeb"/>
          <w:color w:val="000000"/>
          <w:shd w:val="clear" w:color="auto" w:fill="FFFFFF"/>
        </w:rPr>
        <w:t xml:space="preserve"> </w:t>
      </w:r>
      <w:r w:rsidR="00D709A4">
        <w:rPr>
          <w:rStyle w:val="FootnoteReference"/>
          <w:color w:val="000000"/>
          <w:shd w:val="clear" w:color="auto" w:fill="FFFFFF"/>
        </w:rPr>
        <w:footnoteReference w:id="4"/>
      </w:r>
      <w:r w:rsidR="008D6A1E">
        <w:rPr>
          <w:rStyle w:val="NormalWeb"/>
          <w:color w:val="000000"/>
          <w:shd w:val="clear" w:color="auto" w:fill="FFFFFF"/>
        </w:rPr>
        <w:t xml:space="preserve"> </w:t>
      </w:r>
      <w:r>
        <w:rPr>
          <w:rStyle w:val="normaltextrun"/>
          <w:color w:val="000000"/>
          <w:shd w:val="clear" w:color="auto" w:fill="FFFFFF"/>
        </w:rPr>
        <w:t>Further evidence suggesting assignment of Jael’s actions to patriarchal influence is likely a misattribution is that while Jael’s action d</w:t>
      </w:r>
      <w:r w:rsidR="0055765F">
        <w:rPr>
          <w:rStyle w:val="normaltextrun"/>
          <w:color w:val="000000"/>
          <w:shd w:val="clear" w:color="auto" w:fill="FFFFFF"/>
        </w:rPr>
        <w:t>id</w:t>
      </w:r>
      <w:r>
        <w:rPr>
          <w:rStyle w:val="normaltextrun"/>
          <w:color w:val="000000"/>
          <w:shd w:val="clear" w:color="auto" w:fill="FFFFFF"/>
        </w:rPr>
        <w:t xml:space="preserve"> benefit the patriarchal Israelites, she </w:t>
      </w:r>
      <w:r w:rsidR="00C420F7">
        <w:rPr>
          <w:rStyle w:val="normaltextrun"/>
          <w:color w:val="000000"/>
          <w:shd w:val="clear" w:color="auto" w:fill="FFFFFF"/>
        </w:rPr>
        <w:t xml:space="preserve">also harmed the manhood of both Barak and Sisera. </w:t>
      </w:r>
    </w:p>
    <w:p w14:paraId="7F66E7D8" w14:textId="3CAE7F27" w:rsidR="00582F1F" w:rsidRDefault="00E411E7" w:rsidP="00D547FE">
      <w:r>
        <w:rPr>
          <w:rStyle w:val="normaltextrun"/>
          <w:color w:val="000000"/>
          <w:shd w:val="clear" w:color="auto" w:fill="FFFFFF"/>
        </w:rPr>
        <w:t xml:space="preserve">Secondly, </w:t>
      </w:r>
      <w:r w:rsidR="00C420F7">
        <w:rPr>
          <w:rStyle w:val="normaltextrun"/>
          <w:color w:val="000000"/>
          <w:shd w:val="clear" w:color="auto" w:fill="FFFFFF"/>
        </w:rPr>
        <w:t xml:space="preserve">feminist analysis of the </w:t>
      </w:r>
      <w:r>
        <w:rPr>
          <w:rStyle w:val="normaltextrun"/>
          <w:color w:val="000000"/>
          <w:shd w:val="clear" w:color="auto" w:fill="FFFFFF"/>
        </w:rPr>
        <w:t xml:space="preserve">means of the </w:t>
      </w:r>
      <w:r w:rsidR="00C420F7">
        <w:rPr>
          <w:rStyle w:val="normaltextrun"/>
          <w:color w:val="000000"/>
          <w:shd w:val="clear" w:color="auto" w:fill="FFFFFF"/>
        </w:rPr>
        <w:t>m</w:t>
      </w:r>
      <w:r>
        <w:rPr>
          <w:rStyle w:val="normaltextrun"/>
          <w:color w:val="000000"/>
          <w:shd w:val="clear" w:color="auto" w:fill="FFFFFF"/>
        </w:rPr>
        <w:t>urder</w:t>
      </w:r>
      <w:r w:rsidR="00C420F7">
        <w:rPr>
          <w:rStyle w:val="normaltextrun"/>
          <w:color w:val="000000"/>
          <w:shd w:val="clear" w:color="auto" w:fill="FFFFFF"/>
        </w:rPr>
        <w:t xml:space="preserve"> is also limited. Certain evidence </w:t>
      </w:r>
      <w:r w:rsidR="00CC351B">
        <w:rPr>
          <w:rStyle w:val="normaltextrun"/>
          <w:color w:val="000000"/>
          <w:shd w:val="clear" w:color="auto" w:fill="FFFFFF"/>
        </w:rPr>
        <w:t xml:space="preserve">from the text has been used by feminist interpreters to argue </w:t>
      </w:r>
      <w:r w:rsidR="00B32E0D">
        <w:rPr>
          <w:rStyle w:val="normaltextrun"/>
          <w:color w:val="000000"/>
          <w:shd w:val="clear" w:color="auto" w:fill="FFFFFF"/>
        </w:rPr>
        <w:t>Jael</w:t>
      </w:r>
      <w:r w:rsidR="00C420F7">
        <w:rPr>
          <w:rStyle w:val="normaltextrun"/>
          <w:color w:val="000000"/>
          <w:shd w:val="clear" w:color="auto" w:fill="FFFFFF"/>
        </w:rPr>
        <w:t xml:space="preserve">’s use of a tent peg to murder Sisera is masculine. </w:t>
      </w:r>
      <w:r w:rsidR="00B32E0D">
        <w:rPr>
          <w:rStyle w:val="normaltextrun"/>
          <w:color w:val="000000"/>
          <w:shd w:val="clear" w:color="auto" w:fill="FFFFFF"/>
        </w:rPr>
        <w:t xml:space="preserve"> </w:t>
      </w:r>
      <w:r w:rsidR="00D547FE">
        <w:t>Contemporary commentary has often utilised ‘a language of reversal’</w:t>
      </w:r>
      <w:r w:rsidR="00D547FE">
        <w:rPr>
          <w:rStyle w:val="FootnoteReference"/>
        </w:rPr>
        <w:footnoteReference w:id="5"/>
      </w:r>
      <w:r w:rsidR="00D547FE">
        <w:t>, suggesting that Jael, in her violent</w:t>
      </w:r>
      <w:r w:rsidR="00C420F7">
        <w:t xml:space="preserve">, penetrative </w:t>
      </w:r>
      <w:r w:rsidR="00D547FE">
        <w:t>act,</w:t>
      </w:r>
      <w:r w:rsidR="00C420F7">
        <w:t xml:space="preserve"> took </w:t>
      </w:r>
      <w:r w:rsidR="00D547FE">
        <w:t>on male traits in</w:t>
      </w:r>
      <w:r w:rsidR="00A0798C">
        <w:t xml:space="preserve"> a</w:t>
      </w:r>
      <w:r w:rsidR="00D547FE">
        <w:t xml:space="preserve"> subversion of gender roles.</w:t>
      </w:r>
      <w:r w:rsidR="00D547FE">
        <w:rPr>
          <w:rStyle w:val="FootnoteReference"/>
        </w:rPr>
        <w:footnoteReference w:id="6"/>
      </w:r>
      <w:r w:rsidR="00D547FE">
        <w:t xml:space="preserve"> </w:t>
      </w:r>
      <w:r w:rsidR="00582F1F">
        <w:t xml:space="preserve">However, this highlights a key weakness of feminist interpretation: a failure to consider </w:t>
      </w:r>
      <w:r w:rsidR="00A0798C">
        <w:t xml:space="preserve">the </w:t>
      </w:r>
      <w:r w:rsidR="00582F1F">
        <w:t>cultural distance between the modern</w:t>
      </w:r>
      <w:r w:rsidR="00C420F7">
        <w:t xml:space="preserve"> and ancient concepts of femininity. </w:t>
      </w:r>
    </w:p>
    <w:p w14:paraId="7DE6F6BC" w14:textId="6FFD2B6C" w:rsidR="00296E1B" w:rsidRDefault="003954AB" w:rsidP="00D547FE">
      <w:r>
        <w:t>Current scholarship suggests ‘</w:t>
      </w:r>
      <w:r w:rsidR="00D547FE">
        <w:t>ancient nomadic women in the Levant were responsible for erecting the tents in their encampments.’</w:t>
      </w:r>
      <w:r w:rsidR="00D547FE">
        <w:rPr>
          <w:rStyle w:val="FootnoteReference"/>
        </w:rPr>
        <w:footnoteReference w:id="7"/>
      </w:r>
      <w:r w:rsidR="00D547FE">
        <w:t xml:space="preserve"> </w:t>
      </w:r>
      <w:r w:rsidR="00113E68">
        <w:t>Therefore, w</w:t>
      </w:r>
      <w:r w:rsidR="00D547FE" w:rsidRPr="00CA78BC">
        <w:rPr>
          <w:rStyle w:val="normaltextrun"/>
        </w:rPr>
        <w:t xml:space="preserve">hile an initial reading may </w:t>
      </w:r>
      <w:r w:rsidR="00A0798C">
        <w:rPr>
          <w:rStyle w:val="normaltextrun"/>
        </w:rPr>
        <w:t>e</w:t>
      </w:r>
      <w:r w:rsidR="00D547FE" w:rsidRPr="00CA78BC">
        <w:rPr>
          <w:rStyle w:val="normaltextrun"/>
        </w:rPr>
        <w:t xml:space="preserve">licit the idea that Jael was committing a feat of ‘masculine’ strength by </w:t>
      </w:r>
      <w:r w:rsidR="00F273AA">
        <w:rPr>
          <w:rStyle w:val="normaltextrun"/>
        </w:rPr>
        <w:t>violently penetrating his head with a tent peg</w:t>
      </w:r>
      <w:r w:rsidR="00017766">
        <w:rPr>
          <w:rStyle w:val="normaltextrun"/>
        </w:rPr>
        <w:t>,</w:t>
      </w:r>
      <w:r w:rsidR="00D547FE">
        <w:rPr>
          <w:rStyle w:val="FootnoteReference"/>
        </w:rPr>
        <w:footnoteReference w:id="8"/>
      </w:r>
      <w:r w:rsidR="005F43B4">
        <w:rPr>
          <w:rStyle w:val="normaltextrun"/>
        </w:rPr>
        <w:t xml:space="preserve"> </w:t>
      </w:r>
      <w:r w:rsidR="00B941A8">
        <w:rPr>
          <w:rStyle w:val="normaltextrun"/>
        </w:rPr>
        <w:t>‘</w:t>
      </w:r>
      <w:r w:rsidR="005F43B4">
        <w:t>Jael was trained from her youth to drive tent pegs into the ground</w:t>
      </w:r>
      <w:r w:rsidR="00665FE5">
        <w:t>.</w:t>
      </w:r>
      <w:r w:rsidR="00B941A8">
        <w:t>’</w:t>
      </w:r>
      <w:r w:rsidR="00B941A8">
        <w:rPr>
          <w:rStyle w:val="FootnoteReference"/>
        </w:rPr>
        <w:footnoteReference w:id="9"/>
      </w:r>
      <w:r w:rsidR="00665FE5">
        <w:rPr>
          <w:rStyle w:val="normaltextrun"/>
        </w:rPr>
        <w:t xml:space="preserve"> </w:t>
      </w:r>
      <w:r w:rsidR="00224984">
        <w:rPr>
          <w:rStyle w:val="normaltextrun"/>
        </w:rPr>
        <w:t>Guest also argued that terminology of gender reversal ‘reinforces the two-sex gender binary’</w:t>
      </w:r>
      <w:r w:rsidR="00224984">
        <w:rPr>
          <w:rStyle w:val="FootnoteReference"/>
        </w:rPr>
        <w:footnoteReference w:id="10"/>
      </w:r>
      <w:r w:rsidR="00832D6A">
        <w:rPr>
          <w:rStyle w:val="normaltextrun"/>
        </w:rPr>
        <w:t xml:space="preserve"> and thus excludes queer perspectives, another common</w:t>
      </w:r>
      <w:r w:rsidR="006E4AB0">
        <w:rPr>
          <w:rStyle w:val="normaltextrun"/>
        </w:rPr>
        <w:t>ly highlighted</w:t>
      </w:r>
      <w:r w:rsidR="00832D6A">
        <w:rPr>
          <w:rStyle w:val="normaltextrun"/>
        </w:rPr>
        <w:t xml:space="preserve"> weakness of feminist biblical critique. </w:t>
      </w:r>
    </w:p>
    <w:p w14:paraId="26850A98" w14:textId="08E1F04D" w:rsidR="005A0857" w:rsidRDefault="005A0857" w:rsidP="00B832DC">
      <w:pPr>
        <w:rPr>
          <w:u w:val="single"/>
        </w:rPr>
      </w:pPr>
      <w:r>
        <w:rPr>
          <w:u w:val="single"/>
        </w:rPr>
        <w:t>Sisera’s mother</w:t>
      </w:r>
    </w:p>
    <w:p w14:paraId="50CA16CC" w14:textId="719E5297" w:rsidR="00C122C6" w:rsidRDefault="00612A9E" w:rsidP="00B832DC">
      <w:r w:rsidRPr="00612A9E">
        <w:t>While the primary focus of the passage is Jael’s act of violence</w:t>
      </w:r>
      <w:r>
        <w:t xml:space="preserve">, </w:t>
      </w:r>
      <w:r w:rsidR="00862706">
        <w:t>there is another woman in the narrative w</w:t>
      </w:r>
      <w:r w:rsidR="00A0798C">
        <w:t>hich</w:t>
      </w:r>
      <w:r w:rsidR="00862706">
        <w:t xml:space="preserve"> </w:t>
      </w:r>
      <w:r w:rsidR="00A62CFB">
        <w:t xml:space="preserve">is interesting in a </w:t>
      </w:r>
      <w:r w:rsidR="00862706">
        <w:t xml:space="preserve">feminist interpretation. </w:t>
      </w:r>
      <w:r w:rsidR="00B832DC">
        <w:t xml:space="preserve">Sisera’s mother </w:t>
      </w:r>
      <w:r w:rsidR="003A4F2E">
        <w:t xml:space="preserve">is </w:t>
      </w:r>
      <w:r w:rsidR="00B832DC">
        <w:t xml:space="preserve">the only character given </w:t>
      </w:r>
      <w:r w:rsidR="00B832DC">
        <w:lastRenderedPageBreak/>
        <w:t xml:space="preserve">direct speech in the poetic account, and her character can be interpreted as a commentary on internalised sexism. </w:t>
      </w:r>
    </w:p>
    <w:p w14:paraId="6A7CECAC" w14:textId="61D3595F" w:rsidR="00EF67F6" w:rsidRDefault="00EF67F6" w:rsidP="00EF67F6">
      <w:r>
        <w:t>Commentators have often commented on the poetic importance of the juxtaposition between the scene with Jael to the victim’s mother ‘waiting for her son’s victorious return.’</w:t>
      </w:r>
      <w:r>
        <w:rPr>
          <w:rStyle w:val="FootnoteReference"/>
        </w:rPr>
        <w:footnoteReference w:id="11"/>
      </w:r>
      <w:r>
        <w:t xml:space="preserve"> Sisera’s mother’s eager anticipation at the thought of the brutalisation by her son and her focus on the embroidered fabric she hopes he will bring her (Judg. 5:30) </w:t>
      </w:r>
      <w:r w:rsidR="001D76C7">
        <w:t xml:space="preserve">is compounded by the derogatory language she uses to describe </w:t>
      </w:r>
      <w:r w:rsidR="006D5D70">
        <w:t>her son’s victims (‘</w:t>
      </w:r>
      <w:proofErr w:type="spellStart"/>
      <w:r w:rsidR="006D5D70">
        <w:t>raham</w:t>
      </w:r>
      <w:proofErr w:type="spellEnd"/>
      <w:r w:rsidR="006D5D70">
        <w:t xml:space="preserve">’ – womb/uterus [Judg. </w:t>
      </w:r>
      <w:r w:rsidR="00D76A47">
        <w:t>5:30])</w:t>
      </w:r>
      <w:r>
        <w:t xml:space="preserve">. </w:t>
      </w:r>
      <w:r w:rsidR="00B832DC">
        <w:t>Internalised sexism as a psychological phenomenon refers to the tendency of women to be ‘consciously or unconsciously socialised into believing that women are inferior.’</w:t>
      </w:r>
      <w:r w:rsidR="00B832DC">
        <w:rPr>
          <w:rStyle w:val="FootnoteReference"/>
        </w:rPr>
        <w:footnoteReference w:id="12"/>
      </w:r>
      <w:r w:rsidR="00B832DC">
        <w:t xml:space="preserve"> This phenomenon</w:t>
      </w:r>
      <w:r w:rsidR="00D76A47">
        <w:t xml:space="preserve"> includes</w:t>
      </w:r>
      <w:r w:rsidR="00B832DC">
        <w:t xml:space="preserve"> ‘excusing individual acts of misogyny, mistreatment and/or abuse.’</w:t>
      </w:r>
      <w:r w:rsidR="00B832DC">
        <w:rPr>
          <w:rStyle w:val="FootnoteReference"/>
        </w:rPr>
        <w:footnoteReference w:id="13"/>
      </w:r>
      <w:r w:rsidR="00B832DC">
        <w:t xml:space="preserve"> </w:t>
      </w:r>
    </w:p>
    <w:p w14:paraId="56E7F228" w14:textId="403B84EE" w:rsidR="00120BDE" w:rsidRDefault="00EF67F6">
      <w:r>
        <w:t>A link could be drawn here to Mandolfo’s criticism of feminist scholarship’s obsession with victimised women.</w:t>
      </w:r>
      <w:r>
        <w:rPr>
          <w:rStyle w:val="FootnoteReference"/>
        </w:rPr>
        <w:footnoteReference w:id="14"/>
      </w:r>
      <w:r>
        <w:t xml:space="preserve"> Mandolfo argues that harm done by women is ignored to avoid harming the feminist movement but </w:t>
      </w:r>
      <w:r w:rsidR="00DF755A">
        <w:t>to</w:t>
      </w:r>
      <w:r>
        <w:t xml:space="preserve"> truly understand, rediscover</w:t>
      </w:r>
      <w:r w:rsidR="00A0798C">
        <w:t>,</w:t>
      </w:r>
      <w:r>
        <w:t xml:space="preserve"> and empower female subjects, attention must also be given to </w:t>
      </w:r>
      <w:r w:rsidR="003D6F94" w:rsidRPr="00A0757E">
        <w:rPr>
          <w:i/>
          <w:iCs/>
        </w:rPr>
        <w:t>wherever</w:t>
      </w:r>
      <w:r w:rsidR="003D6F94">
        <w:t xml:space="preserve"> they assert power.</w:t>
      </w:r>
      <w:r>
        <w:rPr>
          <w:rStyle w:val="FootnoteReference"/>
        </w:rPr>
        <w:footnoteReference w:id="15"/>
      </w:r>
      <w:r w:rsidR="00234490">
        <w:t xml:space="preserve"> </w:t>
      </w:r>
      <w:r w:rsidR="003D6F94">
        <w:t xml:space="preserve">When </w:t>
      </w:r>
      <w:r w:rsidR="00234490">
        <w:t>acknowledg</w:t>
      </w:r>
      <w:r w:rsidR="003D6F94">
        <w:t>ing</w:t>
      </w:r>
      <w:r w:rsidR="004301A4">
        <w:t xml:space="preserve"> </w:t>
      </w:r>
      <w:r w:rsidR="00234490">
        <w:t xml:space="preserve">that women too can act as reinforcers of patriarchal </w:t>
      </w:r>
      <w:r w:rsidR="004301A4">
        <w:t xml:space="preserve">ideals, </w:t>
      </w:r>
      <w:r w:rsidR="00234490">
        <w:t xml:space="preserve">Sisera’s mother becomes an anti-feminist figure, an active endorser of sexist abuse focused on </w:t>
      </w:r>
      <w:r w:rsidR="00A5704F">
        <w:t xml:space="preserve">her </w:t>
      </w:r>
      <w:r w:rsidR="00234490">
        <w:t xml:space="preserve">material </w:t>
      </w:r>
      <w:r w:rsidR="00A5704F">
        <w:t>greed.</w:t>
      </w:r>
      <w:r w:rsidR="00D10600">
        <w:t xml:space="preserve"> </w:t>
      </w:r>
      <w:r w:rsidR="003118D4">
        <w:t xml:space="preserve">Sisera’s mother can therefore be read in a feminist reading as a </w:t>
      </w:r>
      <w:r w:rsidR="003D6F94">
        <w:t>character afflicted with internalised sexism</w:t>
      </w:r>
      <w:r w:rsidR="00133A0D">
        <w:t xml:space="preserve">. </w:t>
      </w:r>
    </w:p>
    <w:p w14:paraId="63997C25" w14:textId="4B5BBA7F" w:rsidR="005F4445" w:rsidRDefault="00F44ADB" w:rsidP="00D10600">
      <w:pPr>
        <w:tabs>
          <w:tab w:val="left" w:pos="924"/>
        </w:tabs>
      </w:pPr>
      <w:r>
        <w:t xml:space="preserve">To conclude, </w:t>
      </w:r>
      <w:r w:rsidR="00F3487C">
        <w:t>the poetic account of Jael in Judges 5</w:t>
      </w:r>
      <w:r w:rsidR="000D57E8">
        <w:t xml:space="preserve"> exposes some of the limitations of a traditional feminist interpretation, while als</w:t>
      </w:r>
      <w:r w:rsidR="007625FF">
        <w:t>o allowing for a novel understanding of characters that have historically been sidelined in interpretation. Modern notions from gender studies such as internalised sexis</w:t>
      </w:r>
      <w:r w:rsidR="005144E8">
        <w:t xml:space="preserve">m, alongside </w:t>
      </w:r>
      <w:r w:rsidR="00A0798C">
        <w:t xml:space="preserve">an </w:t>
      </w:r>
      <w:r w:rsidR="005144E8">
        <w:t>awareness of historical context</w:t>
      </w:r>
      <w:r w:rsidR="00A0798C">
        <w:t>,</w:t>
      </w:r>
      <w:r w:rsidR="005144E8">
        <w:t xml:space="preserve"> can aid discoveries in </w:t>
      </w:r>
      <w:r w:rsidR="00165BD3">
        <w:t xml:space="preserve">biblical texts by highlighting the role of gender in the passage. </w:t>
      </w:r>
    </w:p>
    <w:p w14:paraId="592DFEE1" w14:textId="77777777" w:rsidR="005F4445" w:rsidRPr="00D10600" w:rsidRDefault="005F4445" w:rsidP="00D10600">
      <w:pPr>
        <w:tabs>
          <w:tab w:val="left" w:pos="924"/>
        </w:tabs>
      </w:pPr>
    </w:p>
    <w:p w14:paraId="547FFE39" w14:textId="4D48BF60" w:rsidR="005F4445" w:rsidRPr="005F4445" w:rsidRDefault="005F4445" w:rsidP="00025339">
      <w:pPr>
        <w:rPr>
          <w:sz w:val="28"/>
          <w:szCs w:val="28"/>
          <w:u w:val="single"/>
        </w:rPr>
      </w:pPr>
      <w:r w:rsidRPr="005F4445">
        <w:rPr>
          <w:sz w:val="28"/>
          <w:szCs w:val="28"/>
          <w:u w:val="single"/>
        </w:rPr>
        <w:t>Judges 9:45-57</w:t>
      </w:r>
    </w:p>
    <w:p w14:paraId="70A958DC" w14:textId="4A23A50F" w:rsidR="00025339" w:rsidRDefault="00025339" w:rsidP="00025339">
      <w:r>
        <w:t xml:space="preserve">This textual analysis will consider the story of Abimelech, son of Gideon, from Judges 9, alongside a masculinist studies approach, specifically focusing on the concept of toxic masculinity as shown through his depiction. </w:t>
      </w:r>
    </w:p>
    <w:p w14:paraId="2B1F4CD9" w14:textId="3E652BDD" w:rsidR="00A64A34" w:rsidRPr="00A64A34" w:rsidRDefault="00A64A34" w:rsidP="00025339">
      <w:pPr>
        <w:spacing w:line="276" w:lineRule="auto"/>
        <w:rPr>
          <w:u w:val="single"/>
        </w:rPr>
      </w:pPr>
      <w:r w:rsidRPr="00A64A34">
        <w:rPr>
          <w:u w:val="single"/>
        </w:rPr>
        <w:t xml:space="preserve">An introduction to Abimelech and toxic masculinity </w:t>
      </w:r>
    </w:p>
    <w:p w14:paraId="6FCAD5A5" w14:textId="7A8C0579" w:rsidR="00025339" w:rsidRDefault="00025339" w:rsidP="00025339">
      <w:pPr>
        <w:spacing w:line="276" w:lineRule="auto"/>
        <w:rPr>
          <w:rFonts w:cstheme="minorHAnsi"/>
        </w:rPr>
      </w:pPr>
      <w:r w:rsidRPr="00B06B0B">
        <w:rPr>
          <w:rFonts w:cstheme="minorHAnsi"/>
        </w:rPr>
        <w:t xml:space="preserve">Toxic masculinity </w:t>
      </w:r>
      <w:r>
        <w:rPr>
          <w:rFonts w:cstheme="minorHAnsi"/>
        </w:rPr>
        <w:t>is ‘a term used to describe the negative aspects of exaggerated masculine traits.’</w:t>
      </w:r>
      <w:r>
        <w:rPr>
          <w:rStyle w:val="FootnoteReference"/>
          <w:rFonts w:cstheme="minorHAnsi"/>
        </w:rPr>
        <w:footnoteReference w:id="16"/>
      </w:r>
      <w:r w:rsidR="00D10600">
        <w:rPr>
          <w:rFonts w:cstheme="minorHAnsi"/>
        </w:rPr>
        <w:t xml:space="preserve"> </w:t>
      </w:r>
      <w:r>
        <w:rPr>
          <w:rFonts w:cstheme="minorHAnsi"/>
        </w:rPr>
        <w:t xml:space="preserve">Thompson and </w:t>
      </w:r>
      <w:proofErr w:type="spellStart"/>
      <w:r>
        <w:rPr>
          <w:rFonts w:cstheme="minorHAnsi"/>
        </w:rPr>
        <w:t>Pleck</w:t>
      </w:r>
      <w:proofErr w:type="spellEnd"/>
      <w:r>
        <w:rPr>
          <w:rFonts w:cstheme="minorHAnsi"/>
        </w:rPr>
        <w:t xml:space="preserve"> defined three core components: toughness (the notion that men should be </w:t>
      </w:r>
      <w:r>
        <w:rPr>
          <w:rFonts w:cstheme="minorHAnsi"/>
        </w:rPr>
        <w:lastRenderedPageBreak/>
        <w:t xml:space="preserve">strong and aggressive), antifemininity (rejection of anything considered </w:t>
      </w:r>
      <w:r w:rsidR="00D10600">
        <w:rPr>
          <w:rFonts w:cstheme="minorHAnsi"/>
        </w:rPr>
        <w:t xml:space="preserve">socially </w:t>
      </w:r>
      <w:r>
        <w:rPr>
          <w:rFonts w:cstheme="minorHAnsi"/>
        </w:rPr>
        <w:t>feminine), and power (the assumption that men must work to obtain power and status to earn respect).</w:t>
      </w:r>
      <w:r>
        <w:rPr>
          <w:rStyle w:val="FootnoteReference"/>
          <w:rFonts w:cstheme="minorHAnsi"/>
        </w:rPr>
        <w:footnoteReference w:id="17"/>
      </w:r>
      <w:r>
        <w:rPr>
          <w:rFonts w:cstheme="minorHAnsi"/>
        </w:rPr>
        <w:t xml:space="preserve"> </w:t>
      </w:r>
    </w:p>
    <w:p w14:paraId="38337127" w14:textId="34F8957F" w:rsidR="00025339" w:rsidRDefault="00025339" w:rsidP="00025339">
      <w:pPr>
        <w:spacing w:line="276" w:lineRule="auto"/>
        <w:rPr>
          <w:rFonts w:cstheme="minorHAnsi"/>
        </w:rPr>
      </w:pPr>
      <w:r>
        <w:rPr>
          <w:rFonts w:cstheme="minorHAnsi"/>
        </w:rPr>
        <w:t xml:space="preserve">The depiction of Abimelech can be analysed alongside these components of toxic masculinity. Abimelech </w:t>
      </w:r>
      <w:r w:rsidR="00B9302E">
        <w:rPr>
          <w:rFonts w:cstheme="minorHAnsi"/>
        </w:rPr>
        <w:t xml:space="preserve">murders and destroys unnecessarily </w:t>
      </w:r>
      <w:r>
        <w:rPr>
          <w:rFonts w:cstheme="minorHAnsi"/>
        </w:rPr>
        <w:t>– not merely conquering a city but killing everyone inside</w:t>
      </w:r>
      <w:r w:rsidR="00835C60">
        <w:rPr>
          <w:rFonts w:cstheme="minorHAnsi"/>
        </w:rPr>
        <w:t xml:space="preserve"> and destroying the city completely </w:t>
      </w:r>
      <w:r>
        <w:rPr>
          <w:rFonts w:cstheme="minorHAnsi"/>
        </w:rPr>
        <w:t xml:space="preserve">(Judg. 9:45). </w:t>
      </w:r>
      <w:r w:rsidR="00791F5D">
        <w:rPr>
          <w:rFonts w:cstheme="minorHAnsi"/>
        </w:rPr>
        <w:t>For a</w:t>
      </w:r>
      <w:r>
        <w:rPr>
          <w:rFonts w:cstheme="minorHAnsi"/>
        </w:rPr>
        <w:t>ntifemininity, Abimelech</w:t>
      </w:r>
      <w:r w:rsidR="009B39AB">
        <w:rPr>
          <w:rFonts w:cstheme="minorHAnsi"/>
        </w:rPr>
        <w:t>’</w:t>
      </w:r>
      <w:r>
        <w:rPr>
          <w:rFonts w:cstheme="minorHAnsi"/>
        </w:rPr>
        <w:t>s misogyny</w:t>
      </w:r>
      <w:r w:rsidR="00A55D4E">
        <w:rPr>
          <w:rFonts w:cstheme="minorHAnsi"/>
        </w:rPr>
        <w:t xml:space="preserve"> leads to a request of assisted suicide rather than dying at the hands of a woman</w:t>
      </w:r>
      <w:r>
        <w:rPr>
          <w:rFonts w:cstheme="minorHAnsi"/>
        </w:rPr>
        <w:t xml:space="preserve"> (Judg. 9:54). Finally, to achieve power, Abimelech </w:t>
      </w:r>
      <w:r w:rsidR="009B39AB">
        <w:rPr>
          <w:rFonts w:cstheme="minorHAnsi"/>
        </w:rPr>
        <w:t xml:space="preserve">massacres </w:t>
      </w:r>
      <w:r>
        <w:rPr>
          <w:rFonts w:cstheme="minorHAnsi"/>
        </w:rPr>
        <w:t>his brothers (Judg. 9:4). As solidarity with kinsmen was a key characteristic of masculine honour,</w:t>
      </w:r>
      <w:r>
        <w:rPr>
          <w:rStyle w:val="FootnoteReference"/>
          <w:rFonts w:cstheme="minorHAnsi"/>
        </w:rPr>
        <w:footnoteReference w:id="18"/>
      </w:r>
      <w:r>
        <w:rPr>
          <w:rFonts w:cstheme="minorHAnsi"/>
        </w:rPr>
        <w:t xml:space="preserve"> Abimelech</w:t>
      </w:r>
      <w:r w:rsidR="00791F5D">
        <w:rPr>
          <w:rFonts w:cstheme="minorHAnsi"/>
        </w:rPr>
        <w:t xml:space="preserve"> is from the beginning shown to </w:t>
      </w:r>
      <w:r>
        <w:rPr>
          <w:rFonts w:cstheme="minorHAnsi"/>
        </w:rPr>
        <w:t>perver</w:t>
      </w:r>
      <w:r w:rsidR="00791F5D">
        <w:rPr>
          <w:rFonts w:cstheme="minorHAnsi"/>
        </w:rPr>
        <w:t>t</w:t>
      </w:r>
      <w:r>
        <w:rPr>
          <w:rFonts w:cstheme="minorHAnsi"/>
        </w:rPr>
        <w:t xml:space="preserve"> masculine ideals</w:t>
      </w:r>
      <w:r w:rsidR="00791F5D">
        <w:rPr>
          <w:rFonts w:cstheme="minorHAnsi"/>
        </w:rPr>
        <w:t xml:space="preserve">. </w:t>
      </w:r>
      <w:r>
        <w:rPr>
          <w:rFonts w:cstheme="minorHAnsi"/>
        </w:rPr>
        <w:t xml:space="preserve">Johnson argues that feelings of inadequacy </w:t>
      </w:r>
      <w:r w:rsidR="00E03C03">
        <w:rPr>
          <w:rFonts w:cstheme="minorHAnsi"/>
        </w:rPr>
        <w:t xml:space="preserve">could lead men </w:t>
      </w:r>
      <w:r w:rsidR="00A0798C">
        <w:rPr>
          <w:rFonts w:cstheme="minorHAnsi"/>
        </w:rPr>
        <w:t>to exaggerate</w:t>
      </w:r>
      <w:r w:rsidR="00E03C03">
        <w:rPr>
          <w:rFonts w:cstheme="minorHAnsi"/>
        </w:rPr>
        <w:t xml:space="preserve"> traits ‘</w:t>
      </w:r>
      <w:r>
        <w:rPr>
          <w:rFonts w:cstheme="minorHAnsi"/>
        </w:rPr>
        <w:t>to re-establish their ‘manhood’.’</w:t>
      </w:r>
      <w:r>
        <w:rPr>
          <w:rStyle w:val="FootnoteReference"/>
          <w:rFonts w:cstheme="minorHAnsi"/>
        </w:rPr>
        <w:footnoteReference w:id="19"/>
      </w:r>
      <w:r w:rsidR="00474010">
        <w:rPr>
          <w:rFonts w:cstheme="minorHAnsi"/>
        </w:rPr>
        <w:t xml:space="preserve"> C</w:t>
      </w:r>
      <w:r>
        <w:rPr>
          <w:rFonts w:cstheme="minorHAnsi"/>
        </w:rPr>
        <w:t>arman’s</w:t>
      </w:r>
      <w:r w:rsidR="00A07D7C">
        <w:rPr>
          <w:rFonts w:cstheme="minorHAnsi"/>
        </w:rPr>
        <w:t xml:space="preserve"> hypothesis </w:t>
      </w:r>
      <w:r>
        <w:rPr>
          <w:rFonts w:cstheme="minorHAnsi"/>
        </w:rPr>
        <w:t>supports</w:t>
      </w:r>
      <w:r w:rsidR="006F3BEA">
        <w:rPr>
          <w:rFonts w:cstheme="minorHAnsi"/>
        </w:rPr>
        <w:t xml:space="preserve"> that this was Abimelech’s motivation</w:t>
      </w:r>
      <w:r w:rsidR="00474010">
        <w:rPr>
          <w:rFonts w:cstheme="minorHAnsi"/>
        </w:rPr>
        <w:t>,</w:t>
      </w:r>
      <w:r>
        <w:rPr>
          <w:rFonts w:cstheme="minorHAnsi"/>
        </w:rPr>
        <w:t xml:space="preserve"> arguing that </w:t>
      </w:r>
      <w:r w:rsidR="006F3BEA">
        <w:rPr>
          <w:rFonts w:cstheme="minorHAnsi"/>
        </w:rPr>
        <w:t xml:space="preserve">he </w:t>
      </w:r>
      <w:r>
        <w:rPr>
          <w:rFonts w:cstheme="minorHAnsi"/>
        </w:rPr>
        <w:t xml:space="preserve">represents a ‘subordinate male’ </w:t>
      </w:r>
      <w:r w:rsidR="006F3BEA">
        <w:rPr>
          <w:rFonts w:cstheme="minorHAnsi"/>
        </w:rPr>
        <w:t xml:space="preserve">who </w:t>
      </w:r>
      <w:r>
        <w:rPr>
          <w:rFonts w:cstheme="minorHAnsi"/>
        </w:rPr>
        <w:t xml:space="preserve">ultimately </w:t>
      </w:r>
      <w:r w:rsidR="00E03C03">
        <w:rPr>
          <w:rFonts w:cstheme="minorHAnsi"/>
        </w:rPr>
        <w:t>fails to perform</w:t>
      </w:r>
      <w:r>
        <w:rPr>
          <w:rFonts w:cstheme="minorHAnsi"/>
        </w:rPr>
        <w:t xml:space="preserve"> idealised masculinity.</w:t>
      </w:r>
      <w:r>
        <w:rPr>
          <w:rStyle w:val="FootnoteReference"/>
          <w:rFonts w:cstheme="minorHAnsi"/>
        </w:rPr>
        <w:footnoteReference w:id="20"/>
      </w:r>
      <w:r>
        <w:rPr>
          <w:rFonts w:cstheme="minorHAnsi"/>
        </w:rPr>
        <w:t xml:space="preserve"> </w:t>
      </w:r>
    </w:p>
    <w:p w14:paraId="2888B3C6" w14:textId="3490B4C2" w:rsidR="00025339" w:rsidRDefault="00025339" w:rsidP="00025339">
      <w:pPr>
        <w:spacing w:line="276" w:lineRule="auto"/>
        <w:rPr>
          <w:rFonts w:cstheme="minorHAnsi"/>
        </w:rPr>
      </w:pPr>
      <w:r>
        <w:rPr>
          <w:rFonts w:cstheme="minorHAnsi"/>
        </w:rPr>
        <w:t>A key limitation with masculinist studies of ancient texts must be assessed here, as masculinist studies use concep</w:t>
      </w:r>
      <w:r w:rsidR="00E03C03">
        <w:rPr>
          <w:rFonts w:cstheme="minorHAnsi"/>
        </w:rPr>
        <w:t>ts like</w:t>
      </w:r>
      <w:r>
        <w:rPr>
          <w:rFonts w:cstheme="minorHAnsi"/>
        </w:rPr>
        <w:t xml:space="preserve"> toxic masculinity that are modern</w:t>
      </w:r>
      <w:r w:rsidR="007717AF">
        <w:rPr>
          <w:rFonts w:cstheme="minorHAnsi"/>
        </w:rPr>
        <w:t xml:space="preserve"> ideas</w:t>
      </w:r>
      <w:r>
        <w:rPr>
          <w:rFonts w:cstheme="minorHAnsi"/>
        </w:rPr>
        <w:t xml:space="preserve">. As society evolves, what is demanded of men also evolves, and modern scholars cannot be sure of all </w:t>
      </w:r>
      <w:r w:rsidR="00267503">
        <w:rPr>
          <w:rFonts w:cstheme="minorHAnsi"/>
        </w:rPr>
        <w:t xml:space="preserve">the </w:t>
      </w:r>
      <w:r>
        <w:rPr>
          <w:rFonts w:cstheme="minorHAnsi"/>
        </w:rPr>
        <w:t>ancient demands of masculinity. Therefore, application of modern concepts such as toxic masculinity must be done with the informed precursor that</w:t>
      </w:r>
      <w:r w:rsidR="00FB4BF2">
        <w:rPr>
          <w:rFonts w:cstheme="minorHAnsi"/>
        </w:rPr>
        <w:t xml:space="preserve"> these ideas</w:t>
      </w:r>
      <w:r>
        <w:rPr>
          <w:rFonts w:cstheme="minorHAnsi"/>
        </w:rPr>
        <w:t xml:space="preserve"> did not exist in the context of the original narrative. </w:t>
      </w:r>
    </w:p>
    <w:p w14:paraId="0D41A0A6" w14:textId="1AEA6470" w:rsidR="00A64A34" w:rsidRPr="00A64A34" w:rsidRDefault="00A64A34" w:rsidP="00025339">
      <w:pPr>
        <w:spacing w:line="276" w:lineRule="auto"/>
        <w:rPr>
          <w:rFonts w:cstheme="minorHAnsi"/>
          <w:u w:val="single"/>
        </w:rPr>
      </w:pPr>
      <w:r w:rsidRPr="00A64A34">
        <w:rPr>
          <w:rFonts w:cstheme="minorHAnsi"/>
          <w:u w:val="single"/>
        </w:rPr>
        <w:t>Abimelech as a military leader</w:t>
      </w:r>
    </w:p>
    <w:p w14:paraId="10E56C25" w14:textId="450BB10E" w:rsidR="00025339" w:rsidRPr="00A472C3" w:rsidRDefault="00A64A34" w:rsidP="00025339">
      <w:r>
        <w:t>It could be argued that Abimelech’s only successes in the narrative of Judges 9 are his military victories</w:t>
      </w:r>
      <w:r w:rsidR="002F6755">
        <w:t xml:space="preserve">, such as his </w:t>
      </w:r>
      <w:r w:rsidR="008E2827">
        <w:t xml:space="preserve">victory </w:t>
      </w:r>
      <w:r w:rsidR="00792C8E">
        <w:t>against the lords of Shechem (</w:t>
      </w:r>
      <w:r w:rsidR="00A472C3">
        <w:t>9:45)</w:t>
      </w:r>
      <w:r>
        <w:t xml:space="preserve">. </w:t>
      </w:r>
      <w:r w:rsidR="002F6755">
        <w:t>However, even th</w:t>
      </w:r>
      <w:r w:rsidR="00A472C3">
        <w:t xml:space="preserve">is victory highlights the toxicity of his overly masculine actions. </w:t>
      </w:r>
      <w:r w:rsidR="00025339">
        <w:t xml:space="preserve">Abimelech is described as not only fighting against </w:t>
      </w:r>
      <w:r w:rsidR="00A472C3">
        <w:t xml:space="preserve">the </w:t>
      </w:r>
      <w:r w:rsidR="00025339">
        <w:t xml:space="preserve">city, but also </w:t>
      </w:r>
      <w:r w:rsidR="00E236D5">
        <w:t xml:space="preserve">having </w:t>
      </w:r>
      <w:r w:rsidR="00025339">
        <w:t xml:space="preserve">‘razed the city’ to the ground, and ‘sowed it with salt,’ (Judg. 9:45). The verb ‘sowed’ or to ‘scatter </w:t>
      </w:r>
      <w:r w:rsidR="00025339" w:rsidRPr="008114C2">
        <w:rPr>
          <w:rFonts w:cstheme="minorHAnsi"/>
          <w:sz w:val="20"/>
          <w:szCs w:val="20"/>
        </w:rPr>
        <w:t>seed’ (</w:t>
      </w:r>
      <w:proofErr w:type="spellStart"/>
      <w:r w:rsidR="00025339" w:rsidRPr="008114C2">
        <w:rPr>
          <w:rFonts w:eastAsia="Times New Roman" w:cstheme="minorHAnsi"/>
          <w:kern w:val="0"/>
          <w:lang w:eastAsia="en-GB"/>
          <w14:ligatures w14:val="none"/>
        </w:rPr>
        <w:t>זָרַע</w:t>
      </w:r>
      <w:proofErr w:type="spellEnd"/>
      <w:r w:rsidR="00025339" w:rsidRPr="008114C2">
        <w:rPr>
          <w:rFonts w:eastAsia="Times New Roman" w:cstheme="minorHAnsi"/>
          <w:kern w:val="0"/>
          <w:lang w:eastAsia="en-GB"/>
          <w14:ligatures w14:val="none"/>
        </w:rPr>
        <w:t xml:space="preserve">) is also used to mean ‘conceive’ or ‘make pregnant’ (Numb. 5:28). </w:t>
      </w:r>
      <w:r w:rsidR="00E236D5">
        <w:rPr>
          <w:rFonts w:eastAsia="Times New Roman" w:cstheme="minorHAnsi"/>
          <w:kern w:val="0"/>
          <w:lang w:eastAsia="en-GB"/>
          <w14:ligatures w14:val="none"/>
        </w:rPr>
        <w:t xml:space="preserve">Abimelech </w:t>
      </w:r>
      <w:r w:rsidR="00025339" w:rsidRPr="008114C2">
        <w:rPr>
          <w:rFonts w:eastAsia="Times New Roman" w:cstheme="minorHAnsi"/>
          <w:kern w:val="0"/>
          <w:lang w:eastAsia="en-GB"/>
          <w14:ligatures w14:val="none"/>
        </w:rPr>
        <w:t>is</w:t>
      </w:r>
      <w:r w:rsidR="00E236D5">
        <w:rPr>
          <w:rFonts w:eastAsia="Times New Roman" w:cstheme="minorHAnsi"/>
          <w:kern w:val="0"/>
          <w:lang w:eastAsia="en-GB"/>
          <w14:ligatures w14:val="none"/>
        </w:rPr>
        <w:t xml:space="preserve"> therefore</w:t>
      </w:r>
      <w:r w:rsidR="00025339" w:rsidRPr="008114C2">
        <w:rPr>
          <w:rFonts w:eastAsia="Times New Roman" w:cstheme="minorHAnsi"/>
          <w:kern w:val="0"/>
          <w:lang w:eastAsia="en-GB"/>
          <w14:ligatures w14:val="none"/>
        </w:rPr>
        <w:t xml:space="preserve"> shown dominating the land, impregnating it </w:t>
      </w:r>
      <w:r w:rsidR="00267503">
        <w:rPr>
          <w:rFonts w:eastAsia="Times New Roman" w:cstheme="minorHAnsi"/>
          <w:kern w:val="0"/>
          <w:lang w:eastAsia="en-GB"/>
          <w14:ligatures w14:val="none"/>
        </w:rPr>
        <w:t>salt</w:t>
      </w:r>
      <w:r w:rsidR="00025339" w:rsidRPr="008114C2">
        <w:rPr>
          <w:rFonts w:eastAsia="Times New Roman" w:cstheme="minorHAnsi"/>
          <w:kern w:val="0"/>
          <w:lang w:eastAsia="en-GB"/>
          <w14:ligatures w14:val="none"/>
        </w:rPr>
        <w:t xml:space="preserve"> that will prevent any new life, an act of anti-conception. In this description he is shown to be failing in his</w:t>
      </w:r>
      <w:r w:rsidR="00025339" w:rsidRPr="008114C2">
        <w:rPr>
          <w:rFonts w:ascii="Times New Roman" w:eastAsia="Times New Roman" w:hAnsi="Times New Roman" w:cs="Times New Roman"/>
          <w:kern w:val="0"/>
          <w:lang w:eastAsia="en-GB"/>
          <w14:ligatures w14:val="none"/>
        </w:rPr>
        <w:t xml:space="preserve"> </w:t>
      </w:r>
      <w:r w:rsidR="00025339" w:rsidRPr="008114C2">
        <w:rPr>
          <w:rFonts w:eastAsia="Times New Roman" w:cstheme="minorHAnsi"/>
          <w:kern w:val="0"/>
          <w:lang w:eastAsia="en-GB"/>
          <w14:ligatures w14:val="none"/>
        </w:rPr>
        <w:t>fundamental duty as a man in ancient Israel</w:t>
      </w:r>
      <w:r w:rsidR="00025339">
        <w:rPr>
          <w:rFonts w:eastAsia="Times New Roman" w:cstheme="minorHAnsi"/>
          <w:kern w:val="0"/>
          <w:lang w:eastAsia="en-GB"/>
          <w14:ligatures w14:val="none"/>
        </w:rPr>
        <w:t xml:space="preserve">: </w:t>
      </w:r>
      <w:r w:rsidR="00025339" w:rsidRPr="008114C2">
        <w:rPr>
          <w:rFonts w:eastAsia="Times New Roman" w:cstheme="minorHAnsi"/>
          <w:kern w:val="0"/>
          <w:lang w:eastAsia="en-GB"/>
          <w14:ligatures w14:val="none"/>
        </w:rPr>
        <w:t>to be virile, procreate and have many children.</w:t>
      </w:r>
      <w:r w:rsidR="00025339" w:rsidRPr="008114C2">
        <w:rPr>
          <w:rStyle w:val="FootnoteReference"/>
          <w:rFonts w:eastAsia="Times New Roman" w:cstheme="minorHAnsi"/>
          <w:kern w:val="0"/>
          <w:lang w:eastAsia="en-GB"/>
          <w14:ligatures w14:val="none"/>
        </w:rPr>
        <w:footnoteReference w:id="21"/>
      </w:r>
      <w:r w:rsidR="00025339">
        <w:rPr>
          <w:rFonts w:eastAsia="Times New Roman" w:cstheme="minorHAnsi"/>
          <w:kern w:val="0"/>
          <w:lang w:eastAsia="en-GB"/>
          <w14:ligatures w14:val="none"/>
        </w:rPr>
        <w:t xml:space="preserve"> </w:t>
      </w:r>
      <w:r w:rsidR="0006071A">
        <w:rPr>
          <w:rFonts w:eastAsia="Times New Roman" w:cstheme="minorHAnsi"/>
          <w:kern w:val="0"/>
          <w:lang w:eastAsia="en-GB"/>
          <w14:ligatures w14:val="none"/>
        </w:rPr>
        <w:t>H</w:t>
      </w:r>
      <w:r w:rsidR="00025339">
        <w:rPr>
          <w:rFonts w:eastAsia="Times New Roman" w:cstheme="minorHAnsi"/>
          <w:kern w:val="0"/>
          <w:lang w:eastAsia="en-GB"/>
          <w14:ligatures w14:val="none"/>
        </w:rPr>
        <w:t>e is not only supposed to destroy life but also to create it</w:t>
      </w:r>
      <w:r w:rsidR="0006071A">
        <w:rPr>
          <w:rFonts w:eastAsia="Times New Roman" w:cstheme="minorHAnsi"/>
          <w:kern w:val="0"/>
          <w:lang w:eastAsia="en-GB"/>
          <w14:ligatures w14:val="none"/>
        </w:rPr>
        <w:t xml:space="preserve"> – and therefore is portrayed as fundamentally misunderstanding positive masculinity. </w:t>
      </w:r>
    </w:p>
    <w:p w14:paraId="269FFA9D" w14:textId="48B0406E" w:rsidR="00A472C3" w:rsidRPr="00A472C3" w:rsidRDefault="00A472C3" w:rsidP="00025339">
      <w:pPr>
        <w:rPr>
          <w:u w:val="single"/>
        </w:rPr>
      </w:pPr>
      <w:r w:rsidRPr="00A472C3">
        <w:rPr>
          <w:u w:val="single"/>
        </w:rPr>
        <w:t>Abimelech’s Death</w:t>
      </w:r>
    </w:p>
    <w:p w14:paraId="2C8D542C" w14:textId="6D54A952" w:rsidR="00025339" w:rsidRDefault="00025339" w:rsidP="00025339">
      <w:pPr>
        <w:rPr>
          <w:rFonts w:eastAsia="Times New Roman" w:cstheme="minorHAnsi"/>
          <w:kern w:val="0"/>
          <w:lang w:eastAsia="en-GB"/>
          <w14:ligatures w14:val="none"/>
        </w:rPr>
      </w:pPr>
      <w:r w:rsidRPr="00455C40">
        <w:rPr>
          <w:rFonts w:eastAsia="Times New Roman" w:cstheme="minorHAnsi"/>
          <w:kern w:val="0"/>
          <w:lang w:eastAsia="en-GB"/>
          <w14:ligatures w14:val="none"/>
        </w:rPr>
        <w:t>Abimelech’s story has a cyclical structure, beginning and ending with death. He rises to power and gains control and authority through the horrific massacre of his seventy brothers,</w:t>
      </w:r>
      <w:r w:rsidR="00FA1363">
        <w:rPr>
          <w:rFonts w:eastAsia="Times New Roman" w:cstheme="minorHAnsi"/>
          <w:kern w:val="0"/>
          <w:lang w:eastAsia="en-GB"/>
          <w14:ligatures w14:val="none"/>
        </w:rPr>
        <w:t xml:space="preserve"> and i</w:t>
      </w:r>
      <w:r w:rsidRPr="00455C40">
        <w:rPr>
          <w:rFonts w:eastAsia="Times New Roman" w:cstheme="minorHAnsi"/>
          <w:kern w:val="0"/>
          <w:lang w:eastAsia="en-GB"/>
          <w14:ligatures w14:val="none"/>
        </w:rPr>
        <w:t>n what is described as divine justice (Judges 9:56), Abimelech dies in another attempt at conquest</w:t>
      </w:r>
      <w:r w:rsidR="004301A4">
        <w:rPr>
          <w:rFonts w:eastAsia="Times New Roman" w:cstheme="minorHAnsi"/>
          <w:kern w:val="0"/>
          <w:lang w:eastAsia="en-GB"/>
          <w14:ligatures w14:val="none"/>
        </w:rPr>
        <w:t xml:space="preserve">; he </w:t>
      </w:r>
      <w:r>
        <w:rPr>
          <w:rFonts w:eastAsia="Times New Roman" w:cstheme="minorHAnsi"/>
          <w:kern w:val="0"/>
          <w:lang w:eastAsia="en-GB"/>
          <w14:ligatures w14:val="none"/>
        </w:rPr>
        <w:t xml:space="preserve">is killed </w:t>
      </w:r>
      <w:r>
        <w:rPr>
          <w:rFonts w:eastAsia="Times New Roman" w:cstheme="minorHAnsi"/>
          <w:kern w:val="0"/>
          <w:lang w:eastAsia="en-GB"/>
          <w14:ligatures w14:val="none"/>
        </w:rPr>
        <w:lastRenderedPageBreak/>
        <w:t xml:space="preserve">at the hands of an unnamed woman with a normally inconsequential object: a millstone. </w:t>
      </w:r>
      <w:r w:rsidR="0034590B">
        <w:rPr>
          <w:rFonts w:eastAsia="Times New Roman" w:cstheme="minorHAnsi"/>
          <w:kern w:val="0"/>
          <w:lang w:eastAsia="en-GB"/>
          <w14:ligatures w14:val="none"/>
        </w:rPr>
        <w:t xml:space="preserve">The </w:t>
      </w:r>
      <w:r>
        <w:rPr>
          <w:rFonts w:eastAsia="Times New Roman" w:cstheme="minorHAnsi"/>
          <w:kern w:val="0"/>
          <w:lang w:eastAsia="en-GB"/>
          <w14:ligatures w14:val="none"/>
        </w:rPr>
        <w:t xml:space="preserve">word used in the original Hebrew </w:t>
      </w:r>
      <w:r w:rsidRPr="00A67519">
        <w:rPr>
          <w:rFonts w:eastAsia="Times New Roman" w:cstheme="minorHAnsi"/>
          <w:kern w:val="0"/>
          <w:lang w:eastAsia="en-GB"/>
          <w14:ligatures w14:val="none"/>
        </w:rPr>
        <w:t>(מֶּ֫</w:t>
      </w:r>
      <w:proofErr w:type="spellStart"/>
      <w:r w:rsidRPr="00A67519">
        <w:rPr>
          <w:rFonts w:eastAsia="Times New Roman" w:cstheme="minorHAnsi"/>
          <w:kern w:val="0"/>
          <w:lang w:eastAsia="en-GB"/>
          <w14:ligatures w14:val="none"/>
        </w:rPr>
        <w:t>לַח</w:t>
      </w:r>
      <w:proofErr w:type="spellEnd"/>
      <w:r w:rsidRPr="00A67519">
        <w:rPr>
          <w:rFonts w:eastAsia="Times New Roman" w:cstheme="minorHAnsi"/>
          <w:kern w:val="0"/>
          <w:lang w:eastAsia="en-GB"/>
          <w14:ligatures w14:val="none"/>
        </w:rPr>
        <w:t xml:space="preserve"> – ‘</w:t>
      </w:r>
      <w:proofErr w:type="spellStart"/>
      <w:r w:rsidRPr="00A67519">
        <w:rPr>
          <w:rFonts w:eastAsia="Times New Roman" w:cstheme="minorHAnsi"/>
          <w:kern w:val="0"/>
          <w:lang w:eastAsia="en-GB"/>
          <w14:ligatures w14:val="none"/>
        </w:rPr>
        <w:t>pelach</w:t>
      </w:r>
      <w:proofErr w:type="spellEnd"/>
      <w:r w:rsidRPr="00A67519">
        <w:rPr>
          <w:rFonts w:eastAsia="Times New Roman" w:cstheme="minorHAnsi"/>
          <w:kern w:val="0"/>
          <w:lang w:eastAsia="en-GB"/>
          <w14:ligatures w14:val="none"/>
        </w:rPr>
        <w:t>’)</w:t>
      </w:r>
      <w:r>
        <w:rPr>
          <w:rFonts w:ascii="Times New Roman" w:eastAsia="Times New Roman" w:hAnsi="Times New Roman" w:cs="Times New Roman"/>
          <w:kern w:val="0"/>
          <w:sz w:val="24"/>
          <w:szCs w:val="24"/>
          <w:lang w:eastAsia="en-GB"/>
          <w14:ligatures w14:val="none"/>
        </w:rPr>
        <w:t xml:space="preserve"> </w:t>
      </w:r>
      <w:r w:rsidRPr="00310C69">
        <w:rPr>
          <w:rFonts w:eastAsia="Times New Roman" w:cstheme="minorHAnsi"/>
          <w:kern w:val="0"/>
          <w:lang w:eastAsia="en-GB"/>
          <w14:ligatures w14:val="none"/>
        </w:rPr>
        <w:t xml:space="preserve">is a feminine noun </w:t>
      </w:r>
      <w:r w:rsidR="00FA111C">
        <w:rPr>
          <w:rFonts w:eastAsia="Times New Roman" w:cstheme="minorHAnsi"/>
          <w:kern w:val="0"/>
          <w:lang w:eastAsia="en-GB"/>
          <w14:ligatures w14:val="none"/>
        </w:rPr>
        <w:t xml:space="preserve">also used </w:t>
      </w:r>
      <w:r w:rsidRPr="00310C69">
        <w:rPr>
          <w:rFonts w:eastAsia="Times New Roman" w:cstheme="minorHAnsi"/>
          <w:kern w:val="0"/>
          <w:lang w:eastAsia="en-GB"/>
          <w14:ligatures w14:val="none"/>
        </w:rPr>
        <w:t xml:space="preserve">to mean ‘cleavage’ </w:t>
      </w:r>
      <w:r w:rsidR="00CC0FB0">
        <w:rPr>
          <w:rFonts w:eastAsia="Times New Roman" w:cstheme="minorHAnsi"/>
          <w:kern w:val="0"/>
          <w:lang w:eastAsia="en-GB"/>
          <w14:ligatures w14:val="none"/>
        </w:rPr>
        <w:t xml:space="preserve">(e.g. </w:t>
      </w:r>
      <w:r w:rsidRPr="00310C69">
        <w:rPr>
          <w:rFonts w:eastAsia="Times New Roman" w:cstheme="minorHAnsi"/>
          <w:kern w:val="0"/>
          <w:lang w:eastAsia="en-GB"/>
          <w14:ligatures w14:val="none"/>
        </w:rPr>
        <w:t>Songs 4:3 and Songs 6:7</w:t>
      </w:r>
      <w:r w:rsidR="00BA29D5">
        <w:rPr>
          <w:rFonts w:eastAsia="Times New Roman" w:cstheme="minorHAnsi"/>
          <w:kern w:val="0"/>
          <w:lang w:eastAsia="en-GB"/>
          <w14:ligatures w14:val="none"/>
        </w:rPr>
        <w:t>)</w:t>
      </w:r>
      <w:r w:rsidR="00CC0FB0">
        <w:rPr>
          <w:rFonts w:eastAsia="Times New Roman" w:cstheme="minorHAnsi"/>
          <w:kern w:val="0"/>
          <w:lang w:eastAsia="en-GB"/>
          <w14:ligatures w14:val="none"/>
        </w:rPr>
        <w:t xml:space="preserve">, </w:t>
      </w:r>
      <w:r>
        <w:rPr>
          <w:rFonts w:eastAsia="Times New Roman" w:cstheme="minorHAnsi"/>
          <w:kern w:val="0"/>
          <w:lang w:eastAsia="en-GB"/>
          <w14:ligatures w14:val="none"/>
        </w:rPr>
        <w:t xml:space="preserve">highlighting his death </w:t>
      </w:r>
      <w:r w:rsidR="00CC0FB0">
        <w:rPr>
          <w:rFonts w:eastAsia="Times New Roman" w:cstheme="minorHAnsi"/>
          <w:kern w:val="0"/>
          <w:lang w:eastAsia="en-GB"/>
          <w14:ligatures w14:val="none"/>
        </w:rPr>
        <w:t>occurred at</w:t>
      </w:r>
      <w:r>
        <w:rPr>
          <w:rFonts w:eastAsia="Times New Roman" w:cstheme="minorHAnsi"/>
          <w:kern w:val="0"/>
          <w:lang w:eastAsia="en-GB"/>
          <w14:ligatures w14:val="none"/>
        </w:rPr>
        <w:t xml:space="preserve"> the hands of a woman. </w:t>
      </w:r>
      <w:r w:rsidR="004354DD">
        <w:rPr>
          <w:rFonts w:eastAsia="Times New Roman" w:cstheme="minorHAnsi"/>
          <w:kern w:val="0"/>
          <w:lang w:eastAsia="en-GB"/>
          <w14:ligatures w14:val="none"/>
        </w:rPr>
        <w:t>Furthermore</w:t>
      </w:r>
      <w:r>
        <w:rPr>
          <w:rFonts w:eastAsia="Times New Roman" w:cstheme="minorHAnsi"/>
          <w:kern w:val="0"/>
          <w:lang w:eastAsia="en-GB"/>
          <w14:ligatures w14:val="none"/>
        </w:rPr>
        <w:t>, the spatiality of his death is relevant to Abimelech</w:t>
      </w:r>
      <w:r w:rsidR="00267503">
        <w:rPr>
          <w:rFonts w:eastAsia="Times New Roman" w:cstheme="minorHAnsi"/>
          <w:kern w:val="0"/>
          <w:lang w:eastAsia="en-GB"/>
          <w14:ligatures w14:val="none"/>
        </w:rPr>
        <w:t>'s</w:t>
      </w:r>
      <w:r>
        <w:rPr>
          <w:rFonts w:eastAsia="Times New Roman" w:cstheme="minorHAnsi"/>
          <w:kern w:val="0"/>
          <w:lang w:eastAsia="en-GB"/>
          <w14:ligatures w14:val="none"/>
        </w:rPr>
        <w:t xml:space="preserve"> fail</w:t>
      </w:r>
      <w:r w:rsidR="00267503">
        <w:rPr>
          <w:rFonts w:eastAsia="Times New Roman" w:cstheme="minorHAnsi"/>
          <w:kern w:val="0"/>
          <w:lang w:eastAsia="en-GB"/>
          <w14:ligatures w14:val="none"/>
        </w:rPr>
        <w:t>ure</w:t>
      </w:r>
      <w:r>
        <w:rPr>
          <w:rFonts w:eastAsia="Times New Roman" w:cstheme="minorHAnsi"/>
          <w:kern w:val="0"/>
          <w:lang w:eastAsia="en-GB"/>
          <w14:ligatures w14:val="none"/>
        </w:rPr>
        <w:t xml:space="preserve"> to </w:t>
      </w:r>
      <w:proofErr w:type="spellStart"/>
      <w:r>
        <w:rPr>
          <w:rFonts w:eastAsia="Times New Roman" w:cstheme="minorHAnsi"/>
          <w:kern w:val="0"/>
          <w:lang w:eastAsia="en-GB"/>
          <w14:ligatures w14:val="none"/>
        </w:rPr>
        <w:t>fulfi</w:t>
      </w:r>
      <w:r w:rsidR="00267503">
        <w:rPr>
          <w:rFonts w:eastAsia="Times New Roman" w:cstheme="minorHAnsi"/>
          <w:kern w:val="0"/>
          <w:lang w:eastAsia="en-GB"/>
          <w14:ligatures w14:val="none"/>
        </w:rPr>
        <w:t>l</w:t>
      </w:r>
      <w:r>
        <w:rPr>
          <w:rFonts w:eastAsia="Times New Roman" w:cstheme="minorHAnsi"/>
          <w:kern w:val="0"/>
          <w:lang w:eastAsia="en-GB"/>
          <w14:ligatures w14:val="none"/>
        </w:rPr>
        <w:t>l</w:t>
      </w:r>
      <w:proofErr w:type="spellEnd"/>
      <w:r>
        <w:rPr>
          <w:rFonts w:eastAsia="Times New Roman" w:cstheme="minorHAnsi"/>
          <w:kern w:val="0"/>
          <w:lang w:eastAsia="en-GB"/>
          <w14:ligatures w14:val="none"/>
        </w:rPr>
        <w:t xml:space="preserve"> </w:t>
      </w:r>
      <w:r w:rsidR="00CC0FB0">
        <w:rPr>
          <w:rFonts w:eastAsia="Times New Roman" w:cstheme="minorHAnsi"/>
          <w:kern w:val="0"/>
          <w:lang w:eastAsia="en-GB"/>
          <w14:ligatures w14:val="none"/>
        </w:rPr>
        <w:t>the masculine ideal</w:t>
      </w:r>
      <w:r>
        <w:rPr>
          <w:rFonts w:eastAsia="Times New Roman" w:cstheme="minorHAnsi"/>
          <w:kern w:val="0"/>
          <w:lang w:eastAsia="en-GB"/>
          <w14:ligatures w14:val="none"/>
        </w:rPr>
        <w:t>. By positioning Abimelech as the object below</w:t>
      </w:r>
      <w:r w:rsidR="004354DD">
        <w:rPr>
          <w:rFonts w:eastAsia="Times New Roman" w:cstheme="minorHAnsi"/>
          <w:kern w:val="0"/>
          <w:lang w:eastAsia="en-GB"/>
          <w14:ligatures w14:val="none"/>
        </w:rPr>
        <w:t xml:space="preserve"> w</w:t>
      </w:r>
      <w:r>
        <w:rPr>
          <w:rFonts w:eastAsia="Times New Roman" w:cstheme="minorHAnsi"/>
          <w:kern w:val="0"/>
          <w:lang w:eastAsia="en-GB"/>
          <w14:ligatures w14:val="none"/>
        </w:rPr>
        <w:t>ith his female killer as the subject above, a symbolic reversal of gender roles takes place</w:t>
      </w:r>
      <w:r w:rsidR="00CC0FB0">
        <w:rPr>
          <w:rFonts w:eastAsia="Times New Roman" w:cstheme="minorHAnsi"/>
          <w:kern w:val="0"/>
          <w:lang w:eastAsia="en-GB"/>
          <w14:ligatures w14:val="none"/>
        </w:rPr>
        <w:t xml:space="preserve"> by mimicking </w:t>
      </w:r>
      <w:r>
        <w:rPr>
          <w:rFonts w:eastAsia="Times New Roman" w:cstheme="minorHAnsi"/>
          <w:kern w:val="0"/>
          <w:lang w:eastAsia="en-GB"/>
          <w14:ligatures w14:val="none"/>
        </w:rPr>
        <w:t xml:space="preserve">traditional </w:t>
      </w:r>
      <w:r w:rsidR="00CC0FB0">
        <w:rPr>
          <w:rFonts w:eastAsia="Times New Roman" w:cstheme="minorHAnsi"/>
          <w:kern w:val="0"/>
          <w:lang w:eastAsia="en-GB"/>
          <w14:ligatures w14:val="none"/>
        </w:rPr>
        <w:t>heterosexual sexual</w:t>
      </w:r>
      <w:r>
        <w:rPr>
          <w:rFonts w:eastAsia="Times New Roman" w:cstheme="minorHAnsi"/>
          <w:kern w:val="0"/>
          <w:lang w:eastAsia="en-GB"/>
          <w14:ligatures w14:val="none"/>
        </w:rPr>
        <w:t xml:space="preserve"> positioning. Carman argued that the account of Abimelech’s death including these details suggests that Abimelech did not only fail at masculinity through his defeat by a woman, but ‘that he </w:t>
      </w:r>
      <w:r w:rsidR="00267503">
        <w:rPr>
          <w:rFonts w:eastAsia="Times New Roman" w:cstheme="minorHAnsi"/>
          <w:kern w:val="0"/>
          <w:lang w:eastAsia="en-GB"/>
          <w14:ligatures w14:val="none"/>
        </w:rPr>
        <w:t xml:space="preserve">… </w:t>
      </w:r>
      <w:r>
        <w:rPr>
          <w:rFonts w:eastAsia="Times New Roman" w:cstheme="minorHAnsi"/>
          <w:kern w:val="0"/>
          <w:lang w:eastAsia="en-GB"/>
          <w14:ligatures w14:val="none"/>
        </w:rPr>
        <w:t>has become a woman.’</w:t>
      </w:r>
      <w:r>
        <w:rPr>
          <w:rStyle w:val="FootnoteReference"/>
          <w:rFonts w:eastAsia="Times New Roman" w:cstheme="minorHAnsi"/>
          <w:kern w:val="0"/>
          <w:lang w:eastAsia="en-GB"/>
          <w14:ligatures w14:val="none"/>
        </w:rPr>
        <w:footnoteReference w:id="22"/>
      </w:r>
      <w:r w:rsidR="0016285D">
        <w:rPr>
          <w:rFonts w:eastAsia="Times New Roman" w:cstheme="minorHAnsi"/>
          <w:kern w:val="0"/>
          <w:lang w:eastAsia="en-GB"/>
          <w14:ligatures w14:val="none"/>
        </w:rPr>
        <w:t xml:space="preserve"> Gender reversal language can be problematic due to its exclusion of queer and transgender identities, and reinforcement of </w:t>
      </w:r>
      <w:r w:rsidR="006A2FB8">
        <w:rPr>
          <w:rFonts w:eastAsia="Times New Roman" w:cstheme="minorHAnsi"/>
          <w:kern w:val="0"/>
          <w:lang w:eastAsia="en-GB"/>
          <w14:ligatures w14:val="none"/>
        </w:rPr>
        <w:t xml:space="preserve">a rigid gender binary, as discussed previously in analysis of Judges 5. However, in discussion of attempted </w:t>
      </w:r>
      <w:proofErr w:type="spellStart"/>
      <w:r w:rsidR="006A2FB8">
        <w:rPr>
          <w:rFonts w:eastAsia="Times New Roman" w:cstheme="minorHAnsi"/>
          <w:kern w:val="0"/>
          <w:lang w:eastAsia="en-GB"/>
          <w14:ligatures w14:val="none"/>
        </w:rPr>
        <w:t>fulfi</w:t>
      </w:r>
      <w:r w:rsidR="00267503">
        <w:rPr>
          <w:rFonts w:eastAsia="Times New Roman" w:cstheme="minorHAnsi"/>
          <w:kern w:val="0"/>
          <w:lang w:eastAsia="en-GB"/>
          <w14:ligatures w14:val="none"/>
        </w:rPr>
        <w:t>l</w:t>
      </w:r>
      <w:r w:rsidR="006A2FB8">
        <w:rPr>
          <w:rFonts w:eastAsia="Times New Roman" w:cstheme="minorHAnsi"/>
          <w:kern w:val="0"/>
          <w:lang w:eastAsia="en-GB"/>
          <w14:ligatures w14:val="none"/>
        </w:rPr>
        <w:t>lment</w:t>
      </w:r>
      <w:proofErr w:type="spellEnd"/>
      <w:r w:rsidR="006A2FB8">
        <w:rPr>
          <w:rFonts w:eastAsia="Times New Roman" w:cstheme="minorHAnsi"/>
          <w:kern w:val="0"/>
          <w:lang w:eastAsia="en-GB"/>
          <w14:ligatures w14:val="none"/>
        </w:rPr>
        <w:t xml:space="preserve"> of </w:t>
      </w:r>
      <w:r w:rsidR="00B00D00">
        <w:rPr>
          <w:rFonts w:eastAsia="Times New Roman" w:cstheme="minorHAnsi"/>
          <w:kern w:val="0"/>
          <w:lang w:eastAsia="en-GB"/>
          <w14:ligatures w14:val="none"/>
        </w:rPr>
        <w:t>masculinity</w:t>
      </w:r>
      <w:r w:rsidR="00AD67BC">
        <w:rPr>
          <w:rFonts w:eastAsia="Times New Roman" w:cstheme="minorHAnsi"/>
          <w:kern w:val="0"/>
          <w:lang w:eastAsia="en-GB"/>
          <w14:ligatures w14:val="none"/>
        </w:rPr>
        <w:t xml:space="preserve">, Abimelech being presented as traditionally feminine is significant. </w:t>
      </w:r>
    </w:p>
    <w:p w14:paraId="2FA13A0F" w14:textId="35222CF6" w:rsidR="00B818E4" w:rsidRPr="00B818E4" w:rsidRDefault="00B818E4" w:rsidP="00025339">
      <w:pPr>
        <w:spacing w:before="100" w:beforeAutospacing="1" w:after="100" w:afterAutospacing="1" w:line="276" w:lineRule="auto"/>
        <w:rPr>
          <w:rFonts w:cstheme="minorHAnsi"/>
          <w:u w:val="single"/>
        </w:rPr>
      </w:pPr>
      <w:r w:rsidRPr="00B818E4">
        <w:rPr>
          <w:rFonts w:eastAsia="Times New Roman" w:cstheme="minorHAnsi"/>
          <w:kern w:val="0"/>
          <w:u w:val="single"/>
          <w:lang w:eastAsia="en-GB"/>
          <w14:ligatures w14:val="none"/>
        </w:rPr>
        <w:t>Comparison to other men in the narrative</w:t>
      </w:r>
    </w:p>
    <w:p w14:paraId="28B6C8D3" w14:textId="0910DAAF" w:rsidR="002375D2" w:rsidRDefault="00025339" w:rsidP="00A64A34">
      <w:r>
        <w:t>To properly analyse Abimelech’s toxic masculinity, comparison with other male figures seen as virtuous is necessary. Abimelech’s story begins with his father</w:t>
      </w:r>
      <w:r w:rsidR="004B388B">
        <w:t xml:space="preserve"> Gideon (whose alternate name ‘Jerubbaal’ is used in this text). </w:t>
      </w:r>
      <w:r>
        <w:t xml:space="preserve">Gideon is a key figure from Judges 8 </w:t>
      </w:r>
      <w:r w:rsidR="0090025C">
        <w:t>who</w:t>
      </w:r>
      <w:r>
        <w:t xml:space="preserve"> refused </w:t>
      </w:r>
      <w:r w:rsidR="0090025C">
        <w:t xml:space="preserve">to rule over the Israelites </w:t>
      </w:r>
      <w:r>
        <w:t xml:space="preserve">on the basis that God should be the Israelites’ only ruler (Judg. 8:22-23). He had seventy sons from many wives, </w:t>
      </w:r>
      <w:r w:rsidR="004B388B">
        <w:t>and Abimelec</w:t>
      </w:r>
      <w:r w:rsidR="00267503">
        <w:t xml:space="preserve">h, </w:t>
      </w:r>
      <w:r w:rsidR="005D6A4E">
        <w:t>a son from a Shechemite concubine (</w:t>
      </w:r>
      <w:r>
        <w:t xml:space="preserve">8:31). Abimelech’s narrative begins </w:t>
      </w:r>
      <w:r w:rsidR="00887626">
        <w:t xml:space="preserve">after Gideon’s death, and </w:t>
      </w:r>
      <w:r>
        <w:t xml:space="preserve">Abimelech rises to power through the massacre of his seventy brothers (9:5), </w:t>
      </w:r>
      <w:r w:rsidR="004E4394">
        <w:t>which left only one survivor</w:t>
      </w:r>
      <w:r>
        <w:t>, Jotham</w:t>
      </w:r>
      <w:r w:rsidR="00163CF2">
        <w:t xml:space="preserve"> (</w:t>
      </w:r>
      <w:r>
        <w:t xml:space="preserve">9:5). </w:t>
      </w:r>
      <w:r w:rsidR="0057011C">
        <w:t>Thi</w:t>
      </w:r>
      <w:r w:rsidR="004E4394">
        <w:t xml:space="preserve">s massacre </w:t>
      </w:r>
      <w:r w:rsidR="0057011C">
        <w:t>contrasts with Gideon’s avenging of his own murdered brothers in the previous chapter (Judg. 8:19-21)</w:t>
      </w:r>
      <w:r w:rsidR="00E678F3">
        <w:t>, showing Abimelech’s lack of solidarity with his kinsmen, another defining characteristic of manhood according to Clines</w:t>
      </w:r>
      <w:r w:rsidR="0057011C">
        <w:t>.</w:t>
      </w:r>
      <w:r>
        <w:rPr>
          <w:rStyle w:val="FootnoteReference"/>
        </w:rPr>
        <w:footnoteReference w:id="23"/>
      </w:r>
      <w:r>
        <w:t xml:space="preserve"> </w:t>
      </w:r>
    </w:p>
    <w:p w14:paraId="488E2F7B" w14:textId="77777777" w:rsidR="000E516F" w:rsidRDefault="00025339" w:rsidP="00025339">
      <w:pPr>
        <w:spacing w:line="276" w:lineRule="auto"/>
        <w:rPr>
          <w:rFonts w:cstheme="minorHAnsi"/>
        </w:rPr>
      </w:pPr>
      <w:r>
        <w:t xml:space="preserve">Abimelech </w:t>
      </w:r>
      <w:r w:rsidR="00B30AA6">
        <w:t xml:space="preserve">ultimately </w:t>
      </w:r>
      <w:r>
        <w:t>failed in his massacre</w:t>
      </w:r>
      <w:r w:rsidR="00B30AA6">
        <w:t xml:space="preserve"> </w:t>
      </w:r>
      <w:r>
        <w:t>by sparing a rival</w:t>
      </w:r>
      <w:r w:rsidR="00B30AA6">
        <w:t xml:space="preserve">. </w:t>
      </w:r>
      <w:r w:rsidRPr="009E718F">
        <w:rPr>
          <w:rFonts w:cstheme="minorHAnsi"/>
        </w:rPr>
        <w:t>Abimelech’s violent and intense narrative can obscure the story in its shadow –</w:t>
      </w:r>
      <w:r>
        <w:rPr>
          <w:rFonts w:cstheme="minorHAnsi"/>
        </w:rPr>
        <w:t xml:space="preserve"> that of Jotham. </w:t>
      </w:r>
      <w:r w:rsidRPr="009E718F">
        <w:rPr>
          <w:rFonts w:cstheme="minorHAnsi"/>
        </w:rPr>
        <w:t>While this passage this analysis focuses on does not encompass Jotham’s full story, context from Judges 9 helps explain why the declaration of his curse being fulfilled is significant in a masculinist reading of the narrative.</w:t>
      </w:r>
      <w:r>
        <w:rPr>
          <w:rFonts w:cstheme="minorHAnsi"/>
        </w:rPr>
        <w:t xml:space="preserve"> Jotham </w:t>
      </w:r>
      <w:r w:rsidR="005D6A4E">
        <w:rPr>
          <w:rFonts w:cstheme="minorHAnsi"/>
        </w:rPr>
        <w:t xml:space="preserve">can be analysed </w:t>
      </w:r>
      <w:r>
        <w:rPr>
          <w:rFonts w:cstheme="minorHAnsi"/>
        </w:rPr>
        <w:t xml:space="preserve">as a narrative construct </w:t>
      </w:r>
      <w:r w:rsidR="005D6A4E">
        <w:rPr>
          <w:rFonts w:cstheme="minorHAnsi"/>
        </w:rPr>
        <w:t xml:space="preserve">used to </w:t>
      </w:r>
      <w:r>
        <w:rPr>
          <w:rFonts w:cstheme="minorHAnsi"/>
        </w:rPr>
        <w:t>contrast with the toxic masculinity of Abimelech.</w:t>
      </w:r>
      <w:r w:rsidRPr="009E718F">
        <w:rPr>
          <w:rFonts w:cstheme="minorHAnsi"/>
        </w:rPr>
        <w:t xml:space="preserve"> </w:t>
      </w:r>
    </w:p>
    <w:p w14:paraId="40C1C8F2" w14:textId="77777777" w:rsidR="00272CE0" w:rsidRDefault="00025339" w:rsidP="00272CE0">
      <w:pPr>
        <w:spacing w:line="276" w:lineRule="auto"/>
      </w:pPr>
      <w:r>
        <w:rPr>
          <w:rFonts w:cstheme="minorHAnsi"/>
        </w:rPr>
        <w:t>Jotham</w:t>
      </w:r>
      <w:r w:rsidR="003E2CAC">
        <w:rPr>
          <w:rFonts w:cstheme="minorHAnsi"/>
        </w:rPr>
        <w:t xml:space="preserve"> was the lone survivor of Abimelech’s massacre of his family, ‘</w:t>
      </w:r>
      <w:r>
        <w:rPr>
          <w:rFonts w:cstheme="minorHAnsi"/>
        </w:rPr>
        <w:t xml:space="preserve">for he hid himself,’ (9:5). After cursing Abimelech and the </w:t>
      </w:r>
      <w:r w:rsidR="000E516F">
        <w:rPr>
          <w:rFonts w:cstheme="minorHAnsi"/>
        </w:rPr>
        <w:t xml:space="preserve">Shechemite lords </w:t>
      </w:r>
      <w:r>
        <w:rPr>
          <w:rFonts w:cstheme="minorHAnsi"/>
        </w:rPr>
        <w:t xml:space="preserve">(9:19-20), Jotham </w:t>
      </w:r>
      <w:r w:rsidR="00F073D5">
        <w:rPr>
          <w:rFonts w:cstheme="minorHAnsi"/>
        </w:rPr>
        <w:t xml:space="preserve">fled </w:t>
      </w:r>
      <w:r>
        <w:rPr>
          <w:rFonts w:cstheme="minorHAnsi"/>
        </w:rPr>
        <w:t xml:space="preserve">(9:21). </w:t>
      </w:r>
      <w:r>
        <w:t xml:space="preserve">In </w:t>
      </w:r>
      <w:r w:rsidR="00411FA0">
        <w:t xml:space="preserve">contrast </w:t>
      </w:r>
      <w:r w:rsidR="003E2CAC">
        <w:t>with Abimelech</w:t>
      </w:r>
      <w:r w:rsidR="00411FA0">
        <w:t xml:space="preserve">, </w:t>
      </w:r>
      <w:r>
        <w:t>Jotham</w:t>
      </w:r>
      <w:r w:rsidR="003E2CAC">
        <w:t xml:space="preserve">’s </w:t>
      </w:r>
      <w:r>
        <w:t xml:space="preserve">speech </w:t>
      </w:r>
      <w:r w:rsidR="003E2CAC">
        <w:t>was</w:t>
      </w:r>
      <w:r>
        <w:t xml:space="preserve"> five times longer than any of Abimelech’s </w:t>
      </w:r>
      <w:r w:rsidR="003E2CAC">
        <w:t>words and</w:t>
      </w:r>
      <w:r>
        <w:t xml:space="preserve"> </w:t>
      </w:r>
      <w:r w:rsidR="003E2CAC">
        <w:t xml:space="preserve">took the form of a powerful curse </w:t>
      </w:r>
      <w:r w:rsidR="00F93CAC">
        <w:t xml:space="preserve">calling for Abimelech’s demise </w:t>
      </w:r>
      <w:r>
        <w:t xml:space="preserve">(9:57). With Clines’ argument that efficacy of speech is a defining </w:t>
      </w:r>
      <w:r w:rsidR="00F073D5">
        <w:t>masculine trait in this culture</w:t>
      </w:r>
      <w:r>
        <w:t>,</w:t>
      </w:r>
      <w:r>
        <w:rPr>
          <w:rStyle w:val="FootnoteReference"/>
        </w:rPr>
        <w:footnoteReference w:id="24"/>
      </w:r>
      <w:r>
        <w:t xml:space="preserve"> </w:t>
      </w:r>
      <w:r w:rsidR="00F93CAC">
        <w:t xml:space="preserve">a </w:t>
      </w:r>
      <w:r w:rsidR="00411FA0">
        <w:t xml:space="preserve">juxtaposition </w:t>
      </w:r>
      <w:r w:rsidR="000E516F">
        <w:t xml:space="preserve">is </w:t>
      </w:r>
      <w:r>
        <w:t>drawn</w:t>
      </w:r>
      <w:r w:rsidR="00F93CAC">
        <w:t xml:space="preserve"> in the narrative</w:t>
      </w:r>
      <w:r>
        <w:t xml:space="preserve"> between the false</w:t>
      </w:r>
      <w:r w:rsidR="00F93CAC">
        <w:t xml:space="preserve"> masculine appearance of </w:t>
      </w:r>
      <w:r>
        <w:t xml:space="preserve">Abimelech and the </w:t>
      </w:r>
      <w:r w:rsidR="00F93CAC">
        <w:t xml:space="preserve">persuasiveness </w:t>
      </w:r>
      <w:r>
        <w:t xml:space="preserve">of Jotham. </w:t>
      </w:r>
      <w:r w:rsidR="004B7D7B">
        <w:t>The man who hid and fled, the traditional ‘coward’, surviv</w:t>
      </w:r>
      <w:r w:rsidR="00411FA0">
        <w:t>e</w:t>
      </w:r>
      <w:r w:rsidR="00F93CAC">
        <w:t xml:space="preserve">d. </w:t>
      </w:r>
      <w:r w:rsidR="007265E9">
        <w:t xml:space="preserve">Judges 9 concludes with </w:t>
      </w:r>
      <w:r w:rsidR="00636209">
        <w:t xml:space="preserve">Jotham’s </w:t>
      </w:r>
      <w:r w:rsidR="007265E9">
        <w:t>curse fulfilled</w:t>
      </w:r>
      <w:r w:rsidR="00636209">
        <w:t xml:space="preserve"> </w:t>
      </w:r>
      <w:r>
        <w:t>and Abimelech</w:t>
      </w:r>
      <w:r w:rsidR="00267503">
        <w:t>’s</w:t>
      </w:r>
      <w:r>
        <w:t xml:space="preserve"> d</w:t>
      </w:r>
      <w:r w:rsidR="009C3F67">
        <w:t>ea</w:t>
      </w:r>
      <w:r w:rsidR="00267503">
        <w:t>th</w:t>
      </w:r>
      <w:r w:rsidR="00272CE0">
        <w:t xml:space="preserve">. </w:t>
      </w:r>
    </w:p>
    <w:p w14:paraId="65E3FCE1" w14:textId="77777777" w:rsidR="00272CE0" w:rsidRDefault="00272CE0" w:rsidP="00272CE0">
      <w:pPr>
        <w:spacing w:line="276" w:lineRule="auto"/>
      </w:pPr>
    </w:p>
    <w:p w14:paraId="3DA2BA45" w14:textId="77777777" w:rsidR="00272CE0" w:rsidRDefault="00272CE0" w:rsidP="00272CE0">
      <w:pPr>
        <w:spacing w:line="276" w:lineRule="auto"/>
      </w:pPr>
    </w:p>
    <w:p w14:paraId="2FC127C0" w14:textId="77777777" w:rsidR="00272CE0" w:rsidRDefault="00272CE0" w:rsidP="00272CE0">
      <w:pPr>
        <w:spacing w:line="276" w:lineRule="auto"/>
      </w:pPr>
    </w:p>
    <w:p w14:paraId="56E4A4D2" w14:textId="77777777" w:rsidR="00272CE0" w:rsidRDefault="00272CE0" w:rsidP="00272CE0">
      <w:pPr>
        <w:spacing w:line="276" w:lineRule="auto"/>
      </w:pPr>
    </w:p>
    <w:p w14:paraId="7C77B4D5" w14:textId="201EC126" w:rsidR="00B818E4" w:rsidRPr="00272CE0" w:rsidRDefault="00B818E4" w:rsidP="00272CE0">
      <w:pPr>
        <w:spacing w:line="276" w:lineRule="auto"/>
        <w:rPr>
          <w:rFonts w:cstheme="minorHAnsi"/>
        </w:rPr>
      </w:pPr>
      <w:r w:rsidRPr="00B818E4">
        <w:rPr>
          <w:u w:val="single"/>
        </w:rPr>
        <w:t>Importance in the field of masculinist studies</w:t>
      </w:r>
    </w:p>
    <w:p w14:paraId="56B79DC5" w14:textId="48A6EAA5" w:rsidR="00341943" w:rsidRDefault="00025339" w:rsidP="00474010">
      <w:pPr>
        <w:spacing w:before="100" w:beforeAutospacing="1" w:after="100" w:afterAutospacing="1" w:line="276" w:lineRule="auto"/>
      </w:pPr>
      <w:r>
        <w:t xml:space="preserve">Abimelech’s story, particularly the events surrounding his death, is significant in the field of masculinist criticism as the account </w:t>
      </w:r>
      <w:r w:rsidR="00341943">
        <w:t xml:space="preserve">showcases the toxicity of Abimelech’s masculinity. His story offers a clear picture of the issues </w:t>
      </w:r>
      <w:r w:rsidR="00F93CAC">
        <w:t>with</w:t>
      </w:r>
      <w:r w:rsidR="00341943">
        <w:t xml:space="preserve"> toxic masculinity</w:t>
      </w:r>
      <w:r w:rsidR="009C3F67">
        <w:t xml:space="preserve"> including</w:t>
      </w:r>
      <w:r w:rsidR="00A83582">
        <w:t xml:space="preserve"> excessive violence </w:t>
      </w:r>
      <w:r w:rsidR="009C3F67">
        <w:t xml:space="preserve">and misogyny. </w:t>
      </w:r>
      <w:r w:rsidR="00A62E86">
        <w:t xml:space="preserve">His death at the end of the passage is significant as </w:t>
      </w:r>
      <w:r w:rsidR="009C3F67">
        <w:t xml:space="preserve">it shows his cowardice. </w:t>
      </w:r>
      <w:r w:rsidR="00702C1A" w:rsidRPr="00455C40">
        <w:rPr>
          <w:rFonts w:eastAsia="Times New Roman" w:cstheme="minorHAnsi"/>
          <w:kern w:val="0"/>
          <w:lang w:eastAsia="en-GB"/>
          <w14:ligatures w14:val="none"/>
        </w:rPr>
        <w:t>In a twist of dramatic irony, Abimelech’s final words asking his servant to prevent the collective social memory of his death being one of humiliation at the hands of a woman have been immortalised in the text.</w:t>
      </w:r>
      <w:r w:rsidR="00702C1A">
        <w:t xml:space="preserve"> </w:t>
      </w:r>
      <w:r w:rsidR="001732DA">
        <w:t xml:space="preserve">Instead, his story ends with </w:t>
      </w:r>
      <w:r w:rsidR="00267503">
        <w:t xml:space="preserve">the </w:t>
      </w:r>
      <w:r w:rsidR="001732DA">
        <w:t>declaration that God has enacted divine justice through Abimelech’s death.</w:t>
      </w:r>
      <w:r w:rsidR="00702C1A">
        <w:t xml:space="preserve"> </w:t>
      </w:r>
    </w:p>
    <w:p w14:paraId="1AA0F07F" w14:textId="1D261915" w:rsidR="00025339" w:rsidRDefault="00404247" w:rsidP="00025339">
      <w:r>
        <w:t xml:space="preserve">In summary, Abimelech’s narrative in Judges 9 is well suited to a masculinist reading due to the prominence of exaggerated displays of traditional masculinity. Using the work of scholars like Clines and Wilson, Abimelech’s failures can aid understanding of the biblical conceptions of when gendered </w:t>
      </w:r>
      <w:r w:rsidR="00500500">
        <w:t>ideals are exaggerated so far that they</w:t>
      </w:r>
      <w:r>
        <w:t xml:space="preserve"> become destabilising. </w:t>
      </w:r>
    </w:p>
    <w:p w14:paraId="55C77562" w14:textId="77777777" w:rsidR="00D46484" w:rsidRDefault="00D46484" w:rsidP="00025339">
      <w:pPr>
        <w:rPr>
          <w:u w:val="single"/>
        </w:rPr>
      </w:pPr>
      <w:r>
        <w:rPr>
          <w:u w:val="single"/>
        </w:rPr>
        <w:t xml:space="preserve">Overall conclusion </w:t>
      </w:r>
    </w:p>
    <w:p w14:paraId="20027497" w14:textId="65BE6F7A" w:rsidR="00DE67C7" w:rsidRPr="00783266" w:rsidRDefault="00DE67C7" w:rsidP="00025339">
      <w:r>
        <w:t xml:space="preserve">To conclude, gendered approaches offer a great deal of material through which to analyse biblical texts. While care must be taken to avoid reinforcing outdated gender stereotypes, examining the texts using both ancient and modern conceptions of gender allows for greater appreciation of how societal views around gender impacted biblical characters, and by extension the whole biblical narrative. </w:t>
      </w:r>
    </w:p>
    <w:p w14:paraId="248E22CB" w14:textId="77777777" w:rsidR="00D46484" w:rsidRDefault="00D46484" w:rsidP="00D46484">
      <w:pPr>
        <w:spacing w:after="240" w:line="360" w:lineRule="auto"/>
        <w:outlineLvl w:val="0"/>
        <w:rPr>
          <w:rFonts w:ascii="Times New Roman" w:eastAsia="Times New Roman" w:hAnsi="Times New Roman" w:cs="Times New Roman"/>
          <w:b/>
          <w:bCs/>
          <w:kern w:val="36"/>
          <w:sz w:val="36"/>
          <w:szCs w:val="36"/>
          <w:lang w:eastAsia="en-GB"/>
          <w14:ligatures w14:val="none"/>
        </w:rPr>
      </w:pPr>
    </w:p>
    <w:p w14:paraId="72590CBC"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0DD0FA5B"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0550739B"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2D4E93F9"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2FB1EEB3"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39845E9F"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6A483158" w14:textId="77777777" w:rsidR="00D46484" w:rsidRDefault="00D46484" w:rsidP="00D46484">
      <w:pPr>
        <w:spacing w:after="240" w:line="360" w:lineRule="auto"/>
        <w:outlineLvl w:val="0"/>
        <w:rPr>
          <w:rFonts w:eastAsia="Times New Roman" w:cstheme="minorHAnsi"/>
          <w:b/>
          <w:bCs/>
          <w:kern w:val="36"/>
          <w:sz w:val="36"/>
          <w:szCs w:val="36"/>
          <w:lang w:eastAsia="en-GB"/>
          <w14:ligatures w14:val="none"/>
        </w:rPr>
      </w:pPr>
    </w:p>
    <w:p w14:paraId="1A6F80B1" w14:textId="798318A0" w:rsidR="00D46484" w:rsidRPr="00D46484" w:rsidRDefault="00D46484" w:rsidP="00D46484">
      <w:pPr>
        <w:spacing w:after="240" w:line="360" w:lineRule="auto"/>
        <w:outlineLvl w:val="0"/>
        <w:rPr>
          <w:rFonts w:eastAsia="Times New Roman" w:cstheme="minorHAnsi"/>
          <w:b/>
          <w:bCs/>
          <w:kern w:val="36"/>
          <w:sz w:val="36"/>
          <w:szCs w:val="36"/>
          <w:lang w:eastAsia="en-GB"/>
          <w14:ligatures w14:val="none"/>
        </w:rPr>
      </w:pPr>
      <w:r w:rsidRPr="00D46484">
        <w:rPr>
          <w:rFonts w:eastAsia="Times New Roman" w:cstheme="minorHAnsi"/>
          <w:b/>
          <w:bCs/>
          <w:kern w:val="36"/>
          <w:sz w:val="36"/>
          <w:szCs w:val="36"/>
          <w:lang w:eastAsia="en-GB"/>
          <w14:ligatures w14:val="none"/>
        </w:rPr>
        <w:t>Bibliography</w:t>
      </w:r>
    </w:p>
    <w:p w14:paraId="42A8B91A"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Carman, Jon-Michael, ‘Abimelech the Manly Man? Judges 9.1-57 and the Performance of Hegemonic Masculinity’, </w:t>
      </w:r>
      <w:r w:rsidRPr="00D46484">
        <w:rPr>
          <w:rFonts w:eastAsia="Times New Roman" w:cstheme="minorHAnsi"/>
          <w:i/>
          <w:iCs/>
          <w:kern w:val="0"/>
          <w:sz w:val="24"/>
          <w:szCs w:val="24"/>
          <w:lang w:eastAsia="en-GB"/>
          <w14:ligatures w14:val="none"/>
        </w:rPr>
        <w:t>Journal for the Study of the Old Testament</w:t>
      </w:r>
      <w:r w:rsidRPr="00D46484">
        <w:rPr>
          <w:rFonts w:eastAsia="Times New Roman" w:cstheme="minorHAnsi"/>
          <w:kern w:val="0"/>
          <w:sz w:val="24"/>
          <w:szCs w:val="24"/>
          <w:lang w:eastAsia="en-GB"/>
          <w14:ligatures w14:val="none"/>
        </w:rPr>
        <w:t>, 43.3 (2019), 301–16 &lt;https://doi.org/10.1177/0309089217720620&gt;</w:t>
      </w:r>
    </w:p>
    <w:p w14:paraId="5DD1FA21"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Conway, Colleen M, </w:t>
      </w:r>
      <w:r w:rsidRPr="00D46484">
        <w:rPr>
          <w:rFonts w:eastAsia="Times New Roman" w:cstheme="minorHAnsi"/>
          <w:i/>
          <w:iCs/>
          <w:kern w:val="0"/>
          <w:sz w:val="24"/>
          <w:szCs w:val="24"/>
          <w:lang w:eastAsia="en-GB"/>
          <w14:ligatures w14:val="none"/>
        </w:rPr>
        <w:t xml:space="preserve">Sex and Slaughter in the Tent of </w:t>
      </w:r>
      <w:proofErr w:type="gramStart"/>
      <w:r w:rsidRPr="00D46484">
        <w:rPr>
          <w:rFonts w:eastAsia="Times New Roman" w:cstheme="minorHAnsi"/>
          <w:i/>
          <w:iCs/>
          <w:kern w:val="0"/>
          <w:sz w:val="24"/>
          <w:szCs w:val="24"/>
          <w:lang w:eastAsia="en-GB"/>
          <w14:ligatures w14:val="none"/>
        </w:rPr>
        <w:t>Jael :</w:t>
      </w:r>
      <w:proofErr w:type="gramEnd"/>
      <w:r w:rsidRPr="00D46484">
        <w:rPr>
          <w:rFonts w:eastAsia="Times New Roman" w:cstheme="minorHAnsi"/>
          <w:i/>
          <w:iCs/>
          <w:kern w:val="0"/>
          <w:sz w:val="24"/>
          <w:szCs w:val="24"/>
          <w:lang w:eastAsia="en-GB"/>
          <w14:ligatures w14:val="none"/>
        </w:rPr>
        <w:t xml:space="preserve"> A Cultural History of a Biblical Story</w:t>
      </w:r>
      <w:r w:rsidRPr="00D46484">
        <w:rPr>
          <w:rFonts w:eastAsia="Times New Roman" w:cstheme="minorHAnsi"/>
          <w:kern w:val="0"/>
          <w:sz w:val="24"/>
          <w:szCs w:val="24"/>
          <w:lang w:eastAsia="en-GB"/>
          <w14:ligatures w14:val="none"/>
        </w:rPr>
        <w:t xml:space="preserve"> (New York, Ny: Oxford University Press, 2017)</w:t>
      </w:r>
    </w:p>
    <w:p w14:paraId="5B759C1A"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Ellicott, Charles J, </w:t>
      </w:r>
      <w:r w:rsidRPr="00D46484">
        <w:rPr>
          <w:rFonts w:eastAsia="Times New Roman" w:cstheme="minorHAnsi"/>
          <w:i/>
          <w:iCs/>
          <w:kern w:val="0"/>
          <w:sz w:val="24"/>
          <w:szCs w:val="24"/>
          <w:lang w:eastAsia="en-GB"/>
          <w14:ligatures w14:val="none"/>
        </w:rPr>
        <w:t>Ellicott’s Commentary on the Whole Bible Volume I</w:t>
      </w:r>
      <w:r w:rsidRPr="00D46484">
        <w:rPr>
          <w:rFonts w:eastAsia="Times New Roman" w:cstheme="minorHAnsi"/>
          <w:kern w:val="0"/>
          <w:sz w:val="24"/>
          <w:szCs w:val="24"/>
          <w:lang w:eastAsia="en-GB"/>
          <w14:ligatures w14:val="none"/>
        </w:rPr>
        <w:t xml:space="preserve"> (Wipf and Stock Publishers, 2015)</w:t>
      </w:r>
    </w:p>
    <w:p w14:paraId="49F282A9"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‘From Gender Reversal to Genderfuck: Reading Jael through a Lesbian Lens’, </w:t>
      </w:r>
      <w:r w:rsidRPr="00D46484">
        <w:rPr>
          <w:rFonts w:eastAsia="Times New Roman" w:cstheme="minorHAnsi"/>
          <w:i/>
          <w:iCs/>
          <w:kern w:val="0"/>
          <w:sz w:val="24"/>
          <w:szCs w:val="24"/>
          <w:lang w:eastAsia="en-GB"/>
          <w14:ligatures w14:val="none"/>
        </w:rPr>
        <w:t>Academia.edu</w:t>
      </w:r>
      <w:r w:rsidRPr="00D46484">
        <w:rPr>
          <w:rFonts w:eastAsia="Times New Roman" w:cstheme="minorHAnsi"/>
          <w:kern w:val="0"/>
          <w:sz w:val="24"/>
          <w:szCs w:val="24"/>
          <w:lang w:eastAsia="en-GB"/>
          <w14:ligatures w14:val="none"/>
        </w:rPr>
        <w:t>, 2010, 1–27 &lt;https://www.academia.edu/191506/_From_Gender_Reversal_to_Genderfuck_Reading_Jael_through_a_Lesbian_Lens_&gt; [accessed 24 October 2023]</w:t>
      </w:r>
    </w:p>
    <w:p w14:paraId="778B78D7"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proofErr w:type="spellStart"/>
      <w:r w:rsidRPr="00D46484">
        <w:rPr>
          <w:rFonts w:eastAsia="Times New Roman" w:cstheme="minorHAnsi"/>
          <w:kern w:val="0"/>
          <w:sz w:val="24"/>
          <w:szCs w:val="24"/>
          <w:lang w:eastAsia="en-GB"/>
          <w14:ligatures w14:val="none"/>
        </w:rPr>
        <w:t>Frymer</w:t>
      </w:r>
      <w:proofErr w:type="spellEnd"/>
      <w:r w:rsidRPr="00D46484">
        <w:rPr>
          <w:rFonts w:eastAsia="Times New Roman" w:cstheme="minorHAnsi"/>
          <w:kern w:val="0"/>
          <w:sz w:val="24"/>
          <w:szCs w:val="24"/>
          <w:lang w:eastAsia="en-GB"/>
          <w14:ligatures w14:val="none"/>
        </w:rPr>
        <w:t xml:space="preserve">-Kensky, </w:t>
      </w:r>
      <w:proofErr w:type="spellStart"/>
      <w:r w:rsidRPr="00D46484">
        <w:rPr>
          <w:rFonts w:eastAsia="Times New Roman" w:cstheme="minorHAnsi"/>
          <w:kern w:val="0"/>
          <w:sz w:val="24"/>
          <w:szCs w:val="24"/>
          <w:lang w:eastAsia="en-GB"/>
          <w14:ligatures w14:val="none"/>
        </w:rPr>
        <w:t>Tivka</w:t>
      </w:r>
      <w:proofErr w:type="spellEnd"/>
      <w:r w:rsidRPr="00D46484">
        <w:rPr>
          <w:rFonts w:eastAsia="Times New Roman" w:cstheme="minorHAnsi"/>
          <w:kern w:val="0"/>
          <w:sz w:val="24"/>
          <w:szCs w:val="24"/>
          <w:lang w:eastAsia="en-GB"/>
          <w14:ligatures w14:val="none"/>
        </w:rPr>
        <w:t xml:space="preserve">, ‘Jael: Bible | Jewish Women’s Archive’, </w:t>
      </w:r>
      <w:r w:rsidRPr="00D46484">
        <w:rPr>
          <w:rFonts w:eastAsia="Times New Roman" w:cstheme="minorHAnsi"/>
          <w:i/>
          <w:iCs/>
          <w:kern w:val="0"/>
          <w:sz w:val="24"/>
          <w:szCs w:val="24"/>
          <w:lang w:eastAsia="en-GB"/>
          <w14:ligatures w14:val="none"/>
        </w:rPr>
        <w:t>Jwa.org</w:t>
      </w:r>
      <w:r w:rsidRPr="00D46484">
        <w:rPr>
          <w:rFonts w:eastAsia="Times New Roman" w:cstheme="minorHAnsi"/>
          <w:kern w:val="0"/>
          <w:sz w:val="24"/>
          <w:szCs w:val="24"/>
          <w:lang w:eastAsia="en-GB"/>
          <w14:ligatures w14:val="none"/>
        </w:rPr>
        <w:t>, 2021 &lt;https://jwa.org/encyclopedia/article/jael-bible&gt;</w:t>
      </w:r>
    </w:p>
    <w:p w14:paraId="3CA7BC14"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Haddox, Susan E, ‘Masculinity Studies of the Hebrew Bible: The First Two Decades’, </w:t>
      </w:r>
      <w:r w:rsidRPr="00D46484">
        <w:rPr>
          <w:rFonts w:eastAsia="Times New Roman" w:cstheme="minorHAnsi"/>
          <w:i/>
          <w:iCs/>
          <w:kern w:val="0"/>
          <w:sz w:val="24"/>
          <w:szCs w:val="24"/>
          <w:lang w:eastAsia="en-GB"/>
          <w14:ligatures w14:val="none"/>
        </w:rPr>
        <w:t>Currents in Biblical Research</w:t>
      </w:r>
      <w:r w:rsidRPr="00D46484">
        <w:rPr>
          <w:rFonts w:eastAsia="Times New Roman" w:cstheme="minorHAnsi"/>
          <w:kern w:val="0"/>
          <w:sz w:val="24"/>
          <w:szCs w:val="24"/>
          <w:lang w:eastAsia="en-GB"/>
          <w14:ligatures w14:val="none"/>
        </w:rPr>
        <w:t>, 14.2 (2016), 176–206</w:t>
      </w:r>
    </w:p>
    <w:p w14:paraId="09E71B5E"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Johnson, Jon, ‘Toxic Masculinity: Definition, Common Issues, and How to Fight It’, </w:t>
      </w:r>
      <w:r w:rsidRPr="00D46484">
        <w:rPr>
          <w:rFonts w:eastAsia="Times New Roman" w:cstheme="minorHAnsi"/>
          <w:i/>
          <w:iCs/>
          <w:kern w:val="0"/>
          <w:sz w:val="24"/>
          <w:szCs w:val="24"/>
          <w:lang w:eastAsia="en-GB"/>
          <w14:ligatures w14:val="none"/>
        </w:rPr>
        <w:t>Www.medicalnewstoday.com</w:t>
      </w:r>
      <w:r w:rsidRPr="00D46484">
        <w:rPr>
          <w:rFonts w:eastAsia="Times New Roman" w:cstheme="minorHAnsi"/>
          <w:kern w:val="0"/>
          <w:sz w:val="24"/>
          <w:szCs w:val="24"/>
          <w:lang w:eastAsia="en-GB"/>
          <w14:ligatures w14:val="none"/>
        </w:rPr>
        <w:t xml:space="preserve"> (Medical News Today, 2020) &lt;https://www.medicalnewstoday.com/articles/toxic-masculinity&gt;</w:t>
      </w:r>
    </w:p>
    <w:p w14:paraId="02119F4C"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Mandolfo, </w:t>
      </w:r>
      <w:proofErr w:type="gramStart"/>
      <w:r w:rsidRPr="00D46484">
        <w:rPr>
          <w:rFonts w:eastAsia="Times New Roman" w:cstheme="minorHAnsi"/>
          <w:kern w:val="0"/>
          <w:sz w:val="24"/>
          <w:szCs w:val="24"/>
          <w:lang w:eastAsia="en-GB"/>
          <w14:ligatures w14:val="none"/>
        </w:rPr>
        <w:t>Carleen ,</w:t>
      </w:r>
      <w:proofErr w:type="gramEnd"/>
      <w:r w:rsidRPr="00D46484">
        <w:rPr>
          <w:rFonts w:eastAsia="Times New Roman" w:cstheme="minorHAnsi"/>
          <w:kern w:val="0"/>
          <w:sz w:val="24"/>
          <w:szCs w:val="24"/>
          <w:lang w:eastAsia="en-GB"/>
          <w14:ligatures w14:val="none"/>
        </w:rPr>
        <w:t xml:space="preserve"> ‘Women, Violence and the Bible: The Story of Jael and Sisera as a Case Study’, </w:t>
      </w:r>
      <w:r w:rsidRPr="00D46484">
        <w:rPr>
          <w:rFonts w:eastAsia="Times New Roman" w:cstheme="minorHAnsi"/>
          <w:i/>
          <w:iCs/>
          <w:kern w:val="0"/>
          <w:sz w:val="24"/>
          <w:szCs w:val="24"/>
          <w:lang w:eastAsia="en-GB"/>
          <w14:ligatures w14:val="none"/>
        </w:rPr>
        <w:t>Biblical Interpretation</w:t>
      </w:r>
      <w:r w:rsidRPr="00D46484">
        <w:rPr>
          <w:rFonts w:eastAsia="Times New Roman" w:cstheme="minorHAnsi"/>
          <w:kern w:val="0"/>
          <w:sz w:val="24"/>
          <w:szCs w:val="24"/>
          <w:lang w:eastAsia="en-GB"/>
          <w14:ligatures w14:val="none"/>
        </w:rPr>
        <w:t>, 27.3 (2019), 340–53</w:t>
      </w:r>
    </w:p>
    <w:p w14:paraId="7918D849"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Morin, Amy, ‘What Is Toxic Masculinity?’, </w:t>
      </w:r>
      <w:proofErr w:type="spellStart"/>
      <w:r w:rsidRPr="00D46484">
        <w:rPr>
          <w:rFonts w:eastAsia="Times New Roman" w:cstheme="minorHAnsi"/>
          <w:i/>
          <w:iCs/>
          <w:kern w:val="0"/>
          <w:sz w:val="24"/>
          <w:szCs w:val="24"/>
          <w:lang w:eastAsia="en-GB"/>
          <w14:ligatures w14:val="none"/>
        </w:rPr>
        <w:t>Verywell</w:t>
      </w:r>
      <w:proofErr w:type="spellEnd"/>
      <w:r w:rsidRPr="00D46484">
        <w:rPr>
          <w:rFonts w:eastAsia="Times New Roman" w:cstheme="minorHAnsi"/>
          <w:i/>
          <w:iCs/>
          <w:kern w:val="0"/>
          <w:sz w:val="24"/>
          <w:szCs w:val="24"/>
          <w:lang w:eastAsia="en-GB"/>
          <w14:ligatures w14:val="none"/>
        </w:rPr>
        <w:t xml:space="preserve"> Mind</w:t>
      </w:r>
      <w:r w:rsidRPr="00D46484">
        <w:rPr>
          <w:rFonts w:eastAsia="Times New Roman" w:cstheme="minorHAnsi"/>
          <w:kern w:val="0"/>
          <w:sz w:val="24"/>
          <w:szCs w:val="24"/>
          <w:lang w:eastAsia="en-GB"/>
          <w14:ligatures w14:val="none"/>
        </w:rPr>
        <w:t>, 2022 &lt;https://www.verywellmind.com/what-is-toxic-masculinity-5075107&gt;</w:t>
      </w:r>
    </w:p>
    <w:p w14:paraId="492E52C5"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lastRenderedPageBreak/>
        <w:t xml:space="preserve">Preston, Ni, ‘10 Signs of Internalized Sexism and Gaslighting’, </w:t>
      </w:r>
      <w:r w:rsidRPr="00D46484">
        <w:rPr>
          <w:rFonts w:eastAsia="Times New Roman" w:cstheme="minorHAnsi"/>
          <w:i/>
          <w:iCs/>
          <w:kern w:val="0"/>
          <w:sz w:val="24"/>
          <w:szCs w:val="24"/>
          <w:lang w:eastAsia="en-GB"/>
          <w14:ligatures w14:val="none"/>
        </w:rPr>
        <w:t>Psychology Today</w:t>
      </w:r>
      <w:r w:rsidRPr="00D46484">
        <w:rPr>
          <w:rFonts w:eastAsia="Times New Roman" w:cstheme="minorHAnsi"/>
          <w:kern w:val="0"/>
          <w:sz w:val="24"/>
          <w:szCs w:val="24"/>
          <w:lang w:eastAsia="en-GB"/>
          <w14:ligatures w14:val="none"/>
        </w:rPr>
        <w:t>, 2020 &lt;https://www.psychologytoday.com/gb/blog/communication-success/202005/10-signs-internalized-sexism-and-gaslighting&gt;</w:t>
      </w:r>
    </w:p>
    <w:p w14:paraId="112A2FDA"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Tamarkin Reis, </w:t>
      </w:r>
      <w:proofErr w:type="gramStart"/>
      <w:r w:rsidRPr="00D46484">
        <w:rPr>
          <w:rFonts w:eastAsia="Times New Roman" w:cstheme="minorHAnsi"/>
          <w:kern w:val="0"/>
          <w:sz w:val="24"/>
          <w:szCs w:val="24"/>
          <w:lang w:eastAsia="en-GB"/>
          <w14:ligatures w14:val="none"/>
        </w:rPr>
        <w:t>Pamela ,</w:t>
      </w:r>
      <w:proofErr w:type="gramEnd"/>
      <w:r w:rsidRPr="00D46484">
        <w:rPr>
          <w:rFonts w:eastAsia="Times New Roman" w:cstheme="minorHAnsi"/>
          <w:kern w:val="0"/>
          <w:sz w:val="24"/>
          <w:szCs w:val="24"/>
          <w:lang w:eastAsia="en-GB"/>
          <w14:ligatures w14:val="none"/>
        </w:rPr>
        <w:t xml:space="preserve"> ‘Uncovering Jael and Sisera: A New Reading’, </w:t>
      </w:r>
      <w:r w:rsidRPr="00D46484">
        <w:rPr>
          <w:rFonts w:eastAsia="Times New Roman" w:cstheme="minorHAnsi"/>
          <w:i/>
          <w:iCs/>
          <w:kern w:val="0"/>
          <w:sz w:val="24"/>
          <w:szCs w:val="24"/>
          <w:lang w:eastAsia="en-GB"/>
          <w14:ligatures w14:val="none"/>
        </w:rPr>
        <w:t xml:space="preserve">Scandinavian Journal of the Old Testament </w:t>
      </w:r>
      <w:r w:rsidRPr="00D46484">
        <w:rPr>
          <w:rFonts w:eastAsia="Times New Roman" w:cstheme="minorHAnsi"/>
          <w:kern w:val="0"/>
          <w:sz w:val="24"/>
          <w:szCs w:val="24"/>
          <w:lang w:eastAsia="en-GB"/>
          <w14:ligatures w14:val="none"/>
        </w:rPr>
        <w:t>, 19.1 (2005), 24–47</w:t>
      </w:r>
    </w:p>
    <w:p w14:paraId="1A7A8155" w14:textId="77777777" w:rsidR="00D46484" w:rsidRPr="00D46484" w:rsidRDefault="00D46484" w:rsidP="00D46484">
      <w:pPr>
        <w:spacing w:after="240" w:line="360" w:lineRule="auto"/>
        <w:ind w:hanging="720"/>
        <w:rPr>
          <w:rFonts w:eastAsia="Times New Roman" w:cstheme="minorHAnsi"/>
          <w:kern w:val="0"/>
          <w:sz w:val="24"/>
          <w:szCs w:val="24"/>
          <w:lang w:eastAsia="en-GB"/>
          <w14:ligatures w14:val="none"/>
        </w:rPr>
      </w:pPr>
      <w:r w:rsidRPr="00D46484">
        <w:rPr>
          <w:rFonts w:eastAsia="Times New Roman" w:cstheme="minorHAnsi"/>
          <w:kern w:val="0"/>
          <w:sz w:val="24"/>
          <w:szCs w:val="24"/>
          <w:lang w:eastAsia="en-GB"/>
          <w14:ligatures w14:val="none"/>
        </w:rPr>
        <w:t xml:space="preserve">Wilson, Stephen </w:t>
      </w:r>
      <w:proofErr w:type="gramStart"/>
      <w:r w:rsidRPr="00D46484">
        <w:rPr>
          <w:rFonts w:eastAsia="Times New Roman" w:cstheme="minorHAnsi"/>
          <w:kern w:val="0"/>
          <w:sz w:val="24"/>
          <w:szCs w:val="24"/>
          <w:lang w:eastAsia="en-GB"/>
          <w14:ligatures w14:val="none"/>
        </w:rPr>
        <w:t>M ,</w:t>
      </w:r>
      <w:proofErr w:type="gramEnd"/>
      <w:r w:rsidRPr="00D46484">
        <w:rPr>
          <w:rFonts w:eastAsia="Times New Roman" w:cstheme="minorHAnsi"/>
          <w:kern w:val="0"/>
          <w:sz w:val="24"/>
          <w:szCs w:val="24"/>
          <w:lang w:eastAsia="en-GB"/>
          <w14:ligatures w14:val="none"/>
        </w:rPr>
        <w:t xml:space="preserve"> ‘The Defining Characteristics of Manhood in the Hebrew Bible’, in </w:t>
      </w:r>
      <w:r w:rsidRPr="00D46484">
        <w:rPr>
          <w:rFonts w:eastAsia="Times New Roman" w:cstheme="minorHAnsi"/>
          <w:i/>
          <w:iCs/>
          <w:kern w:val="0"/>
          <w:sz w:val="24"/>
          <w:szCs w:val="24"/>
          <w:lang w:eastAsia="en-GB"/>
          <w14:ligatures w14:val="none"/>
        </w:rPr>
        <w:t>Making Men: The Male Coming-of-Age Theme in the Hebrew Bible</w:t>
      </w:r>
      <w:r w:rsidRPr="00D46484">
        <w:rPr>
          <w:rFonts w:eastAsia="Times New Roman" w:cstheme="minorHAnsi"/>
          <w:kern w:val="0"/>
          <w:sz w:val="24"/>
          <w:szCs w:val="24"/>
          <w:lang w:eastAsia="en-GB"/>
          <w14:ligatures w14:val="none"/>
        </w:rPr>
        <w:t xml:space="preserve"> (New York: Oxford Academic, 2016), pp. 29–46</w:t>
      </w:r>
    </w:p>
    <w:p w14:paraId="02F881C7" w14:textId="77777777" w:rsidR="00D46484" w:rsidRDefault="00D46484" w:rsidP="00536085">
      <w:pPr>
        <w:tabs>
          <w:tab w:val="left" w:pos="924"/>
        </w:tabs>
      </w:pPr>
    </w:p>
    <w:sectPr w:rsidR="00D464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2173C" w14:textId="77777777" w:rsidR="009772DD" w:rsidRDefault="009772DD" w:rsidP="00D04428">
      <w:pPr>
        <w:spacing w:after="0" w:line="240" w:lineRule="auto"/>
      </w:pPr>
      <w:r>
        <w:separator/>
      </w:r>
    </w:p>
  </w:endnote>
  <w:endnote w:type="continuationSeparator" w:id="0">
    <w:p w14:paraId="488C044E" w14:textId="77777777" w:rsidR="009772DD" w:rsidRDefault="009772DD" w:rsidP="00D044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930B1F" w14:textId="77777777" w:rsidR="009772DD" w:rsidRDefault="009772DD" w:rsidP="00D04428">
      <w:pPr>
        <w:spacing w:after="0" w:line="240" w:lineRule="auto"/>
      </w:pPr>
      <w:r>
        <w:separator/>
      </w:r>
    </w:p>
  </w:footnote>
  <w:footnote w:type="continuationSeparator" w:id="0">
    <w:p w14:paraId="11C99B3D" w14:textId="77777777" w:rsidR="009772DD" w:rsidRDefault="009772DD" w:rsidP="00D04428">
      <w:pPr>
        <w:spacing w:after="0" w:line="240" w:lineRule="auto"/>
      </w:pPr>
      <w:r>
        <w:continuationSeparator/>
      </w:r>
    </w:p>
  </w:footnote>
  <w:footnote w:id="1">
    <w:p w14:paraId="392321FD" w14:textId="6E36EF4B" w:rsidR="00587F93" w:rsidRPr="000A6F5F" w:rsidRDefault="00587F93" w:rsidP="00587F93">
      <w:pPr>
        <w:pStyle w:val="NormalWeb"/>
        <w:spacing w:before="0" w:beforeAutospacing="0" w:after="240" w:afterAutospacing="0"/>
        <w:ind w:left="720" w:hanging="720"/>
        <w:rPr>
          <w:rFonts w:asciiTheme="minorHAnsi" w:hAnsiTheme="minorHAnsi" w:cstheme="minorHAnsi"/>
          <w:sz w:val="18"/>
          <w:szCs w:val="18"/>
        </w:rPr>
      </w:pPr>
      <w:r w:rsidRPr="000A6F5F">
        <w:rPr>
          <w:rStyle w:val="FootnoteReference"/>
          <w:rFonts w:asciiTheme="minorHAnsi" w:hAnsiTheme="minorHAnsi" w:cstheme="minorHAnsi"/>
          <w:sz w:val="18"/>
          <w:szCs w:val="18"/>
        </w:rPr>
        <w:footnoteRef/>
      </w:r>
      <w:r w:rsidRPr="000A6F5F">
        <w:rPr>
          <w:rStyle w:val="normaltextrun"/>
          <w:rFonts w:asciiTheme="minorHAnsi" w:hAnsiTheme="minorHAnsi" w:cstheme="minorHAnsi"/>
          <w:color w:val="000000"/>
          <w:sz w:val="18"/>
          <w:szCs w:val="18"/>
          <w:shd w:val="clear" w:color="auto" w:fill="FFFFFF"/>
        </w:rPr>
        <w:t xml:space="preserve"> </w:t>
      </w:r>
      <w:r w:rsidRPr="000A6F5F">
        <w:rPr>
          <w:rStyle w:val="normaltextrun"/>
          <w:rFonts w:asciiTheme="minorHAnsi" w:hAnsiTheme="minorHAnsi" w:cstheme="minorHAnsi"/>
          <w:color w:val="000000"/>
          <w:sz w:val="20"/>
          <w:szCs w:val="20"/>
          <w:shd w:val="clear" w:color="auto" w:fill="FFFFFF"/>
        </w:rPr>
        <w:t xml:space="preserve">Colleen M Conway, </w:t>
      </w:r>
      <w:r w:rsidRPr="000A6F5F">
        <w:rPr>
          <w:rStyle w:val="normaltextrun"/>
          <w:rFonts w:asciiTheme="minorHAnsi" w:hAnsiTheme="minorHAnsi" w:cstheme="minorHAnsi"/>
          <w:i/>
          <w:iCs/>
          <w:color w:val="000000"/>
          <w:sz w:val="20"/>
          <w:szCs w:val="20"/>
          <w:shd w:val="clear" w:color="auto" w:fill="FFFFFF"/>
        </w:rPr>
        <w:t>Sex and Slaughter in the Tent of Jael: A Cultural History of a Biblical Story</w:t>
      </w:r>
      <w:r w:rsidRPr="000A6F5F">
        <w:rPr>
          <w:rStyle w:val="normaltextrun"/>
          <w:rFonts w:asciiTheme="minorHAnsi" w:hAnsiTheme="minorHAnsi" w:cstheme="minorHAnsi"/>
          <w:color w:val="000000"/>
          <w:sz w:val="20"/>
          <w:szCs w:val="20"/>
          <w:shd w:val="clear" w:color="auto" w:fill="FFFFFF"/>
        </w:rPr>
        <w:t xml:space="preserve"> (New York, Ny:</w:t>
      </w:r>
      <w:r w:rsidR="00AB64F9">
        <w:rPr>
          <w:rStyle w:val="normaltextrun"/>
          <w:rFonts w:asciiTheme="minorHAnsi" w:hAnsiTheme="minorHAnsi" w:cstheme="minorHAnsi"/>
          <w:color w:val="000000"/>
          <w:sz w:val="20"/>
          <w:szCs w:val="20"/>
          <w:shd w:val="clear" w:color="auto" w:fill="FFFFFF"/>
        </w:rPr>
        <w:t xml:space="preserve"> </w:t>
      </w:r>
      <w:r w:rsidRPr="000A6F5F">
        <w:rPr>
          <w:rStyle w:val="normaltextrun"/>
          <w:rFonts w:asciiTheme="minorHAnsi" w:hAnsiTheme="minorHAnsi" w:cstheme="minorHAnsi"/>
          <w:color w:val="000000"/>
          <w:sz w:val="20"/>
          <w:szCs w:val="20"/>
          <w:shd w:val="clear" w:color="auto" w:fill="FFFFFF"/>
        </w:rPr>
        <w:t>Oxford University Press, 2017), p. 14.</w:t>
      </w:r>
    </w:p>
  </w:footnote>
  <w:footnote w:id="2">
    <w:p w14:paraId="35FB5DA8" w14:textId="6460B9BF" w:rsidR="00DF20A7" w:rsidRPr="00DF20A7" w:rsidRDefault="009C5E0C">
      <w:pPr>
        <w:pStyle w:val="FootnoteText"/>
        <w:rPr>
          <w:color w:val="0563C1" w:themeColor="hyperlink"/>
          <w:u w:val="single"/>
        </w:rPr>
      </w:pPr>
      <w:r>
        <w:rPr>
          <w:rStyle w:val="FootnoteReference"/>
        </w:rPr>
        <w:footnoteRef/>
      </w:r>
      <w:r>
        <w:t xml:space="preserve"> </w:t>
      </w:r>
      <w:r w:rsidR="00156144" w:rsidRPr="00DF20A7">
        <w:t xml:space="preserve">Ellicott, C J, </w:t>
      </w:r>
      <w:r w:rsidR="00156144" w:rsidRPr="00DF20A7">
        <w:rPr>
          <w:i/>
          <w:iCs/>
        </w:rPr>
        <w:t>Ellicott’s Commentary on the Whole Bible: A Verse-by-Verse Explanation</w:t>
      </w:r>
      <w:r w:rsidR="00156144" w:rsidRPr="00DF20A7">
        <w:t xml:space="preserve"> (Grand Rapids: Zondervan, Printing, 1981), electronic version accessed: </w:t>
      </w:r>
      <w:hyperlink r:id="rId1">
        <w:r w:rsidR="00DF20A7" w:rsidRPr="00DF20A7">
          <w:rPr>
            <w:rStyle w:val="Hyperlink"/>
          </w:rPr>
          <w:t>https://biblehub.com/</w:t>
        </w:r>
      </w:hyperlink>
      <w:r w:rsidR="00DF20A7">
        <w:rPr>
          <w:rStyle w:val="Hyperlink"/>
        </w:rPr>
        <w:t>.</w:t>
      </w:r>
    </w:p>
  </w:footnote>
  <w:footnote w:id="3">
    <w:p w14:paraId="5F3E947B" w14:textId="77777777" w:rsidR="00D547FE" w:rsidRPr="000A6F5F" w:rsidRDefault="00D547FE" w:rsidP="00D547FE">
      <w:r w:rsidRPr="000A6F5F">
        <w:rPr>
          <w:rStyle w:val="FootnoteReference"/>
        </w:rPr>
        <w:footnoteRef/>
      </w:r>
      <w:r w:rsidRPr="000A6F5F">
        <w:rPr>
          <w:rStyle w:val="normaltextrun"/>
          <w:color w:val="000000"/>
          <w:sz w:val="20"/>
          <w:szCs w:val="20"/>
          <w:shd w:val="clear" w:color="auto" w:fill="FFFFFF"/>
        </w:rPr>
        <w:t xml:space="preserve"> Mandolfo, ‘Women, Violence and the Bible: The Story of Jael and Sisera as a Case Study’, </w:t>
      </w:r>
      <w:r w:rsidRPr="000A6F5F">
        <w:rPr>
          <w:rStyle w:val="normaltextrun"/>
          <w:i/>
          <w:iCs/>
          <w:color w:val="000000"/>
          <w:sz w:val="20"/>
          <w:szCs w:val="20"/>
          <w:shd w:val="clear" w:color="auto" w:fill="FFFFFF"/>
        </w:rPr>
        <w:t>Biblical Interpretation</w:t>
      </w:r>
      <w:r w:rsidRPr="000A6F5F">
        <w:rPr>
          <w:rStyle w:val="normaltextrun"/>
          <w:color w:val="000000"/>
          <w:sz w:val="20"/>
          <w:szCs w:val="20"/>
          <w:shd w:val="clear" w:color="auto" w:fill="FFFFFF"/>
        </w:rPr>
        <w:t>, 27.3 (2019),</w:t>
      </w:r>
      <w:r w:rsidRPr="000A6F5F">
        <w:rPr>
          <w:sz w:val="20"/>
          <w:szCs w:val="20"/>
        </w:rPr>
        <w:t xml:space="preserve"> p. 346.</w:t>
      </w:r>
    </w:p>
  </w:footnote>
  <w:footnote w:id="4">
    <w:p w14:paraId="00F218A7" w14:textId="77777777" w:rsidR="00D709A4" w:rsidRPr="000A6F5F" w:rsidRDefault="00D709A4" w:rsidP="00D709A4">
      <w:pPr>
        <w:pStyle w:val="FootnoteText"/>
      </w:pPr>
      <w:r w:rsidRPr="000A6F5F">
        <w:rPr>
          <w:rStyle w:val="FootnoteReference"/>
        </w:rPr>
        <w:footnoteRef/>
      </w:r>
      <w:r w:rsidRPr="000A6F5F">
        <w:t xml:space="preserve"> Ibid., p. 349. </w:t>
      </w:r>
    </w:p>
  </w:footnote>
  <w:footnote w:id="5">
    <w:p w14:paraId="24A2B633" w14:textId="77777777" w:rsidR="00D547FE" w:rsidRPr="000A6F5F" w:rsidRDefault="00D547FE" w:rsidP="00D547FE">
      <w:pPr>
        <w:rPr>
          <w:sz w:val="18"/>
          <w:szCs w:val="18"/>
        </w:rPr>
      </w:pPr>
      <w:r w:rsidRPr="000A6F5F">
        <w:rPr>
          <w:rStyle w:val="FootnoteReference"/>
        </w:rPr>
        <w:footnoteRef/>
      </w:r>
      <w:r w:rsidRPr="000A6F5F">
        <w:t xml:space="preserve"> </w:t>
      </w:r>
      <w:r w:rsidRPr="000A6F5F">
        <w:rPr>
          <w:sz w:val="20"/>
          <w:szCs w:val="20"/>
        </w:rPr>
        <w:t>Deryn Guest, ‘From Gender Reversal to Genderfuck: Reading Jael through a Lesbian Lens’ (2010), p. 4.</w:t>
      </w:r>
    </w:p>
  </w:footnote>
  <w:footnote w:id="6">
    <w:p w14:paraId="113498A0" w14:textId="77777777" w:rsidR="00D547FE" w:rsidRPr="000A6F5F" w:rsidRDefault="00D547FE" w:rsidP="00D547FE">
      <w:pPr>
        <w:pStyle w:val="FootnoteText"/>
      </w:pPr>
      <w:r w:rsidRPr="000A6F5F">
        <w:rPr>
          <w:rStyle w:val="FootnoteReference"/>
        </w:rPr>
        <w:footnoteRef/>
      </w:r>
      <w:r w:rsidRPr="000A6F5F">
        <w:t xml:space="preserve"> Ibid., p. 4.</w:t>
      </w:r>
    </w:p>
  </w:footnote>
  <w:footnote w:id="7">
    <w:p w14:paraId="29CFDA4A" w14:textId="77777777" w:rsidR="00D547FE" w:rsidRPr="000A6F5F" w:rsidRDefault="00D547FE" w:rsidP="00D547FE">
      <w:pPr>
        <w:pStyle w:val="FootnoteText"/>
      </w:pPr>
      <w:r w:rsidRPr="000A6F5F">
        <w:rPr>
          <w:rStyle w:val="FootnoteReference"/>
        </w:rPr>
        <w:footnoteRef/>
      </w:r>
      <w:r w:rsidRPr="000A6F5F">
        <w:t xml:space="preserve"> Mandolfo, ‘Women, violence, and the Bible: The Story of Jael and Sisera as a Case Study,’ p. 349. </w:t>
      </w:r>
    </w:p>
  </w:footnote>
  <w:footnote w:id="8">
    <w:p w14:paraId="6AF00F4C" w14:textId="77777777" w:rsidR="00D547FE" w:rsidRPr="000A6F5F" w:rsidRDefault="00D547FE" w:rsidP="00D547FE">
      <w:pPr>
        <w:pStyle w:val="FootnoteText"/>
      </w:pPr>
      <w:r w:rsidRPr="000A6F5F">
        <w:rPr>
          <w:rStyle w:val="FootnoteReference"/>
        </w:rPr>
        <w:footnoteRef/>
      </w:r>
      <w:r w:rsidRPr="000A6F5F">
        <w:t xml:space="preserve"> Conway, </w:t>
      </w:r>
      <w:r w:rsidRPr="000A6F5F">
        <w:rPr>
          <w:i/>
          <w:iCs/>
        </w:rPr>
        <w:t>Sex and Slaughter in the Tent of Jael</w:t>
      </w:r>
      <w:r w:rsidRPr="000A6F5F">
        <w:t>, p. 15.</w:t>
      </w:r>
    </w:p>
  </w:footnote>
  <w:footnote w:id="9">
    <w:p w14:paraId="3CE2F152" w14:textId="44836C0A" w:rsidR="00B941A8" w:rsidRDefault="00B941A8">
      <w:pPr>
        <w:pStyle w:val="FootnoteText"/>
      </w:pPr>
      <w:r>
        <w:rPr>
          <w:rStyle w:val="FootnoteReference"/>
        </w:rPr>
        <w:footnoteRef/>
      </w:r>
      <w:r>
        <w:t xml:space="preserve"> </w:t>
      </w:r>
      <w:r w:rsidRPr="000A6F5F">
        <w:t>Mandolfo, ‘Women, violence, and the Bible: The Story of Jael and Sisera as a Case Study,’ p. 349.</w:t>
      </w:r>
    </w:p>
  </w:footnote>
  <w:footnote w:id="10">
    <w:p w14:paraId="3E620495" w14:textId="1F80181E" w:rsidR="00224984" w:rsidRDefault="00224984">
      <w:pPr>
        <w:pStyle w:val="FootnoteText"/>
      </w:pPr>
      <w:r>
        <w:rPr>
          <w:rStyle w:val="FootnoteReference"/>
        </w:rPr>
        <w:footnoteRef/>
      </w:r>
      <w:r>
        <w:t xml:space="preserve"> </w:t>
      </w:r>
      <w:r w:rsidRPr="000A6F5F">
        <w:t>Guest, ‘From Gender Reversal to Genderfuck</w:t>
      </w:r>
      <w:r>
        <w:t xml:space="preserve">’ </w:t>
      </w:r>
      <w:r w:rsidRPr="000A6F5F">
        <w:t>(2010), p. 4.</w:t>
      </w:r>
    </w:p>
  </w:footnote>
  <w:footnote w:id="11">
    <w:p w14:paraId="5D075B83" w14:textId="77777777" w:rsidR="00EF67F6" w:rsidRPr="000A6F5F" w:rsidRDefault="00EF67F6" w:rsidP="00EF67F6">
      <w:pPr>
        <w:pStyle w:val="FootnoteText"/>
      </w:pPr>
      <w:r w:rsidRPr="000A6F5F">
        <w:rPr>
          <w:rStyle w:val="FootnoteReference"/>
        </w:rPr>
        <w:footnoteRef/>
      </w:r>
      <w:r w:rsidRPr="000A6F5F">
        <w:t xml:space="preserve"> Conway, </w:t>
      </w:r>
      <w:r w:rsidRPr="000A6F5F">
        <w:rPr>
          <w:i/>
          <w:iCs/>
        </w:rPr>
        <w:t xml:space="preserve">Sex and Slaughter in the Tent of Jael, </w:t>
      </w:r>
      <w:r w:rsidRPr="000A6F5F">
        <w:t>p. 16.</w:t>
      </w:r>
    </w:p>
  </w:footnote>
  <w:footnote w:id="12">
    <w:p w14:paraId="3D44A221" w14:textId="77777777" w:rsidR="00B832DC" w:rsidRPr="000A6F5F" w:rsidRDefault="00B832DC" w:rsidP="00B832DC">
      <w:pPr>
        <w:pStyle w:val="FootnoteText"/>
      </w:pPr>
      <w:r w:rsidRPr="000A6F5F">
        <w:rPr>
          <w:rStyle w:val="FootnoteReference"/>
          <w:rFonts w:cstheme="minorHAnsi"/>
          <w:sz w:val="18"/>
          <w:szCs w:val="18"/>
        </w:rPr>
        <w:footnoteRef/>
      </w:r>
      <w:r w:rsidRPr="000A6F5F">
        <w:t xml:space="preserve"> Ni Preston, ’10 Signs of Internalised Sexism and Gaslighting,’ </w:t>
      </w:r>
      <w:r w:rsidRPr="000A6F5F">
        <w:rPr>
          <w:i/>
          <w:iCs/>
        </w:rPr>
        <w:t xml:space="preserve">Psychology Today, </w:t>
      </w:r>
      <w:r w:rsidRPr="000A6F5F">
        <w:t xml:space="preserve">2020 </w:t>
      </w:r>
      <w:hyperlink r:id="rId2" w:history="1">
        <w:r w:rsidRPr="000A6F5F">
          <w:rPr>
            <w:rStyle w:val="Hyperlink"/>
          </w:rPr>
          <w:t>https://www.psychologytoday.com/gb/blog/communication-success/202005/10-signs-internalised-sexism-and-gaslighting</w:t>
        </w:r>
      </w:hyperlink>
      <w:r w:rsidRPr="000A6F5F">
        <w:t xml:space="preserve">. </w:t>
      </w:r>
    </w:p>
  </w:footnote>
  <w:footnote w:id="13">
    <w:p w14:paraId="386251C7" w14:textId="77777777" w:rsidR="00B832DC" w:rsidRPr="000A6F5F" w:rsidRDefault="00B832DC" w:rsidP="00B832DC">
      <w:pPr>
        <w:pStyle w:val="FootnoteText"/>
      </w:pPr>
      <w:r w:rsidRPr="000A6F5F">
        <w:rPr>
          <w:rStyle w:val="FootnoteReference"/>
        </w:rPr>
        <w:footnoteRef/>
      </w:r>
      <w:r w:rsidRPr="000A6F5F">
        <w:t xml:space="preserve"> Ibid.</w:t>
      </w:r>
    </w:p>
  </w:footnote>
  <w:footnote w:id="14">
    <w:p w14:paraId="6AA27226" w14:textId="77DE6188" w:rsidR="00EF67F6" w:rsidRPr="0006071A" w:rsidRDefault="00EF67F6" w:rsidP="0006071A">
      <w:pPr>
        <w:rPr>
          <w:sz w:val="20"/>
          <w:szCs w:val="20"/>
        </w:rPr>
      </w:pPr>
      <w:r w:rsidRPr="000A6F5F">
        <w:rPr>
          <w:rStyle w:val="FootnoteReference"/>
        </w:rPr>
        <w:footnoteRef/>
      </w:r>
      <w:r w:rsidRPr="000A6F5F">
        <w:t xml:space="preserve"> </w:t>
      </w:r>
      <w:r w:rsidRPr="0006071A">
        <w:rPr>
          <w:rStyle w:val="normaltextrun"/>
          <w:color w:val="000000"/>
          <w:sz w:val="20"/>
          <w:szCs w:val="20"/>
          <w:shd w:val="clear" w:color="auto" w:fill="FFFFFF"/>
        </w:rPr>
        <w:t>Mandolfo, ‘Women, Violence and the Bible: The Story of Jael and Sisera as a Case Study’, p. 343.</w:t>
      </w:r>
    </w:p>
  </w:footnote>
  <w:footnote w:id="15">
    <w:p w14:paraId="7502109D" w14:textId="77777777" w:rsidR="00EF67F6" w:rsidRPr="000A6F5F" w:rsidRDefault="00EF67F6" w:rsidP="00EF67F6">
      <w:pPr>
        <w:pStyle w:val="FootnoteText"/>
      </w:pPr>
      <w:r w:rsidRPr="000A6F5F">
        <w:rPr>
          <w:rStyle w:val="FootnoteReference"/>
        </w:rPr>
        <w:footnoteRef/>
      </w:r>
      <w:r w:rsidRPr="000A6F5F">
        <w:t xml:space="preserve"> </w:t>
      </w:r>
      <w:r w:rsidRPr="000A6F5F">
        <w:rPr>
          <w:sz w:val="22"/>
          <w:szCs w:val="22"/>
        </w:rPr>
        <w:t>Ibid., p. 343.</w:t>
      </w:r>
    </w:p>
  </w:footnote>
  <w:footnote w:id="16">
    <w:p w14:paraId="2B36E82B" w14:textId="77777777" w:rsidR="00025339" w:rsidRPr="00272913" w:rsidRDefault="00025339" w:rsidP="00025339">
      <w:pPr>
        <w:spacing w:line="276" w:lineRule="auto"/>
        <w:rPr>
          <w:rFonts w:cstheme="minorHAnsi"/>
          <w:sz w:val="20"/>
          <w:szCs w:val="20"/>
        </w:rPr>
      </w:pPr>
      <w:r w:rsidRPr="00272913">
        <w:rPr>
          <w:rStyle w:val="FootnoteReference"/>
        </w:rPr>
        <w:footnoteRef/>
      </w:r>
      <w:r w:rsidRPr="00272913">
        <w:t xml:space="preserve"> </w:t>
      </w:r>
      <w:r w:rsidRPr="00272913">
        <w:rPr>
          <w:rFonts w:cstheme="minorHAnsi"/>
          <w:sz w:val="20"/>
          <w:szCs w:val="20"/>
        </w:rPr>
        <w:t xml:space="preserve">Jon Johnson, ‘Toxic Masculinity: Definition, Common Issues, and How to Fight It’, </w:t>
      </w:r>
      <w:r w:rsidRPr="00272913">
        <w:rPr>
          <w:rFonts w:cstheme="minorHAnsi"/>
          <w:i/>
          <w:iCs/>
          <w:sz w:val="20"/>
          <w:szCs w:val="20"/>
        </w:rPr>
        <w:t>Www.medicalnewstoday.com</w:t>
      </w:r>
      <w:r w:rsidRPr="00272913">
        <w:rPr>
          <w:rFonts w:cstheme="minorHAnsi"/>
          <w:sz w:val="20"/>
          <w:szCs w:val="20"/>
        </w:rPr>
        <w:t xml:space="preserve"> (Medical News Today, 2020) &lt;</w:t>
      </w:r>
      <w:hyperlink r:id="rId3" w:history="1">
        <w:r w:rsidRPr="00272913">
          <w:rPr>
            <w:rStyle w:val="Hyperlink"/>
            <w:rFonts w:cstheme="minorHAnsi"/>
            <w:sz w:val="20"/>
            <w:szCs w:val="20"/>
          </w:rPr>
          <w:t>https://www.medicalnewstoday.com/articles/toxic-masculinity</w:t>
        </w:r>
      </w:hyperlink>
      <w:r w:rsidRPr="00272913">
        <w:rPr>
          <w:rFonts w:cstheme="minorHAnsi"/>
          <w:sz w:val="20"/>
          <w:szCs w:val="20"/>
        </w:rPr>
        <w:t>&gt;.</w:t>
      </w:r>
    </w:p>
  </w:footnote>
  <w:footnote w:id="17">
    <w:p w14:paraId="5A626D2C" w14:textId="77777777" w:rsidR="00025339" w:rsidRPr="00272913" w:rsidRDefault="00025339" w:rsidP="00025339">
      <w:pPr>
        <w:spacing w:line="276" w:lineRule="auto"/>
        <w:rPr>
          <w:rFonts w:cstheme="minorHAnsi"/>
          <w:sz w:val="20"/>
          <w:szCs w:val="20"/>
        </w:rPr>
      </w:pPr>
      <w:r w:rsidRPr="00272913">
        <w:rPr>
          <w:rStyle w:val="FootnoteReference"/>
        </w:rPr>
        <w:footnoteRef/>
      </w:r>
      <w:r w:rsidRPr="00272913">
        <w:t xml:space="preserve"> </w:t>
      </w:r>
      <w:r w:rsidRPr="00272913">
        <w:rPr>
          <w:rFonts w:cstheme="minorHAnsi"/>
          <w:sz w:val="20"/>
          <w:szCs w:val="20"/>
        </w:rPr>
        <w:t xml:space="preserve">Amy Morin, ‘What Is Toxic Masculinity?’, </w:t>
      </w:r>
      <w:proofErr w:type="spellStart"/>
      <w:r w:rsidRPr="00272913">
        <w:rPr>
          <w:rFonts w:cstheme="minorHAnsi"/>
          <w:i/>
          <w:iCs/>
          <w:sz w:val="20"/>
          <w:szCs w:val="20"/>
        </w:rPr>
        <w:t>Verywell</w:t>
      </w:r>
      <w:proofErr w:type="spellEnd"/>
      <w:r w:rsidRPr="00272913">
        <w:rPr>
          <w:rFonts w:cstheme="minorHAnsi"/>
          <w:i/>
          <w:iCs/>
          <w:sz w:val="20"/>
          <w:szCs w:val="20"/>
        </w:rPr>
        <w:t xml:space="preserve"> Mind</w:t>
      </w:r>
      <w:r w:rsidRPr="00272913">
        <w:rPr>
          <w:rFonts w:cstheme="minorHAnsi"/>
          <w:sz w:val="20"/>
          <w:szCs w:val="20"/>
        </w:rPr>
        <w:t>, 2022 &lt;</w:t>
      </w:r>
      <w:hyperlink r:id="rId4" w:history="1">
        <w:r w:rsidRPr="00272913">
          <w:rPr>
            <w:rStyle w:val="Hyperlink"/>
            <w:rFonts w:cstheme="minorHAnsi"/>
            <w:sz w:val="20"/>
            <w:szCs w:val="20"/>
          </w:rPr>
          <w:t>https://www.verywellmind.com/what-is-toxic-masculinity-5075107</w:t>
        </w:r>
      </w:hyperlink>
      <w:r w:rsidRPr="00272913">
        <w:rPr>
          <w:rFonts w:cstheme="minorHAnsi"/>
          <w:sz w:val="20"/>
          <w:szCs w:val="20"/>
        </w:rPr>
        <w:t>&gt;.</w:t>
      </w:r>
    </w:p>
  </w:footnote>
  <w:footnote w:id="18">
    <w:p w14:paraId="4A3301C5" w14:textId="7144C014" w:rsidR="00025339" w:rsidRPr="0006071A" w:rsidRDefault="00025339" w:rsidP="0006071A">
      <w:pPr>
        <w:spacing w:line="276" w:lineRule="auto"/>
        <w:rPr>
          <w:rFonts w:ascii="Times New Roman" w:hAnsi="Times New Roman" w:cs="Times New Roman"/>
          <w:b/>
          <w:bCs/>
          <w:sz w:val="24"/>
          <w:szCs w:val="24"/>
        </w:rPr>
      </w:pPr>
      <w:r w:rsidRPr="00272913">
        <w:rPr>
          <w:rStyle w:val="FootnoteReference"/>
        </w:rPr>
        <w:footnoteRef/>
      </w:r>
      <w:r w:rsidRPr="00272913">
        <w:t xml:space="preserve"> </w:t>
      </w:r>
      <w:r w:rsidR="00CE6502" w:rsidRPr="00272913">
        <w:rPr>
          <w:rFonts w:cstheme="minorHAnsi"/>
          <w:sz w:val="20"/>
          <w:szCs w:val="20"/>
        </w:rPr>
        <w:t xml:space="preserve">Stephen M Wilson, ‘The Defining Characteristics of Manhood in the Hebrew Bible’, in </w:t>
      </w:r>
      <w:r w:rsidR="00CE6502" w:rsidRPr="00272913">
        <w:rPr>
          <w:rFonts w:cstheme="minorHAnsi"/>
          <w:i/>
          <w:iCs/>
          <w:sz w:val="20"/>
          <w:szCs w:val="20"/>
        </w:rPr>
        <w:t>Making Men: The Male Coming-of-Age Theme in the Hebrew Bible</w:t>
      </w:r>
      <w:r w:rsidR="00CE6502" w:rsidRPr="00272913">
        <w:rPr>
          <w:rFonts w:cstheme="minorHAnsi"/>
          <w:sz w:val="20"/>
          <w:szCs w:val="20"/>
        </w:rPr>
        <w:t xml:space="preserve"> (New York: Oxford Academic, 2016),</w:t>
      </w:r>
      <w:r w:rsidR="00CE6502">
        <w:rPr>
          <w:rFonts w:cstheme="minorHAnsi"/>
          <w:sz w:val="20"/>
          <w:szCs w:val="20"/>
        </w:rPr>
        <w:t xml:space="preserve"> p. 44.</w:t>
      </w:r>
    </w:p>
  </w:footnote>
  <w:footnote w:id="19">
    <w:p w14:paraId="21D7C58D" w14:textId="77777777" w:rsidR="00025339" w:rsidRPr="00272913" w:rsidRDefault="00025339" w:rsidP="00025339">
      <w:pPr>
        <w:pStyle w:val="FootnoteText"/>
      </w:pPr>
      <w:r w:rsidRPr="00272913">
        <w:rPr>
          <w:rStyle w:val="FootnoteReference"/>
        </w:rPr>
        <w:footnoteRef/>
      </w:r>
      <w:r w:rsidRPr="00272913">
        <w:t xml:space="preserve"> Johnson, ‘Toxic Masculinity: Definition, Common Issues, and How to Fight It,’ (Medical News Today, 2020). </w:t>
      </w:r>
    </w:p>
  </w:footnote>
  <w:footnote w:id="20">
    <w:p w14:paraId="6DC263AC" w14:textId="77777777" w:rsidR="00025339" w:rsidRPr="00272913" w:rsidRDefault="00025339" w:rsidP="00025339">
      <w:pPr>
        <w:spacing w:line="276" w:lineRule="auto"/>
        <w:rPr>
          <w:rFonts w:cstheme="minorHAnsi"/>
        </w:rPr>
      </w:pPr>
      <w:r w:rsidRPr="00272913">
        <w:rPr>
          <w:rStyle w:val="FootnoteReference"/>
        </w:rPr>
        <w:footnoteRef/>
      </w:r>
      <w:r w:rsidRPr="00272913">
        <w:t xml:space="preserve"> </w:t>
      </w:r>
      <w:r w:rsidRPr="00272913">
        <w:rPr>
          <w:rFonts w:cstheme="minorHAnsi"/>
          <w:sz w:val="20"/>
          <w:szCs w:val="20"/>
        </w:rPr>
        <w:t xml:space="preserve">Jon-Michael Carman, ‘Abimelech the Manly Man? Judges 9.1-57 and the Performance of Hegemonic Masculinity’, </w:t>
      </w:r>
      <w:r w:rsidRPr="00272913">
        <w:rPr>
          <w:rFonts w:cstheme="minorHAnsi"/>
          <w:i/>
          <w:iCs/>
          <w:sz w:val="20"/>
          <w:szCs w:val="20"/>
        </w:rPr>
        <w:t>Journal for the Study of the Old Testament</w:t>
      </w:r>
      <w:r w:rsidRPr="00272913">
        <w:rPr>
          <w:rFonts w:cstheme="minorHAnsi"/>
          <w:sz w:val="20"/>
          <w:szCs w:val="20"/>
        </w:rPr>
        <w:t>, 43.3 (2019), p. 301.</w:t>
      </w:r>
    </w:p>
  </w:footnote>
  <w:footnote w:id="21">
    <w:p w14:paraId="46AB6272" w14:textId="65F85016" w:rsidR="00025339" w:rsidRPr="00272913" w:rsidRDefault="00025339" w:rsidP="00025339">
      <w:pPr>
        <w:rPr>
          <w:rFonts w:ascii="Bahnschrift" w:hAnsi="Bahnschrift"/>
          <w:sz w:val="20"/>
          <w:szCs w:val="20"/>
        </w:rPr>
      </w:pPr>
      <w:r w:rsidRPr="00272913">
        <w:rPr>
          <w:rStyle w:val="FootnoteReference"/>
        </w:rPr>
        <w:footnoteRef/>
      </w:r>
      <w:r w:rsidRPr="00272913">
        <w:rPr>
          <w:rFonts w:cstheme="minorHAnsi"/>
          <w:sz w:val="20"/>
          <w:szCs w:val="20"/>
        </w:rPr>
        <w:t xml:space="preserve"> Wilson, ‘The Defining Characteristics of Manhood in the Hebrew Bible’, </w:t>
      </w:r>
      <w:r w:rsidRPr="00272913">
        <w:rPr>
          <w:rFonts w:cstheme="minorHAnsi"/>
        </w:rPr>
        <w:t>p. 40.</w:t>
      </w:r>
    </w:p>
  </w:footnote>
  <w:footnote w:id="22">
    <w:p w14:paraId="06240DC4" w14:textId="339AA9B9" w:rsidR="00025339" w:rsidRPr="00272913" w:rsidRDefault="00025339" w:rsidP="00025339">
      <w:pPr>
        <w:pStyle w:val="FootnoteText"/>
      </w:pPr>
      <w:r w:rsidRPr="00272913">
        <w:rPr>
          <w:rStyle w:val="FootnoteReference"/>
        </w:rPr>
        <w:footnoteRef/>
      </w:r>
      <w:r w:rsidRPr="00272913">
        <w:t xml:space="preserve"> </w:t>
      </w:r>
      <w:r w:rsidR="00CE6502">
        <w:t>Carman, ‘Abimelech the Manly Man?’</w:t>
      </w:r>
      <w:r w:rsidRPr="00272913">
        <w:t xml:space="preserve">, p. 308. </w:t>
      </w:r>
    </w:p>
  </w:footnote>
  <w:footnote w:id="23">
    <w:p w14:paraId="5BDFF9EC" w14:textId="3E8C9738" w:rsidR="00025339" w:rsidRPr="00272913" w:rsidRDefault="00025339" w:rsidP="00025339">
      <w:pPr>
        <w:rPr>
          <w:rFonts w:ascii="Bahnschrift" w:hAnsi="Bahnschrift"/>
          <w:sz w:val="20"/>
          <w:szCs w:val="20"/>
        </w:rPr>
      </w:pPr>
      <w:r w:rsidRPr="00272913">
        <w:rPr>
          <w:rStyle w:val="FootnoteReference"/>
        </w:rPr>
        <w:footnoteRef/>
      </w:r>
      <w:r w:rsidRPr="00272913">
        <w:t xml:space="preserve"> </w:t>
      </w:r>
      <w:r w:rsidR="00CE6502">
        <w:rPr>
          <w:rFonts w:cstheme="minorHAnsi"/>
          <w:sz w:val="20"/>
          <w:szCs w:val="20"/>
        </w:rPr>
        <w:t>Wilson, ‘The Defining Characteristics of Manhood in the Hebrew Bib</w:t>
      </w:r>
      <w:r w:rsidRPr="00272913">
        <w:rPr>
          <w:rFonts w:cstheme="minorHAnsi"/>
          <w:sz w:val="20"/>
          <w:szCs w:val="20"/>
        </w:rPr>
        <w:t>, p. 44.</w:t>
      </w:r>
      <w:r w:rsidRPr="00272913">
        <w:rPr>
          <w:rFonts w:ascii="Bahnschrift" w:hAnsi="Bahnschrift"/>
          <w:sz w:val="20"/>
          <w:szCs w:val="20"/>
        </w:rPr>
        <w:t xml:space="preserve"> </w:t>
      </w:r>
    </w:p>
  </w:footnote>
  <w:footnote w:id="24">
    <w:p w14:paraId="353E612B" w14:textId="599D00E9" w:rsidR="00025339" w:rsidRPr="00272913" w:rsidRDefault="00025339" w:rsidP="00025339">
      <w:pPr>
        <w:pStyle w:val="FootnoteText"/>
      </w:pPr>
      <w:r w:rsidRPr="00272913">
        <w:rPr>
          <w:rStyle w:val="FootnoteReference"/>
        </w:rPr>
        <w:footnoteRef/>
      </w:r>
      <w:r w:rsidRPr="00272913">
        <w:t xml:space="preserve"> Carman, ‘Abimelech the Manly Man?’, p. 309.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M7e0MDa0MACSBko6SsGpxcWZ+XkgBUa1AOyBTJAsAAAA"/>
  </w:docVars>
  <w:rsids>
    <w:rsidRoot w:val="007F3CEB"/>
    <w:rsid w:val="00006BE9"/>
    <w:rsid w:val="000110B9"/>
    <w:rsid w:val="00012FFF"/>
    <w:rsid w:val="00017766"/>
    <w:rsid w:val="00025339"/>
    <w:rsid w:val="00045CFE"/>
    <w:rsid w:val="0006071A"/>
    <w:rsid w:val="00082AE4"/>
    <w:rsid w:val="000A6F5F"/>
    <w:rsid w:val="000C11F3"/>
    <w:rsid w:val="000C4413"/>
    <w:rsid w:val="000D57E8"/>
    <w:rsid w:val="000E516F"/>
    <w:rsid w:val="000F27CE"/>
    <w:rsid w:val="000F6D30"/>
    <w:rsid w:val="00102586"/>
    <w:rsid w:val="00113E68"/>
    <w:rsid w:val="00120BDE"/>
    <w:rsid w:val="001310D2"/>
    <w:rsid w:val="00132786"/>
    <w:rsid w:val="00133A0D"/>
    <w:rsid w:val="00136623"/>
    <w:rsid w:val="00156144"/>
    <w:rsid w:val="0016285D"/>
    <w:rsid w:val="00162EA0"/>
    <w:rsid w:val="00163CF2"/>
    <w:rsid w:val="00165BD3"/>
    <w:rsid w:val="001732DA"/>
    <w:rsid w:val="0018302E"/>
    <w:rsid w:val="00186FDF"/>
    <w:rsid w:val="001908ED"/>
    <w:rsid w:val="001D04BF"/>
    <w:rsid w:val="001D08A8"/>
    <w:rsid w:val="001D76C7"/>
    <w:rsid w:val="001F09D4"/>
    <w:rsid w:val="001F4BF1"/>
    <w:rsid w:val="001F6B2E"/>
    <w:rsid w:val="001F6DD0"/>
    <w:rsid w:val="00210B18"/>
    <w:rsid w:val="00224984"/>
    <w:rsid w:val="00234490"/>
    <w:rsid w:val="002375D2"/>
    <w:rsid w:val="002577B7"/>
    <w:rsid w:val="00267503"/>
    <w:rsid w:val="00272CE0"/>
    <w:rsid w:val="00294A3F"/>
    <w:rsid w:val="00296E1B"/>
    <w:rsid w:val="00297A80"/>
    <w:rsid w:val="002B260C"/>
    <w:rsid w:val="002B3E18"/>
    <w:rsid w:val="002C6A0E"/>
    <w:rsid w:val="002D216D"/>
    <w:rsid w:val="002F6755"/>
    <w:rsid w:val="0030248D"/>
    <w:rsid w:val="003118D4"/>
    <w:rsid w:val="003130B4"/>
    <w:rsid w:val="0032705B"/>
    <w:rsid w:val="00341943"/>
    <w:rsid w:val="00344A4E"/>
    <w:rsid w:val="00344C6E"/>
    <w:rsid w:val="0034590B"/>
    <w:rsid w:val="003954AB"/>
    <w:rsid w:val="003A4F2E"/>
    <w:rsid w:val="003B68BA"/>
    <w:rsid w:val="003C21F4"/>
    <w:rsid w:val="003C5F9A"/>
    <w:rsid w:val="003D6F94"/>
    <w:rsid w:val="003D7B8D"/>
    <w:rsid w:val="003E0224"/>
    <w:rsid w:val="003E2CAC"/>
    <w:rsid w:val="00400502"/>
    <w:rsid w:val="00402595"/>
    <w:rsid w:val="00404247"/>
    <w:rsid w:val="00405014"/>
    <w:rsid w:val="0040785F"/>
    <w:rsid w:val="00411FA0"/>
    <w:rsid w:val="00426E89"/>
    <w:rsid w:val="004301A4"/>
    <w:rsid w:val="004354DD"/>
    <w:rsid w:val="00472F1B"/>
    <w:rsid w:val="00474010"/>
    <w:rsid w:val="004B2659"/>
    <w:rsid w:val="004B388B"/>
    <w:rsid w:val="004B7D7B"/>
    <w:rsid w:val="004C1080"/>
    <w:rsid w:val="004D57A9"/>
    <w:rsid w:val="004E2E61"/>
    <w:rsid w:val="004E4394"/>
    <w:rsid w:val="004E73AC"/>
    <w:rsid w:val="00500500"/>
    <w:rsid w:val="00501F3A"/>
    <w:rsid w:val="005043FC"/>
    <w:rsid w:val="00507D16"/>
    <w:rsid w:val="00514081"/>
    <w:rsid w:val="005144E8"/>
    <w:rsid w:val="00516BAD"/>
    <w:rsid w:val="0052538B"/>
    <w:rsid w:val="0053460E"/>
    <w:rsid w:val="00536085"/>
    <w:rsid w:val="0055765F"/>
    <w:rsid w:val="0057011C"/>
    <w:rsid w:val="00582F1F"/>
    <w:rsid w:val="00587F93"/>
    <w:rsid w:val="005A0857"/>
    <w:rsid w:val="005B4A91"/>
    <w:rsid w:val="005B6AF9"/>
    <w:rsid w:val="005D6A4E"/>
    <w:rsid w:val="005E3645"/>
    <w:rsid w:val="005F43B4"/>
    <w:rsid w:val="005F4445"/>
    <w:rsid w:val="00612A9E"/>
    <w:rsid w:val="00620681"/>
    <w:rsid w:val="00634880"/>
    <w:rsid w:val="00635037"/>
    <w:rsid w:val="00636209"/>
    <w:rsid w:val="00640630"/>
    <w:rsid w:val="00642751"/>
    <w:rsid w:val="006636CA"/>
    <w:rsid w:val="00665FE5"/>
    <w:rsid w:val="00670F9F"/>
    <w:rsid w:val="006751C2"/>
    <w:rsid w:val="006933AD"/>
    <w:rsid w:val="006A2FB8"/>
    <w:rsid w:val="006B6241"/>
    <w:rsid w:val="006D5C55"/>
    <w:rsid w:val="006D5D70"/>
    <w:rsid w:val="006E4AB0"/>
    <w:rsid w:val="006F3BEA"/>
    <w:rsid w:val="006F5221"/>
    <w:rsid w:val="00702C1A"/>
    <w:rsid w:val="00710932"/>
    <w:rsid w:val="00714400"/>
    <w:rsid w:val="007221B0"/>
    <w:rsid w:val="007265E9"/>
    <w:rsid w:val="00742BB3"/>
    <w:rsid w:val="007554EB"/>
    <w:rsid w:val="007625FF"/>
    <w:rsid w:val="007717AF"/>
    <w:rsid w:val="0077577D"/>
    <w:rsid w:val="007853B0"/>
    <w:rsid w:val="00790EB7"/>
    <w:rsid w:val="00791F5D"/>
    <w:rsid w:val="00792C8E"/>
    <w:rsid w:val="00796711"/>
    <w:rsid w:val="007A2871"/>
    <w:rsid w:val="007B448D"/>
    <w:rsid w:val="007C5025"/>
    <w:rsid w:val="007C6844"/>
    <w:rsid w:val="007D62D1"/>
    <w:rsid w:val="007E3A93"/>
    <w:rsid w:val="007E4672"/>
    <w:rsid w:val="007F3CEB"/>
    <w:rsid w:val="007F7955"/>
    <w:rsid w:val="007F7D14"/>
    <w:rsid w:val="008172BC"/>
    <w:rsid w:val="00832D6A"/>
    <w:rsid w:val="00835C60"/>
    <w:rsid w:val="00850BD2"/>
    <w:rsid w:val="00862706"/>
    <w:rsid w:val="00862C35"/>
    <w:rsid w:val="00866FDC"/>
    <w:rsid w:val="0086725A"/>
    <w:rsid w:val="008777A2"/>
    <w:rsid w:val="00887626"/>
    <w:rsid w:val="00897C36"/>
    <w:rsid w:val="008B5EB9"/>
    <w:rsid w:val="008D262D"/>
    <w:rsid w:val="008D6A1E"/>
    <w:rsid w:val="008E2827"/>
    <w:rsid w:val="008F1E13"/>
    <w:rsid w:val="0090025C"/>
    <w:rsid w:val="00901BDD"/>
    <w:rsid w:val="00903CE0"/>
    <w:rsid w:val="009253F2"/>
    <w:rsid w:val="00931E15"/>
    <w:rsid w:val="009530F3"/>
    <w:rsid w:val="009567BA"/>
    <w:rsid w:val="009617EB"/>
    <w:rsid w:val="009772DD"/>
    <w:rsid w:val="0098165C"/>
    <w:rsid w:val="009949E8"/>
    <w:rsid w:val="009B39AB"/>
    <w:rsid w:val="009C0D84"/>
    <w:rsid w:val="009C3F67"/>
    <w:rsid w:val="009C5E0C"/>
    <w:rsid w:val="009E3947"/>
    <w:rsid w:val="009E7D08"/>
    <w:rsid w:val="009F643B"/>
    <w:rsid w:val="00A04BF1"/>
    <w:rsid w:val="00A0757E"/>
    <w:rsid w:val="00A0798C"/>
    <w:rsid w:val="00A07D7C"/>
    <w:rsid w:val="00A07F61"/>
    <w:rsid w:val="00A107C9"/>
    <w:rsid w:val="00A266AB"/>
    <w:rsid w:val="00A3363A"/>
    <w:rsid w:val="00A4040A"/>
    <w:rsid w:val="00A46C44"/>
    <w:rsid w:val="00A472C3"/>
    <w:rsid w:val="00A55D4E"/>
    <w:rsid w:val="00A5704F"/>
    <w:rsid w:val="00A62CFB"/>
    <w:rsid w:val="00A62E86"/>
    <w:rsid w:val="00A64A34"/>
    <w:rsid w:val="00A6781A"/>
    <w:rsid w:val="00A67C91"/>
    <w:rsid w:val="00A83582"/>
    <w:rsid w:val="00A86E48"/>
    <w:rsid w:val="00A921A5"/>
    <w:rsid w:val="00AA0AB0"/>
    <w:rsid w:val="00AB64F9"/>
    <w:rsid w:val="00AC450F"/>
    <w:rsid w:val="00AD67BC"/>
    <w:rsid w:val="00AE3CF0"/>
    <w:rsid w:val="00AE5EA8"/>
    <w:rsid w:val="00AE7409"/>
    <w:rsid w:val="00B00D00"/>
    <w:rsid w:val="00B0491E"/>
    <w:rsid w:val="00B0583C"/>
    <w:rsid w:val="00B07598"/>
    <w:rsid w:val="00B132A1"/>
    <w:rsid w:val="00B13711"/>
    <w:rsid w:val="00B30AA6"/>
    <w:rsid w:val="00B32E0D"/>
    <w:rsid w:val="00B447DF"/>
    <w:rsid w:val="00B4496F"/>
    <w:rsid w:val="00B60FC7"/>
    <w:rsid w:val="00B6746B"/>
    <w:rsid w:val="00B73CC5"/>
    <w:rsid w:val="00B818E4"/>
    <w:rsid w:val="00B832DC"/>
    <w:rsid w:val="00B9302E"/>
    <w:rsid w:val="00B941A8"/>
    <w:rsid w:val="00B971FE"/>
    <w:rsid w:val="00BA130E"/>
    <w:rsid w:val="00BA29D5"/>
    <w:rsid w:val="00BA2D91"/>
    <w:rsid w:val="00BA6ACB"/>
    <w:rsid w:val="00BD14D5"/>
    <w:rsid w:val="00BE7EF0"/>
    <w:rsid w:val="00C00AE9"/>
    <w:rsid w:val="00C102E3"/>
    <w:rsid w:val="00C10BAA"/>
    <w:rsid w:val="00C1107E"/>
    <w:rsid w:val="00C11316"/>
    <w:rsid w:val="00C122C6"/>
    <w:rsid w:val="00C2298C"/>
    <w:rsid w:val="00C2334D"/>
    <w:rsid w:val="00C24443"/>
    <w:rsid w:val="00C24998"/>
    <w:rsid w:val="00C24BE4"/>
    <w:rsid w:val="00C420F7"/>
    <w:rsid w:val="00C459BB"/>
    <w:rsid w:val="00C46895"/>
    <w:rsid w:val="00C6143E"/>
    <w:rsid w:val="00C71286"/>
    <w:rsid w:val="00C92CA0"/>
    <w:rsid w:val="00CA36E4"/>
    <w:rsid w:val="00CB4B3E"/>
    <w:rsid w:val="00CB6EF4"/>
    <w:rsid w:val="00CB7EE6"/>
    <w:rsid w:val="00CC0FB0"/>
    <w:rsid w:val="00CC234D"/>
    <w:rsid w:val="00CC351B"/>
    <w:rsid w:val="00CE6502"/>
    <w:rsid w:val="00D04428"/>
    <w:rsid w:val="00D10600"/>
    <w:rsid w:val="00D20538"/>
    <w:rsid w:val="00D34BFF"/>
    <w:rsid w:val="00D46484"/>
    <w:rsid w:val="00D465DB"/>
    <w:rsid w:val="00D547FE"/>
    <w:rsid w:val="00D61EA7"/>
    <w:rsid w:val="00D709A4"/>
    <w:rsid w:val="00D76A47"/>
    <w:rsid w:val="00D86E87"/>
    <w:rsid w:val="00DB170B"/>
    <w:rsid w:val="00DD6C5D"/>
    <w:rsid w:val="00DE67C7"/>
    <w:rsid w:val="00DF20A7"/>
    <w:rsid w:val="00DF755A"/>
    <w:rsid w:val="00E03C03"/>
    <w:rsid w:val="00E04C75"/>
    <w:rsid w:val="00E106DD"/>
    <w:rsid w:val="00E10EC9"/>
    <w:rsid w:val="00E15311"/>
    <w:rsid w:val="00E236D5"/>
    <w:rsid w:val="00E411E7"/>
    <w:rsid w:val="00E53551"/>
    <w:rsid w:val="00E542F0"/>
    <w:rsid w:val="00E650FA"/>
    <w:rsid w:val="00E678F3"/>
    <w:rsid w:val="00E704F3"/>
    <w:rsid w:val="00E84950"/>
    <w:rsid w:val="00EC2A3C"/>
    <w:rsid w:val="00EC3782"/>
    <w:rsid w:val="00EC5215"/>
    <w:rsid w:val="00ED338E"/>
    <w:rsid w:val="00EF67F6"/>
    <w:rsid w:val="00F073D5"/>
    <w:rsid w:val="00F14FCD"/>
    <w:rsid w:val="00F168F9"/>
    <w:rsid w:val="00F22316"/>
    <w:rsid w:val="00F22AA8"/>
    <w:rsid w:val="00F273AA"/>
    <w:rsid w:val="00F3077A"/>
    <w:rsid w:val="00F3487C"/>
    <w:rsid w:val="00F44ADB"/>
    <w:rsid w:val="00F45D63"/>
    <w:rsid w:val="00F504C9"/>
    <w:rsid w:val="00F621E9"/>
    <w:rsid w:val="00F80508"/>
    <w:rsid w:val="00F93CAC"/>
    <w:rsid w:val="00FA111C"/>
    <w:rsid w:val="00FA1363"/>
    <w:rsid w:val="00FA5AB1"/>
    <w:rsid w:val="00FB4BF2"/>
    <w:rsid w:val="00FC2D1E"/>
    <w:rsid w:val="00FC7B9E"/>
    <w:rsid w:val="00FD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BF0E78"/>
  <w15:chartTrackingRefBased/>
  <w15:docId w15:val="{51F547ED-DD99-40A7-A828-F9C8DEFFD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D7B"/>
  </w:style>
  <w:style w:type="paragraph" w:styleId="Heading1">
    <w:name w:val="heading 1"/>
    <w:basedOn w:val="Normal"/>
    <w:link w:val="Heading1Char"/>
    <w:uiPriority w:val="9"/>
    <w:qFormat/>
    <w:rsid w:val="00D4648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44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otnoteReference">
    <w:name w:val="footnote reference"/>
    <w:basedOn w:val="DefaultParagraphFont"/>
    <w:uiPriority w:val="99"/>
    <w:semiHidden/>
    <w:unhideWhenUsed/>
    <w:rsid w:val="00D04428"/>
    <w:rPr>
      <w:vertAlign w:val="superscript"/>
    </w:rPr>
  </w:style>
  <w:style w:type="character" w:customStyle="1" w:styleId="normaltextrun">
    <w:name w:val="normaltextrun"/>
    <w:basedOn w:val="DefaultParagraphFont"/>
    <w:rsid w:val="00D04428"/>
  </w:style>
  <w:style w:type="character" w:customStyle="1" w:styleId="eop">
    <w:name w:val="eop"/>
    <w:basedOn w:val="DefaultParagraphFont"/>
    <w:rsid w:val="00B73CC5"/>
  </w:style>
  <w:style w:type="paragraph" w:customStyle="1" w:styleId="paragraph">
    <w:name w:val="paragraph"/>
    <w:basedOn w:val="Normal"/>
    <w:rsid w:val="00B73C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FootnoteText">
    <w:name w:val="footnote text"/>
    <w:basedOn w:val="Normal"/>
    <w:link w:val="FootnoteTextChar"/>
    <w:uiPriority w:val="99"/>
    <w:semiHidden/>
    <w:unhideWhenUsed/>
    <w:rsid w:val="00D547F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47FE"/>
    <w:rPr>
      <w:sz w:val="20"/>
      <w:szCs w:val="20"/>
    </w:rPr>
  </w:style>
  <w:style w:type="character" w:styleId="Hyperlink">
    <w:name w:val="Hyperlink"/>
    <w:basedOn w:val="DefaultParagraphFont"/>
    <w:uiPriority w:val="99"/>
    <w:unhideWhenUsed/>
    <w:rsid w:val="00B832DC"/>
    <w:rPr>
      <w:color w:val="0563C1" w:themeColor="hyperlink"/>
      <w:u w:val="single"/>
    </w:rPr>
  </w:style>
  <w:style w:type="character" w:customStyle="1" w:styleId="notion-enable-hover">
    <w:name w:val="notion-enable-hover"/>
    <w:basedOn w:val="DefaultParagraphFont"/>
    <w:rsid w:val="00025339"/>
  </w:style>
  <w:style w:type="character" w:customStyle="1" w:styleId="link-annotation-unknown-block-id-391856769">
    <w:name w:val="link-annotation-unknown-block-id-391856769"/>
    <w:basedOn w:val="DefaultParagraphFont"/>
    <w:rsid w:val="00025339"/>
  </w:style>
  <w:style w:type="character" w:customStyle="1" w:styleId="Heading1Char">
    <w:name w:val="Heading 1 Char"/>
    <w:basedOn w:val="DefaultParagraphFont"/>
    <w:link w:val="Heading1"/>
    <w:uiPriority w:val="9"/>
    <w:rsid w:val="00D46484"/>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635524">
      <w:bodyDiv w:val="1"/>
      <w:marLeft w:val="0"/>
      <w:marRight w:val="0"/>
      <w:marTop w:val="0"/>
      <w:marBottom w:val="0"/>
      <w:divBdr>
        <w:top w:val="none" w:sz="0" w:space="0" w:color="auto"/>
        <w:left w:val="none" w:sz="0" w:space="0" w:color="auto"/>
        <w:bottom w:val="none" w:sz="0" w:space="0" w:color="auto"/>
        <w:right w:val="none" w:sz="0" w:space="0" w:color="auto"/>
      </w:divBdr>
      <w:divsChild>
        <w:div w:id="111971457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medicalnewstoday.com/articles/toxic-masculinity" TargetMode="External"/><Relationship Id="rId2" Type="http://schemas.openxmlformats.org/officeDocument/2006/relationships/hyperlink" Target="https://www.psychologytoday.com/gb/blog/communication-success/202005/10-signs-internalised-sexism-and-gaslighting" TargetMode="External"/><Relationship Id="rId1" Type="http://schemas.openxmlformats.org/officeDocument/2006/relationships/hyperlink" Target="https://biblehub.com/" TargetMode="External"/><Relationship Id="rId4" Type="http://schemas.openxmlformats.org/officeDocument/2006/relationships/hyperlink" Target="https://www.verywellmind.com/what-is-toxic-masculinity-5075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254345-FA2A-4C1F-8CFE-D64ECE4E3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610</TotalTime>
  <Pages>8</Pages>
  <Words>2770</Words>
  <Characters>14853</Characters>
  <Application>Microsoft Office Word</Application>
  <DocSecurity>0</DocSecurity>
  <Lines>203</Lines>
  <Paragraphs>41</Paragraphs>
  <ScaleCrop>false</ScaleCrop>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Neve Pule</dc:creator>
  <cp:keywords/>
  <dc:description/>
  <cp:lastModifiedBy>Neve Pule</cp:lastModifiedBy>
  <cp:revision>314</cp:revision>
  <cp:lastPrinted>2023-11-11T10:21:00Z</cp:lastPrinted>
  <dcterms:created xsi:type="dcterms:W3CDTF">2023-11-11T09:19:00Z</dcterms:created>
  <dcterms:modified xsi:type="dcterms:W3CDTF">2023-11-13T16:16:00Z</dcterms:modified>
</cp:coreProperties>
</file>