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color w:val="4472C4" w:themeColor="accent1"/>
          <w:sz w:val="24"/>
          <w:szCs w:val="24"/>
          <w:lang w:val="en-GB" w:eastAsia="en-US"/>
        </w:rPr>
        <w:id w:val="-967510842"/>
        <w:docPartObj>
          <w:docPartGallery w:val="Cover Pages"/>
          <w:docPartUnique/>
        </w:docPartObj>
      </w:sdtPr>
      <w:sdtEndPr>
        <w:rPr>
          <w:color w:val="auto"/>
        </w:rPr>
      </w:sdtEndPr>
      <w:sdtContent>
        <w:p w14:paraId="201A72DB" w14:textId="77777777" w:rsidR="004454C4" w:rsidRPr="00CB66EF" w:rsidRDefault="004454C4" w:rsidP="00EC7C5D">
          <w:pPr>
            <w:pStyle w:val="NoSpacing"/>
            <w:spacing w:before="1540" w:after="240"/>
            <w:ind w:firstLine="720"/>
            <w:jc w:val="both"/>
            <w:rPr>
              <w:rFonts w:cstheme="minorHAnsi"/>
              <w:color w:val="4472C4" w:themeColor="accent1"/>
              <w:sz w:val="24"/>
              <w:szCs w:val="24"/>
            </w:rPr>
          </w:pPr>
          <w:r w:rsidRPr="00CB66EF">
            <w:rPr>
              <w:rFonts w:cstheme="minorHAnsi"/>
              <w:noProof/>
              <w:color w:val="4472C4" w:themeColor="accent1"/>
              <w:sz w:val="24"/>
              <w:szCs w:val="24"/>
            </w:rPr>
            <w:drawing>
              <wp:inline distT="0" distB="0" distL="0" distR="0" wp14:anchorId="6DDE4B40" wp14:editId="03F9D9D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1B4F8ED" w14:textId="77777777" w:rsidR="004454C4" w:rsidRPr="00CB66EF" w:rsidRDefault="00000000" w:rsidP="000F6A84">
          <w:pPr>
            <w:pStyle w:val="NoSpacing"/>
            <w:pBdr>
              <w:top w:val="single" w:sz="6" w:space="6" w:color="4472C4" w:themeColor="accent1"/>
              <w:bottom w:val="single" w:sz="6" w:space="6" w:color="4472C4" w:themeColor="accent1"/>
            </w:pBdr>
            <w:spacing w:after="240"/>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AB1918CBFDE0A54EA1047473898AEDB2"/>
              </w:placeholder>
              <w:dataBinding w:prefixMappings="xmlns:ns0='http://purl.org/dc/elements/1.1/' xmlns:ns1='http://schemas.openxmlformats.org/package/2006/metadata/core-properties' " w:xpath="/ns1:coreProperties[1]/ns0:title[1]" w:storeItemID="{6C3C8BC8-F283-45AE-878A-BAB7291924A1}"/>
              <w:text/>
            </w:sdtPr>
            <w:sdtContent>
              <w:r w:rsidR="00CB66EF" w:rsidRPr="00CB66E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Intention</w:t>
              </w:r>
              <w:r w:rsidR="000F6A8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66EF" w:rsidRPr="00CB66E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create legal relations</w:t>
              </w:r>
            </w:sdtContent>
          </w:sdt>
          <w:r w:rsidR="004454C4" w:rsidRPr="00CB66E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4C4" w:rsidRPr="00CB66EF">
            <w:rPr>
              <w:rFonts w:eastAsiaTheme="majorEastAsia" w:cstheme="minorHAnsi"/>
              <w:noProof/>
              <w:color w:val="000000" w:themeColor="text1"/>
              <w:sz w:val="24"/>
              <w:szCs w:val="24"/>
            </w:rPr>
            <w:drawing>
              <wp:inline distT="0" distB="0" distL="0" distR="0" wp14:anchorId="23264BFF" wp14:editId="0F3E2F09">
                <wp:extent cx="3898900" cy="25908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98900" cy="2590800"/>
                        </a:xfrm>
                        <a:prstGeom prst="rect">
                          <a:avLst/>
                        </a:prstGeom>
                      </pic:spPr>
                    </pic:pic>
                  </a:graphicData>
                </a:graphic>
              </wp:inline>
            </w:drawing>
          </w:r>
        </w:p>
        <w:sdt>
          <w:sdt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9A0C33BBB3615843AB7E741ED5F53C04"/>
            </w:placeholder>
            <w:dataBinding w:prefixMappings="xmlns:ns0='http://purl.org/dc/elements/1.1/' xmlns:ns1='http://schemas.openxmlformats.org/package/2006/metadata/core-properties' " w:xpath="/ns1:coreProperties[1]/ns0:subject[1]" w:storeItemID="{6C3C8BC8-F283-45AE-878A-BAB7291924A1}"/>
            <w:text/>
          </w:sdtPr>
          <w:sdtContent>
            <w:p w14:paraId="06BE6CE0" w14:textId="77777777" w:rsidR="004454C4" w:rsidRPr="00CB66EF" w:rsidRDefault="00CB66EF" w:rsidP="000F6A84">
              <w:pPr>
                <w:pStyle w:val="NoSpacing"/>
                <w:jc w:val="both"/>
                <w:rPr>
                  <w:rFonts w:cstheme="minorHAnsi"/>
                  <w:color w:val="4472C4" w:themeColor="accent1"/>
                  <w:sz w:val="24"/>
                  <w:szCs w:val="24"/>
                </w:rPr>
              </w:pPr>
              <w:r w:rsidRPr="00CB66E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Low</w:t>
              </w:r>
            </w:p>
          </w:sdtContent>
        </w:sdt>
        <w:p w14:paraId="52637982" w14:textId="77777777" w:rsidR="004454C4" w:rsidRPr="00CB66EF" w:rsidRDefault="004454C4" w:rsidP="000F6A84">
          <w:pPr>
            <w:pStyle w:val="NoSpacing"/>
            <w:spacing w:before="480"/>
            <w:jc w:val="both"/>
            <w:rPr>
              <w:rFonts w:cstheme="minorHAnsi"/>
              <w:color w:val="4472C4" w:themeColor="accent1"/>
              <w:sz w:val="24"/>
              <w:szCs w:val="24"/>
            </w:rPr>
          </w:pPr>
          <w:r w:rsidRPr="00CB66EF">
            <w:rPr>
              <w:rFonts w:cstheme="minorHAnsi"/>
              <w:noProof/>
              <w:color w:val="4472C4" w:themeColor="accent1"/>
              <w:sz w:val="24"/>
              <w:szCs w:val="24"/>
            </w:rPr>
            <w:drawing>
              <wp:inline distT="0" distB="0" distL="0" distR="0" wp14:anchorId="5F9F24FD" wp14:editId="775AEB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D39498A" w14:textId="77777777" w:rsidR="004454C4" w:rsidRPr="00CB66EF" w:rsidRDefault="004454C4" w:rsidP="000F6A84">
          <w:pPr>
            <w:jc w:val="both"/>
            <w:rPr>
              <w:rFonts w:cstheme="minorHAnsi"/>
            </w:rPr>
          </w:pPr>
        </w:p>
        <w:p w14:paraId="29C720C1" w14:textId="77777777" w:rsidR="004454C4" w:rsidRPr="00CB66EF" w:rsidRDefault="004454C4" w:rsidP="000F6A84">
          <w:pPr>
            <w:jc w:val="both"/>
            <w:rPr>
              <w:rFonts w:cstheme="minorHAnsi"/>
            </w:rPr>
          </w:pPr>
        </w:p>
        <w:p w14:paraId="57405BFC" w14:textId="77777777" w:rsidR="004454C4" w:rsidRPr="00CB66EF" w:rsidRDefault="004454C4" w:rsidP="000F6A84">
          <w:pPr>
            <w:jc w:val="both"/>
            <w:rPr>
              <w:rFonts w:cstheme="minorHAnsi"/>
            </w:rPr>
          </w:pPr>
        </w:p>
        <w:p w14:paraId="5B15C483" w14:textId="77777777" w:rsidR="004454C4" w:rsidRPr="00CB66EF" w:rsidRDefault="004454C4" w:rsidP="000F6A84">
          <w:pPr>
            <w:jc w:val="both"/>
            <w:rPr>
              <w:rFonts w:cstheme="minorHAnsi"/>
            </w:rPr>
          </w:pPr>
        </w:p>
        <w:p w14:paraId="6D20B9FE" w14:textId="77777777" w:rsidR="004454C4" w:rsidRPr="00CB66EF" w:rsidRDefault="004454C4" w:rsidP="000F6A84">
          <w:pPr>
            <w:jc w:val="both"/>
            <w:rPr>
              <w:rFonts w:cstheme="minorHAnsi"/>
            </w:rPr>
          </w:pPr>
        </w:p>
        <w:p w14:paraId="1B8C2E66" w14:textId="77777777" w:rsidR="004454C4" w:rsidRPr="00CB66EF" w:rsidRDefault="004454C4" w:rsidP="000F6A84">
          <w:pPr>
            <w:jc w:val="both"/>
            <w:rPr>
              <w:rFonts w:cstheme="minorHAnsi"/>
            </w:rPr>
          </w:pPr>
        </w:p>
        <w:p w14:paraId="6BDCD2E6" w14:textId="77777777" w:rsidR="004454C4" w:rsidRPr="00CB66EF" w:rsidRDefault="004454C4" w:rsidP="000F6A84">
          <w:pPr>
            <w:jc w:val="both"/>
            <w:rPr>
              <w:rFonts w:cstheme="minorHAnsi"/>
            </w:rPr>
          </w:pPr>
        </w:p>
        <w:p w14:paraId="1193A536" w14:textId="77777777" w:rsidR="004454C4" w:rsidRPr="00CB66EF" w:rsidRDefault="004454C4" w:rsidP="000F6A84">
          <w:pPr>
            <w:jc w:val="both"/>
            <w:rPr>
              <w:rFonts w:cstheme="minorHAnsi"/>
            </w:rPr>
          </w:pPr>
        </w:p>
        <w:p w14:paraId="05826CE3" w14:textId="77777777" w:rsidR="00293ECF" w:rsidRDefault="00293ECF" w:rsidP="000F6A84">
          <w:pPr>
            <w:jc w:val="both"/>
            <w:rPr>
              <w:rFonts w:cstheme="minorHAnsi"/>
            </w:rPr>
          </w:pPr>
          <w:r>
            <w:rPr>
              <w:rFonts w:cstheme="minorHAnsi"/>
            </w:rPr>
            <w:t xml:space="preserve">                                                                  </w:t>
          </w:r>
        </w:p>
        <w:p w14:paraId="6835D292" w14:textId="751A2E4C" w:rsidR="004454C4" w:rsidRPr="00CB66EF" w:rsidRDefault="00293ECF" w:rsidP="000F6A84">
          <w:pPr>
            <w:jc w:val="both"/>
            <w:rPr>
              <w:rFonts w:cstheme="minorHAnsi"/>
            </w:rPr>
          </w:pPr>
          <w:r>
            <w:rPr>
              <w:rFonts w:cstheme="minorHAnsi"/>
            </w:rPr>
            <w:t xml:space="preserve">                                                                 Lina Abu </w:t>
          </w:r>
          <w:proofErr w:type="spellStart"/>
          <w:r>
            <w:rPr>
              <w:rFonts w:cstheme="minorHAnsi"/>
            </w:rPr>
            <w:t>Tair</w:t>
          </w:r>
          <w:proofErr w:type="spellEnd"/>
        </w:p>
        <w:p w14:paraId="73DC0F97" w14:textId="77777777" w:rsidR="004454C4" w:rsidRPr="00CB66EF" w:rsidRDefault="004454C4" w:rsidP="000F6A84">
          <w:pPr>
            <w:jc w:val="both"/>
            <w:rPr>
              <w:rFonts w:cstheme="minorHAnsi"/>
            </w:rPr>
          </w:pPr>
          <w:r w:rsidRPr="00CB66EF">
            <w:rPr>
              <w:rFonts w:cstheme="minorHAnsi"/>
            </w:rPr>
            <w:t xml:space="preserve">                                                                 Assignment 1</w:t>
          </w:r>
        </w:p>
        <w:p w14:paraId="5C4F0AEA" w14:textId="77777777" w:rsidR="004454C4" w:rsidRPr="00CB66EF" w:rsidRDefault="004454C4" w:rsidP="000F6A84">
          <w:pPr>
            <w:jc w:val="both"/>
            <w:rPr>
              <w:rFonts w:cstheme="minorHAnsi"/>
            </w:rPr>
          </w:pPr>
        </w:p>
        <w:p w14:paraId="5F62A4F9" w14:textId="77777777" w:rsidR="004454C4" w:rsidRPr="00CB66EF" w:rsidRDefault="004454C4" w:rsidP="000F6A84">
          <w:pPr>
            <w:jc w:val="both"/>
            <w:rPr>
              <w:rFonts w:cstheme="minorHAnsi"/>
            </w:rPr>
          </w:pPr>
          <w:r w:rsidRPr="00CB66EF">
            <w:rPr>
              <w:rFonts w:cstheme="minorHAnsi"/>
            </w:rPr>
            <w:t xml:space="preserve">                                                                  10/03/2023 </w:t>
          </w:r>
        </w:p>
        <w:p w14:paraId="665FC8DC" w14:textId="77777777" w:rsidR="0007068D" w:rsidRPr="00CB66EF" w:rsidRDefault="0007068D" w:rsidP="000F6A84">
          <w:pPr>
            <w:jc w:val="both"/>
            <w:rPr>
              <w:rFonts w:cstheme="minorHAnsi"/>
            </w:rPr>
          </w:pPr>
        </w:p>
        <w:p w14:paraId="03A9890D" w14:textId="77777777" w:rsidR="0007068D" w:rsidRPr="00CB66EF" w:rsidRDefault="0007068D" w:rsidP="000F6A84">
          <w:pPr>
            <w:jc w:val="both"/>
            <w:rPr>
              <w:rFonts w:cstheme="minorHAnsi"/>
            </w:rPr>
          </w:pPr>
        </w:p>
        <w:p w14:paraId="19FB6522" w14:textId="77777777" w:rsidR="00C25567" w:rsidRDefault="00C25567" w:rsidP="009A7C64">
          <w:pPr>
            <w:jc w:val="both"/>
            <w:rPr>
              <w:rFonts w:cstheme="minorHAnsi"/>
            </w:rPr>
          </w:pPr>
        </w:p>
        <w:p w14:paraId="4F1610D9" w14:textId="070EACC0" w:rsidR="0011587F" w:rsidRPr="00001D99" w:rsidRDefault="0011587F" w:rsidP="00001D99">
          <w:pPr>
            <w:spacing w:line="360" w:lineRule="auto"/>
            <w:jc w:val="both"/>
            <w:rPr>
              <w:rFonts w:cstheme="minorHAnsi"/>
              <w:sz w:val="40"/>
              <w:szCs w:val="40"/>
            </w:rPr>
          </w:pPr>
          <w:r w:rsidRPr="00001D99">
            <w:rPr>
              <w:rFonts w:cstheme="minorHAnsi"/>
              <w:sz w:val="40"/>
              <w:szCs w:val="40"/>
            </w:rPr>
            <w:t xml:space="preserve">Introduction </w:t>
          </w:r>
        </w:p>
        <w:p w14:paraId="5906046F" w14:textId="77777777" w:rsidR="0011587F" w:rsidRDefault="0011587F" w:rsidP="00001D99">
          <w:pPr>
            <w:spacing w:line="360" w:lineRule="auto"/>
            <w:jc w:val="both"/>
            <w:rPr>
              <w:rFonts w:cstheme="minorHAnsi"/>
            </w:rPr>
          </w:pPr>
        </w:p>
        <w:p w14:paraId="5A4F8163" w14:textId="73CD61A9" w:rsidR="0011587F" w:rsidRDefault="00F523E4" w:rsidP="00001D99">
          <w:pPr>
            <w:spacing w:line="360" w:lineRule="auto"/>
            <w:jc w:val="both"/>
            <w:rPr>
              <w:rFonts w:cstheme="minorHAnsi"/>
            </w:rPr>
          </w:pPr>
          <w:r>
            <w:rPr>
              <w:rFonts w:cstheme="minorHAnsi"/>
            </w:rPr>
            <w:t>T</w:t>
          </w:r>
          <w:r w:rsidR="00537075" w:rsidRPr="00537075">
            <w:rPr>
              <w:rFonts w:cstheme="minorHAnsi"/>
            </w:rPr>
            <w:t>he nineteenth century is considered the golden age of the contract and its development into the structure on which we currently rely, ownership and dealing with i</w:t>
          </w:r>
          <w:r w:rsidR="00807AB2">
            <w:rPr>
              <w:rFonts w:cstheme="minorHAnsi"/>
            </w:rPr>
            <w:t>t,</w:t>
          </w:r>
          <w:r w:rsidR="00FF329F">
            <w:rPr>
              <w:rFonts w:cstheme="minorHAnsi"/>
            </w:rPr>
            <w:t xml:space="preserve"> </w:t>
          </w:r>
          <w:r w:rsidR="00807AB2">
            <w:rPr>
              <w:rFonts w:cstheme="minorHAnsi"/>
            </w:rPr>
            <w:t>the state intervenes by law in people’s affairs to solve problems between them</w:t>
          </w:r>
          <w:sdt>
            <w:sdtPr>
              <w:rPr>
                <w:rFonts w:cstheme="minorHAnsi"/>
              </w:rPr>
              <w:id w:val="193431514"/>
              <w:citation/>
            </w:sdtPr>
            <w:sdtContent>
              <w:r w:rsidR="00FF329F">
                <w:rPr>
                  <w:rFonts w:cstheme="minorHAnsi"/>
                </w:rPr>
                <w:fldChar w:fldCharType="begin"/>
              </w:r>
              <w:r w:rsidR="00FF329F">
                <w:rPr>
                  <w:rFonts w:cstheme="minorHAnsi"/>
                  <w:lang w:val="en-US"/>
                </w:rPr>
                <w:instrText xml:space="preserve"> CITATION Pau191 \l 1033 </w:instrText>
              </w:r>
              <w:r w:rsidR="00FF329F">
                <w:rPr>
                  <w:rFonts w:cstheme="minorHAnsi"/>
                </w:rPr>
                <w:fldChar w:fldCharType="separate"/>
              </w:r>
              <w:r w:rsidR="00FF329F">
                <w:rPr>
                  <w:rFonts w:cstheme="minorHAnsi"/>
                  <w:noProof/>
                  <w:lang w:val="en-US"/>
                </w:rPr>
                <w:t xml:space="preserve"> </w:t>
              </w:r>
              <w:r w:rsidR="00FF329F" w:rsidRPr="00FF329F">
                <w:rPr>
                  <w:rFonts w:cstheme="minorHAnsi"/>
                  <w:noProof/>
                  <w:lang w:val="en-US"/>
                </w:rPr>
                <w:t>(Richards, 2019)</w:t>
              </w:r>
              <w:r w:rsidR="00FF329F">
                <w:rPr>
                  <w:rFonts w:cstheme="minorHAnsi"/>
                </w:rPr>
                <w:fldChar w:fldCharType="end"/>
              </w:r>
            </w:sdtContent>
          </w:sdt>
          <w:r w:rsidR="00FF329F">
            <w:rPr>
              <w:rFonts w:cstheme="minorHAnsi"/>
            </w:rPr>
            <w:t>,</w:t>
          </w:r>
          <w:r w:rsidR="00807AB2">
            <w:rPr>
              <w:rFonts w:cstheme="minorHAnsi"/>
            </w:rPr>
            <w:t xml:space="preserve"> this is the function of the law to support and resolve issues with justice, whether they are social, local or commercial the concept of contracts develop searching </w:t>
          </w:r>
          <w:r>
            <w:rPr>
              <w:rFonts w:cstheme="minorHAnsi"/>
            </w:rPr>
            <w:t>for the intention of the parties to the contract and considering it essential and the courts find the intention to establish legal relations with the intention of assisting the courts with facts, data and future expectations. Convincing evidence stating the data and proving the intent to create the contract</w:t>
          </w:r>
          <w:sdt>
            <w:sdtPr>
              <w:rPr>
                <w:rFonts w:cstheme="minorHAnsi"/>
              </w:rPr>
              <w:id w:val="1504551070"/>
              <w:citation/>
            </w:sdtPr>
            <w:sdtContent>
              <w:r w:rsidR="00FF329F">
                <w:rPr>
                  <w:rFonts w:cstheme="minorHAnsi"/>
                </w:rPr>
                <w:fldChar w:fldCharType="begin"/>
              </w:r>
              <w:r w:rsidR="00FF329F">
                <w:rPr>
                  <w:rFonts w:cstheme="minorHAnsi"/>
                  <w:lang w:val="en-US"/>
                </w:rPr>
                <w:instrText xml:space="preserve"> CITATION Eli17 \l 1033 </w:instrText>
              </w:r>
              <w:r w:rsidR="00FF329F">
                <w:rPr>
                  <w:rFonts w:cstheme="minorHAnsi"/>
                </w:rPr>
                <w:fldChar w:fldCharType="separate"/>
              </w:r>
              <w:r w:rsidR="00FF329F">
                <w:rPr>
                  <w:rFonts w:cstheme="minorHAnsi"/>
                  <w:noProof/>
                  <w:lang w:val="en-US"/>
                </w:rPr>
                <w:t xml:space="preserve"> </w:t>
              </w:r>
              <w:r w:rsidR="00FF329F" w:rsidRPr="00FF329F">
                <w:rPr>
                  <w:rFonts w:cstheme="minorHAnsi"/>
                  <w:noProof/>
                  <w:lang w:val="en-US"/>
                </w:rPr>
                <w:t>(Tolhurst, 2017)</w:t>
              </w:r>
              <w:r w:rsidR="00FF329F">
                <w:rPr>
                  <w:rFonts w:cstheme="minorHAnsi"/>
                </w:rPr>
                <w:fldChar w:fldCharType="end"/>
              </w:r>
            </w:sdtContent>
          </w:sdt>
          <w:r w:rsidR="00FF329F">
            <w:rPr>
              <w:rFonts w:cstheme="minorHAnsi"/>
            </w:rPr>
            <w:t>.</w:t>
          </w:r>
        </w:p>
        <w:p w14:paraId="1C5A7A3E" w14:textId="561068B9" w:rsidR="00A16276" w:rsidRDefault="00F222B0" w:rsidP="00001D99">
          <w:pPr>
            <w:spacing w:line="360" w:lineRule="auto"/>
            <w:jc w:val="both"/>
            <w:rPr>
              <w:rFonts w:cstheme="minorHAnsi"/>
            </w:rPr>
          </w:pPr>
          <w:r>
            <w:rPr>
              <w:rFonts w:cstheme="minorHAnsi"/>
            </w:rPr>
            <w:t xml:space="preserve">The intention to commit legally is known as the intention to establish legal relations it is judged by assumptions clear evidence and refutable to do so, from a social and local point of view the intention is not presumptive and refutable by evidence promise and certainty in terms and </w:t>
          </w:r>
          <w:r w:rsidR="00B53208">
            <w:rPr>
              <w:rFonts w:cstheme="minorHAnsi"/>
            </w:rPr>
            <w:t xml:space="preserve">wilful, on the commercial side, you must intend to abide by the law between the parties because if there no words indicating the promise and agreement it will be </w:t>
          </w:r>
          <w:r w:rsidR="00A16276">
            <w:rPr>
              <w:rFonts w:cstheme="minorHAnsi"/>
            </w:rPr>
            <w:t>honour</w:t>
          </w:r>
          <w:r w:rsidR="00B53208">
            <w:rPr>
              <w:rFonts w:cstheme="minorHAnsi"/>
            </w:rPr>
            <w:t xml:space="preserve"> among both parties only</w:t>
          </w:r>
          <w:sdt>
            <w:sdtPr>
              <w:rPr>
                <w:rFonts w:cstheme="minorHAnsi"/>
              </w:rPr>
              <w:id w:val="1609079850"/>
              <w:citation/>
            </w:sdtPr>
            <w:sdtContent>
              <w:r w:rsidR="00B53208">
                <w:rPr>
                  <w:rFonts w:cstheme="minorHAnsi"/>
                </w:rPr>
                <w:fldChar w:fldCharType="begin"/>
              </w:r>
              <w:r w:rsidR="00B53208">
                <w:rPr>
                  <w:rFonts w:cstheme="minorHAnsi"/>
                  <w:lang w:val="en-US"/>
                </w:rPr>
                <w:instrText xml:space="preserve"> CITATION Mer21 \l 1033 </w:instrText>
              </w:r>
              <w:r w:rsidR="00B53208">
                <w:rPr>
                  <w:rFonts w:cstheme="minorHAnsi"/>
                </w:rPr>
                <w:fldChar w:fldCharType="separate"/>
              </w:r>
              <w:r w:rsidR="00B53208">
                <w:rPr>
                  <w:rFonts w:cstheme="minorHAnsi"/>
                  <w:noProof/>
                  <w:lang w:val="en-US"/>
                </w:rPr>
                <w:t xml:space="preserve"> </w:t>
              </w:r>
              <w:r w:rsidR="00B53208" w:rsidRPr="00B53208">
                <w:rPr>
                  <w:rFonts w:cstheme="minorHAnsi"/>
                  <w:noProof/>
                  <w:lang w:val="en-US"/>
                </w:rPr>
                <w:t>(Saintier, 2021)</w:t>
              </w:r>
              <w:r w:rsidR="00B53208">
                <w:rPr>
                  <w:rFonts w:cstheme="minorHAnsi"/>
                </w:rPr>
                <w:fldChar w:fldCharType="end"/>
              </w:r>
            </w:sdtContent>
          </w:sdt>
          <w:r w:rsidR="00B53208">
            <w:rPr>
              <w:rFonts w:cstheme="minorHAnsi"/>
            </w:rPr>
            <w:t>.</w:t>
          </w:r>
          <w:r w:rsidR="00A16276">
            <w:rPr>
              <w:rFonts w:cstheme="minorHAnsi"/>
            </w:rPr>
            <w:t xml:space="preserve"> </w:t>
          </w:r>
        </w:p>
        <w:p w14:paraId="4E8E76FE" w14:textId="77777777" w:rsidR="00A16276" w:rsidRDefault="00A16276" w:rsidP="00001D99">
          <w:pPr>
            <w:spacing w:line="360" w:lineRule="auto"/>
            <w:jc w:val="both"/>
            <w:rPr>
              <w:rFonts w:cstheme="minorHAnsi"/>
            </w:rPr>
          </w:pPr>
        </w:p>
        <w:p w14:paraId="5C637FAC" w14:textId="0BAB229C" w:rsidR="00C25567" w:rsidRDefault="00A16276" w:rsidP="00001D99">
          <w:pPr>
            <w:spacing w:line="360" w:lineRule="auto"/>
            <w:jc w:val="both"/>
            <w:rPr>
              <w:rFonts w:cstheme="minorHAnsi"/>
            </w:rPr>
          </w:pPr>
          <w:r>
            <w:rPr>
              <w:rFonts w:cstheme="minorHAnsi"/>
            </w:rPr>
            <w:t xml:space="preserve">In domestic and social agreements such as, </w:t>
          </w:r>
          <w:r w:rsidR="00C25567">
            <w:rPr>
              <w:rFonts w:cstheme="minorHAnsi"/>
            </w:rPr>
            <w:t>Balfour v Balfour</w:t>
          </w:r>
          <w:r>
            <w:rPr>
              <w:rFonts w:cstheme="minorHAnsi"/>
            </w:rPr>
            <w:t xml:space="preserve"> 1919, the case is a wife who filed a case against her husband because of failure to fulfil a promise and to pay maintenance costs of 30 pound per month despite the agreement being verbal at home and the contract </w:t>
          </w:r>
          <w:r w:rsidR="00141D14">
            <w:rPr>
              <w:rFonts w:cstheme="minorHAnsi"/>
            </w:rPr>
            <w:t>was not written and the promises have no legal consequences, prosecute them because the law does not regulate agreements among spouses and does not require an intention to establish legal relations</w:t>
          </w:r>
          <w:sdt>
            <w:sdtPr>
              <w:rPr>
                <w:rFonts w:cstheme="minorHAnsi"/>
              </w:rPr>
              <w:id w:val="-1417081028"/>
              <w:citation/>
            </w:sdtPr>
            <w:sdtContent>
              <w:r w:rsidR="00141D14">
                <w:rPr>
                  <w:rFonts w:cstheme="minorHAnsi"/>
                </w:rPr>
                <w:fldChar w:fldCharType="begin"/>
              </w:r>
              <w:r w:rsidR="00141D14">
                <w:rPr>
                  <w:rFonts w:cstheme="minorHAnsi"/>
                  <w:lang w:val="en-US"/>
                </w:rPr>
                <w:instrText xml:space="preserve"> CITATION WAR17 \l 1033 </w:instrText>
              </w:r>
              <w:r w:rsidR="00141D14">
                <w:rPr>
                  <w:rFonts w:cstheme="minorHAnsi"/>
                </w:rPr>
                <w:fldChar w:fldCharType="separate"/>
              </w:r>
              <w:r w:rsidR="00141D14">
                <w:rPr>
                  <w:rFonts w:cstheme="minorHAnsi"/>
                  <w:noProof/>
                  <w:lang w:val="en-US"/>
                </w:rPr>
                <w:t xml:space="preserve"> </w:t>
              </w:r>
              <w:r w:rsidR="00141D14" w:rsidRPr="00141D14">
                <w:rPr>
                  <w:rFonts w:cstheme="minorHAnsi"/>
                  <w:noProof/>
                  <w:lang w:val="en-US"/>
                </w:rPr>
                <w:t>(WARRINGTON, 2017)</w:t>
              </w:r>
              <w:r w:rsidR="00141D14">
                <w:rPr>
                  <w:rFonts w:cstheme="minorHAnsi"/>
                </w:rPr>
                <w:fldChar w:fldCharType="end"/>
              </w:r>
            </w:sdtContent>
          </w:sdt>
          <w:r w:rsidR="009007D0">
            <w:rPr>
              <w:rFonts w:cstheme="minorHAnsi"/>
            </w:rPr>
            <w:t>.</w:t>
          </w:r>
        </w:p>
        <w:p w14:paraId="3F5B6023" w14:textId="77777777" w:rsidR="009007D0" w:rsidRDefault="009007D0" w:rsidP="00001D99">
          <w:pPr>
            <w:spacing w:line="360" w:lineRule="auto"/>
            <w:jc w:val="both"/>
            <w:rPr>
              <w:rFonts w:cstheme="minorHAnsi"/>
            </w:rPr>
          </w:pPr>
        </w:p>
        <w:p w14:paraId="55DD9A92" w14:textId="317FBBF1" w:rsidR="009007D0" w:rsidRDefault="00B802ED" w:rsidP="00001D99">
          <w:pPr>
            <w:spacing w:line="360" w:lineRule="auto"/>
            <w:jc w:val="both"/>
            <w:rPr>
              <w:rFonts w:cstheme="minorHAnsi"/>
            </w:rPr>
          </w:pPr>
          <w:r w:rsidRPr="00B802ED">
            <w:rPr>
              <w:rFonts w:cstheme="minorHAnsi"/>
            </w:rPr>
            <w:t>JONES v. PADAVATTON [1969]</w:t>
          </w:r>
          <w:r w:rsidR="009007D0">
            <w:rPr>
              <w:rFonts w:cstheme="minorHAnsi"/>
            </w:rPr>
            <w:t xml:space="preserve"> </w:t>
          </w:r>
          <w:r w:rsidR="008514FA">
            <w:rPr>
              <w:rFonts w:cstheme="minorHAnsi"/>
            </w:rPr>
            <w:t xml:space="preserve">The mother wanted her daughter to give up the secretarial work and train in the law department in England, so the mother was given a monthly allowance for the duration </w:t>
          </w:r>
          <w:r w:rsidR="00BA7C70">
            <w:rPr>
              <w:rFonts w:cstheme="minorHAnsi"/>
            </w:rPr>
            <w:t xml:space="preserve">of her studies, and the mother bought a house for her daughter to live in and she could rent a room to support herself, but there was no contract or written agreement between them, after that the daughter failed to study and the mother quarrelled </w:t>
          </w:r>
          <w:r w:rsidR="00BA7C70">
            <w:rPr>
              <w:rFonts w:cstheme="minorHAnsi"/>
            </w:rPr>
            <w:lastRenderedPageBreak/>
            <w:t xml:space="preserve">with her daughter, the mother took possession of the house there was not enough evidence for the case, the court considered the appeal that there was no agreement to prove legal relations binding although the possibility of refuting this </w:t>
          </w:r>
          <w:r w:rsidR="001A1B67">
            <w:rPr>
              <w:rFonts w:cstheme="minorHAnsi"/>
            </w:rPr>
            <w:t>proposition</w:t>
          </w:r>
          <w:r w:rsidR="00BA7C70">
            <w:rPr>
              <w:rFonts w:cstheme="minorHAnsi"/>
            </w:rPr>
            <w:t xml:space="preserve"> </w:t>
          </w:r>
          <w:sdt>
            <w:sdtPr>
              <w:rPr>
                <w:rFonts w:cstheme="minorHAnsi"/>
              </w:rPr>
              <w:id w:val="2065988189"/>
              <w:citation/>
            </w:sdtPr>
            <w:sdtContent>
              <w:r w:rsidR="00E94701">
                <w:rPr>
                  <w:rFonts w:cstheme="minorHAnsi"/>
                </w:rPr>
                <w:fldChar w:fldCharType="begin"/>
              </w:r>
              <w:r w:rsidR="00E94701">
                <w:rPr>
                  <w:rFonts w:cstheme="minorHAnsi"/>
                  <w:lang w:val="en-US"/>
                </w:rPr>
                <w:instrText xml:space="preserve"> CITATION Dan \l 1033 </w:instrText>
              </w:r>
              <w:r w:rsidR="00E94701">
                <w:rPr>
                  <w:rFonts w:cstheme="minorHAnsi"/>
                </w:rPr>
                <w:fldChar w:fldCharType="separate"/>
              </w:r>
              <w:r w:rsidR="00E94701">
                <w:rPr>
                  <w:rFonts w:cstheme="minorHAnsi"/>
                  <w:noProof/>
                  <w:lang w:val="en-US"/>
                </w:rPr>
                <w:t xml:space="preserve"> </w:t>
              </w:r>
              <w:r w:rsidR="00E94701" w:rsidRPr="00E94701">
                <w:rPr>
                  <w:rFonts w:cstheme="minorHAnsi"/>
                  <w:noProof/>
                  <w:lang w:val="en-US"/>
                </w:rPr>
                <w:t>(Danckwerts, n.d.)</w:t>
              </w:r>
              <w:r w:rsidR="00E94701">
                <w:rPr>
                  <w:rFonts w:cstheme="minorHAnsi"/>
                </w:rPr>
                <w:fldChar w:fldCharType="end"/>
              </w:r>
            </w:sdtContent>
          </w:sdt>
          <w:r w:rsidR="00C25567">
            <w:rPr>
              <w:rFonts w:cstheme="minorHAnsi"/>
            </w:rPr>
            <w:t>.</w:t>
          </w:r>
        </w:p>
        <w:p w14:paraId="0C59CB6B" w14:textId="77777777" w:rsidR="009007D0" w:rsidRDefault="009007D0" w:rsidP="00001D99">
          <w:pPr>
            <w:spacing w:line="360" w:lineRule="auto"/>
            <w:jc w:val="both"/>
            <w:rPr>
              <w:rFonts w:cstheme="minorHAnsi"/>
            </w:rPr>
          </w:pPr>
        </w:p>
        <w:p w14:paraId="0BC40AFD" w14:textId="3A5A3DBD" w:rsidR="002164D7" w:rsidRDefault="00A5069E" w:rsidP="00001D99">
          <w:pPr>
            <w:spacing w:line="360" w:lineRule="auto"/>
            <w:jc w:val="both"/>
            <w:rPr>
              <w:rFonts w:cstheme="minorHAnsi"/>
            </w:rPr>
          </w:pPr>
          <w:r>
            <w:rPr>
              <w:rFonts w:cstheme="minorHAnsi"/>
            </w:rPr>
            <w:t>Merritt v Merritt</w:t>
          </w:r>
          <w:r w:rsidR="009007D0">
            <w:rPr>
              <w:rFonts w:cstheme="minorHAnsi"/>
            </w:rPr>
            <w:t xml:space="preserve">, </w:t>
          </w:r>
          <w:r w:rsidR="006F2825" w:rsidRPr="006F2825">
            <w:rPr>
              <w:rFonts w:cstheme="minorHAnsi"/>
            </w:rPr>
            <w:t>a law of intent was concluded between the couple to make the necessary arrangements for legal procedures</w:t>
          </w:r>
          <w:r w:rsidR="006F2825">
            <w:rPr>
              <w:rFonts w:cstheme="minorHAnsi"/>
            </w:rPr>
            <w:t xml:space="preserve"> it, </w:t>
          </w:r>
          <w:r w:rsidR="006F2825" w:rsidRPr="006F2825">
            <w:rPr>
              <w:rFonts w:cstheme="minorHAnsi"/>
            </w:rPr>
            <w:t>but it was considered they are separated and intended to establish legal relations. In this situation, the wife has the right to file a lawsuit against the agreement because she is the one who pays the mortgage, and she has the right to ac</w:t>
          </w:r>
          <w:r w:rsidR="006F2825">
            <w:rPr>
              <w:rFonts w:cstheme="minorHAnsi"/>
            </w:rPr>
            <w:t xml:space="preserve">t </w:t>
          </w:r>
          <w:sdt>
            <w:sdtPr>
              <w:rPr>
                <w:rFonts w:cstheme="minorHAnsi"/>
              </w:rPr>
              <w:id w:val="363253351"/>
              <w:citation/>
            </w:sdtPr>
            <w:sdtContent>
              <w:r w:rsidR="00D5012B">
                <w:rPr>
                  <w:rFonts w:cstheme="minorHAnsi"/>
                </w:rPr>
                <w:fldChar w:fldCharType="begin"/>
              </w:r>
              <w:r w:rsidR="00D5012B">
                <w:rPr>
                  <w:rFonts w:cstheme="minorHAnsi"/>
                  <w:lang w:val="en-US"/>
                </w:rPr>
                <w:instrText xml:space="preserve"> CITATION LOR70 \l 1033 </w:instrText>
              </w:r>
              <w:r w:rsidR="00D5012B">
                <w:rPr>
                  <w:rFonts w:cstheme="minorHAnsi"/>
                </w:rPr>
                <w:fldChar w:fldCharType="separate"/>
              </w:r>
              <w:r w:rsidR="00D5012B">
                <w:rPr>
                  <w:rFonts w:cstheme="minorHAnsi"/>
                  <w:noProof/>
                  <w:lang w:val="en-US"/>
                </w:rPr>
                <w:t xml:space="preserve"> </w:t>
              </w:r>
              <w:r w:rsidR="00D5012B" w:rsidRPr="00D5012B">
                <w:rPr>
                  <w:rFonts w:cstheme="minorHAnsi"/>
                  <w:noProof/>
                  <w:lang w:val="en-US"/>
                </w:rPr>
                <w:t>(LORD DENNING MR, 1970)</w:t>
              </w:r>
              <w:r w:rsidR="00D5012B">
                <w:rPr>
                  <w:rFonts w:cstheme="minorHAnsi"/>
                </w:rPr>
                <w:fldChar w:fldCharType="end"/>
              </w:r>
            </w:sdtContent>
          </w:sdt>
          <w:r w:rsidR="00D5012B">
            <w:rPr>
              <w:rFonts w:cstheme="minorHAnsi"/>
            </w:rPr>
            <w:t>.</w:t>
          </w:r>
          <w:r w:rsidR="006F2825">
            <w:rPr>
              <w:rFonts w:cstheme="minorHAnsi"/>
            </w:rPr>
            <w:t xml:space="preserve"> </w:t>
          </w:r>
          <w:r w:rsidR="00304510" w:rsidRPr="00304510">
            <w:rPr>
              <w:rFonts w:cstheme="minorHAnsi"/>
            </w:rPr>
            <w:t xml:space="preserve">The court system in the case with regard to property in marriage there is no objection between the spouses from establishing legally binding arrangements, whether it is a settlement or a contract to organize the property and the necessary affairs between them if they are together, such as rent sharing agreements or financial accounts, also the important factor that the court of appeal did is that the conditions the agreement must be implemented in the case because fear not committing to between the parties, moreover to the presence of the wife’s obligation to pay the mortgage instalments, one of the reasons for the court of appeal’s decision to establish legal relations with the presence of intention, in addition to clarity of the contracts between spouses in the business with certainty that will refute the hypothesis </w:t>
          </w:r>
          <w:sdt>
            <w:sdtPr>
              <w:rPr>
                <w:rFonts w:cstheme="minorHAnsi"/>
              </w:rPr>
              <w:id w:val="-1111513356"/>
              <w:citation/>
            </w:sdtPr>
            <w:sdtContent>
              <w:r w:rsidR="00944554">
                <w:rPr>
                  <w:rFonts w:cstheme="minorHAnsi"/>
                </w:rPr>
                <w:fldChar w:fldCharType="begin"/>
              </w:r>
              <w:r w:rsidR="00944554">
                <w:rPr>
                  <w:rFonts w:cstheme="minorHAnsi"/>
                  <w:lang w:val="en-US"/>
                </w:rPr>
                <w:instrText xml:space="preserve"> CITATION Rob19 \l 1033 </w:instrText>
              </w:r>
              <w:r w:rsidR="00944554">
                <w:rPr>
                  <w:rFonts w:cstheme="minorHAnsi"/>
                </w:rPr>
                <w:fldChar w:fldCharType="separate"/>
              </w:r>
              <w:r w:rsidR="00944554">
                <w:rPr>
                  <w:rFonts w:cstheme="minorHAnsi"/>
                  <w:noProof/>
                  <w:lang w:val="en-US"/>
                </w:rPr>
                <w:t xml:space="preserve"> </w:t>
              </w:r>
              <w:r w:rsidR="00944554" w:rsidRPr="00944554">
                <w:rPr>
                  <w:rFonts w:cstheme="minorHAnsi"/>
                  <w:noProof/>
                  <w:lang w:val="en-US"/>
                </w:rPr>
                <w:t>(Saintier, 2019)</w:t>
              </w:r>
              <w:r w:rsidR="00944554">
                <w:rPr>
                  <w:rFonts w:cstheme="minorHAnsi"/>
                </w:rPr>
                <w:fldChar w:fldCharType="end"/>
              </w:r>
            </w:sdtContent>
          </w:sdt>
          <w:r w:rsidR="00944554">
            <w:rPr>
              <w:rFonts w:cstheme="minorHAnsi"/>
            </w:rPr>
            <w:t>.</w:t>
          </w:r>
        </w:p>
        <w:p w14:paraId="1F88950C" w14:textId="77777777" w:rsidR="006F2825" w:rsidRDefault="006F2825" w:rsidP="00001D99">
          <w:pPr>
            <w:spacing w:line="360" w:lineRule="auto"/>
            <w:jc w:val="both"/>
            <w:rPr>
              <w:rFonts w:cstheme="minorHAnsi"/>
            </w:rPr>
          </w:pPr>
        </w:p>
        <w:p w14:paraId="5A7F0B97" w14:textId="79EE78A7" w:rsidR="003B0218" w:rsidRPr="0047717E" w:rsidRDefault="003B0218" w:rsidP="00001D99">
          <w:pPr>
            <w:spacing w:line="360" w:lineRule="auto"/>
            <w:jc w:val="both"/>
            <w:rPr>
              <w:rFonts w:cstheme="minorHAnsi"/>
            </w:rPr>
          </w:pPr>
          <w:r w:rsidRPr="003B0218">
            <w:rPr>
              <w:rFonts w:cstheme="minorHAnsi"/>
              <w:lang w:val="en-US"/>
            </w:rPr>
            <w:t>Simpkins v Pays</w:t>
          </w:r>
          <w:r w:rsidR="0047717E">
            <w:rPr>
              <w:rFonts w:cstheme="minorHAnsi"/>
              <w:lang w:val="en-US"/>
            </w:rPr>
            <w:t xml:space="preserve">, </w:t>
          </w:r>
          <w:r w:rsidR="0047717E" w:rsidRPr="0047717E">
            <w:rPr>
              <w:rFonts w:cstheme="minorHAnsi"/>
              <w:lang w:val="en-US"/>
            </w:rPr>
            <w:t xml:space="preserve">In social relations between the unrelated persons in which the compliance with the law in the agreement is not refutable in Simpkins v Pays a plaintiff was entering competitions the landlord of the defendant's house participated with him for them to share the cost both of them then she won 750 pound but she did not fulfil the promise he demanded a third of amount but she refused to give him , but she refused, she was claiming that was no intention to legally abide by the agreement, so the court supported the plaintiff, considered that everyone participated  in competition with the expectation of sharing the prize among them, the application of the law in the courts regarding Lottery case, according to social agreements, it can be assumed that the parties do not intend to establish legal relations because sometimes the deal is verbal between them, so the court decided, based on events that the assumption must be refuted with the establishment of legal relations with </w:t>
          </w:r>
          <w:r w:rsidR="0047717E">
            <w:rPr>
              <w:rFonts w:cstheme="minorHAnsi"/>
              <w:lang w:val="en-US"/>
            </w:rPr>
            <w:t>t</w:t>
          </w:r>
          <w:r w:rsidR="0047717E" w:rsidRPr="0047717E">
            <w:rPr>
              <w:rFonts w:cstheme="minorHAnsi"/>
              <w:lang w:val="en-US"/>
            </w:rPr>
            <w:t>h</w:t>
          </w:r>
          <w:r w:rsidR="0047717E">
            <w:rPr>
              <w:rFonts w:cstheme="minorHAnsi"/>
              <w:lang w:val="en-US"/>
            </w:rPr>
            <w:t>e</w:t>
          </w:r>
          <w:r w:rsidR="0047717E" w:rsidRPr="0047717E">
            <w:rPr>
              <w:rFonts w:cstheme="minorHAnsi"/>
              <w:lang w:val="en-US"/>
            </w:rPr>
            <w:t xml:space="preserve"> presence of intention</w:t>
          </w:r>
          <w:sdt>
            <w:sdtPr>
              <w:rPr>
                <w:rFonts w:cstheme="minorHAnsi"/>
                <w:lang w:val="en-US"/>
              </w:rPr>
              <w:id w:val="-369995852"/>
              <w:citation/>
            </w:sdtPr>
            <w:sdtContent>
              <w:r w:rsidR="0056112F">
                <w:rPr>
                  <w:rFonts w:cstheme="minorHAnsi"/>
                  <w:lang w:val="en-US"/>
                </w:rPr>
                <w:fldChar w:fldCharType="begin"/>
              </w:r>
              <w:r w:rsidR="0056112F">
                <w:rPr>
                  <w:rFonts w:cstheme="minorHAnsi"/>
                  <w:lang w:val="en-US"/>
                </w:rPr>
                <w:instrText xml:space="preserve"> CITATION Ell19 \l 1033 </w:instrText>
              </w:r>
              <w:r w:rsidR="0056112F">
                <w:rPr>
                  <w:rFonts w:cstheme="minorHAnsi"/>
                  <w:lang w:val="en-US"/>
                </w:rPr>
                <w:fldChar w:fldCharType="separate"/>
              </w:r>
              <w:r w:rsidR="0056112F">
                <w:rPr>
                  <w:rFonts w:cstheme="minorHAnsi"/>
                  <w:noProof/>
                  <w:lang w:val="en-US"/>
                </w:rPr>
                <w:t xml:space="preserve"> </w:t>
              </w:r>
              <w:r w:rsidR="0056112F" w:rsidRPr="0056112F">
                <w:rPr>
                  <w:rFonts w:cstheme="minorHAnsi"/>
                  <w:noProof/>
                  <w:lang w:val="en-US"/>
                </w:rPr>
                <w:t>(Elliott, 2019)</w:t>
              </w:r>
              <w:r w:rsidR="0056112F">
                <w:rPr>
                  <w:rFonts w:cstheme="minorHAnsi"/>
                  <w:lang w:val="en-US"/>
                </w:rPr>
                <w:fldChar w:fldCharType="end"/>
              </w:r>
            </w:sdtContent>
          </w:sdt>
          <w:r w:rsidR="0056112F">
            <w:rPr>
              <w:rFonts w:cstheme="minorHAnsi"/>
              <w:lang w:val="en-US"/>
            </w:rPr>
            <w:t>.</w:t>
          </w:r>
        </w:p>
        <w:p w14:paraId="41689D34" w14:textId="6563A32A" w:rsidR="004C1A28" w:rsidRDefault="004C1A28" w:rsidP="00001D99">
          <w:pPr>
            <w:spacing w:line="360" w:lineRule="auto"/>
            <w:jc w:val="both"/>
            <w:rPr>
              <w:rFonts w:cstheme="minorHAnsi"/>
              <w:lang w:val="en-US"/>
            </w:rPr>
          </w:pPr>
        </w:p>
        <w:p w14:paraId="6805F676" w14:textId="57279BB7" w:rsidR="004C1A28" w:rsidRDefault="004C1A28" w:rsidP="00001D99">
          <w:pPr>
            <w:spacing w:line="360" w:lineRule="auto"/>
            <w:jc w:val="both"/>
            <w:rPr>
              <w:rFonts w:cstheme="minorHAnsi"/>
              <w:lang w:val="en-US"/>
            </w:rPr>
          </w:pPr>
          <w:r>
            <w:rPr>
              <w:rFonts w:cstheme="minorHAnsi"/>
              <w:lang w:val="en-US"/>
            </w:rPr>
            <w:lastRenderedPageBreak/>
            <w:t>Esso Petroleum LTD v Commissioners of customs and Excise</w:t>
          </w:r>
          <w:r w:rsidR="006F2825">
            <w:rPr>
              <w:rFonts w:cstheme="minorHAnsi"/>
              <w:lang w:val="en-US"/>
            </w:rPr>
            <w:t xml:space="preserve">, </w:t>
          </w:r>
          <w:r w:rsidR="00EE701B" w:rsidRPr="00EE701B">
            <w:rPr>
              <w:rFonts w:cstheme="minorHAnsi"/>
              <w:lang w:val="en-US"/>
            </w:rPr>
            <w:t>Esso plans to promote his sales in exchange for the garage owners giving away a free World Cup coin every four gallons of gasoline. Tax and customs were demanded on the cash because they were produced in large quantities, but the coins were not sold due to a dispute over establishing the case contract. However, the currency transfer was not money but a pledge. The customer entered into it as a guaranteed contract to buy gasoline moreover there was an intention to establish legal relations some disagreed about that because the arrangement was put in the context of commercial relations and some argued about the frivolity of the deal and the desire for trial there is a test of intent to prove legal relation and the reason for the contract was to buy gasoline to obtain coin</w:t>
          </w:r>
          <w:sdt>
            <w:sdtPr>
              <w:rPr>
                <w:rFonts w:cstheme="minorHAnsi"/>
                <w:lang w:val="en-US"/>
              </w:rPr>
              <w:id w:val="1560279612"/>
              <w:citation/>
            </w:sdtPr>
            <w:sdtContent>
              <w:r w:rsidR="002071FA">
                <w:rPr>
                  <w:rFonts w:cstheme="minorHAnsi"/>
                  <w:lang w:val="en-US"/>
                </w:rPr>
                <w:fldChar w:fldCharType="begin"/>
              </w:r>
              <w:r w:rsidR="002071FA">
                <w:rPr>
                  <w:rFonts w:cstheme="minorHAnsi"/>
                  <w:lang w:val="en-US"/>
                </w:rPr>
                <w:instrText xml:space="preserve"> CITATION Rob191 \l 1033 </w:instrText>
              </w:r>
              <w:r w:rsidR="002071FA">
                <w:rPr>
                  <w:rFonts w:cstheme="minorHAnsi"/>
                  <w:lang w:val="en-US"/>
                </w:rPr>
                <w:fldChar w:fldCharType="separate"/>
              </w:r>
              <w:r w:rsidR="002071FA">
                <w:rPr>
                  <w:rFonts w:cstheme="minorHAnsi"/>
                  <w:noProof/>
                  <w:lang w:val="en-US"/>
                </w:rPr>
                <w:t xml:space="preserve"> </w:t>
              </w:r>
              <w:r w:rsidR="002071FA" w:rsidRPr="002071FA">
                <w:rPr>
                  <w:rFonts w:cstheme="minorHAnsi"/>
                  <w:noProof/>
                  <w:lang w:val="en-US"/>
                </w:rPr>
                <w:t>(Robert Merkin, 2019)</w:t>
              </w:r>
              <w:r w:rsidR="002071FA">
                <w:rPr>
                  <w:rFonts w:cstheme="minorHAnsi"/>
                  <w:lang w:val="en-US"/>
                </w:rPr>
                <w:fldChar w:fldCharType="end"/>
              </w:r>
            </w:sdtContent>
          </w:sdt>
          <w:r w:rsidR="002071FA">
            <w:rPr>
              <w:rFonts w:cstheme="minorHAnsi"/>
              <w:lang w:val="en-US"/>
            </w:rPr>
            <w:t>.</w:t>
          </w:r>
          <w:r w:rsidR="00EE701B">
            <w:rPr>
              <w:rFonts w:cstheme="minorHAnsi"/>
              <w:lang w:val="en-US"/>
            </w:rPr>
            <w:t xml:space="preserve"> So, in commercial agreements there is a strong presumption that the parties intend to abide by the law even if there is </w:t>
          </w:r>
          <w:r w:rsidR="006D4195">
            <w:rPr>
              <w:rFonts w:cstheme="minorHAnsi"/>
              <w:lang w:val="en-US"/>
            </w:rPr>
            <w:t>no clear evidence to the contrary, so this assumption is not refuted in terms of legal principle</w:t>
          </w:r>
          <w:sdt>
            <w:sdtPr>
              <w:rPr>
                <w:rFonts w:cstheme="minorHAnsi"/>
                <w:lang w:val="en-US"/>
              </w:rPr>
              <w:id w:val="1988355219"/>
              <w:citation/>
            </w:sdtPr>
            <w:sdtContent>
              <w:r w:rsidR="006D4195">
                <w:rPr>
                  <w:rFonts w:cstheme="minorHAnsi"/>
                  <w:lang w:val="en-US"/>
                </w:rPr>
                <w:fldChar w:fldCharType="begin"/>
              </w:r>
              <w:r w:rsidR="006D4195">
                <w:rPr>
                  <w:rFonts w:cstheme="minorHAnsi"/>
                  <w:lang w:val="en-US"/>
                </w:rPr>
                <w:instrText xml:space="preserve"> CITATION Fra19 \l 1033 </w:instrText>
              </w:r>
              <w:r w:rsidR="006D4195">
                <w:rPr>
                  <w:rFonts w:cstheme="minorHAnsi"/>
                  <w:lang w:val="en-US"/>
                </w:rPr>
                <w:fldChar w:fldCharType="separate"/>
              </w:r>
              <w:r w:rsidR="006D4195">
                <w:rPr>
                  <w:rFonts w:cstheme="minorHAnsi"/>
                  <w:noProof/>
                  <w:lang w:val="en-US"/>
                </w:rPr>
                <w:t xml:space="preserve"> </w:t>
              </w:r>
              <w:r w:rsidR="006D4195" w:rsidRPr="006D4195">
                <w:rPr>
                  <w:rFonts w:cstheme="minorHAnsi"/>
                  <w:noProof/>
                  <w:lang w:val="en-US"/>
                </w:rPr>
                <w:t>(Quinn, 2019)</w:t>
              </w:r>
              <w:r w:rsidR="006D4195">
                <w:rPr>
                  <w:rFonts w:cstheme="minorHAnsi"/>
                  <w:lang w:val="en-US"/>
                </w:rPr>
                <w:fldChar w:fldCharType="end"/>
              </w:r>
            </w:sdtContent>
          </w:sdt>
          <w:r w:rsidR="006D4195">
            <w:rPr>
              <w:rFonts w:cstheme="minorHAnsi"/>
              <w:lang w:val="en-US"/>
            </w:rPr>
            <w:t>.</w:t>
          </w:r>
        </w:p>
        <w:p w14:paraId="37A9E540" w14:textId="77777777" w:rsidR="006D4195" w:rsidRDefault="006D4195" w:rsidP="00001D99">
          <w:pPr>
            <w:spacing w:line="360" w:lineRule="auto"/>
            <w:jc w:val="both"/>
            <w:rPr>
              <w:rFonts w:cstheme="minorHAnsi"/>
              <w:lang w:val="en-US"/>
            </w:rPr>
          </w:pPr>
        </w:p>
        <w:p w14:paraId="3ABC3F66" w14:textId="715BE0D0" w:rsidR="00733E19" w:rsidRPr="006F2825" w:rsidRDefault="00DE4E42" w:rsidP="00001D99">
          <w:pPr>
            <w:spacing w:line="360" w:lineRule="auto"/>
            <w:jc w:val="both"/>
            <w:rPr>
              <w:rFonts w:cstheme="minorHAnsi"/>
              <w:lang w:val="en-US"/>
            </w:rPr>
          </w:pPr>
          <w:r w:rsidRPr="00DE4E42">
            <w:rPr>
              <w:rFonts w:cstheme="minorHAnsi"/>
              <w:lang w:val="en-US"/>
            </w:rPr>
            <w:t>Edwards v Skyways 1964</w:t>
          </w:r>
          <w:r w:rsidR="006F2825">
            <w:rPr>
              <w:rFonts w:cstheme="minorHAnsi"/>
              <w:lang w:val="en-US"/>
            </w:rPr>
            <w:t xml:space="preserve">, </w:t>
          </w:r>
          <w:r w:rsidR="009B4357" w:rsidRPr="009B4357">
            <w:rPr>
              <w:rFonts w:cstheme="minorHAnsi"/>
              <w:lang w:val="en-US"/>
            </w:rPr>
            <w:t>the plaintiff works as an airline pilot, they gave him notice 3 months ago to leave the contract the plaintiff chose to withdraw his contribution with a tip or take the fees at the age of fifty but he breached a contract and filed a lawsuit, moreover, the intention to establish legal relations between the company and its employees is not applied in the event of an enforceable work contract while the burden of proof in violating the assumption that there is an intention to establish legal relations in the business rests with the responsibility of the party who wants to cancel the contract. The judge refused, relying on notes related to the case that failure of the existence of an intention to establish legal relations that will be the responsibility of the bank, and the contract does not matter whether bilateral or unilateral when the contract is between two parties in case of assuming a contractual relationship, it will be a strong assumption of legal commitment in the commercial context</w:t>
          </w:r>
          <w:sdt>
            <w:sdtPr>
              <w:rPr>
                <w:rFonts w:cstheme="minorHAnsi"/>
              </w:rPr>
              <w:id w:val="1296093817"/>
              <w:citation/>
            </w:sdtPr>
            <w:sdtContent>
              <w:r w:rsidR="008931B4">
                <w:rPr>
                  <w:rFonts w:cstheme="minorHAnsi"/>
                </w:rPr>
                <w:fldChar w:fldCharType="begin"/>
              </w:r>
              <w:r w:rsidR="008931B4">
                <w:rPr>
                  <w:rFonts w:cstheme="minorHAnsi"/>
                  <w:lang w:val="en-US"/>
                </w:rPr>
                <w:instrText xml:space="preserve"> CITATION Pau19 \l 1033 </w:instrText>
              </w:r>
              <w:r w:rsidR="008931B4">
                <w:rPr>
                  <w:rFonts w:cstheme="minorHAnsi"/>
                </w:rPr>
                <w:fldChar w:fldCharType="separate"/>
              </w:r>
              <w:r w:rsidR="008931B4">
                <w:rPr>
                  <w:rFonts w:cstheme="minorHAnsi"/>
                  <w:noProof/>
                  <w:lang w:val="en-US"/>
                </w:rPr>
                <w:t xml:space="preserve"> </w:t>
              </w:r>
              <w:r w:rsidR="008931B4" w:rsidRPr="008931B4">
                <w:rPr>
                  <w:rFonts w:cstheme="minorHAnsi"/>
                  <w:noProof/>
                  <w:lang w:val="en-US"/>
                </w:rPr>
                <w:t>(Richards, 2019)</w:t>
              </w:r>
              <w:r w:rsidR="008931B4">
                <w:rPr>
                  <w:rFonts w:cstheme="minorHAnsi"/>
                </w:rPr>
                <w:fldChar w:fldCharType="end"/>
              </w:r>
            </w:sdtContent>
          </w:sdt>
          <w:r w:rsidR="008931B4">
            <w:rPr>
              <w:rFonts w:cstheme="minorHAnsi"/>
            </w:rPr>
            <w:t>.</w:t>
          </w:r>
        </w:p>
        <w:p w14:paraId="50884F09" w14:textId="184CE36A" w:rsidR="0011651C" w:rsidRDefault="0011651C" w:rsidP="00001D99">
          <w:pPr>
            <w:spacing w:line="360" w:lineRule="auto"/>
            <w:jc w:val="both"/>
            <w:rPr>
              <w:rFonts w:cstheme="minorHAnsi"/>
            </w:rPr>
          </w:pPr>
        </w:p>
        <w:p w14:paraId="356504AA" w14:textId="4A100E47" w:rsidR="00D5012B" w:rsidRDefault="0011651C" w:rsidP="00001D99">
          <w:pPr>
            <w:spacing w:line="360" w:lineRule="auto"/>
            <w:jc w:val="both"/>
            <w:rPr>
              <w:rFonts w:cstheme="minorHAnsi"/>
            </w:rPr>
          </w:pPr>
          <w:r w:rsidRPr="0011651C">
            <w:rPr>
              <w:rFonts w:cstheme="minorHAnsi"/>
            </w:rPr>
            <w:t>Rose &amp; Frank v Crompton Bros 1925</w:t>
          </w:r>
          <w:r w:rsidR="006F2825">
            <w:rPr>
              <w:rFonts w:cstheme="minorHAnsi"/>
            </w:rPr>
            <w:t xml:space="preserve"> ,t</w:t>
          </w:r>
          <w:r w:rsidR="0033789E" w:rsidRPr="0033789E">
            <w:rPr>
              <w:rFonts w:cstheme="minorHAnsi"/>
            </w:rPr>
            <w:t xml:space="preserve">he exchange of goods between England and the United States, but no legal or formal agreement has been arranged between them, and the application of the law to the courts in both countries will be nothing but a clear aim, a clear registration, and the intent of the parties, with each of them undertaking to honourable themselves with confidence, and mutual loyalty and friendly cooperation between them, but when the company breaches the contract, so The House of Lords deals with actual </w:t>
          </w:r>
          <w:r w:rsidR="0033789E" w:rsidRPr="0033789E">
            <w:rPr>
              <w:rFonts w:cstheme="minorHAnsi"/>
            </w:rPr>
            <w:lastRenderedPageBreak/>
            <w:t>transactions under an agency agreement which provided for the ordinary legal rights of an obligation to deliver goods and accept orders and also pay for goods on delivery</w:t>
          </w:r>
          <w:r w:rsidR="0033789E">
            <w:rPr>
              <w:rFonts w:cstheme="minorHAnsi"/>
            </w:rPr>
            <w:t>, it is possible to assume the exitance of the intention and refute it from the clause in the agreement explicitly, but the opinion because the clause in the paradoxes has no legal force. If the agreement is found and included there is no contract</w:t>
          </w:r>
          <w:sdt>
            <w:sdtPr>
              <w:rPr>
                <w:rFonts w:cstheme="minorHAnsi"/>
              </w:rPr>
              <w:id w:val="-744185984"/>
              <w:citation/>
            </w:sdtPr>
            <w:sdtContent>
              <w:r w:rsidR="0033789E">
                <w:rPr>
                  <w:rFonts w:cstheme="minorHAnsi"/>
                </w:rPr>
                <w:fldChar w:fldCharType="begin"/>
              </w:r>
              <w:r w:rsidR="00052FD6">
                <w:rPr>
                  <w:rFonts w:cstheme="minorHAnsi"/>
                  <w:lang w:val="en-US"/>
                </w:rPr>
                <w:instrText xml:space="preserve">CITATION Ros \l 1033 </w:instrText>
              </w:r>
              <w:r w:rsidR="0033789E">
                <w:rPr>
                  <w:rFonts w:cstheme="minorHAnsi"/>
                </w:rPr>
                <w:fldChar w:fldCharType="separate"/>
              </w:r>
              <w:r w:rsidR="00052FD6">
                <w:rPr>
                  <w:rFonts w:cstheme="minorHAnsi"/>
                  <w:noProof/>
                </w:rPr>
                <w:t xml:space="preserve"> </w:t>
              </w:r>
              <w:r w:rsidR="00052FD6" w:rsidRPr="00052FD6">
                <w:rPr>
                  <w:rFonts w:cstheme="minorHAnsi"/>
                  <w:noProof/>
                </w:rPr>
                <w:t>(EARL OF BIRKENHEAD, 2017 )</w:t>
              </w:r>
              <w:r w:rsidR="0033789E">
                <w:rPr>
                  <w:rFonts w:cstheme="minorHAnsi"/>
                </w:rPr>
                <w:fldChar w:fldCharType="end"/>
              </w:r>
            </w:sdtContent>
          </w:sdt>
          <w:r w:rsidR="0033789E">
            <w:rPr>
              <w:rFonts w:cstheme="minorHAnsi"/>
            </w:rPr>
            <w:t>.</w:t>
          </w:r>
        </w:p>
        <w:p w14:paraId="71F5C92B" w14:textId="77777777" w:rsidR="00F10D11" w:rsidRDefault="00F10D11" w:rsidP="00001D99">
          <w:pPr>
            <w:spacing w:line="360" w:lineRule="auto"/>
            <w:jc w:val="both"/>
            <w:rPr>
              <w:rFonts w:cstheme="minorHAnsi"/>
            </w:rPr>
          </w:pPr>
        </w:p>
        <w:p w14:paraId="307D6B72" w14:textId="4557526E" w:rsidR="00B12303" w:rsidRDefault="00F10D11" w:rsidP="00001D99">
          <w:pPr>
            <w:spacing w:line="360" w:lineRule="auto"/>
            <w:jc w:val="both"/>
            <w:rPr>
              <w:rFonts w:cstheme="minorHAnsi"/>
            </w:rPr>
          </w:pPr>
          <w:r w:rsidRPr="00F10D11">
            <w:rPr>
              <w:rFonts w:cstheme="minorHAnsi"/>
            </w:rPr>
            <w:t>Kleinwort Benson v Malaysian Mining Corp 1989</w:t>
          </w:r>
          <w:r>
            <w:rPr>
              <w:rFonts w:cstheme="minorHAnsi"/>
            </w:rPr>
            <w:t xml:space="preserve">, the letter of comfort was presented by the bank merchant to a subsidiary company stating the fulfilment of the two obligations to the main company as it is clear that the agreement is a commercial agreement therefore the presumption of the existence of the intent to form legal relations can be refuted by the letter of comfort and the wording in it does not mean promises the possibility of subtle differences depends on how the letter is worded and the method of presenting it can be the kind of solid or simple in the letter, so the court of appeal in the letter case ruled that it is not legally enforceable </w:t>
          </w:r>
          <w:r w:rsidR="00B12303">
            <w:rPr>
              <w:rFonts w:cstheme="minorHAnsi"/>
            </w:rPr>
            <w:t>it does not stipulate a promise</w:t>
          </w:r>
          <w:sdt>
            <w:sdtPr>
              <w:rPr>
                <w:rFonts w:cstheme="minorHAnsi"/>
              </w:rPr>
              <w:id w:val="364101897"/>
              <w:citation/>
            </w:sdtPr>
            <w:sdtContent>
              <w:r w:rsidR="00B12303">
                <w:rPr>
                  <w:rFonts w:cstheme="minorHAnsi"/>
                </w:rPr>
                <w:fldChar w:fldCharType="begin"/>
              </w:r>
              <w:r w:rsidR="00B12303">
                <w:rPr>
                  <w:rFonts w:cstheme="minorHAnsi"/>
                  <w:lang w:val="en-US"/>
                </w:rPr>
                <w:instrText xml:space="preserve"> CITATION EPE91 \l 1033 </w:instrText>
              </w:r>
              <w:r w:rsidR="00B12303">
                <w:rPr>
                  <w:rFonts w:cstheme="minorHAnsi"/>
                </w:rPr>
                <w:fldChar w:fldCharType="separate"/>
              </w:r>
              <w:r w:rsidR="00B12303">
                <w:rPr>
                  <w:rFonts w:cstheme="minorHAnsi"/>
                  <w:noProof/>
                  <w:lang w:val="en-US"/>
                </w:rPr>
                <w:t xml:space="preserve"> </w:t>
              </w:r>
              <w:r w:rsidR="00B12303" w:rsidRPr="00B12303">
                <w:rPr>
                  <w:rFonts w:cstheme="minorHAnsi"/>
                  <w:noProof/>
                  <w:lang w:val="en-US"/>
                </w:rPr>
                <w:t>(Ellinger, 1991)</w:t>
              </w:r>
              <w:r w:rsidR="00B12303">
                <w:rPr>
                  <w:rFonts w:cstheme="minorHAnsi"/>
                </w:rPr>
                <w:fldChar w:fldCharType="end"/>
              </w:r>
            </w:sdtContent>
          </w:sdt>
          <w:r w:rsidR="00B12303">
            <w:rPr>
              <w:rFonts w:cstheme="minorHAnsi"/>
            </w:rPr>
            <w:t>.</w:t>
          </w:r>
        </w:p>
        <w:p w14:paraId="42022319" w14:textId="77777777" w:rsidR="00D86146" w:rsidRDefault="00D86146" w:rsidP="00001D99">
          <w:pPr>
            <w:spacing w:line="360" w:lineRule="auto"/>
            <w:jc w:val="both"/>
            <w:rPr>
              <w:rFonts w:cstheme="minorHAnsi"/>
            </w:rPr>
          </w:pPr>
        </w:p>
        <w:p w14:paraId="0929AA94" w14:textId="42898421" w:rsidR="00F66C2F" w:rsidRDefault="00F66C2F" w:rsidP="00001D99">
          <w:pPr>
            <w:spacing w:line="360" w:lineRule="auto"/>
            <w:jc w:val="both"/>
            <w:rPr>
              <w:rFonts w:cstheme="minorHAnsi"/>
            </w:rPr>
          </w:pPr>
          <w:r w:rsidRPr="00F66C2F">
            <w:rPr>
              <w:rFonts w:cstheme="minorHAnsi"/>
            </w:rPr>
            <w:t>ERDC Group Ltd v Brunel University 2006</w:t>
          </w:r>
          <w:r>
            <w:rPr>
              <w:rFonts w:cstheme="minorHAnsi"/>
            </w:rPr>
            <w:t>, the plaintiff filed a lawsuit because the works were not according to the letters o</w:t>
          </w:r>
          <w:r w:rsidR="00D86146">
            <w:rPr>
              <w:rFonts w:cstheme="minorHAnsi"/>
            </w:rPr>
            <w:t>f</w:t>
          </w:r>
          <w:r>
            <w:rPr>
              <w:rFonts w:cstheme="minorHAnsi"/>
            </w:rPr>
            <w:t xml:space="preserve"> a</w:t>
          </w:r>
          <w:r w:rsidR="00D86146">
            <w:rPr>
              <w:rFonts w:cstheme="minorHAnsi"/>
            </w:rPr>
            <w:t>n</w:t>
          </w:r>
          <w:r>
            <w:rPr>
              <w:rFonts w:cstheme="minorHAnsi"/>
            </w:rPr>
            <w:t xml:space="preserve"> appointment and he wanted an entitlement to be paid on the basis of the works but in the letters a contract was not made because there was no agreement in which there were basic conditions, the problem is related to issues of quantitative payment being paid to the plaintiff</w:t>
          </w:r>
          <w:r w:rsidR="000D74E7">
            <w:rPr>
              <w:rFonts w:cstheme="minorHAnsi"/>
            </w:rPr>
            <w:t>, so the court decided to review prices, rates and work costs, taking into account the risks to avoid duplication, likewise the possibilities were not dealt with because there is nothing lacking them without the conclusion of contract execution of the contract</w:t>
          </w:r>
          <w:sdt>
            <w:sdtPr>
              <w:rPr>
                <w:rFonts w:cstheme="minorHAnsi"/>
              </w:rPr>
              <w:id w:val="88977431"/>
              <w:citation/>
            </w:sdtPr>
            <w:sdtContent>
              <w:r w:rsidR="000D74E7">
                <w:rPr>
                  <w:rFonts w:cstheme="minorHAnsi"/>
                </w:rPr>
                <w:fldChar w:fldCharType="begin"/>
              </w:r>
              <w:r w:rsidR="000D74E7">
                <w:rPr>
                  <w:rFonts w:cstheme="minorHAnsi"/>
                  <w:lang w:val="en-US"/>
                </w:rPr>
                <w:instrText xml:space="preserve"> CITATION Que17 \l 1033 </w:instrText>
              </w:r>
              <w:r w:rsidR="000D74E7">
                <w:rPr>
                  <w:rFonts w:cstheme="minorHAnsi"/>
                </w:rPr>
                <w:fldChar w:fldCharType="separate"/>
              </w:r>
              <w:r w:rsidR="000D74E7">
                <w:rPr>
                  <w:rFonts w:cstheme="minorHAnsi"/>
                  <w:noProof/>
                  <w:lang w:val="en-US"/>
                </w:rPr>
                <w:t xml:space="preserve"> </w:t>
              </w:r>
              <w:r w:rsidR="000D74E7" w:rsidRPr="000D74E7">
                <w:rPr>
                  <w:rFonts w:cstheme="minorHAnsi"/>
                  <w:noProof/>
                  <w:lang w:val="en-US"/>
                </w:rPr>
                <w:t>(Division, 2017)</w:t>
              </w:r>
              <w:r w:rsidR="000D74E7">
                <w:rPr>
                  <w:rFonts w:cstheme="minorHAnsi"/>
                </w:rPr>
                <w:fldChar w:fldCharType="end"/>
              </w:r>
            </w:sdtContent>
          </w:sdt>
          <w:r w:rsidR="000D74E7">
            <w:rPr>
              <w:rFonts w:cstheme="minorHAnsi"/>
            </w:rPr>
            <w:t>.</w:t>
          </w:r>
          <w:r w:rsidR="005F1D3C">
            <w:rPr>
              <w:rFonts w:cstheme="minorHAnsi"/>
            </w:rPr>
            <w:t xml:space="preserve"> </w:t>
          </w:r>
          <w:r w:rsidR="005F1D3C" w:rsidRPr="005F1D3C">
            <w:rPr>
              <w:rFonts w:cstheme="minorHAnsi"/>
            </w:rPr>
            <w:t>Statutory exceptions – Trade Union &amp; Labour Relations (Consolidation) Act s.179</w:t>
          </w:r>
          <w:r w:rsidR="005F1D3C">
            <w:rPr>
              <w:rFonts w:cstheme="minorHAnsi"/>
            </w:rPr>
            <w:t xml:space="preserve">, In this case the preventive damages were for a non – compliance in trade union and labour relations act that occurred prior to the liquidation of the company and the company’s contingent liabilities in the rules, however the company terminated the </w:t>
          </w:r>
          <w:r w:rsidR="00A931E5">
            <w:rPr>
              <w:rFonts w:cstheme="minorHAnsi"/>
            </w:rPr>
            <w:t>workers’</w:t>
          </w:r>
          <w:r w:rsidR="005F1D3C">
            <w:rPr>
              <w:rFonts w:cstheme="minorHAnsi"/>
            </w:rPr>
            <w:t xml:space="preserve"> jobs without consulting them, form a legal point of view, it is not permissible, so the court issued a preventive decision to work for the employees, the aim of the arbitration decision is to provide penalty to the employer, the ruling is appropriate because he did </w:t>
          </w:r>
          <w:r w:rsidR="00A931E5">
            <w:rPr>
              <w:rFonts w:cstheme="minorHAnsi"/>
            </w:rPr>
            <w:t>not</w:t>
          </w:r>
          <w:r w:rsidR="005F1D3C">
            <w:rPr>
              <w:rFonts w:cstheme="minorHAnsi"/>
            </w:rPr>
            <w:t xml:space="preserve"> consult </w:t>
          </w:r>
          <w:r w:rsidR="00A931E5">
            <w:rPr>
              <w:rFonts w:cstheme="minorHAnsi"/>
            </w:rPr>
            <w:t>so he bears the responsibility of paying the protection compensation</w:t>
          </w:r>
          <w:sdt>
            <w:sdtPr>
              <w:rPr>
                <w:rFonts w:cstheme="minorHAnsi"/>
              </w:rPr>
              <w:id w:val="-1068646214"/>
              <w:citation/>
            </w:sdtPr>
            <w:sdtContent>
              <w:r w:rsidR="00A931E5">
                <w:rPr>
                  <w:rFonts w:cstheme="minorHAnsi"/>
                </w:rPr>
                <w:fldChar w:fldCharType="begin"/>
              </w:r>
              <w:r w:rsidR="00A931E5">
                <w:rPr>
                  <w:rFonts w:cstheme="minorHAnsi"/>
                  <w:lang w:val="en-US"/>
                </w:rPr>
                <w:instrText xml:space="preserve"> CITATION Tho17 \l 1033 </w:instrText>
              </w:r>
              <w:r w:rsidR="00A931E5">
                <w:rPr>
                  <w:rFonts w:cstheme="minorHAnsi"/>
                </w:rPr>
                <w:fldChar w:fldCharType="separate"/>
              </w:r>
              <w:r w:rsidR="00A931E5">
                <w:rPr>
                  <w:rFonts w:cstheme="minorHAnsi"/>
                  <w:noProof/>
                  <w:lang w:val="en-US"/>
                </w:rPr>
                <w:t xml:space="preserve"> </w:t>
              </w:r>
              <w:r w:rsidR="00A931E5" w:rsidRPr="00A931E5">
                <w:rPr>
                  <w:rFonts w:cstheme="minorHAnsi"/>
                  <w:noProof/>
                  <w:lang w:val="en-US"/>
                </w:rPr>
                <w:t>(Thomas, 2017)</w:t>
              </w:r>
              <w:r w:rsidR="00A931E5">
                <w:rPr>
                  <w:rFonts w:cstheme="minorHAnsi"/>
                </w:rPr>
                <w:fldChar w:fldCharType="end"/>
              </w:r>
            </w:sdtContent>
          </w:sdt>
          <w:r w:rsidR="00A931E5">
            <w:rPr>
              <w:rFonts w:cstheme="minorHAnsi"/>
            </w:rPr>
            <w:t>.</w:t>
          </w:r>
        </w:p>
        <w:p w14:paraId="309ECB11" w14:textId="77777777" w:rsidR="00536520" w:rsidRDefault="00536520" w:rsidP="00001D99">
          <w:pPr>
            <w:spacing w:line="360" w:lineRule="auto"/>
            <w:jc w:val="both"/>
            <w:rPr>
              <w:rFonts w:cstheme="minorHAnsi"/>
            </w:rPr>
          </w:pPr>
        </w:p>
        <w:p w14:paraId="41B4220B" w14:textId="55F48499" w:rsidR="00536520" w:rsidRDefault="00536520" w:rsidP="00001D99">
          <w:pPr>
            <w:spacing w:line="360" w:lineRule="auto"/>
            <w:jc w:val="both"/>
            <w:rPr>
              <w:rFonts w:cstheme="minorHAnsi"/>
            </w:rPr>
          </w:pPr>
          <w:r w:rsidRPr="00536520">
            <w:rPr>
              <w:rFonts w:cstheme="minorHAnsi"/>
            </w:rPr>
            <w:lastRenderedPageBreak/>
            <w:t>Willmore v South Eastern Electricity Board 1957, in this case the plaintiff from farmers were facing violations in the current presented by the defendants, in order to solve the issue legally, a warranty agreement must be established on the basis of dialogues that arose between the two parties, but the employers did not abide by the law because the work did not form part of the contract</w:t>
          </w:r>
          <w:sdt>
            <w:sdtPr>
              <w:rPr>
                <w:rFonts w:cstheme="minorHAnsi"/>
              </w:rPr>
              <w:id w:val="602143080"/>
              <w:citation/>
            </w:sdtPr>
            <w:sdtContent>
              <w:r>
                <w:rPr>
                  <w:rFonts w:cstheme="minorHAnsi"/>
                </w:rPr>
                <w:fldChar w:fldCharType="begin"/>
              </w:r>
              <w:r>
                <w:rPr>
                  <w:rFonts w:cstheme="minorHAnsi"/>
                  <w:lang w:val="en-US"/>
                </w:rPr>
                <w:instrText xml:space="preserve"> CITATION MAC17 \l 1033 </w:instrText>
              </w:r>
              <w:r>
                <w:rPr>
                  <w:rFonts w:cstheme="minorHAnsi"/>
                </w:rPr>
                <w:fldChar w:fldCharType="separate"/>
              </w:r>
              <w:r>
                <w:rPr>
                  <w:rFonts w:cstheme="minorHAnsi"/>
                  <w:noProof/>
                  <w:lang w:val="en-US"/>
                </w:rPr>
                <w:t xml:space="preserve"> </w:t>
              </w:r>
              <w:r w:rsidRPr="00536520">
                <w:rPr>
                  <w:rFonts w:cstheme="minorHAnsi"/>
                  <w:noProof/>
                  <w:lang w:val="en-US"/>
                </w:rPr>
                <w:t>(LJ, 2017)</w:t>
              </w:r>
              <w:r>
                <w:rPr>
                  <w:rFonts w:cstheme="minorHAnsi"/>
                </w:rPr>
                <w:fldChar w:fldCharType="end"/>
              </w:r>
            </w:sdtContent>
          </w:sdt>
          <w:r>
            <w:rPr>
              <w:rFonts w:cstheme="minorHAnsi"/>
            </w:rPr>
            <w:t>.</w:t>
          </w:r>
          <w:r w:rsidR="001D597F">
            <w:rPr>
              <w:rFonts w:cstheme="minorHAnsi"/>
            </w:rPr>
            <w:t xml:space="preserve"> Triefus v </w:t>
          </w:r>
          <w:r w:rsidR="001D597F">
            <w:rPr>
              <w:rFonts w:cstheme="minorHAnsi"/>
              <w:lang w:val="en-US"/>
            </w:rPr>
            <w:t xml:space="preserve">Post office 1957,the post office manager does not conclude a contract with any worker entrusting the post office with a </w:t>
          </w:r>
          <w:r w:rsidR="00BE189F">
            <w:rPr>
              <w:rFonts w:cstheme="minorHAnsi"/>
              <w:lang w:val="en-US"/>
            </w:rPr>
            <w:t xml:space="preserve">mail </w:t>
          </w:r>
          <w:r w:rsidR="001D597F">
            <w:rPr>
              <w:rFonts w:cstheme="minorHAnsi"/>
              <w:lang w:val="en-US"/>
            </w:rPr>
            <w:t>package to send it abroad, the case is that the worker stole packages so the company demanded compensation claiming that the contract was breached from a legal point of view, it was confirmed that there is no contract between the company and the post office, and there are no links to the contract implicit</w:t>
          </w:r>
          <w:r w:rsidR="00BE189F">
            <w:rPr>
              <w:rFonts w:cstheme="minorHAnsi"/>
              <w:lang w:val="en-US"/>
            </w:rPr>
            <w:t>l</w:t>
          </w:r>
          <w:r w:rsidR="001D597F">
            <w:rPr>
              <w:rFonts w:cstheme="minorHAnsi"/>
              <w:lang w:val="en-US"/>
            </w:rPr>
            <w:t>y or e</w:t>
          </w:r>
          <w:r w:rsidR="00BE189F">
            <w:rPr>
              <w:rFonts w:cstheme="minorHAnsi"/>
              <w:lang w:val="en-US"/>
            </w:rPr>
            <w:t>xplicit according to the law, especially from the post office law, there is no contract, the terms of postal guide may not create a contract except that there is no contractual intention from the company to receive the package and the post office receives it</w:t>
          </w:r>
          <w:sdt>
            <w:sdtPr>
              <w:rPr>
                <w:rFonts w:cstheme="minorHAnsi"/>
                <w:lang w:val="en-US"/>
              </w:rPr>
              <w:id w:val="1023291034"/>
              <w:citation/>
            </w:sdtPr>
            <w:sdtContent>
              <w:r w:rsidR="00BE189F">
                <w:rPr>
                  <w:rFonts w:cstheme="minorHAnsi"/>
                  <w:lang w:val="en-US"/>
                </w:rPr>
                <w:fldChar w:fldCharType="begin"/>
              </w:r>
              <w:r w:rsidR="00BE189F">
                <w:rPr>
                  <w:rFonts w:cstheme="minorHAnsi"/>
                  <w:lang w:val="en-US"/>
                </w:rPr>
                <w:instrText xml:space="preserve"> CITATION Hod17 \l 1033 </w:instrText>
              </w:r>
              <w:r w:rsidR="00BE189F">
                <w:rPr>
                  <w:rFonts w:cstheme="minorHAnsi"/>
                  <w:lang w:val="en-US"/>
                </w:rPr>
                <w:fldChar w:fldCharType="separate"/>
              </w:r>
              <w:r w:rsidR="00BE189F">
                <w:rPr>
                  <w:rFonts w:cstheme="minorHAnsi"/>
                  <w:noProof/>
                  <w:lang w:val="en-US"/>
                </w:rPr>
                <w:t xml:space="preserve"> </w:t>
              </w:r>
              <w:r w:rsidR="00BE189F" w:rsidRPr="00BE189F">
                <w:rPr>
                  <w:rFonts w:cstheme="minorHAnsi"/>
                  <w:noProof/>
                  <w:lang w:val="en-US"/>
                </w:rPr>
                <w:t>(Hodson, 2017)</w:t>
              </w:r>
              <w:r w:rsidR="00BE189F">
                <w:rPr>
                  <w:rFonts w:cstheme="minorHAnsi"/>
                  <w:lang w:val="en-US"/>
                </w:rPr>
                <w:fldChar w:fldCharType="end"/>
              </w:r>
            </w:sdtContent>
          </w:sdt>
          <w:r w:rsidR="00BE189F">
            <w:rPr>
              <w:rFonts w:cstheme="minorHAnsi"/>
              <w:lang w:val="en-US"/>
            </w:rPr>
            <w:t>.</w:t>
          </w:r>
          <w:r w:rsidR="00AC4EA2">
            <w:rPr>
              <w:rFonts w:cstheme="minorHAnsi"/>
              <w:lang w:val="en-US"/>
            </w:rPr>
            <w:t xml:space="preserve"> </w:t>
          </w:r>
          <w:r w:rsidR="00E21483">
            <w:rPr>
              <w:rFonts w:cstheme="minorHAnsi"/>
              <w:lang w:val="en-US"/>
            </w:rPr>
            <w:t xml:space="preserve">Robinson v HM Customs, Mr. Robinson faced problems with </w:t>
          </w:r>
          <w:r w:rsidR="00C33818">
            <w:rPr>
              <w:rFonts w:cstheme="minorHAnsi"/>
              <w:lang w:val="en-US"/>
            </w:rPr>
            <w:t xml:space="preserve">the medical profession and needed expensive treatment that he could not secure, he filed a lawsuit, but the court of appeal rejected the lawsuit and he failed to appeal, he had to file lawsuit with legal </w:t>
          </w:r>
          <w:r w:rsidR="00C33818">
            <w:rPr>
              <w:rFonts w:cstheme="minorHAnsi"/>
            </w:rPr>
            <w:t xml:space="preserve">advice </w:t>
          </w:r>
          <w:r w:rsidR="00C33818">
            <w:rPr>
              <w:rFonts w:cstheme="minorHAnsi"/>
              <w:lang w:val="en-US"/>
            </w:rPr>
            <w:t xml:space="preserve">or the </w:t>
          </w:r>
          <w:r w:rsidR="00C33818">
            <w:rPr>
              <w:rFonts w:cstheme="minorHAnsi"/>
            </w:rPr>
            <w:t>legal consultation centre to assist him submit his complaint in a real and clear manner with the civil procedures and determine the party he wants to file case against it whether it is the national health services</w:t>
          </w:r>
          <w:sdt>
            <w:sdtPr>
              <w:rPr>
                <w:rFonts w:cstheme="minorHAnsi"/>
              </w:rPr>
              <w:id w:val="-182139825"/>
              <w:citation/>
            </w:sdtPr>
            <w:sdtContent>
              <w:r w:rsidR="00C33818">
                <w:rPr>
                  <w:rFonts w:cstheme="minorHAnsi"/>
                </w:rPr>
                <w:fldChar w:fldCharType="begin"/>
              </w:r>
              <w:r w:rsidR="00C33818">
                <w:rPr>
                  <w:rFonts w:cstheme="minorHAnsi"/>
                  <w:lang w:val="en-US"/>
                </w:rPr>
                <w:instrText xml:space="preserve"> CITATION SIM99 \l 1033 </w:instrText>
              </w:r>
              <w:r w:rsidR="00C33818">
                <w:rPr>
                  <w:rFonts w:cstheme="minorHAnsi"/>
                </w:rPr>
                <w:fldChar w:fldCharType="separate"/>
              </w:r>
              <w:r w:rsidR="00C33818">
                <w:rPr>
                  <w:rFonts w:cstheme="minorHAnsi"/>
                  <w:noProof/>
                  <w:lang w:val="en-US"/>
                </w:rPr>
                <w:t xml:space="preserve"> </w:t>
              </w:r>
              <w:r w:rsidR="00C33818" w:rsidRPr="00C33818">
                <w:rPr>
                  <w:rFonts w:cstheme="minorHAnsi"/>
                  <w:noProof/>
                  <w:lang w:val="en-US"/>
                </w:rPr>
                <w:t>(SIMON BROWN LJ, n.d.)</w:t>
              </w:r>
              <w:r w:rsidR="00C33818">
                <w:rPr>
                  <w:rFonts w:cstheme="minorHAnsi"/>
                </w:rPr>
                <w:fldChar w:fldCharType="end"/>
              </w:r>
            </w:sdtContent>
          </w:sdt>
          <w:r w:rsidR="00C33818">
            <w:rPr>
              <w:rFonts w:cstheme="minorHAnsi"/>
            </w:rPr>
            <w:t>.</w:t>
          </w:r>
        </w:p>
        <w:p w14:paraId="208FCFE1" w14:textId="4826AC9A" w:rsidR="00C33818" w:rsidRDefault="00C33818" w:rsidP="00001D99">
          <w:pPr>
            <w:spacing w:line="360" w:lineRule="auto"/>
            <w:jc w:val="both"/>
            <w:rPr>
              <w:rFonts w:cstheme="minorHAnsi"/>
            </w:rPr>
          </w:pPr>
        </w:p>
        <w:p w14:paraId="0EB85CD3" w14:textId="67E5134E" w:rsidR="00C33818" w:rsidRPr="00001D99" w:rsidRDefault="00C33818" w:rsidP="00001D99">
          <w:pPr>
            <w:spacing w:line="360" w:lineRule="auto"/>
            <w:jc w:val="both"/>
            <w:rPr>
              <w:rFonts w:cstheme="minorHAnsi"/>
              <w:sz w:val="40"/>
              <w:szCs w:val="40"/>
            </w:rPr>
          </w:pPr>
          <w:r w:rsidRPr="00001D99">
            <w:rPr>
              <w:rFonts w:cstheme="minorHAnsi"/>
              <w:sz w:val="40"/>
              <w:szCs w:val="40"/>
            </w:rPr>
            <w:t xml:space="preserve">Conclusion </w:t>
          </w:r>
        </w:p>
        <w:p w14:paraId="5A227538" w14:textId="77777777" w:rsidR="00001D99" w:rsidRDefault="00001D99" w:rsidP="00001D99">
          <w:pPr>
            <w:spacing w:line="360" w:lineRule="auto"/>
            <w:jc w:val="both"/>
            <w:rPr>
              <w:rFonts w:cstheme="minorHAnsi"/>
            </w:rPr>
          </w:pPr>
        </w:p>
        <w:p w14:paraId="70D36BFB" w14:textId="7273476D" w:rsidR="00304510" w:rsidRDefault="00304510" w:rsidP="00001D99">
          <w:pPr>
            <w:spacing w:line="360" w:lineRule="auto"/>
            <w:jc w:val="both"/>
            <w:rPr>
              <w:rFonts w:cstheme="minorHAnsi"/>
            </w:rPr>
          </w:pPr>
          <w:r>
            <w:rPr>
              <w:rFonts w:cstheme="minorHAnsi"/>
            </w:rPr>
            <w:t>In conclusion, the existence of a contract and the intention to proof legal relations in order to clearly rule on cases, although there are social and family issues that are not easy to pass judgment on compared to commercial and local cases, because there are contract</w:t>
          </w:r>
          <w:r w:rsidR="00001D99">
            <w:rPr>
              <w:rFonts w:cstheme="minorHAnsi"/>
            </w:rPr>
            <w:t xml:space="preserve">s in some way even with the existence of problems between them. </w:t>
          </w:r>
        </w:p>
        <w:p w14:paraId="4B8827EB" w14:textId="41703E02" w:rsidR="00001D99" w:rsidRDefault="00001D99" w:rsidP="00001D99">
          <w:pPr>
            <w:spacing w:line="360" w:lineRule="auto"/>
            <w:jc w:val="both"/>
            <w:rPr>
              <w:rFonts w:cstheme="minorHAnsi"/>
            </w:rPr>
          </w:pPr>
        </w:p>
        <w:p w14:paraId="0A07B230" w14:textId="644B9EA5" w:rsidR="00001D99" w:rsidRDefault="00001D99" w:rsidP="00001D99">
          <w:pPr>
            <w:spacing w:line="360" w:lineRule="auto"/>
            <w:jc w:val="both"/>
            <w:rPr>
              <w:rFonts w:cstheme="minorHAnsi"/>
            </w:rPr>
          </w:pPr>
        </w:p>
        <w:p w14:paraId="44121D85" w14:textId="060361A5" w:rsidR="00001D99" w:rsidRDefault="00001D99" w:rsidP="00001D99">
          <w:pPr>
            <w:spacing w:line="360" w:lineRule="auto"/>
            <w:jc w:val="both"/>
            <w:rPr>
              <w:rFonts w:cstheme="minorHAnsi"/>
            </w:rPr>
          </w:pPr>
        </w:p>
        <w:p w14:paraId="4AC5A0C0" w14:textId="1AB4CD3B" w:rsidR="00001D99" w:rsidRDefault="00001D99" w:rsidP="00001D99">
          <w:pPr>
            <w:spacing w:line="360" w:lineRule="auto"/>
            <w:jc w:val="both"/>
            <w:rPr>
              <w:rFonts w:cstheme="minorHAnsi"/>
            </w:rPr>
          </w:pPr>
        </w:p>
        <w:p w14:paraId="0CF8E558" w14:textId="77777777" w:rsidR="00B5344A" w:rsidRDefault="00B5344A" w:rsidP="00001D99">
          <w:pPr>
            <w:spacing w:line="360" w:lineRule="auto"/>
            <w:jc w:val="both"/>
            <w:rPr>
              <w:rFonts w:cstheme="minorHAnsi"/>
            </w:rPr>
          </w:pPr>
        </w:p>
        <w:p w14:paraId="364EBB29" w14:textId="2CD89C82" w:rsidR="00001D99" w:rsidRDefault="00001D99" w:rsidP="00001D99">
          <w:pPr>
            <w:spacing w:line="360" w:lineRule="auto"/>
            <w:jc w:val="both"/>
            <w:rPr>
              <w:rFonts w:cstheme="minorHAnsi"/>
              <w:sz w:val="40"/>
              <w:szCs w:val="40"/>
            </w:rPr>
          </w:pPr>
          <w:r w:rsidRPr="00001D99">
            <w:rPr>
              <w:rFonts w:cstheme="minorHAnsi"/>
              <w:sz w:val="40"/>
              <w:szCs w:val="40"/>
            </w:rPr>
            <w:lastRenderedPageBreak/>
            <w:t>Reference:</w:t>
          </w:r>
        </w:p>
        <w:sdt>
          <w:sdtPr>
            <w:rPr>
              <w:rFonts w:asciiTheme="minorHAnsi" w:eastAsiaTheme="minorHAnsi" w:hAnsiTheme="minorHAnsi" w:cstheme="minorBidi"/>
              <w:b w:val="0"/>
              <w:bCs w:val="0"/>
              <w:color w:val="auto"/>
              <w:sz w:val="24"/>
              <w:szCs w:val="24"/>
              <w:lang w:val="en-GB" w:bidi="ar-SA"/>
            </w:rPr>
            <w:id w:val="1098829373"/>
            <w:docPartObj>
              <w:docPartGallery w:val="Bibliographies"/>
              <w:docPartUnique/>
            </w:docPartObj>
          </w:sdtPr>
          <w:sdtContent>
            <w:p w14:paraId="7CCFB64B" w14:textId="535DB85B" w:rsidR="00001D99" w:rsidRDefault="00001D99" w:rsidP="00001D99">
              <w:pPr>
                <w:pStyle w:val="Heading1"/>
                <w:spacing w:line="360" w:lineRule="auto"/>
              </w:pPr>
            </w:p>
            <w:sdt>
              <w:sdtPr>
                <w:id w:val="111145805"/>
                <w:bibliography/>
              </w:sdtPr>
              <w:sdtContent>
                <w:p w14:paraId="21281657" w14:textId="77777777" w:rsidR="00001D99" w:rsidRDefault="00001D99" w:rsidP="00001D99">
                  <w:pPr>
                    <w:pStyle w:val="Bibliography"/>
                    <w:spacing w:line="360" w:lineRule="auto"/>
                    <w:rPr>
                      <w:noProof/>
                    </w:rPr>
                  </w:pPr>
                  <w:r>
                    <w:fldChar w:fldCharType="begin"/>
                  </w:r>
                  <w:r>
                    <w:instrText xml:space="preserve"> BIBLIOGRAPHY </w:instrText>
                  </w:r>
                  <w:r>
                    <w:fldChar w:fldCharType="separate"/>
                  </w:r>
                  <w:r>
                    <w:rPr>
                      <w:noProof/>
                    </w:rPr>
                    <w:t xml:space="preserve">Danckwerts, S. a. F. A. L., n.d. </w:t>
                  </w:r>
                  <w:r>
                    <w:rPr>
                      <w:i/>
                      <w:iCs/>
                      <w:noProof/>
                    </w:rPr>
                    <w:t xml:space="preserve">JONES v. PADAVATTON [1969]. </w:t>
                  </w:r>
                  <w:r>
                    <w:rPr>
                      <w:noProof/>
                    </w:rPr>
                    <w:t xml:space="preserve">[Online] </w:t>
                  </w:r>
                  <w:r>
                    <w:rPr>
                      <w:noProof/>
                    </w:rPr>
                    <w:br/>
                    <w:t xml:space="preserve">Available at: </w:t>
                  </w:r>
                  <w:r>
                    <w:rPr>
                      <w:noProof/>
                      <w:u w:val="single"/>
                    </w:rPr>
                    <w:t>https://plus-lexis-com.ezproxy.uwtsd.ac.uk/uk/document/documentlink/?pdmfid=1001073&amp;crid=818a6532-6360-4706-a093-5839cf6e8ede&amp;pddocfullpath=%2Fshared%2Fdocument%2Fcases-uk%2Furn%3AcontentItem%3A5FJH-TCR1-F00Y-N1VD-00000-00&amp;pdcontentcomponentid=417192&amp;pdpr</w:t>
                  </w:r>
                </w:p>
                <w:p w14:paraId="19EDDAA1" w14:textId="77777777" w:rsidR="00001D99" w:rsidRDefault="00001D99" w:rsidP="00001D99">
                  <w:pPr>
                    <w:pStyle w:val="Bibliography"/>
                    <w:spacing w:line="360" w:lineRule="auto"/>
                    <w:rPr>
                      <w:noProof/>
                    </w:rPr>
                  </w:pPr>
                  <w:r>
                    <w:rPr>
                      <w:noProof/>
                    </w:rPr>
                    <w:t xml:space="preserve">Division, Q. B., 2017. </w:t>
                  </w:r>
                  <w:r>
                    <w:rPr>
                      <w:i/>
                      <w:iCs/>
                      <w:noProof/>
                    </w:rPr>
                    <w:t xml:space="preserve">ERDC Group Ltd v Brunel University [2006] All ER (D) 468 (Mar). </w:t>
                  </w:r>
                  <w:r>
                    <w:rPr>
                      <w:noProof/>
                    </w:rPr>
                    <w:t xml:space="preserve">[Online] </w:t>
                  </w:r>
                  <w:r>
                    <w:rPr>
                      <w:noProof/>
                    </w:rPr>
                    <w:br/>
                    <w:t xml:space="preserve">Available at: </w:t>
                  </w:r>
                  <w:r>
                    <w:rPr>
                      <w:noProof/>
                      <w:u w:val="single"/>
                    </w:rPr>
                    <w:t>https://plus-lexis-com.ezproxy.uwtsd.ac.uk/api/permalink/57066a7a-4331-4911-8d4f-6eb452ba619c/?context=1001073</w:t>
                  </w:r>
                  <w:r>
                    <w:rPr>
                      <w:noProof/>
                    </w:rPr>
                    <w:br/>
                    <w:t>[Accessed 29 March 2006].</w:t>
                  </w:r>
                </w:p>
                <w:p w14:paraId="54E91B5B" w14:textId="77777777" w:rsidR="00001D99" w:rsidRDefault="00001D99" w:rsidP="00001D99">
                  <w:pPr>
                    <w:pStyle w:val="Bibliography"/>
                    <w:spacing w:line="360" w:lineRule="auto"/>
                    <w:rPr>
                      <w:noProof/>
                    </w:rPr>
                  </w:pPr>
                  <w:r>
                    <w:rPr>
                      <w:noProof/>
                    </w:rPr>
                    <w:t xml:space="preserve">EARL OF BIRKENHEAD, L. A. L. S., 2017 . </w:t>
                  </w:r>
                  <w:r>
                    <w:rPr>
                      <w:i/>
                      <w:iCs/>
                      <w:noProof/>
                    </w:rPr>
                    <w:t xml:space="preserve">Rose and Frank Co v JR Crompton &amp; Bros Ltd Rose and Frank Co v JR Crompton &amp; Bros Ltd [1925] AC 445, [1924]. </w:t>
                  </w:r>
                  <w:r>
                    <w:rPr>
                      <w:noProof/>
                    </w:rPr>
                    <w:t xml:space="preserve">[Online] </w:t>
                  </w:r>
                  <w:r>
                    <w:rPr>
                      <w:noProof/>
                    </w:rPr>
                    <w:br/>
                    <w:t xml:space="preserve">Available at: </w:t>
                  </w:r>
                  <w:r>
                    <w:rPr>
                      <w:noProof/>
                      <w:u w:val="single"/>
                    </w:rPr>
                    <w:t>https://plus-lexis-com.ezproxy.uwtsd.ac.uk/uk/document/documentlink/?pdmfid=1001073&amp;crid=1f6a099a-2f16-4e0d-a3bd-7233d94c36f3&amp;pddocfullpath=%2Fshared%2Fdocument%2Fcases-uk%2Furn%3AcontentItem%3A4K4W-PD50-TXD8-60K2-00000-00&amp;pdcontentcomponentid=296986&amp;pdpr</w:t>
                  </w:r>
                  <w:r>
                    <w:rPr>
                      <w:noProof/>
                    </w:rPr>
                    <w:br/>
                    <w:t>[Accessed 5 December 1924].</w:t>
                  </w:r>
                </w:p>
                <w:p w14:paraId="0DCB517C" w14:textId="77777777" w:rsidR="00001D99" w:rsidRDefault="00001D99" w:rsidP="00001D99">
                  <w:pPr>
                    <w:pStyle w:val="Bibliography"/>
                    <w:spacing w:line="360" w:lineRule="auto"/>
                    <w:rPr>
                      <w:noProof/>
                    </w:rPr>
                  </w:pPr>
                  <w:r>
                    <w:rPr>
                      <w:noProof/>
                    </w:rPr>
                    <w:t xml:space="preserve">Ellinger, E., 1991. REFLECTIONS ON LETTERS OF COMFORT. </w:t>
                  </w:r>
                  <w:r>
                    <w:rPr>
                      <w:i/>
                      <w:iCs/>
                      <w:noProof/>
                    </w:rPr>
                    <w:t xml:space="preserve">Singapore Journal of Legal Studies,, </w:t>
                  </w:r>
                  <w:r>
                    <w:rPr>
                      <w:noProof/>
                    </w:rPr>
                    <w:t>pp. 1-12.</w:t>
                  </w:r>
                </w:p>
                <w:p w14:paraId="4C01AE8E" w14:textId="77777777" w:rsidR="00001D99" w:rsidRDefault="00001D99" w:rsidP="00001D99">
                  <w:pPr>
                    <w:pStyle w:val="Bibliography"/>
                    <w:spacing w:line="360" w:lineRule="auto"/>
                    <w:rPr>
                      <w:noProof/>
                    </w:rPr>
                  </w:pPr>
                  <w:r>
                    <w:rPr>
                      <w:noProof/>
                    </w:rPr>
                    <w:t xml:space="preserve">Elliott, C., 2019. Social and domestic agreement Simpkins v Pays . In: </w:t>
                  </w:r>
                  <w:r>
                    <w:rPr>
                      <w:i/>
                      <w:iCs/>
                      <w:noProof/>
                    </w:rPr>
                    <w:t xml:space="preserve">Contract law. </w:t>
                  </w:r>
                  <w:r>
                    <w:rPr>
                      <w:noProof/>
                    </w:rPr>
                    <w:t>s.l.:Pearson .</w:t>
                  </w:r>
                </w:p>
                <w:p w14:paraId="77925360" w14:textId="77777777" w:rsidR="00001D99" w:rsidRDefault="00001D99" w:rsidP="00001D99">
                  <w:pPr>
                    <w:pStyle w:val="Bibliography"/>
                    <w:spacing w:line="360" w:lineRule="auto"/>
                    <w:rPr>
                      <w:noProof/>
                    </w:rPr>
                  </w:pPr>
                  <w:r>
                    <w:rPr>
                      <w:noProof/>
                    </w:rPr>
                    <w:t xml:space="preserve">Hodson, P. a. O. L., 2017. </w:t>
                  </w:r>
                  <w:r>
                    <w:rPr>
                      <w:i/>
                      <w:iCs/>
                      <w:noProof/>
                    </w:rPr>
                    <w:t xml:space="preserve">TRIEFUS &amp; CO. LTD. v. POST OFFICE. [1954 T. No. 732.] [1957] 2 Q.B. 352 TRIEFUS &amp; CO. LTD. v. POST OFFICE. [1954 T. No. 732.] [1957] 2 Q.B. 352. </w:t>
                  </w:r>
                  <w:r>
                    <w:rPr>
                      <w:noProof/>
                    </w:rPr>
                    <w:t xml:space="preserve">[Online] </w:t>
                  </w:r>
                  <w:r>
                    <w:rPr>
                      <w:noProof/>
                    </w:rPr>
                    <w:br/>
                    <w:t xml:space="preserve">Available at: </w:t>
                  </w:r>
                  <w:r>
                    <w:rPr>
                      <w:noProof/>
                      <w:u w:val="single"/>
                    </w:rPr>
                    <w:t>https://plus-lexis-com.ezproxy.uwtsd.ac.uk/api/permalink/8d6464a7-5fbb-4ab8-840a-0c9f386b6f67/?context=1001073</w:t>
                  </w:r>
                  <w:r>
                    <w:rPr>
                      <w:noProof/>
                    </w:rPr>
                    <w:br/>
                    <w:t>[Accessed 1957 May 9].</w:t>
                  </w:r>
                </w:p>
                <w:p w14:paraId="43958941" w14:textId="77777777" w:rsidR="00001D99" w:rsidRDefault="00001D99" w:rsidP="00001D99">
                  <w:pPr>
                    <w:pStyle w:val="Bibliography"/>
                    <w:spacing w:line="360" w:lineRule="auto"/>
                    <w:rPr>
                      <w:noProof/>
                    </w:rPr>
                  </w:pPr>
                  <w:r>
                    <w:rPr>
                      <w:noProof/>
                    </w:rPr>
                    <w:lastRenderedPageBreak/>
                    <w:t xml:space="preserve">LJ, M., 2017. </w:t>
                  </w:r>
                  <w:r>
                    <w:rPr>
                      <w:i/>
                      <w:iCs/>
                      <w:noProof/>
                    </w:rPr>
                    <w:t xml:space="preserve">H &amp; P Campbell Ltd v Northern Ireland Housing Executive [1990] Lexis Citation 3762 H &amp; P Campbell Ltd v Northern Ireland Housing Executive 1990. </w:t>
                  </w:r>
                  <w:r>
                    <w:rPr>
                      <w:noProof/>
                    </w:rPr>
                    <w:t xml:space="preserve">[Online] </w:t>
                  </w:r>
                  <w:r>
                    <w:rPr>
                      <w:noProof/>
                    </w:rPr>
                    <w:br/>
                    <w:t xml:space="preserve">Available at: </w:t>
                  </w:r>
                  <w:r>
                    <w:rPr>
                      <w:noProof/>
                      <w:u w:val="single"/>
                    </w:rPr>
                    <w:t>https://plus-lexis-com.ezproxy.uwtsd.ac.uk/api/permalink/7916d2c7-ee98-4405-ba52-91ae0ae148d5/?context=1001073</w:t>
                  </w:r>
                  <w:r>
                    <w:rPr>
                      <w:noProof/>
                    </w:rPr>
                    <w:br/>
                    <w:t>[Accessed 1957].</w:t>
                  </w:r>
                </w:p>
                <w:p w14:paraId="5ABF545C" w14:textId="77777777" w:rsidR="00001D99" w:rsidRDefault="00001D99" w:rsidP="00001D99">
                  <w:pPr>
                    <w:pStyle w:val="Bibliography"/>
                    <w:spacing w:line="360" w:lineRule="auto"/>
                    <w:rPr>
                      <w:noProof/>
                    </w:rPr>
                  </w:pPr>
                  <w:r>
                    <w:rPr>
                      <w:noProof/>
                    </w:rPr>
                    <w:t xml:space="preserve">LORD DENNING MR, W. A. K. L., 1970. </w:t>
                  </w:r>
                  <w:r>
                    <w:rPr>
                      <w:i/>
                      <w:iCs/>
                      <w:noProof/>
                    </w:rPr>
                    <w:t xml:space="preserve">Merritt v Merritt. </w:t>
                  </w:r>
                  <w:r>
                    <w:rPr>
                      <w:noProof/>
                    </w:rPr>
                    <w:t xml:space="preserve">[Online] </w:t>
                  </w:r>
                  <w:r>
                    <w:rPr>
                      <w:noProof/>
                    </w:rPr>
                    <w:br/>
                    <w:t xml:space="preserve">Available at: </w:t>
                  </w:r>
                  <w:r>
                    <w:rPr>
                      <w:noProof/>
                      <w:u w:val="single"/>
                    </w:rPr>
                    <w:t>https://plus-lexis-com.ezproxy.uwtsd.ac.uk/uk/document/documentlink/?pdmfid=1001073&amp;crid=5d42e133-a9ed-4324-a51b-f270b4d3d048&amp;pddocfullpath=%2Fshared%2Fdocument%2Fcases-uk%2Furn%3AcontentItem%3A4CSP-35T0-TWP1-605S-00000-00&amp;pdcontentcomponentid=274668&amp;pdpr</w:t>
                  </w:r>
                </w:p>
                <w:p w14:paraId="79142DC7" w14:textId="77777777" w:rsidR="00001D99" w:rsidRDefault="00001D99" w:rsidP="00001D99">
                  <w:pPr>
                    <w:pStyle w:val="Bibliography"/>
                    <w:spacing w:line="360" w:lineRule="auto"/>
                    <w:rPr>
                      <w:noProof/>
                    </w:rPr>
                  </w:pPr>
                  <w:r>
                    <w:rPr>
                      <w:noProof/>
                    </w:rPr>
                    <w:t xml:space="preserve">Quinn, F., 2019. Commercial agreements Esso v Commissioners of Customs and Excise. In: </w:t>
                  </w:r>
                  <w:r>
                    <w:rPr>
                      <w:i/>
                      <w:iCs/>
                      <w:noProof/>
                    </w:rPr>
                    <w:t xml:space="preserve">Contract Law. </w:t>
                  </w:r>
                  <w:r>
                    <w:rPr>
                      <w:noProof/>
                    </w:rPr>
                    <w:t>s.l.:s.n.</w:t>
                  </w:r>
                </w:p>
                <w:p w14:paraId="162D1BC3" w14:textId="77777777" w:rsidR="00001D99" w:rsidRDefault="00001D99" w:rsidP="00001D99">
                  <w:pPr>
                    <w:pStyle w:val="Bibliography"/>
                    <w:spacing w:line="360" w:lineRule="auto"/>
                    <w:rPr>
                      <w:noProof/>
                    </w:rPr>
                  </w:pPr>
                  <w:r>
                    <w:rPr>
                      <w:noProof/>
                    </w:rPr>
                    <w:t xml:space="preserve">Richards, P., 2019. In: </w:t>
                  </w:r>
                  <w:r>
                    <w:rPr>
                      <w:i/>
                      <w:iCs/>
                      <w:noProof/>
                    </w:rPr>
                    <w:t xml:space="preserve">Contract law . </w:t>
                  </w:r>
                  <w:r>
                    <w:rPr>
                      <w:noProof/>
                    </w:rPr>
                    <w:t>s.l.:Pearson Education.</w:t>
                  </w:r>
                </w:p>
                <w:p w14:paraId="5B8ED40A" w14:textId="77777777" w:rsidR="00001D99" w:rsidRDefault="00001D99" w:rsidP="00001D99">
                  <w:pPr>
                    <w:pStyle w:val="Bibliography"/>
                    <w:spacing w:line="360" w:lineRule="auto"/>
                    <w:rPr>
                      <w:noProof/>
                    </w:rPr>
                  </w:pPr>
                  <w:r>
                    <w:rPr>
                      <w:noProof/>
                    </w:rPr>
                    <w:t xml:space="preserve">Richards, P., 2019. Evolution. In: </w:t>
                  </w:r>
                  <w:r>
                    <w:rPr>
                      <w:i/>
                      <w:iCs/>
                      <w:noProof/>
                    </w:rPr>
                    <w:t xml:space="preserve">law of contract. </w:t>
                  </w:r>
                  <w:r>
                    <w:rPr>
                      <w:noProof/>
                    </w:rPr>
                    <w:t>s.l.:Pearson Education, Limited, pp. 7 , 8.</w:t>
                  </w:r>
                </w:p>
                <w:p w14:paraId="1169796C" w14:textId="77777777" w:rsidR="00001D99" w:rsidRDefault="00001D99" w:rsidP="00001D99">
                  <w:pPr>
                    <w:pStyle w:val="Bibliography"/>
                    <w:spacing w:line="360" w:lineRule="auto"/>
                    <w:rPr>
                      <w:noProof/>
                    </w:rPr>
                  </w:pPr>
                  <w:r>
                    <w:rPr>
                      <w:noProof/>
                    </w:rPr>
                    <w:t xml:space="preserve">Robert Merkin, S. S., 2019. Esso v Commissioners of Customs and Excise [1975]. In: </w:t>
                  </w:r>
                  <w:r>
                    <w:rPr>
                      <w:i/>
                      <w:iCs/>
                      <w:noProof/>
                    </w:rPr>
                    <w:t xml:space="preserve">Contract Law . </w:t>
                  </w:r>
                  <w:r>
                    <w:rPr>
                      <w:noProof/>
                    </w:rPr>
                    <w:t>Oxford : s.n.</w:t>
                  </w:r>
                </w:p>
                <w:p w14:paraId="1663EC65" w14:textId="77777777" w:rsidR="00001D99" w:rsidRDefault="00001D99" w:rsidP="00001D99">
                  <w:pPr>
                    <w:pStyle w:val="Bibliography"/>
                    <w:spacing w:line="360" w:lineRule="auto"/>
                    <w:rPr>
                      <w:noProof/>
                    </w:rPr>
                  </w:pPr>
                  <w:r>
                    <w:rPr>
                      <w:noProof/>
                    </w:rPr>
                    <w:t xml:space="preserve">Saintier, M. &amp;., 2021. Intention to be legally bound, formalities and capactity to contract. In: </w:t>
                  </w:r>
                  <w:r>
                    <w:rPr>
                      <w:i/>
                      <w:iCs/>
                      <w:noProof/>
                    </w:rPr>
                    <w:t xml:space="preserve">Poole's textbook on contract law. </w:t>
                  </w:r>
                  <w:r>
                    <w:rPr>
                      <w:noProof/>
                    </w:rPr>
                    <w:t>Oxford: Oxford University Press, p. 145.</w:t>
                  </w:r>
                </w:p>
                <w:p w14:paraId="12708F19" w14:textId="77777777" w:rsidR="00001D99" w:rsidRDefault="00001D99" w:rsidP="00001D99">
                  <w:pPr>
                    <w:pStyle w:val="Bibliography"/>
                    <w:spacing w:line="360" w:lineRule="auto"/>
                    <w:rPr>
                      <w:noProof/>
                    </w:rPr>
                  </w:pPr>
                  <w:r>
                    <w:rPr>
                      <w:noProof/>
                    </w:rPr>
                    <w:t xml:space="preserve">Saintier, R. M. &amp;. S., 2019. Merritt v Merritt 1970. In: </w:t>
                  </w:r>
                  <w:r>
                    <w:rPr>
                      <w:i/>
                      <w:iCs/>
                      <w:noProof/>
                    </w:rPr>
                    <w:t xml:space="preserve">Poole's Casebook on Contract Law. </w:t>
                  </w:r>
                  <w:r>
                    <w:rPr>
                      <w:noProof/>
                    </w:rPr>
                    <w:t>Oxford : Oxford University Press.</w:t>
                  </w:r>
                </w:p>
                <w:p w14:paraId="032E7299" w14:textId="77777777" w:rsidR="00001D99" w:rsidRDefault="00001D99" w:rsidP="00001D99">
                  <w:pPr>
                    <w:pStyle w:val="Bibliography"/>
                    <w:spacing w:line="360" w:lineRule="auto"/>
                    <w:rPr>
                      <w:noProof/>
                    </w:rPr>
                  </w:pPr>
                  <w:r>
                    <w:rPr>
                      <w:noProof/>
                    </w:rPr>
                    <w:t xml:space="preserve">SIMON BROWN LJ, N. J., n.d. </w:t>
                  </w:r>
                  <w:r>
                    <w:rPr>
                      <w:i/>
                      <w:iCs/>
                      <w:noProof/>
                    </w:rPr>
                    <w:t xml:space="preserve">HM Attorney General v Robinson. </w:t>
                  </w:r>
                  <w:r>
                    <w:rPr>
                      <w:noProof/>
                    </w:rPr>
                    <w:t xml:space="preserve">[Online] </w:t>
                  </w:r>
                  <w:r>
                    <w:rPr>
                      <w:noProof/>
                    </w:rPr>
                    <w:br/>
                    <w:t xml:space="preserve">Available at: </w:t>
                  </w:r>
                  <w:r>
                    <w:rPr>
                      <w:noProof/>
                      <w:u w:val="single"/>
                    </w:rPr>
                    <w:t>https://plus-lexis-com.ezproxy.uwtsd.ac.uk/api/permalink/b2bd1ca1-80ee-418f-a0e3-6de88bf618b9/?context=1001073</w:t>
                  </w:r>
                  <w:r>
                    <w:rPr>
                      <w:noProof/>
                    </w:rPr>
                    <w:br/>
                    <w:t>[Accessed 28 07 1999].</w:t>
                  </w:r>
                </w:p>
                <w:p w14:paraId="27EF1A1F" w14:textId="77777777" w:rsidR="00001D99" w:rsidRDefault="00001D99" w:rsidP="00001D99">
                  <w:pPr>
                    <w:pStyle w:val="Bibliography"/>
                    <w:spacing w:line="360" w:lineRule="auto"/>
                    <w:rPr>
                      <w:noProof/>
                    </w:rPr>
                  </w:pPr>
                  <w:r>
                    <w:rPr>
                      <w:noProof/>
                    </w:rPr>
                    <w:t xml:space="preserve">Studies, P. S. L., 2017. </w:t>
                  </w:r>
                  <w:r>
                    <w:rPr>
                      <w:i/>
                      <w:iCs/>
                      <w:noProof/>
                    </w:rPr>
                    <w:t xml:space="preserve">Balfour V Balfour and the separation of contract and promise. </w:t>
                  </w:r>
                  <w:r>
                    <w:rPr>
                      <w:noProof/>
                    </w:rPr>
                    <w:t xml:space="preserve">[Online] </w:t>
                  </w:r>
                  <w:r>
                    <w:rPr>
                      <w:noProof/>
                    </w:rPr>
                    <w:br/>
                    <w:t xml:space="preserve">Available at: </w:t>
                  </w:r>
                  <w:r>
                    <w:rPr>
                      <w:noProof/>
                      <w:u w:val="single"/>
                    </w:rPr>
                    <w:t>https://www.proquest.com/docview/2210387603?accountid=130472</w:t>
                  </w:r>
                  <w:r>
                    <w:rPr>
                      <w:noProof/>
                    </w:rPr>
                    <w:br/>
                    <w:t>[Accessed September].</w:t>
                  </w:r>
                </w:p>
                <w:p w14:paraId="1AC9D622" w14:textId="77777777" w:rsidR="00001D99" w:rsidRDefault="00001D99" w:rsidP="00001D99">
                  <w:pPr>
                    <w:pStyle w:val="Bibliography"/>
                    <w:spacing w:line="360" w:lineRule="auto"/>
                    <w:rPr>
                      <w:noProof/>
                    </w:rPr>
                  </w:pPr>
                  <w:r>
                    <w:rPr>
                      <w:noProof/>
                    </w:rPr>
                    <w:t xml:space="preserve">Thomas, J. a. W. L., 2017. </w:t>
                  </w:r>
                  <w:r>
                    <w:rPr>
                      <w:i/>
                      <w:iCs/>
                      <w:noProof/>
                    </w:rPr>
                    <w:t xml:space="preserve">Day v Haine and another [2008]. </w:t>
                  </w:r>
                  <w:r>
                    <w:rPr>
                      <w:noProof/>
                    </w:rPr>
                    <w:t xml:space="preserve">[Online] </w:t>
                  </w:r>
                  <w:r>
                    <w:rPr>
                      <w:noProof/>
                    </w:rPr>
                    <w:br/>
                    <w:t xml:space="preserve">Available at: </w:t>
                  </w:r>
                  <w:r>
                    <w:rPr>
                      <w:noProof/>
                      <w:u w:val="single"/>
                    </w:rPr>
                    <w:t>https://plus-lexis-com.ezproxy.uwtsd.ac.uk/api/permalink/9cf7a2e7-7412-4b8a-b181-4e6560feb47a/?context=1001073</w:t>
                  </w:r>
                  <w:r>
                    <w:rPr>
                      <w:noProof/>
                    </w:rPr>
                    <w:br/>
                    <w:t>[Accessed 23 April 2008].</w:t>
                  </w:r>
                </w:p>
                <w:p w14:paraId="4C2889AD" w14:textId="77777777" w:rsidR="00001D99" w:rsidRDefault="00001D99" w:rsidP="00001D99">
                  <w:pPr>
                    <w:pStyle w:val="Bibliography"/>
                    <w:spacing w:line="360" w:lineRule="auto"/>
                    <w:rPr>
                      <w:noProof/>
                    </w:rPr>
                  </w:pPr>
                  <w:r>
                    <w:rPr>
                      <w:noProof/>
                    </w:rPr>
                    <w:lastRenderedPageBreak/>
                    <w:t xml:space="preserve">Tolhurst, E. M. a. G., 2017. </w:t>
                  </w:r>
                  <w:r>
                    <w:rPr>
                      <w:i/>
                      <w:iCs/>
                      <w:noProof/>
                    </w:rPr>
                    <w:t xml:space="preserve">The elements of contract. </w:t>
                  </w:r>
                  <w:r>
                    <w:rPr>
                      <w:noProof/>
                    </w:rPr>
                    <w:t xml:space="preserve">[Online] </w:t>
                  </w:r>
                  <w:r>
                    <w:rPr>
                      <w:noProof/>
                    </w:rPr>
                    <w:br/>
                    <w:t xml:space="preserve">Available at: </w:t>
                  </w:r>
                  <w:r>
                    <w:rPr>
                      <w:noProof/>
                      <w:u w:val="single"/>
                    </w:rPr>
                    <w:t>https://plus-lexis-com.ezproxy.uwtsd.ac.uk/api/permalink/909ce765-8ba6-4374-b693-2ae87f117ce7/?context=1001073</w:t>
                  </w:r>
                </w:p>
                <w:p w14:paraId="4A369BF2" w14:textId="77777777" w:rsidR="00001D99" w:rsidRDefault="00001D99" w:rsidP="00001D99">
                  <w:pPr>
                    <w:pStyle w:val="Bibliography"/>
                    <w:spacing w:line="360" w:lineRule="auto"/>
                    <w:rPr>
                      <w:noProof/>
                    </w:rPr>
                  </w:pPr>
                  <w:r>
                    <w:rPr>
                      <w:noProof/>
                    </w:rPr>
                    <w:t xml:space="preserve">WARRINGTON, D. A. A. L., 2017. </w:t>
                  </w:r>
                  <w:r>
                    <w:rPr>
                      <w:i/>
                      <w:iCs/>
                      <w:noProof/>
                    </w:rPr>
                    <w:t xml:space="preserve">Balfour v Balfour [1918-19] All ER Rep 860. </w:t>
                  </w:r>
                  <w:r>
                    <w:rPr>
                      <w:noProof/>
                    </w:rPr>
                    <w:t xml:space="preserve">[Online] </w:t>
                  </w:r>
                  <w:r>
                    <w:rPr>
                      <w:noProof/>
                    </w:rPr>
                    <w:br/>
                    <w:t xml:space="preserve">Available at: </w:t>
                  </w:r>
                  <w:r>
                    <w:rPr>
                      <w:noProof/>
                      <w:u w:val="single"/>
                    </w:rPr>
                    <w:t>https://plus-lexis-com.ezproxy.uwtsd.ac.uk/uk/document/documentlink/?pdmfid=1001073&amp;crid=a0f9b1bb-3ac7-407e-b9ca-75d6d181172b&amp;pddocfullpath=%2Fshared%2Fdocument%2Fcases-uk%2Furn%3AcontentItem%3A4FPP-FFM0-TWXJ-20GV-00000-00&amp;pdcontentcomponentid=279846&amp;pdpr</w:t>
                  </w:r>
                </w:p>
                <w:p w14:paraId="47915322" w14:textId="141F720A" w:rsidR="00001D99" w:rsidRDefault="00001D99" w:rsidP="00001D99">
                  <w:pPr>
                    <w:spacing w:line="360" w:lineRule="auto"/>
                  </w:pPr>
                  <w:r>
                    <w:rPr>
                      <w:b/>
                      <w:bCs/>
                      <w:noProof/>
                    </w:rPr>
                    <w:fldChar w:fldCharType="end"/>
                  </w:r>
                </w:p>
              </w:sdtContent>
            </w:sdt>
          </w:sdtContent>
        </w:sdt>
        <w:p w14:paraId="334F1B1B" w14:textId="77777777" w:rsidR="00001D99" w:rsidRPr="00001D99" w:rsidRDefault="00001D99" w:rsidP="00001D99">
          <w:pPr>
            <w:spacing w:line="360" w:lineRule="auto"/>
            <w:jc w:val="both"/>
            <w:rPr>
              <w:rFonts w:cstheme="minorHAnsi"/>
              <w:sz w:val="40"/>
              <w:szCs w:val="40"/>
            </w:rPr>
          </w:pPr>
        </w:p>
        <w:p w14:paraId="1BA2817C" w14:textId="444E37CE" w:rsidR="00001D99" w:rsidRDefault="00001D99" w:rsidP="00001D99">
          <w:pPr>
            <w:spacing w:line="360" w:lineRule="auto"/>
            <w:jc w:val="both"/>
            <w:rPr>
              <w:rFonts w:cstheme="minorHAnsi"/>
            </w:rPr>
          </w:pPr>
        </w:p>
        <w:p w14:paraId="07BFB7CD" w14:textId="77777777" w:rsidR="00001D99" w:rsidRDefault="00001D99" w:rsidP="00001D99">
          <w:pPr>
            <w:spacing w:line="360" w:lineRule="auto"/>
            <w:jc w:val="both"/>
            <w:rPr>
              <w:rFonts w:cstheme="minorHAnsi"/>
            </w:rPr>
          </w:pPr>
        </w:p>
        <w:p w14:paraId="3398016B" w14:textId="77777777" w:rsidR="00DE52C4" w:rsidRPr="00C33818" w:rsidRDefault="00DE52C4" w:rsidP="00001D99">
          <w:pPr>
            <w:spacing w:line="360" w:lineRule="auto"/>
            <w:jc w:val="both"/>
            <w:rPr>
              <w:rFonts w:cstheme="minorHAnsi"/>
            </w:rPr>
          </w:pPr>
        </w:p>
        <w:p w14:paraId="7FF6EC6D" w14:textId="3ED91DB7" w:rsidR="00BE189F" w:rsidRDefault="00BE189F" w:rsidP="00001D99">
          <w:pPr>
            <w:spacing w:line="360" w:lineRule="auto"/>
            <w:jc w:val="both"/>
            <w:rPr>
              <w:rFonts w:cstheme="minorHAnsi"/>
              <w:lang w:val="en-US"/>
            </w:rPr>
          </w:pPr>
        </w:p>
        <w:p w14:paraId="2A55C2BC" w14:textId="77777777" w:rsidR="00BE189F" w:rsidRPr="001D597F" w:rsidRDefault="00BE189F" w:rsidP="00001D99">
          <w:pPr>
            <w:spacing w:line="360" w:lineRule="auto"/>
            <w:jc w:val="both"/>
            <w:rPr>
              <w:rFonts w:cstheme="minorHAnsi"/>
              <w:lang w:val="en-US"/>
            </w:rPr>
          </w:pPr>
        </w:p>
        <w:p w14:paraId="13DB3189" w14:textId="5B0810A3" w:rsidR="00536520" w:rsidRDefault="00536520" w:rsidP="00001D99">
          <w:pPr>
            <w:spacing w:line="360" w:lineRule="auto"/>
            <w:jc w:val="both"/>
            <w:rPr>
              <w:rFonts w:cstheme="minorHAnsi"/>
            </w:rPr>
          </w:pPr>
        </w:p>
        <w:p w14:paraId="5F731C13" w14:textId="77777777" w:rsidR="00536520" w:rsidRPr="00536520" w:rsidRDefault="00536520" w:rsidP="00001D99">
          <w:pPr>
            <w:spacing w:line="360" w:lineRule="auto"/>
            <w:jc w:val="both"/>
            <w:rPr>
              <w:rFonts w:cstheme="minorHAnsi"/>
            </w:rPr>
          </w:pPr>
        </w:p>
        <w:p w14:paraId="442663C1" w14:textId="77777777" w:rsidR="00A931E5" w:rsidRDefault="00A931E5" w:rsidP="00001D99">
          <w:pPr>
            <w:spacing w:line="360" w:lineRule="auto"/>
            <w:jc w:val="both"/>
            <w:rPr>
              <w:rFonts w:cstheme="minorHAnsi"/>
            </w:rPr>
          </w:pPr>
        </w:p>
        <w:p w14:paraId="1AA0C44D" w14:textId="77777777" w:rsidR="00D86146" w:rsidRDefault="00D86146" w:rsidP="00001D99">
          <w:pPr>
            <w:spacing w:line="360" w:lineRule="auto"/>
            <w:jc w:val="both"/>
            <w:rPr>
              <w:rFonts w:cstheme="minorHAnsi"/>
            </w:rPr>
          </w:pPr>
        </w:p>
        <w:p w14:paraId="59D064F0" w14:textId="2ABD3F07" w:rsidR="00D86146" w:rsidRDefault="00D86146" w:rsidP="00001D99">
          <w:pPr>
            <w:spacing w:line="360" w:lineRule="auto"/>
            <w:jc w:val="both"/>
            <w:rPr>
              <w:rFonts w:cstheme="minorHAnsi"/>
            </w:rPr>
          </w:pPr>
        </w:p>
        <w:p w14:paraId="3927C257" w14:textId="77777777" w:rsidR="00D86146" w:rsidRDefault="00D86146" w:rsidP="00001D99">
          <w:pPr>
            <w:spacing w:line="360" w:lineRule="auto"/>
            <w:jc w:val="both"/>
            <w:rPr>
              <w:rFonts w:cstheme="minorHAnsi"/>
            </w:rPr>
          </w:pPr>
        </w:p>
        <w:p w14:paraId="12E469F3" w14:textId="77777777" w:rsidR="000D74E7" w:rsidRPr="000D74E7" w:rsidRDefault="000D74E7" w:rsidP="00001D99">
          <w:pPr>
            <w:spacing w:line="360" w:lineRule="auto"/>
            <w:jc w:val="both"/>
            <w:rPr>
              <w:rFonts w:cstheme="minorHAnsi"/>
              <w:lang w:val="en-US"/>
            </w:rPr>
          </w:pPr>
        </w:p>
        <w:p w14:paraId="61ED425E" w14:textId="77777777" w:rsidR="00052FD6" w:rsidRPr="00052FD6" w:rsidRDefault="00052FD6" w:rsidP="00001D99">
          <w:pPr>
            <w:spacing w:line="360" w:lineRule="auto"/>
            <w:jc w:val="both"/>
            <w:rPr>
              <w:rFonts w:cstheme="minorHAnsi"/>
              <w:lang w:val="en-US"/>
            </w:rPr>
          </w:pPr>
        </w:p>
        <w:p w14:paraId="71105335" w14:textId="1A54FFE2" w:rsidR="00B12303" w:rsidRDefault="00B12303" w:rsidP="00001D99">
          <w:pPr>
            <w:spacing w:line="360" w:lineRule="auto"/>
            <w:jc w:val="both"/>
            <w:rPr>
              <w:rFonts w:cstheme="minorHAnsi"/>
            </w:rPr>
          </w:pPr>
        </w:p>
        <w:p w14:paraId="49E93CAB" w14:textId="77777777" w:rsidR="00B12303" w:rsidRDefault="00B12303" w:rsidP="00001D99">
          <w:pPr>
            <w:spacing w:line="360" w:lineRule="auto"/>
            <w:jc w:val="both"/>
            <w:rPr>
              <w:rFonts w:cstheme="minorHAnsi"/>
            </w:rPr>
          </w:pPr>
        </w:p>
        <w:p w14:paraId="7DA5632E" w14:textId="77777777" w:rsidR="0033789E" w:rsidRDefault="0033789E" w:rsidP="00001D99">
          <w:pPr>
            <w:spacing w:line="360" w:lineRule="auto"/>
            <w:jc w:val="both"/>
            <w:rPr>
              <w:rFonts w:cstheme="minorHAnsi"/>
            </w:rPr>
          </w:pPr>
        </w:p>
        <w:p w14:paraId="7F70C2A6" w14:textId="77777777" w:rsidR="00E45295" w:rsidRDefault="00E45295" w:rsidP="00001D99">
          <w:pPr>
            <w:spacing w:line="360" w:lineRule="auto"/>
            <w:jc w:val="both"/>
            <w:rPr>
              <w:rFonts w:cstheme="minorHAnsi"/>
            </w:rPr>
          </w:pPr>
        </w:p>
        <w:p w14:paraId="23E852CB" w14:textId="77777777" w:rsidR="00B858A7" w:rsidRDefault="00B858A7" w:rsidP="000F6A84">
          <w:pPr>
            <w:jc w:val="both"/>
            <w:rPr>
              <w:rFonts w:cstheme="minorHAnsi"/>
            </w:rPr>
          </w:pPr>
        </w:p>
        <w:p w14:paraId="22BCEC39" w14:textId="77777777" w:rsidR="004454C4" w:rsidRPr="00CB66EF" w:rsidRDefault="00000000" w:rsidP="000F6A84">
          <w:pPr>
            <w:jc w:val="both"/>
            <w:rPr>
              <w:rFonts w:cstheme="minorHAnsi"/>
            </w:rPr>
          </w:pPr>
        </w:p>
      </w:sdtContent>
    </w:sdt>
    <w:p w14:paraId="44BEFC35" w14:textId="77777777" w:rsidR="004454C4" w:rsidRDefault="004454C4" w:rsidP="000F6A84">
      <w:pPr>
        <w:jc w:val="both"/>
      </w:pPr>
    </w:p>
    <w:sectPr w:rsidR="004454C4" w:rsidSect="004454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4C4"/>
    <w:rsid w:val="00001D99"/>
    <w:rsid w:val="00052FD6"/>
    <w:rsid w:val="0007068D"/>
    <w:rsid w:val="00075362"/>
    <w:rsid w:val="000C0868"/>
    <w:rsid w:val="000C4A88"/>
    <w:rsid w:val="000D74E7"/>
    <w:rsid w:val="000F6A84"/>
    <w:rsid w:val="00107452"/>
    <w:rsid w:val="0011587F"/>
    <w:rsid w:val="0011651C"/>
    <w:rsid w:val="00141D14"/>
    <w:rsid w:val="001A1B67"/>
    <w:rsid w:val="001D597F"/>
    <w:rsid w:val="002071FA"/>
    <w:rsid w:val="002164D7"/>
    <w:rsid w:val="00276D94"/>
    <w:rsid w:val="00293ECF"/>
    <w:rsid w:val="002D5E6A"/>
    <w:rsid w:val="002F6ED3"/>
    <w:rsid w:val="00304510"/>
    <w:rsid w:val="0033789E"/>
    <w:rsid w:val="003460CC"/>
    <w:rsid w:val="003B0218"/>
    <w:rsid w:val="003F0A46"/>
    <w:rsid w:val="004454C4"/>
    <w:rsid w:val="0047717E"/>
    <w:rsid w:val="004C1A28"/>
    <w:rsid w:val="00536520"/>
    <w:rsid w:val="00537075"/>
    <w:rsid w:val="0056112F"/>
    <w:rsid w:val="00591056"/>
    <w:rsid w:val="005A0808"/>
    <w:rsid w:val="005F1D3C"/>
    <w:rsid w:val="006666D9"/>
    <w:rsid w:val="006771F5"/>
    <w:rsid w:val="006D4195"/>
    <w:rsid w:val="006F2825"/>
    <w:rsid w:val="00733E19"/>
    <w:rsid w:val="00734124"/>
    <w:rsid w:val="007776FA"/>
    <w:rsid w:val="007E1D69"/>
    <w:rsid w:val="00807AB2"/>
    <w:rsid w:val="00847B9E"/>
    <w:rsid w:val="008514FA"/>
    <w:rsid w:val="008931B4"/>
    <w:rsid w:val="009007D0"/>
    <w:rsid w:val="00944554"/>
    <w:rsid w:val="00962594"/>
    <w:rsid w:val="009A7C64"/>
    <w:rsid w:val="009B4357"/>
    <w:rsid w:val="00A16276"/>
    <w:rsid w:val="00A5069E"/>
    <w:rsid w:val="00A931E5"/>
    <w:rsid w:val="00AC4EA2"/>
    <w:rsid w:val="00B12303"/>
    <w:rsid w:val="00B53208"/>
    <w:rsid w:val="00B5344A"/>
    <w:rsid w:val="00B802ED"/>
    <w:rsid w:val="00B858A7"/>
    <w:rsid w:val="00BA7C70"/>
    <w:rsid w:val="00BB65CB"/>
    <w:rsid w:val="00BB6F0B"/>
    <w:rsid w:val="00BE189F"/>
    <w:rsid w:val="00C20275"/>
    <w:rsid w:val="00C20B91"/>
    <w:rsid w:val="00C25567"/>
    <w:rsid w:val="00C33818"/>
    <w:rsid w:val="00CB66EF"/>
    <w:rsid w:val="00D5012B"/>
    <w:rsid w:val="00D86146"/>
    <w:rsid w:val="00DE4E42"/>
    <w:rsid w:val="00DE52C4"/>
    <w:rsid w:val="00E21483"/>
    <w:rsid w:val="00E45295"/>
    <w:rsid w:val="00E77F1B"/>
    <w:rsid w:val="00E94701"/>
    <w:rsid w:val="00EC7C5D"/>
    <w:rsid w:val="00ED5067"/>
    <w:rsid w:val="00EE701B"/>
    <w:rsid w:val="00F10D11"/>
    <w:rsid w:val="00F222B0"/>
    <w:rsid w:val="00F523E4"/>
    <w:rsid w:val="00F66C2F"/>
    <w:rsid w:val="00FA37F2"/>
    <w:rsid w:val="00FF32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1009A"/>
  <w15:chartTrackingRefBased/>
  <w15:docId w15:val="{3A8042A3-659D-DD4D-93DA-AF219569E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D9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54C4"/>
    <w:rPr>
      <w:rFonts w:eastAsiaTheme="minorEastAsia"/>
      <w:sz w:val="22"/>
      <w:szCs w:val="22"/>
      <w:lang w:val="en-US" w:eastAsia="zh-CN"/>
    </w:rPr>
  </w:style>
  <w:style w:type="character" w:customStyle="1" w:styleId="NoSpacingChar">
    <w:name w:val="No Spacing Char"/>
    <w:basedOn w:val="DefaultParagraphFont"/>
    <w:link w:val="NoSpacing"/>
    <w:uiPriority w:val="1"/>
    <w:rsid w:val="004454C4"/>
    <w:rPr>
      <w:rFonts w:eastAsiaTheme="minorEastAsia"/>
      <w:sz w:val="22"/>
      <w:szCs w:val="22"/>
      <w:lang w:val="en-US" w:eastAsia="zh-CN"/>
    </w:rPr>
  </w:style>
  <w:style w:type="paragraph" w:styleId="ListParagraph">
    <w:name w:val="List Paragraph"/>
    <w:basedOn w:val="Normal"/>
    <w:uiPriority w:val="34"/>
    <w:qFormat/>
    <w:rsid w:val="00536520"/>
    <w:pPr>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01D9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01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6420">
      <w:bodyDiv w:val="1"/>
      <w:marLeft w:val="0"/>
      <w:marRight w:val="0"/>
      <w:marTop w:val="0"/>
      <w:marBottom w:val="0"/>
      <w:divBdr>
        <w:top w:val="none" w:sz="0" w:space="0" w:color="auto"/>
        <w:left w:val="none" w:sz="0" w:space="0" w:color="auto"/>
        <w:bottom w:val="none" w:sz="0" w:space="0" w:color="auto"/>
        <w:right w:val="none" w:sz="0" w:space="0" w:color="auto"/>
      </w:divBdr>
    </w:div>
    <w:div w:id="80613248">
      <w:bodyDiv w:val="1"/>
      <w:marLeft w:val="0"/>
      <w:marRight w:val="0"/>
      <w:marTop w:val="0"/>
      <w:marBottom w:val="0"/>
      <w:divBdr>
        <w:top w:val="none" w:sz="0" w:space="0" w:color="auto"/>
        <w:left w:val="none" w:sz="0" w:space="0" w:color="auto"/>
        <w:bottom w:val="none" w:sz="0" w:space="0" w:color="auto"/>
        <w:right w:val="none" w:sz="0" w:space="0" w:color="auto"/>
      </w:divBdr>
    </w:div>
    <w:div w:id="117768375">
      <w:bodyDiv w:val="1"/>
      <w:marLeft w:val="0"/>
      <w:marRight w:val="0"/>
      <w:marTop w:val="0"/>
      <w:marBottom w:val="0"/>
      <w:divBdr>
        <w:top w:val="none" w:sz="0" w:space="0" w:color="auto"/>
        <w:left w:val="none" w:sz="0" w:space="0" w:color="auto"/>
        <w:bottom w:val="none" w:sz="0" w:space="0" w:color="auto"/>
        <w:right w:val="none" w:sz="0" w:space="0" w:color="auto"/>
      </w:divBdr>
    </w:div>
    <w:div w:id="273901849">
      <w:bodyDiv w:val="1"/>
      <w:marLeft w:val="0"/>
      <w:marRight w:val="0"/>
      <w:marTop w:val="0"/>
      <w:marBottom w:val="0"/>
      <w:divBdr>
        <w:top w:val="none" w:sz="0" w:space="0" w:color="auto"/>
        <w:left w:val="none" w:sz="0" w:space="0" w:color="auto"/>
        <w:bottom w:val="none" w:sz="0" w:space="0" w:color="auto"/>
        <w:right w:val="none" w:sz="0" w:space="0" w:color="auto"/>
      </w:divBdr>
    </w:div>
    <w:div w:id="359817790">
      <w:bodyDiv w:val="1"/>
      <w:marLeft w:val="0"/>
      <w:marRight w:val="0"/>
      <w:marTop w:val="0"/>
      <w:marBottom w:val="0"/>
      <w:divBdr>
        <w:top w:val="none" w:sz="0" w:space="0" w:color="auto"/>
        <w:left w:val="none" w:sz="0" w:space="0" w:color="auto"/>
        <w:bottom w:val="none" w:sz="0" w:space="0" w:color="auto"/>
        <w:right w:val="none" w:sz="0" w:space="0" w:color="auto"/>
      </w:divBdr>
    </w:div>
    <w:div w:id="441538825">
      <w:bodyDiv w:val="1"/>
      <w:marLeft w:val="0"/>
      <w:marRight w:val="0"/>
      <w:marTop w:val="0"/>
      <w:marBottom w:val="0"/>
      <w:divBdr>
        <w:top w:val="none" w:sz="0" w:space="0" w:color="auto"/>
        <w:left w:val="none" w:sz="0" w:space="0" w:color="auto"/>
        <w:bottom w:val="none" w:sz="0" w:space="0" w:color="auto"/>
        <w:right w:val="none" w:sz="0" w:space="0" w:color="auto"/>
      </w:divBdr>
    </w:div>
    <w:div w:id="543953097">
      <w:bodyDiv w:val="1"/>
      <w:marLeft w:val="0"/>
      <w:marRight w:val="0"/>
      <w:marTop w:val="0"/>
      <w:marBottom w:val="0"/>
      <w:divBdr>
        <w:top w:val="none" w:sz="0" w:space="0" w:color="auto"/>
        <w:left w:val="none" w:sz="0" w:space="0" w:color="auto"/>
        <w:bottom w:val="none" w:sz="0" w:space="0" w:color="auto"/>
        <w:right w:val="none" w:sz="0" w:space="0" w:color="auto"/>
      </w:divBdr>
    </w:div>
    <w:div w:id="591470065">
      <w:bodyDiv w:val="1"/>
      <w:marLeft w:val="0"/>
      <w:marRight w:val="0"/>
      <w:marTop w:val="0"/>
      <w:marBottom w:val="0"/>
      <w:divBdr>
        <w:top w:val="none" w:sz="0" w:space="0" w:color="auto"/>
        <w:left w:val="none" w:sz="0" w:space="0" w:color="auto"/>
        <w:bottom w:val="none" w:sz="0" w:space="0" w:color="auto"/>
        <w:right w:val="none" w:sz="0" w:space="0" w:color="auto"/>
      </w:divBdr>
    </w:div>
    <w:div w:id="757989567">
      <w:bodyDiv w:val="1"/>
      <w:marLeft w:val="0"/>
      <w:marRight w:val="0"/>
      <w:marTop w:val="0"/>
      <w:marBottom w:val="0"/>
      <w:divBdr>
        <w:top w:val="none" w:sz="0" w:space="0" w:color="auto"/>
        <w:left w:val="none" w:sz="0" w:space="0" w:color="auto"/>
        <w:bottom w:val="none" w:sz="0" w:space="0" w:color="auto"/>
        <w:right w:val="none" w:sz="0" w:space="0" w:color="auto"/>
      </w:divBdr>
    </w:div>
    <w:div w:id="960695279">
      <w:bodyDiv w:val="1"/>
      <w:marLeft w:val="0"/>
      <w:marRight w:val="0"/>
      <w:marTop w:val="0"/>
      <w:marBottom w:val="0"/>
      <w:divBdr>
        <w:top w:val="none" w:sz="0" w:space="0" w:color="auto"/>
        <w:left w:val="none" w:sz="0" w:space="0" w:color="auto"/>
        <w:bottom w:val="none" w:sz="0" w:space="0" w:color="auto"/>
        <w:right w:val="none" w:sz="0" w:space="0" w:color="auto"/>
      </w:divBdr>
    </w:div>
    <w:div w:id="983781807">
      <w:bodyDiv w:val="1"/>
      <w:marLeft w:val="0"/>
      <w:marRight w:val="0"/>
      <w:marTop w:val="0"/>
      <w:marBottom w:val="0"/>
      <w:divBdr>
        <w:top w:val="none" w:sz="0" w:space="0" w:color="auto"/>
        <w:left w:val="none" w:sz="0" w:space="0" w:color="auto"/>
        <w:bottom w:val="none" w:sz="0" w:space="0" w:color="auto"/>
        <w:right w:val="none" w:sz="0" w:space="0" w:color="auto"/>
      </w:divBdr>
    </w:div>
    <w:div w:id="985549353">
      <w:bodyDiv w:val="1"/>
      <w:marLeft w:val="0"/>
      <w:marRight w:val="0"/>
      <w:marTop w:val="0"/>
      <w:marBottom w:val="0"/>
      <w:divBdr>
        <w:top w:val="none" w:sz="0" w:space="0" w:color="auto"/>
        <w:left w:val="none" w:sz="0" w:space="0" w:color="auto"/>
        <w:bottom w:val="none" w:sz="0" w:space="0" w:color="auto"/>
        <w:right w:val="none" w:sz="0" w:space="0" w:color="auto"/>
      </w:divBdr>
    </w:div>
    <w:div w:id="1035740342">
      <w:bodyDiv w:val="1"/>
      <w:marLeft w:val="0"/>
      <w:marRight w:val="0"/>
      <w:marTop w:val="0"/>
      <w:marBottom w:val="0"/>
      <w:divBdr>
        <w:top w:val="none" w:sz="0" w:space="0" w:color="auto"/>
        <w:left w:val="none" w:sz="0" w:space="0" w:color="auto"/>
        <w:bottom w:val="none" w:sz="0" w:space="0" w:color="auto"/>
        <w:right w:val="none" w:sz="0" w:space="0" w:color="auto"/>
      </w:divBdr>
    </w:div>
    <w:div w:id="1115251045">
      <w:bodyDiv w:val="1"/>
      <w:marLeft w:val="0"/>
      <w:marRight w:val="0"/>
      <w:marTop w:val="0"/>
      <w:marBottom w:val="0"/>
      <w:divBdr>
        <w:top w:val="none" w:sz="0" w:space="0" w:color="auto"/>
        <w:left w:val="none" w:sz="0" w:space="0" w:color="auto"/>
        <w:bottom w:val="none" w:sz="0" w:space="0" w:color="auto"/>
        <w:right w:val="none" w:sz="0" w:space="0" w:color="auto"/>
      </w:divBdr>
    </w:div>
    <w:div w:id="1148590759">
      <w:bodyDiv w:val="1"/>
      <w:marLeft w:val="0"/>
      <w:marRight w:val="0"/>
      <w:marTop w:val="0"/>
      <w:marBottom w:val="0"/>
      <w:divBdr>
        <w:top w:val="none" w:sz="0" w:space="0" w:color="auto"/>
        <w:left w:val="none" w:sz="0" w:space="0" w:color="auto"/>
        <w:bottom w:val="none" w:sz="0" w:space="0" w:color="auto"/>
        <w:right w:val="none" w:sz="0" w:space="0" w:color="auto"/>
      </w:divBdr>
    </w:div>
    <w:div w:id="1177233605">
      <w:bodyDiv w:val="1"/>
      <w:marLeft w:val="0"/>
      <w:marRight w:val="0"/>
      <w:marTop w:val="0"/>
      <w:marBottom w:val="0"/>
      <w:divBdr>
        <w:top w:val="none" w:sz="0" w:space="0" w:color="auto"/>
        <w:left w:val="none" w:sz="0" w:space="0" w:color="auto"/>
        <w:bottom w:val="none" w:sz="0" w:space="0" w:color="auto"/>
        <w:right w:val="none" w:sz="0" w:space="0" w:color="auto"/>
      </w:divBdr>
    </w:div>
    <w:div w:id="1351183917">
      <w:bodyDiv w:val="1"/>
      <w:marLeft w:val="0"/>
      <w:marRight w:val="0"/>
      <w:marTop w:val="0"/>
      <w:marBottom w:val="0"/>
      <w:divBdr>
        <w:top w:val="none" w:sz="0" w:space="0" w:color="auto"/>
        <w:left w:val="none" w:sz="0" w:space="0" w:color="auto"/>
        <w:bottom w:val="none" w:sz="0" w:space="0" w:color="auto"/>
        <w:right w:val="none" w:sz="0" w:space="0" w:color="auto"/>
      </w:divBdr>
    </w:div>
    <w:div w:id="1524900584">
      <w:bodyDiv w:val="1"/>
      <w:marLeft w:val="0"/>
      <w:marRight w:val="0"/>
      <w:marTop w:val="0"/>
      <w:marBottom w:val="0"/>
      <w:divBdr>
        <w:top w:val="none" w:sz="0" w:space="0" w:color="auto"/>
        <w:left w:val="none" w:sz="0" w:space="0" w:color="auto"/>
        <w:bottom w:val="none" w:sz="0" w:space="0" w:color="auto"/>
        <w:right w:val="none" w:sz="0" w:space="0" w:color="auto"/>
      </w:divBdr>
    </w:div>
    <w:div w:id="1597783545">
      <w:bodyDiv w:val="1"/>
      <w:marLeft w:val="0"/>
      <w:marRight w:val="0"/>
      <w:marTop w:val="0"/>
      <w:marBottom w:val="0"/>
      <w:divBdr>
        <w:top w:val="none" w:sz="0" w:space="0" w:color="auto"/>
        <w:left w:val="none" w:sz="0" w:space="0" w:color="auto"/>
        <w:bottom w:val="none" w:sz="0" w:space="0" w:color="auto"/>
        <w:right w:val="none" w:sz="0" w:space="0" w:color="auto"/>
      </w:divBdr>
    </w:div>
    <w:div w:id="1665354209">
      <w:bodyDiv w:val="1"/>
      <w:marLeft w:val="0"/>
      <w:marRight w:val="0"/>
      <w:marTop w:val="0"/>
      <w:marBottom w:val="0"/>
      <w:divBdr>
        <w:top w:val="none" w:sz="0" w:space="0" w:color="auto"/>
        <w:left w:val="none" w:sz="0" w:space="0" w:color="auto"/>
        <w:bottom w:val="none" w:sz="0" w:space="0" w:color="auto"/>
        <w:right w:val="none" w:sz="0" w:space="0" w:color="auto"/>
      </w:divBdr>
    </w:div>
    <w:div w:id="1708026942">
      <w:bodyDiv w:val="1"/>
      <w:marLeft w:val="0"/>
      <w:marRight w:val="0"/>
      <w:marTop w:val="0"/>
      <w:marBottom w:val="0"/>
      <w:divBdr>
        <w:top w:val="none" w:sz="0" w:space="0" w:color="auto"/>
        <w:left w:val="none" w:sz="0" w:space="0" w:color="auto"/>
        <w:bottom w:val="none" w:sz="0" w:space="0" w:color="auto"/>
        <w:right w:val="none" w:sz="0" w:space="0" w:color="auto"/>
      </w:divBdr>
    </w:div>
    <w:div w:id="1728189959">
      <w:bodyDiv w:val="1"/>
      <w:marLeft w:val="0"/>
      <w:marRight w:val="0"/>
      <w:marTop w:val="0"/>
      <w:marBottom w:val="0"/>
      <w:divBdr>
        <w:top w:val="none" w:sz="0" w:space="0" w:color="auto"/>
        <w:left w:val="none" w:sz="0" w:space="0" w:color="auto"/>
        <w:bottom w:val="none" w:sz="0" w:space="0" w:color="auto"/>
        <w:right w:val="none" w:sz="0" w:space="0" w:color="auto"/>
      </w:divBdr>
    </w:div>
    <w:div w:id="1729760554">
      <w:bodyDiv w:val="1"/>
      <w:marLeft w:val="0"/>
      <w:marRight w:val="0"/>
      <w:marTop w:val="0"/>
      <w:marBottom w:val="0"/>
      <w:divBdr>
        <w:top w:val="none" w:sz="0" w:space="0" w:color="auto"/>
        <w:left w:val="none" w:sz="0" w:space="0" w:color="auto"/>
        <w:bottom w:val="none" w:sz="0" w:space="0" w:color="auto"/>
        <w:right w:val="none" w:sz="0" w:space="0" w:color="auto"/>
      </w:divBdr>
    </w:div>
    <w:div w:id="1947998234">
      <w:bodyDiv w:val="1"/>
      <w:marLeft w:val="0"/>
      <w:marRight w:val="0"/>
      <w:marTop w:val="0"/>
      <w:marBottom w:val="0"/>
      <w:divBdr>
        <w:top w:val="none" w:sz="0" w:space="0" w:color="auto"/>
        <w:left w:val="none" w:sz="0" w:space="0" w:color="auto"/>
        <w:bottom w:val="none" w:sz="0" w:space="0" w:color="auto"/>
        <w:right w:val="none" w:sz="0" w:space="0" w:color="auto"/>
      </w:divBdr>
    </w:div>
    <w:div w:id="195455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1918CBFDE0A54EA1047473898AEDB2"/>
        <w:category>
          <w:name w:val="General"/>
          <w:gallery w:val="placeholder"/>
        </w:category>
        <w:types>
          <w:type w:val="bbPlcHdr"/>
        </w:types>
        <w:behaviors>
          <w:behavior w:val="content"/>
        </w:behaviors>
        <w:guid w:val="{59757465-07F7-3B43-B168-485FDB546E31}"/>
      </w:docPartPr>
      <w:docPartBody>
        <w:p w:rsidR="00A56AFF" w:rsidRDefault="003C0925" w:rsidP="003C0925">
          <w:pPr>
            <w:pStyle w:val="AB1918CBFDE0A54EA1047473898AEDB2"/>
          </w:pPr>
          <w:r>
            <w:rPr>
              <w:rFonts w:asciiTheme="majorHAnsi" w:eastAsiaTheme="majorEastAsia" w:hAnsiTheme="majorHAnsi" w:cstheme="majorBidi"/>
              <w:caps/>
              <w:color w:val="4472C4" w:themeColor="accent1"/>
              <w:sz w:val="80"/>
              <w:szCs w:val="80"/>
            </w:rPr>
            <w:t>[Document title]</w:t>
          </w:r>
        </w:p>
      </w:docPartBody>
    </w:docPart>
    <w:docPart>
      <w:docPartPr>
        <w:name w:val="9A0C33BBB3615843AB7E741ED5F53C04"/>
        <w:category>
          <w:name w:val="General"/>
          <w:gallery w:val="placeholder"/>
        </w:category>
        <w:types>
          <w:type w:val="bbPlcHdr"/>
        </w:types>
        <w:behaviors>
          <w:behavior w:val="content"/>
        </w:behaviors>
        <w:guid w:val="{BC1D406B-4256-A645-8A11-FB1C616883B2}"/>
      </w:docPartPr>
      <w:docPartBody>
        <w:p w:rsidR="00A56AFF" w:rsidRDefault="003C0925" w:rsidP="003C0925">
          <w:pPr>
            <w:pStyle w:val="9A0C33BBB3615843AB7E741ED5F53C0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925"/>
    <w:rsid w:val="00015C32"/>
    <w:rsid w:val="00051908"/>
    <w:rsid w:val="00090DEC"/>
    <w:rsid w:val="00141449"/>
    <w:rsid w:val="001F12C9"/>
    <w:rsid w:val="003C0925"/>
    <w:rsid w:val="005A6AB3"/>
    <w:rsid w:val="00655D27"/>
    <w:rsid w:val="006D0566"/>
    <w:rsid w:val="00940F15"/>
    <w:rsid w:val="00961534"/>
    <w:rsid w:val="009F229F"/>
    <w:rsid w:val="00A00CA1"/>
    <w:rsid w:val="00A06318"/>
    <w:rsid w:val="00A077BB"/>
    <w:rsid w:val="00A56AFF"/>
    <w:rsid w:val="00A83C18"/>
    <w:rsid w:val="00AB0F4E"/>
    <w:rsid w:val="00AD162E"/>
    <w:rsid w:val="00BE7FCD"/>
    <w:rsid w:val="00C62ECD"/>
    <w:rsid w:val="00C65623"/>
    <w:rsid w:val="00C9127F"/>
    <w:rsid w:val="00D32490"/>
    <w:rsid w:val="00E82AE5"/>
    <w:rsid w:val="00F94155"/>
    <w:rsid w:val="00FC5439"/>
    <w:rsid w:val="00FC59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1918CBFDE0A54EA1047473898AEDB2">
    <w:name w:val="AB1918CBFDE0A54EA1047473898AEDB2"/>
    <w:rsid w:val="003C0925"/>
  </w:style>
  <w:style w:type="paragraph" w:customStyle="1" w:styleId="9A0C33BBB3615843AB7E741ED5F53C04">
    <w:name w:val="9A0C33BBB3615843AB7E741ED5F53C04"/>
    <w:rsid w:val="003C09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2023-03-10T00:00:00</PublishDate>
  <Abstract/>
  <CompanyAddress>University of Wales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Pri17</b:Tag>
    <b:SourceType>InternetSite</b:SourceType>
    <b:Guid>{BE6F357C-F118-1249-9FC0-889B3E16C25A}</b:Guid>
    <b:LCID>en-GB</b:LCID>
    <b:Author>
      <b:Author>
        <b:NameList>
          <b:Person>
            <b:Last>Studies</b:Last>
            <b:First>Prince</b:First>
            <b:Middle>Saprai.  Legal</b:Middle>
          </b:Person>
        </b:NameList>
      </b:Author>
    </b:Author>
    <b:Title>Balfour V Balfour and the separation of contract and promise</b:Title>
    <b:URL>https://www.proquest.com/docview/2210387603?accountid=130472</b:URL>
    <b:Year>2017</b:Year>
    <b:YearAccessed>September</b:YearAccessed>
    <b:RefOrder>19</b:RefOrder>
  </b:Source>
  <b:Source>
    <b:Tag>LOR70</b:Tag>
    <b:SourceType>InternetSite</b:SourceType>
    <b:Guid>{F9B1791A-F544-FC4A-878F-D190E1E2BBE5}</b:Guid>
    <b:LCID>en-GB</b:LCID>
    <b:Author>
      <b:Author>
        <b:NameList>
          <b:Person>
            <b:Last>LORD DENNING MR</b:Last>
            <b:First>WIDGERY</b:First>
            <b:Middle>AND KARMINSKI LJJ</b:Middle>
          </b:Person>
        </b:NameList>
      </b:Author>
    </b:Author>
    <b:Title>Merritt v Merritt  </b:Title>
    <b:URL>https://plus-lexis-com.ezproxy.uwtsd.ac.uk/uk/document/documentlink/?pdmfid=1001073&amp;crid=5d42e133-a9ed-4324-a51b-f270b4d3d048&amp;pddocfullpath=%2Fshared%2Fdocument%2Fcases-uk%2Furn%3AcontentItem%3A4CSP-35T0-TWP1-605S-00000-00&amp;pdcontentcomponentid=274668&amp;pdpr</b:URL>
    <b:Year>1970</b:Year>
    <b:RefOrder>6</b:RefOrder>
  </b:Source>
  <b:Source>
    <b:Tag>Dan</b:Tag>
    <b:SourceType>InternetSite</b:SourceType>
    <b:Guid>{D681284C-AEED-DD4F-9F80-A10BCC76A9A2}</b:Guid>
    <b:LCID>en-GB</b:LCID>
    <b:Author>
      <b:Author>
        <b:NameList>
          <b:Person>
            <b:Last>Danckwerts</b:Last>
            <b:First>Salmon</b:First>
            <b:Middle>and Fenton Atkinson L.JJ</b:Middle>
          </b:Person>
        </b:NameList>
      </b:Author>
    </b:Author>
    <b:Title>JONES v. PADAVATTON [1969]</b:Title>
    <b:URL>https://plus-lexis-com.ezproxy.uwtsd.ac.uk/uk/document/documentlink/?pdmfid=1001073&amp;crid=818a6532-6360-4706-a093-5839cf6e8ede&amp;pddocfullpath=%2Fshared%2Fdocument%2Fcases-uk%2Furn%3AcontentItem%3A5FJH-TCR1-F00Y-N1VD-00000-00&amp;pdcontentcomponentid=417192&amp;pdpr</b:URL>
    <b:RefOrder>5</b:RefOrder>
  </b:Source>
  <b:Source>
    <b:Tag>Rob19</b:Tag>
    <b:SourceType>BookSection</b:SourceType>
    <b:Guid>{0C51F339-9B0A-4C4D-BB3C-78B685AF018B}</b:Guid>
    <b:Title>Merritt v Merritt 1970</b:Title>
    <b:Year>2019</b:Year>
    <b:LCID>en-GB</b:LCID>
    <b:Author>
      <b:Author>
        <b:NameList>
          <b:Person>
            <b:Last>Saintier</b:Last>
            <b:First>Robert</b:First>
            <b:Middle>Merkin &amp; Severine</b:Middle>
          </b:Person>
        </b:NameList>
      </b:Author>
    </b:Author>
    <b:BookTitle>Poole's Casebook on Contract Law</b:BookTitle>
    <b:City>Oxford </b:City>
    <b:Publisher> Oxford University Press</b:Publisher>
    <b:RefOrder>7</b:RefOrder>
  </b:Source>
  <b:Source>
    <b:Tag>Ell19</b:Tag>
    <b:SourceType>BookSection</b:SourceType>
    <b:Guid>{21EFDF5E-A15B-F24B-B717-120C2B159917}</b:Guid>
    <b:LCID>en-GB</b:LCID>
    <b:Author>
      <b:Author>
        <b:NameList>
          <b:Person>
            <b:Last>Elliott</b:Last>
            <b:First>Catherine</b:First>
          </b:Person>
        </b:NameList>
      </b:Author>
    </b:Author>
    <b:Title>Social and domestic agreement Simpkins v Pays </b:Title>
    <b:BookTitle>Contract law</b:BookTitle>
    <b:Publisher>Pearson </b:Publisher>
    <b:Year>2019</b:Year>
    <b:RefOrder>8</b:RefOrder>
  </b:Source>
  <b:Source>
    <b:Tag>Rob191</b:Tag>
    <b:SourceType>BookSection</b:SourceType>
    <b:Guid>{CB706ADA-3183-8541-B4D6-2571344EC7B3}</b:Guid>
    <b:LCID>en-GB</b:LCID>
    <b:Author>
      <b:Author>
        <b:NameList>
          <b:Person>
            <b:Last>Robert Merkin</b:Last>
            <b:First>Severine</b:First>
            <b:Middle>Saintier</b:Middle>
          </b:Person>
        </b:NameList>
      </b:Author>
    </b:Author>
    <b:Title>Esso v Commissioners of Customs and Excise [1975]</b:Title>
    <b:BookTitle>Contract Law </b:BookTitle>
    <b:City>Oxford </b:City>
    <b:Year>2019</b:Year>
    <b:RefOrder>9</b:RefOrder>
  </b:Source>
  <b:Source>
    <b:Tag>Fra19</b:Tag>
    <b:SourceType>BookSection</b:SourceType>
    <b:Guid>{F939767A-6B8C-3A4D-8653-FD2721EDC102}</b:Guid>
    <b:LCID>en-GB</b:LCID>
    <b:Author>
      <b:Author>
        <b:NameList>
          <b:Person>
            <b:Last>Quinn</b:Last>
            <b:First>Frances</b:First>
          </b:Person>
        </b:NameList>
      </b:Author>
    </b:Author>
    <b:Title>Commercial agreements Esso v Commissioners of Customs and Excise</b:Title>
    <b:BookTitle>Contract Law</b:BookTitle>
    <b:Year>2019</b:Year>
    <b:RefOrder>10</b:RefOrder>
  </b:Source>
  <b:Source>
    <b:Tag>Pau19</b:Tag>
    <b:SourceType>BookSection</b:SourceType>
    <b:Guid>{E4F0A67E-5BB6-FB46-BC92-181E9A596EA9}</b:Guid>
    <b:LCID>en-GB</b:LCID>
    <b:Author>
      <b:Author>
        <b:NameList>
          <b:Person>
            <b:Last>Richards</b:Last>
            <b:First>Paul</b:First>
          </b:Person>
        </b:NameList>
      </b:Author>
    </b:Author>
    <b:BookTitle>Contract law </b:BookTitle>
    <b:Publisher>Pearson Education</b:Publisher>
    <b:Year>2019</b:Year>
    <b:RefOrder>11</b:RefOrder>
  </b:Source>
  <b:Source>
    <b:Tag>Eli17</b:Tag>
    <b:SourceType>InternetSite</b:SourceType>
    <b:Guid>{B1232613-3F94-C640-B274-797ABA977BE6}</b:Guid>
    <b:LCID>en-GB</b:LCID>
    <b:Author>
      <b:Author>
        <b:NameList>
          <b:Person>
            <b:Last>Tolhurst</b:Last>
            <b:First>Eliza</b:First>
            <b:Middle>Mik and GJ</b:Middle>
          </b:Person>
        </b:NameList>
      </b:Author>
    </b:Author>
    <b:Title> The elements of contract</b:Title>
    <b:URL>https://plus-lexis-com.ezproxy.uwtsd.ac.uk/api/permalink/909ce765-8ba6-4374-b693-2ae87f117ce7/?context=1001073</b:URL>
    <b:Year>2017</b:Year>
    <b:RefOrder>2</b:RefOrder>
  </b:Source>
  <b:Source>
    <b:Tag>Pau191</b:Tag>
    <b:SourceType>BookSection</b:SourceType>
    <b:Guid>{B6429903-717B-054C-9CF9-B965D08B6255}</b:Guid>
    <b:Title>Evolution</b:Title>
    <b:Year>2019</b:Year>
    <b:LCID>en-GB</b:LCID>
    <b:Author>
      <b:Author>
        <b:NameList>
          <b:Person>
            <b:Last>Richards</b:Last>
            <b:First>Paul</b:First>
          </b:Person>
        </b:NameList>
      </b:Author>
    </b:Author>
    <b:BookTitle>law of contract</b:BookTitle>
    <b:Publisher>Pearson Education, Limited</b:Publisher>
    <b:Pages>7 , 8</b:Pages>
    <b:RefOrder>1</b:RefOrder>
  </b:Source>
  <b:Source>
    <b:Tag>Mer21</b:Tag>
    <b:SourceType>BookSection</b:SourceType>
    <b:Guid>{69E64013-256D-2543-98A1-126293372546}</b:Guid>
    <b:LCID>en-GB</b:LCID>
    <b:Author>
      <b:Author>
        <b:NameList>
          <b:Person>
            <b:Last>Saintier</b:Last>
            <b:First>Merkin</b:First>
            <b:Middle>&amp;</b:Middle>
          </b:Person>
        </b:NameList>
      </b:Author>
    </b:Author>
    <b:Title>Intention to be legally bound, formalities and capactity to contract</b:Title>
    <b:BookTitle>Poole's textbook on contract law</b:BookTitle>
    <b:City>Oxford</b:City>
    <b:Publisher> Oxford University Press</b:Publisher>
    <b:Year>2021</b:Year>
    <b:Pages>145</b:Pages>
    <b:RefOrder>3</b:RefOrder>
  </b:Source>
  <b:Source>
    <b:Tag>WAR17</b:Tag>
    <b:SourceType>InternetSite</b:SourceType>
    <b:Guid>{22A71137-F34C-5D4D-80E5-2CE957E460E9}</b:Guid>
    <b:Title> Balfour v Balfour [1918-19] All ER Rep 860</b:Title>
    <b:Year>2017</b:Year>
    <b:LCID>en-GB</b:LCID>
    <b:Author>
      <b:Author>
        <b:NameList>
          <b:Person>
            <b:Last>WARRINGTON</b:Last>
            <b:First>DUKE</b:First>
            <b:Middle>AND ATKIN LJJ</b:Middle>
          </b:Person>
        </b:NameList>
      </b:Author>
    </b:Author>
    <b:URL>https://plus-lexis-com.ezproxy.uwtsd.ac.uk/uk/document/documentlink/?pdmfid=1001073&amp;crid=a0f9b1bb-3ac7-407e-b9ca-75d6d181172b&amp;pddocfullpath=%2Fshared%2Fdocument%2Fcases-uk%2Furn%3AcontentItem%3A4FPP-FFM0-TWXJ-20GV-00000-00&amp;pdcontentcomponentid=279846&amp;pdpr</b:URL>
    <b:RefOrder>4</b:RefOrder>
  </b:Source>
  <b:Source>
    <b:Tag>EPE91</b:Tag>
    <b:SourceType>JournalArticle</b:SourceType>
    <b:Guid>{C37477E6-6374-754A-A134-BA33B5CE6CD6}</b:Guid>
    <b:Title>REFLECTIONS ON LETTERS OF COMFORT</b:Title>
    <b:Year>1991</b:Year>
    <b:LCID>en-GB</b:LCID>
    <b:Author>
      <b:Author>
        <b:NameList>
          <b:Person>
            <b:Last>Ellinger</b:Last>
            <b:First>E.P.</b:First>
          </b:Person>
        </b:NameList>
      </b:Author>
    </b:Author>
    <b:JournalName>Singapore Journal of Legal Studies,</b:JournalName>
    <b:Pages>1-12</b:Pages>
    <b:RefOrder>13</b:RefOrder>
  </b:Source>
  <b:Source>
    <b:Tag>Ros</b:Tag>
    <b:SourceType>InternetSite</b:SourceType>
    <b:Guid>{CD377D02-1BA5-A246-9BA4-DD51D43D37B2}</b:Guid>
    <b:Title>Rose and Frank Co v JR Crompton &amp; Bros Ltd  Rose and Frank Co v JR Crompton &amp; Bros Ltd [1925] AC 445, [1924]</b:Title>
    <b:LCID>en-GB</b:LCID>
    <b:Author>
      <b:Author>
        <b:NameList>
          <b:Person>
            <b:Last>EARL OF BIRKENHEAD</b:Last>
            <b:First>LORD</b:First>
            <b:Middle>ATKINSON, LORD SUMNER</b:Middle>
          </b:Person>
        </b:NameList>
      </b:Author>
    </b:Author>
    <b:URL>https://plus-lexis-com.ezproxy.uwtsd.ac.uk/uk/document/documentlink/?pdmfid=1001073&amp;crid=1f6a099a-2f16-4e0d-a3bd-7233d94c36f3&amp;pddocfullpath=%2Fshared%2Fdocument%2Fcases-uk%2Furn%3AcontentItem%3A4K4W-PD50-TXD8-60K2-00000-00&amp;pdcontentcomponentid=296986&amp;pdpr</b:URL>
    <b:Year>2017 </b:Year>
    <b:YearAccessed>1924</b:YearAccessed>
    <b:MonthAccessed>December </b:MonthAccessed>
    <b:DayAccessed>5</b:DayAccessed>
    <b:RefOrder>12</b:RefOrder>
  </b:Source>
  <b:Source>
    <b:Tag>Que17</b:Tag>
    <b:SourceType>InternetSite</b:SourceType>
    <b:Guid>{529B9F45-5464-AE47-BE04-1A4F8B530A01}</b:Guid>
    <b:Title>ERDC Group Ltd v Brunel University [2006] All ER (D) 468 (Mar)</b:Title>
    <b:Year>2017</b:Year>
    <b:LCID>en-GB</b:LCID>
    <b:Author>
      <b:Author>
        <b:NameList>
          <b:Person>
            <b:Last>Division</b:Last>
            <b:First>Queen's</b:First>
            <b:Middle>Bench</b:Middle>
          </b:Person>
        </b:NameList>
      </b:Author>
    </b:Author>
    <b:URL>https://plus-lexis-com.ezproxy.uwtsd.ac.uk/api/permalink/57066a7a-4331-4911-8d4f-6eb452ba619c/?context=1001073</b:URL>
    <b:YearAccessed>2006</b:YearAccessed>
    <b:MonthAccessed>March</b:MonthAccessed>
    <b:DayAccessed>29</b:DayAccessed>
    <b:RefOrder>14</b:RefOrder>
  </b:Source>
  <b:Source>
    <b:Tag>Tho17</b:Tag>
    <b:SourceType>InternetSite</b:SourceType>
    <b:Guid>{8E1955EE-63B5-4D4C-A032-C859BD4D13FA}</b:Guid>
    <b:LCID>en-GB</b:LCID>
    <b:Author>
      <b:Author>
        <b:NameList>
          <b:Person>
            <b:Last>Thomas</b:Last>
            <b:First>Jacob</b:First>
            <b:Middle>and Wall LJJ</b:Middle>
          </b:Person>
        </b:NameList>
      </b:Author>
    </b:Author>
    <b:Title>Day v Haine and another [2008] </b:Title>
    <b:URL>https://plus-lexis-com.ezproxy.uwtsd.ac.uk/api/permalink/9cf7a2e7-7412-4b8a-b181-4e6560feb47a/?context=1001073</b:URL>
    <b:Year>2017</b:Year>
    <b:YearAccessed>2008</b:YearAccessed>
    <b:MonthAccessed>April</b:MonthAccessed>
    <b:DayAccessed>23</b:DayAccessed>
    <b:RefOrder>15</b:RefOrder>
  </b:Source>
  <b:Source>
    <b:Tag>MAC17</b:Tag>
    <b:SourceType>InternetSite</b:SourceType>
    <b:Guid>{42BBEF2A-9C4D-504A-824F-853F3C4799D6}</b:Guid>
    <b:LCID>en-GB</b:LCID>
    <b:Author>
      <b:Author>
        <b:NameList>
          <b:Person>
            <b:Last>LJ</b:Last>
            <b:First>MACDERMOTT</b:First>
          </b:Person>
        </b:NameList>
      </b:Author>
    </b:Author>
    <b:Title>H &amp; P Campbell Ltd v Northern Ireland Housing Executive [1990] Lexis Citation 3762  H &amp; P Campbell Ltd v Northern Ireland Housing Executive 1990</b:Title>
    <b:URL>https://plus-lexis-com.ezproxy.uwtsd.ac.uk/api/permalink/7916d2c7-ee98-4405-ba52-91ae0ae148d5/?context=1001073</b:URL>
    <b:Year>2017</b:Year>
    <b:YearAccessed>1957</b:YearAccessed>
    <b:RefOrder>16</b:RefOrder>
  </b:Source>
  <b:Source>
    <b:Tag>Hod17</b:Tag>
    <b:SourceType>InternetSite</b:SourceType>
    <b:Guid>{7EB46A6E-29EF-DA43-BCFF-16152741DD1F}</b:Guid>
    <b:LCID>en-GB</b:LCID>
    <b:Author>
      <b:Author>
        <b:NameList>
          <b:Person>
            <b:Last>Hodson</b:Last>
            <b:First>Parker</b:First>
            <b:Middle>and Ormerod L.JJ</b:Middle>
          </b:Person>
        </b:NameList>
      </b:Author>
    </b:Author>
    <b:Title>TRIEFUS &amp; CO. LTD. v. POST OFFICE. [1954 T. No. 732.] [1957] 2 Q.B. 352   TRIEFUS &amp; CO. LTD. v. POST OFFICE. [1954 T. No. 732.] [1957] 2 Q.B. 352</b:Title>
    <b:URL>https://plus-lexis-com.ezproxy.uwtsd.ac.uk/api/permalink/8d6464a7-5fbb-4ab8-840a-0c9f386b6f67/?context=1001073</b:URL>
    <b:Year>2017</b:Year>
    <b:YearAccessed>9</b:YearAccessed>
    <b:MonthAccessed>May</b:MonthAccessed>
    <b:DayAccessed>1957</b:DayAccessed>
    <b:RefOrder>17</b:RefOrder>
  </b:Source>
  <b:Source>
    <b:Tag>SIM99</b:Tag>
    <b:SourceType>InternetSite</b:SourceType>
    <b:Guid>{037B5968-02D6-654B-9828-CEF464AD9319}</b:Guid>
    <b:LCID>en-GB</b:LCID>
    <b:Author>
      <b:Author>
        <b:NameList>
          <b:Person>
            <b:Last>SIMON BROWN LJ</b:Last>
            <b:First>NEWMAN</b:First>
            <b:Middle>J</b:Middle>
          </b:Person>
        </b:NameList>
      </b:Author>
    </b:Author>
    <b:Title>HM Attorney General v Robinson </b:Title>
    <b:URL>https://plus-lexis-com.ezproxy.uwtsd.ac.uk/api/permalink/b2bd1ca1-80ee-418f-a0e3-6de88bf618b9/?context=1001073</b:URL>
    <b:YearAccessed>1999</b:YearAccessed>
    <b:MonthAccessed>07</b:MonthAccessed>
    <b:DayAccessed>28</b:DayAccessed>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8232AB-B419-BF43-B87E-4AF1E1495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9</Pages>
  <Words>2535</Words>
  <Characters>14451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Intention to create legal relations</vt:lpstr>
    </vt:vector>
  </TitlesOfParts>
  <Company/>
  <LinksUpToDate>false</LinksUpToDate>
  <CharactersWithSpaces>16953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Intention to create legal relations</dc:title>
  <dc:subject>Contract Low</dc:subject>
  <dc:creator/>
  <cp:keywords/>
  <dc:description/>
  <cp:lastModifiedBy>Microsoft Office User</cp:lastModifiedBy>
  <cp:revision>26</cp:revision>
  <dcterms:created xsi:type="dcterms:W3CDTF">2023-02-20T20:10:00Z</dcterms:created>
  <dcterms:modified xsi:type="dcterms:W3CDTF">2023-03-10T16:56:00Z</dcterms:modified>
</cp:coreProperties>
</file>