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00C6A"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Qualification: CIPD Diploma in Applied Human Resources</w:t>
      </w:r>
    </w:p>
    <w:p w14:paraId="0858FFC6" w14:textId="77777777" w:rsidR="0035470B" w:rsidRPr="00825BB4" w:rsidRDefault="0035470B" w:rsidP="0035470B">
      <w:pPr>
        <w:rPr>
          <w:rFonts w:ascii="Calibri" w:hAnsi="Calibri" w:cs="Calibri"/>
          <w:color w:val="58595B"/>
          <w:sz w:val="36"/>
          <w:szCs w:val="36"/>
        </w:rPr>
      </w:pPr>
    </w:p>
    <w:p w14:paraId="59590A6D" w14:textId="5642ABCF"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 xml:space="preserve">Module Name: </w:t>
      </w:r>
      <w:r w:rsidR="00110647">
        <w:rPr>
          <w:rFonts w:ascii="Calibri" w:hAnsi="Calibri" w:cs="Calibri"/>
          <w:color w:val="58595B"/>
          <w:sz w:val="36"/>
          <w:szCs w:val="36"/>
        </w:rPr>
        <w:t>Understanding Employee Engagement</w:t>
      </w:r>
    </w:p>
    <w:p w14:paraId="47F1CA9C" w14:textId="77777777" w:rsidR="0035470B" w:rsidRPr="00825BB4" w:rsidRDefault="0035470B" w:rsidP="0035470B">
      <w:pPr>
        <w:rPr>
          <w:rFonts w:ascii="Calibri" w:hAnsi="Calibri" w:cs="Calibri"/>
          <w:color w:val="58595B"/>
          <w:sz w:val="36"/>
          <w:szCs w:val="36"/>
        </w:rPr>
      </w:pPr>
    </w:p>
    <w:p w14:paraId="21F6971E" w14:textId="77777777" w:rsidR="0035470B" w:rsidRPr="00825BB4" w:rsidRDefault="0035470B" w:rsidP="0035470B">
      <w:pPr>
        <w:rPr>
          <w:rFonts w:ascii="Calibri" w:hAnsi="Calibri" w:cs="Calibri"/>
          <w:color w:val="58595B"/>
          <w:sz w:val="36"/>
          <w:szCs w:val="36"/>
        </w:rPr>
      </w:pPr>
    </w:p>
    <w:p w14:paraId="0C102894" w14:textId="6B6C14EB"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Word Count Assignment</w:t>
      </w:r>
      <w:r w:rsidR="00110647">
        <w:rPr>
          <w:rFonts w:ascii="Calibri" w:hAnsi="Calibri" w:cs="Calibri"/>
          <w:color w:val="58595B"/>
          <w:sz w:val="36"/>
          <w:szCs w:val="36"/>
        </w:rPr>
        <w:t>:</w:t>
      </w:r>
      <w:r w:rsidR="004C1899">
        <w:rPr>
          <w:rFonts w:ascii="Calibri" w:hAnsi="Calibri" w:cs="Calibri"/>
          <w:color w:val="58595B"/>
          <w:sz w:val="36"/>
          <w:szCs w:val="36"/>
        </w:rPr>
        <w:t xml:space="preserve"> 2699</w:t>
      </w:r>
    </w:p>
    <w:p w14:paraId="30E23D05" w14:textId="77777777" w:rsidR="0035470B" w:rsidRPr="00825BB4" w:rsidRDefault="0035470B" w:rsidP="0035470B">
      <w:pPr>
        <w:rPr>
          <w:rFonts w:ascii="Calibri" w:hAnsi="Calibri" w:cs="Calibri"/>
          <w:color w:val="58595B"/>
          <w:sz w:val="36"/>
          <w:szCs w:val="36"/>
        </w:rPr>
      </w:pPr>
    </w:p>
    <w:p w14:paraId="724BB5EA" w14:textId="77777777" w:rsidR="0035470B" w:rsidRPr="00825BB4" w:rsidRDefault="0035470B" w:rsidP="0035470B">
      <w:pPr>
        <w:rPr>
          <w:rFonts w:ascii="Calibri" w:hAnsi="Calibri" w:cs="Calibri"/>
          <w:color w:val="58595B"/>
          <w:sz w:val="36"/>
          <w:szCs w:val="36"/>
        </w:rPr>
      </w:pPr>
    </w:p>
    <w:p w14:paraId="5D8ECEB0" w14:textId="77777777" w:rsidR="0035470B" w:rsidRPr="00825BB4" w:rsidRDefault="0035470B" w:rsidP="0035470B">
      <w:pPr>
        <w:rPr>
          <w:rFonts w:ascii="Calibri" w:hAnsi="Calibri" w:cs="Calibri"/>
          <w:color w:val="58595B"/>
          <w:sz w:val="36"/>
          <w:szCs w:val="36"/>
        </w:rPr>
      </w:pPr>
    </w:p>
    <w:p w14:paraId="4A9C195E"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Student Name: Jade Bowen</w:t>
      </w:r>
    </w:p>
    <w:p w14:paraId="61860669"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Student Number: 2014437</w:t>
      </w:r>
    </w:p>
    <w:p w14:paraId="6DB0CD1F"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 xml:space="preserve">CIPD Membership Number: </w:t>
      </w:r>
      <w:r w:rsidRPr="00825BB4">
        <w:rPr>
          <w:rFonts w:ascii="Calibri" w:hAnsi="Calibri" w:cs="Calibri"/>
          <w:color w:val="303B44"/>
          <w:sz w:val="36"/>
          <w:szCs w:val="36"/>
        </w:rPr>
        <w:t>57385937</w:t>
      </w:r>
    </w:p>
    <w:p w14:paraId="32BA1C71" w14:textId="77777777" w:rsidR="0035470B" w:rsidRPr="00825BB4" w:rsidRDefault="0035470B" w:rsidP="0035470B">
      <w:pPr>
        <w:rPr>
          <w:rFonts w:ascii="Calibri" w:hAnsi="Calibri" w:cs="Calibri"/>
          <w:color w:val="58595B"/>
          <w:sz w:val="36"/>
          <w:szCs w:val="36"/>
        </w:rPr>
      </w:pPr>
    </w:p>
    <w:p w14:paraId="7ED02842" w14:textId="77777777" w:rsidR="0035470B" w:rsidRPr="00825BB4" w:rsidRDefault="0035470B" w:rsidP="0035470B">
      <w:pPr>
        <w:rPr>
          <w:rFonts w:ascii="Calibri" w:hAnsi="Calibri" w:cs="Calibri"/>
          <w:color w:val="58595B"/>
          <w:sz w:val="36"/>
          <w:szCs w:val="36"/>
        </w:rPr>
      </w:pPr>
    </w:p>
    <w:p w14:paraId="12A55674"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By signing below, I confirm that the work/evidence presented is my own, unaided work. I understand the regulations pertaining to candidate malpractice and the action that may be taken as a result.</w:t>
      </w:r>
    </w:p>
    <w:p w14:paraId="6BF257F6" w14:textId="77777777" w:rsidR="0035470B" w:rsidRPr="00825BB4" w:rsidRDefault="0035470B" w:rsidP="0035470B">
      <w:pPr>
        <w:rPr>
          <w:rFonts w:ascii="Calibri" w:hAnsi="Calibri" w:cs="Calibri"/>
          <w:color w:val="58595B"/>
          <w:sz w:val="36"/>
          <w:szCs w:val="36"/>
        </w:rPr>
      </w:pPr>
    </w:p>
    <w:p w14:paraId="4B255E92" w14:textId="77777777" w:rsidR="0035470B" w:rsidRPr="00825BB4" w:rsidRDefault="0035470B" w:rsidP="0035470B">
      <w:pPr>
        <w:rPr>
          <w:rFonts w:ascii="Calibri" w:hAnsi="Calibri" w:cs="Calibri"/>
          <w:color w:val="58595B"/>
          <w:sz w:val="36"/>
          <w:szCs w:val="36"/>
        </w:rPr>
      </w:pPr>
      <w:r w:rsidRPr="00825BB4">
        <w:rPr>
          <w:rFonts w:ascii="Calibri" w:hAnsi="Calibri" w:cs="Calibri"/>
          <w:color w:val="58595B"/>
          <w:sz w:val="36"/>
          <w:szCs w:val="36"/>
        </w:rPr>
        <w:t xml:space="preserve">Signed: </w:t>
      </w:r>
      <w:proofErr w:type="spellStart"/>
      <w:proofErr w:type="gramStart"/>
      <w:r w:rsidRPr="00825BB4">
        <w:rPr>
          <w:rFonts w:ascii="Calibri" w:hAnsi="Calibri" w:cs="Calibri"/>
          <w:color w:val="58595B"/>
          <w:sz w:val="36"/>
          <w:szCs w:val="36"/>
        </w:rPr>
        <w:t>J.Bowen</w:t>
      </w:r>
      <w:proofErr w:type="spellEnd"/>
      <w:proofErr w:type="gramEnd"/>
    </w:p>
    <w:p w14:paraId="73A9D796" w14:textId="07588B52" w:rsidR="0035470B" w:rsidRDefault="0035470B" w:rsidP="0035470B">
      <w:pPr>
        <w:rPr>
          <w:rFonts w:ascii="Calibri" w:hAnsi="Calibri" w:cs="Calibri"/>
          <w:color w:val="58595B"/>
          <w:sz w:val="36"/>
          <w:szCs w:val="36"/>
        </w:rPr>
      </w:pPr>
      <w:r w:rsidRPr="00825BB4">
        <w:rPr>
          <w:rFonts w:ascii="Calibri" w:hAnsi="Calibri" w:cs="Calibri"/>
          <w:color w:val="58595B"/>
          <w:sz w:val="36"/>
          <w:szCs w:val="36"/>
        </w:rPr>
        <w:t xml:space="preserve">Date: </w:t>
      </w:r>
      <w:r w:rsidR="00110647">
        <w:rPr>
          <w:rFonts w:ascii="Calibri" w:hAnsi="Calibri" w:cs="Calibri"/>
          <w:color w:val="58595B"/>
          <w:sz w:val="36"/>
          <w:szCs w:val="36"/>
        </w:rPr>
        <w:t>11/2/2022</w:t>
      </w:r>
    </w:p>
    <w:p w14:paraId="2FDECD3F" w14:textId="77777777" w:rsidR="00110647" w:rsidRPr="00825BB4" w:rsidRDefault="00110647" w:rsidP="0035470B">
      <w:pPr>
        <w:rPr>
          <w:rFonts w:ascii="Calibri" w:hAnsi="Calibri" w:cs="Calibri"/>
          <w:color w:val="58595B"/>
          <w:sz w:val="36"/>
          <w:szCs w:val="36"/>
        </w:rPr>
      </w:pPr>
    </w:p>
    <w:p w14:paraId="55C07972" w14:textId="77777777" w:rsidR="0035470B" w:rsidRPr="00825BB4" w:rsidRDefault="0035470B" w:rsidP="0035470B">
      <w:pPr>
        <w:rPr>
          <w:rFonts w:ascii="Calibri" w:hAnsi="Calibri" w:cs="Calibri"/>
        </w:rPr>
      </w:pPr>
    </w:p>
    <w:p w14:paraId="3A0D4E3E" w14:textId="11D71F26" w:rsidR="005F288A" w:rsidRPr="00714A9A" w:rsidRDefault="00CF7BE8" w:rsidP="00110647">
      <w:pPr>
        <w:jc w:val="center"/>
        <w:rPr>
          <w:b/>
          <w:bCs/>
        </w:rPr>
      </w:pPr>
      <w:r w:rsidRPr="00714A9A">
        <w:rPr>
          <w:b/>
          <w:bCs/>
        </w:rPr>
        <w:lastRenderedPageBreak/>
        <w:t>Employee engagement</w:t>
      </w:r>
    </w:p>
    <w:p w14:paraId="04D2A3CA" w14:textId="2BCA33FA" w:rsidR="00E40DEF" w:rsidRPr="00C45CB1" w:rsidRDefault="00311982">
      <w:pPr>
        <w:rPr>
          <w:b/>
          <w:bCs/>
        </w:rPr>
      </w:pPr>
      <w:r w:rsidRPr="00C45CB1">
        <w:rPr>
          <w:b/>
          <w:bCs/>
        </w:rPr>
        <w:t>Intro</w:t>
      </w:r>
      <w:r w:rsidR="00102A9E">
        <w:rPr>
          <w:b/>
          <w:bCs/>
        </w:rPr>
        <w:t>duction</w:t>
      </w:r>
      <w:r w:rsidRPr="00C45CB1">
        <w:rPr>
          <w:b/>
          <w:bCs/>
        </w:rPr>
        <w:t xml:space="preserve"> </w:t>
      </w:r>
    </w:p>
    <w:p w14:paraId="58825730" w14:textId="3062113F" w:rsidR="00714A9A" w:rsidRDefault="00C45CB1">
      <w:r>
        <w:t xml:space="preserve">This report aims to </w:t>
      </w:r>
      <w:r w:rsidR="00483CB9">
        <w:t xml:space="preserve">outline the </w:t>
      </w:r>
      <w:r w:rsidR="0003487C">
        <w:t xml:space="preserve">meaning </w:t>
      </w:r>
      <w:r w:rsidR="005F631A">
        <w:t>of employee engagement</w:t>
      </w:r>
      <w:r w:rsidR="00C60578">
        <w:t xml:space="preserve"> </w:t>
      </w:r>
      <w:r w:rsidR="00483CB9">
        <w:t>and other concepts engagement links to. The report also identifies the</w:t>
      </w:r>
      <w:r w:rsidR="005F631A">
        <w:t xml:space="preserve"> key drivers </w:t>
      </w:r>
      <w:r w:rsidR="00215BFE">
        <w:t xml:space="preserve">and barriers </w:t>
      </w:r>
      <w:r w:rsidR="001E0583">
        <w:t xml:space="preserve">to organisations </w:t>
      </w:r>
      <w:r w:rsidR="00C60578">
        <w:t>achieving</w:t>
      </w:r>
      <w:r w:rsidR="0003487C">
        <w:t xml:space="preserve"> high engaged workforces, along with</w:t>
      </w:r>
      <w:r w:rsidR="008E5A04">
        <w:t xml:space="preserve"> the potential</w:t>
      </w:r>
      <w:r w:rsidR="00F34A97">
        <w:t xml:space="preserve"> contribution engagement makes to positive organisational outcomes</w:t>
      </w:r>
      <w:r w:rsidR="00132B47">
        <w:t xml:space="preserve"> and how it benefits different parties within. </w:t>
      </w:r>
    </w:p>
    <w:p w14:paraId="228C65B5" w14:textId="37077EC6" w:rsidR="00311982" w:rsidRPr="00311982" w:rsidRDefault="00311982">
      <w:pPr>
        <w:rPr>
          <w:b/>
          <w:bCs/>
        </w:rPr>
      </w:pPr>
      <w:r w:rsidRPr="00311982">
        <w:rPr>
          <w:b/>
          <w:bCs/>
        </w:rPr>
        <w:t>Main</w:t>
      </w:r>
    </w:p>
    <w:p w14:paraId="6B1B64E8" w14:textId="64CD3892" w:rsidR="00834713" w:rsidRPr="00834713" w:rsidRDefault="00834713" w:rsidP="00834713">
      <w:pPr>
        <w:spacing w:after="120"/>
        <w:rPr>
          <w:rFonts w:cs="Arial"/>
          <w:b/>
          <w:bCs/>
        </w:rPr>
      </w:pPr>
      <w:r w:rsidRPr="00834713">
        <w:rPr>
          <w:rFonts w:cs="Arial"/>
          <w:b/>
          <w:bCs/>
        </w:rPr>
        <w:t>1</w:t>
      </w:r>
      <w:r w:rsidRPr="00834713">
        <w:rPr>
          <w:rFonts w:cs="Arial"/>
          <w:b/>
          <w:bCs/>
        </w:rPr>
        <w:tab/>
        <w:t>Understand</w:t>
      </w:r>
      <w:r w:rsidR="00AE4B8A">
        <w:rPr>
          <w:rFonts w:cs="Arial"/>
          <w:b/>
          <w:bCs/>
        </w:rPr>
        <w:t>ing</w:t>
      </w:r>
      <w:r w:rsidRPr="00834713">
        <w:rPr>
          <w:rFonts w:cs="Arial"/>
          <w:b/>
          <w:bCs/>
        </w:rPr>
        <w:t xml:space="preserve"> the concept of employee engagement</w:t>
      </w:r>
    </w:p>
    <w:p w14:paraId="5293B294" w14:textId="2704B506" w:rsidR="00665DE3" w:rsidRDefault="00EF3A93">
      <w:r>
        <w:t xml:space="preserve">Academic research </w:t>
      </w:r>
      <w:r w:rsidR="008063B8">
        <w:t>shows</w:t>
      </w:r>
      <w:r>
        <w:t xml:space="preserve"> there are many different </w:t>
      </w:r>
      <w:r w:rsidR="008063B8">
        <w:t>definitions</w:t>
      </w:r>
      <w:r>
        <w:t xml:space="preserve"> to employee engagement.</w:t>
      </w:r>
      <w:r w:rsidR="00491FD7">
        <w:t xml:space="preserve"> CIPD (2021) argues e</w:t>
      </w:r>
      <w:r w:rsidR="00E210DB">
        <w:t xml:space="preserve">mployee engagement </w:t>
      </w:r>
      <w:r w:rsidR="00491FD7">
        <w:t xml:space="preserve">(EE) </w:t>
      </w:r>
      <w:r w:rsidR="008063B8">
        <w:t>i</w:t>
      </w:r>
      <w:r w:rsidR="00491FD7">
        <w:t xml:space="preserve">s </w:t>
      </w:r>
      <w:r w:rsidR="00665DE3">
        <w:t xml:space="preserve">an essential </w:t>
      </w:r>
      <w:r w:rsidR="008063B8">
        <w:t>concept</w:t>
      </w:r>
      <w:r w:rsidR="00665DE3">
        <w:t xml:space="preserve"> to understanding and describing the level of effort and nature of the relationship between an organisation and their employees</w:t>
      </w:r>
      <w:r w:rsidR="00491FD7">
        <w:t xml:space="preserve">, also viewed as </w:t>
      </w:r>
      <w:r>
        <w:t xml:space="preserve">a ‘psychological contract’. </w:t>
      </w:r>
      <w:r w:rsidR="0084089C">
        <w:t xml:space="preserve">Organisations with high employee engagement will tend to outperform those with low engagement. </w:t>
      </w:r>
    </w:p>
    <w:p w14:paraId="3536F784" w14:textId="3C315F93" w:rsidR="00EF3A93" w:rsidRDefault="00EF3A93">
      <w:r>
        <w:t>However, Kahn argues employee engagement</w:t>
      </w:r>
      <w:r w:rsidR="00491FD7">
        <w:t xml:space="preserve"> focusses on how individuals express themselves physically, emotionally, and cognitively, implying EE is a three-dimensional concept.</w:t>
      </w:r>
      <w:r w:rsidR="008063B8">
        <w:t xml:space="preserve"> For example, a</w:t>
      </w:r>
      <w:r w:rsidR="002D077F">
        <w:t>n</w:t>
      </w:r>
      <w:r w:rsidR="00491FD7">
        <w:t xml:space="preserve"> ‘engaged colleague’</w:t>
      </w:r>
      <w:r w:rsidR="008063B8">
        <w:t xml:space="preserve"> will</w:t>
      </w:r>
      <w:r w:rsidR="00491FD7">
        <w:t xml:space="preserve"> </w:t>
      </w:r>
      <w:r w:rsidR="002D077F">
        <w:t>sho</w:t>
      </w:r>
      <w:r w:rsidR="008063B8">
        <w:t>w</w:t>
      </w:r>
      <w:r w:rsidR="002D077F">
        <w:t xml:space="preserve"> high energy, full </w:t>
      </w:r>
      <w:r w:rsidR="008063B8">
        <w:t xml:space="preserve">attachment </w:t>
      </w:r>
      <w:r w:rsidR="00930A37">
        <w:t>to the</w:t>
      </w:r>
      <w:r w:rsidR="008063B8">
        <w:t>ir</w:t>
      </w:r>
      <w:r w:rsidR="00930A37">
        <w:t xml:space="preserve"> job</w:t>
      </w:r>
      <w:r w:rsidR="002D077F">
        <w:t xml:space="preserve"> and </w:t>
      </w:r>
      <w:r w:rsidR="00676758">
        <w:t xml:space="preserve">takes a lot of pride in their </w:t>
      </w:r>
      <w:r w:rsidR="00930A37">
        <w:t>work</w:t>
      </w:r>
      <w:r w:rsidR="008063B8">
        <w:t xml:space="preserve"> and performance. Therefore, engagement is suggested to be something someone can naturally offer, rather than it being forced</w:t>
      </w:r>
      <w:r w:rsidR="00676758">
        <w:t xml:space="preserve"> </w:t>
      </w:r>
      <w:r w:rsidR="004F76DF">
        <w:t>(John and Ellis, 2016).</w:t>
      </w:r>
    </w:p>
    <w:p w14:paraId="32FF73BD" w14:textId="58EC543F" w:rsidR="00930A37" w:rsidRDefault="00190D02">
      <w:r>
        <w:t>E</w:t>
      </w:r>
      <w:r w:rsidR="0084089C">
        <w:t>mployee engagement can also be defined as a workplace approach designed to build commitment, motivation</w:t>
      </w:r>
      <w:r w:rsidR="006477EE">
        <w:t>,</w:t>
      </w:r>
      <w:r w:rsidR="0084089C">
        <w:t xml:space="preserve"> and well-being, and is seen as the heart of a business and the key to enhancing productivity</w:t>
      </w:r>
      <w:r>
        <w:t xml:space="preserve"> (</w:t>
      </w:r>
      <w:r w:rsidR="006477EE">
        <w:t>Macleod</w:t>
      </w:r>
      <w:r>
        <w:t xml:space="preserve">, </w:t>
      </w:r>
      <w:r w:rsidR="006477EE">
        <w:t>2009)</w:t>
      </w:r>
      <w:r>
        <w:t>. Additionally,</w:t>
      </w:r>
      <w:r w:rsidR="006477EE">
        <w:t xml:space="preserve"> strong leadership, empowering managers, employee voice and a culture reflecting integrity and values are key drivers for improving employee engagement (CIPD, 2021). </w:t>
      </w:r>
    </w:p>
    <w:p w14:paraId="1E4D8A7B" w14:textId="7D68C9B4" w:rsidR="00E210DB" w:rsidRDefault="006477EE">
      <w:r>
        <w:t xml:space="preserve">However, many concepts of employee engagement face criticism as </w:t>
      </w:r>
      <w:r w:rsidR="00BF18C6">
        <w:t>some focus purely on behaviours, attitudes, working conditions or a combination of these</w:t>
      </w:r>
      <w:r w:rsidR="00D1003C">
        <w:t>. W</w:t>
      </w:r>
      <w:r w:rsidR="00BF18C6">
        <w:t xml:space="preserve">hereas others suggest engagement is </w:t>
      </w:r>
      <w:r w:rsidR="00D1003C">
        <w:t>triggered by</w:t>
      </w:r>
      <w:r w:rsidR="00BF18C6">
        <w:t xml:space="preserve"> one thing</w:t>
      </w:r>
      <w:r w:rsidR="00D1003C">
        <w:t xml:space="preserve"> (attitudes)</w:t>
      </w:r>
      <w:r w:rsidR="00BF18C6">
        <w:t xml:space="preserve"> causing another</w:t>
      </w:r>
      <w:r w:rsidR="00D1003C">
        <w:t xml:space="preserve"> (behaviour). Thus, implying engagement is a complex concept and can arise from many factors (CIPD, 2021b).</w:t>
      </w:r>
    </w:p>
    <w:p w14:paraId="3B42DC44" w14:textId="4D177932" w:rsidR="004F76DF" w:rsidRDefault="00AD5AC3">
      <w:r>
        <w:t>Employee</w:t>
      </w:r>
      <w:r w:rsidR="00DD7E9C">
        <w:t xml:space="preserve"> engagement</w:t>
      </w:r>
      <w:r>
        <w:t xml:space="preserve"> also</w:t>
      </w:r>
      <w:r w:rsidR="00DD7E9C">
        <w:t xml:space="preserve"> relates to job satisfaction, employee commitment and involvement</w:t>
      </w:r>
      <w:r w:rsidR="004D42C1">
        <w:t>. Organisations who actively encourage participation, provide a culture of belonging, and opportunities to develop and utilise their skills and capabilities will find their employees feel more valued, appreciated, and loyal to their employer</w:t>
      </w:r>
      <w:r w:rsidR="00772594">
        <w:t xml:space="preserve"> (CMI, 2015). Employees who are committed and engaged to their organisation will perf</w:t>
      </w:r>
      <w:r>
        <w:t>orm</w:t>
      </w:r>
      <w:r w:rsidR="00772594">
        <w:t xml:space="preserve"> better, prove great</w:t>
      </w:r>
      <w:r>
        <w:t xml:space="preserve"> customer </w:t>
      </w:r>
      <w:proofErr w:type="gramStart"/>
      <w:r>
        <w:t>service</w:t>
      </w:r>
      <w:proofErr w:type="gramEnd"/>
      <w:r>
        <w:t xml:space="preserve"> and </w:t>
      </w:r>
      <w:r w:rsidR="00772594">
        <w:t xml:space="preserve">utilise discretionary efforts, thus giving </w:t>
      </w:r>
      <w:r w:rsidR="002A07C3">
        <w:t>their employer a competitor advantage (SHRM, 2006)</w:t>
      </w:r>
      <w:r w:rsidR="004F76DF">
        <w:t>.</w:t>
      </w:r>
    </w:p>
    <w:p w14:paraId="6D698E03" w14:textId="30407CD6" w:rsidR="002D01DA" w:rsidRDefault="002D01DA">
      <w:r>
        <w:t xml:space="preserve">Meanwhile, the three-component model derived by Meyer and Allen (1991) outlines the different commitment people have to their organisations and how it can affect them: Affective, Continuance and Normative. Affective commitment is the strong emotional attachment one feels to their organisation, employees feel good about their work and have higher job satisfaction. Continuance commitment is found in those who feel they need to stay in their organisation as the fear of losing out is greater than the potential benefits of leaving. Whereas normative commitment occurs when employees feel obliged to remain at the organisation even if they’re unhappy doing so (Mindtools, 2021). </w:t>
      </w:r>
    </w:p>
    <w:p w14:paraId="0A0B3994" w14:textId="77777777" w:rsidR="004C32D4" w:rsidRDefault="004C32D4" w:rsidP="00716EB5">
      <w:pPr>
        <w:spacing w:after="120"/>
      </w:pPr>
    </w:p>
    <w:p w14:paraId="2C98161D" w14:textId="593CBC28" w:rsidR="00716EB5" w:rsidRPr="00716EB5" w:rsidRDefault="00716EB5" w:rsidP="00716EB5">
      <w:pPr>
        <w:spacing w:after="120"/>
        <w:rPr>
          <w:rFonts w:cs="Arial"/>
          <w:b/>
          <w:bCs/>
        </w:rPr>
      </w:pPr>
      <w:r w:rsidRPr="00716EB5">
        <w:rPr>
          <w:rFonts w:cs="Arial"/>
          <w:b/>
          <w:bCs/>
        </w:rPr>
        <w:lastRenderedPageBreak/>
        <w:t>2</w:t>
      </w:r>
      <w:r w:rsidRPr="00716EB5">
        <w:rPr>
          <w:rFonts w:cs="Arial"/>
          <w:b/>
          <w:bCs/>
        </w:rPr>
        <w:tab/>
        <w:t>Understand</w:t>
      </w:r>
      <w:r w:rsidR="00AE4B8A">
        <w:rPr>
          <w:rFonts w:cs="Arial"/>
          <w:b/>
          <w:bCs/>
        </w:rPr>
        <w:t>ing</w:t>
      </w:r>
      <w:r w:rsidRPr="00716EB5">
        <w:rPr>
          <w:rFonts w:cs="Arial"/>
          <w:b/>
          <w:bCs/>
        </w:rPr>
        <w:t xml:space="preserve"> the key components of employee engagement</w:t>
      </w:r>
    </w:p>
    <w:p w14:paraId="46E19D9F" w14:textId="2A3F3C01" w:rsidR="00B11A91" w:rsidRDefault="00DF17E0">
      <w:r>
        <w:t>Organisations that exhibit high emp</w:t>
      </w:r>
      <w:r w:rsidR="00D21CC1">
        <w:t>loyee engagement</w:t>
      </w:r>
      <w:r w:rsidR="00584E6F">
        <w:t xml:space="preserve"> </w:t>
      </w:r>
      <w:r w:rsidR="00EB20D8">
        <w:t>mostly</w:t>
      </w:r>
      <w:r w:rsidR="00584E6F">
        <w:t xml:space="preserve"> find it </w:t>
      </w:r>
      <w:r w:rsidR="00C14EAC">
        <w:t>is due to the management and culture within. Manager leadership is a</w:t>
      </w:r>
      <w:r w:rsidR="00780FCD">
        <w:t>n</w:t>
      </w:r>
      <w:r w:rsidR="00C14EAC">
        <w:t xml:space="preserve"> </w:t>
      </w:r>
      <w:r w:rsidR="00D57578">
        <w:t>influential</w:t>
      </w:r>
      <w:r w:rsidR="00C14EAC">
        <w:t xml:space="preserve"> factor to empl</w:t>
      </w:r>
      <w:r w:rsidR="00701D4C">
        <w:t>oyee engagement and are often the reason why people join or leave businesses.</w:t>
      </w:r>
      <w:r w:rsidR="00B90F56">
        <w:t xml:space="preserve"> O</w:t>
      </w:r>
      <w:r w:rsidR="00722D00">
        <w:t xml:space="preserve">rganisations </w:t>
      </w:r>
      <w:r w:rsidR="001B545F">
        <w:t xml:space="preserve">who openly gather ideas, opinions and </w:t>
      </w:r>
      <w:r w:rsidR="006C3A29">
        <w:t>feelings of</w:t>
      </w:r>
      <w:r w:rsidR="00273B41">
        <w:t xml:space="preserve"> their staff </w:t>
      </w:r>
      <w:r w:rsidR="002871F4">
        <w:t xml:space="preserve">find they are more engaged in the core purpose and </w:t>
      </w:r>
      <w:r w:rsidR="00D56BD6">
        <w:t>are more engaged in improving the workplace culture (</w:t>
      </w:r>
      <w:r w:rsidR="00381E7E">
        <w:t xml:space="preserve">Bridger, 2018). </w:t>
      </w:r>
    </w:p>
    <w:p w14:paraId="167F9F84" w14:textId="3649C292" w:rsidR="00423C7D" w:rsidRDefault="006B539A">
      <w:r>
        <w:t xml:space="preserve">In order for engagement to be sustainable, leaders </w:t>
      </w:r>
      <w:r w:rsidR="004E03C1">
        <w:t>will</w:t>
      </w:r>
      <w:r>
        <w:t xml:space="preserve"> model </w:t>
      </w:r>
      <w:r w:rsidR="004E03C1">
        <w:t xml:space="preserve">the </w:t>
      </w:r>
      <w:r w:rsidR="00C4731E">
        <w:t>right behaviours</w:t>
      </w:r>
      <w:r w:rsidR="00D61753">
        <w:t>, such as empathy and commitment,</w:t>
      </w:r>
      <w:r w:rsidR="001B545F">
        <w:t xml:space="preserve"> </w:t>
      </w:r>
      <w:r w:rsidR="00C4731E">
        <w:t xml:space="preserve">and </w:t>
      </w:r>
      <w:r w:rsidR="004E03C1">
        <w:t xml:space="preserve">focus on </w:t>
      </w:r>
      <w:r w:rsidR="004E11A2">
        <w:t>build</w:t>
      </w:r>
      <w:r w:rsidR="004E03C1">
        <w:t>ing</w:t>
      </w:r>
      <w:r w:rsidR="004E11A2">
        <w:t xml:space="preserve"> competency within their teams. </w:t>
      </w:r>
      <w:r w:rsidR="00B90F56">
        <w:t>Additionally, managers will build real engaging rapports</w:t>
      </w:r>
      <w:r w:rsidR="0079522B">
        <w:t xml:space="preserve">, </w:t>
      </w:r>
      <w:r w:rsidR="00AB0D9B">
        <w:t>actively deal with conflic</w:t>
      </w:r>
      <w:r w:rsidR="005F3A15">
        <w:t>t,</w:t>
      </w:r>
      <w:r w:rsidR="00AB0D9B">
        <w:t xml:space="preserve"> and provide clear communication</w:t>
      </w:r>
      <w:r w:rsidR="00BF4405">
        <w:t xml:space="preserve"> – ensuring </w:t>
      </w:r>
      <w:r w:rsidR="008766B7">
        <w:t xml:space="preserve">colleagues have </w:t>
      </w:r>
      <w:r w:rsidR="00BF4405">
        <w:t>a clear understanding of their role</w:t>
      </w:r>
      <w:r w:rsidR="008766B7">
        <w:t xml:space="preserve"> and their involvement in the business strategy</w:t>
      </w:r>
      <w:r w:rsidR="003F5296">
        <w:t xml:space="preserve"> (CIPD, 2012</w:t>
      </w:r>
      <w:r w:rsidR="00423C7D">
        <w:t>b</w:t>
      </w:r>
      <w:r w:rsidR="003F5296">
        <w:t xml:space="preserve">). </w:t>
      </w:r>
    </w:p>
    <w:p w14:paraId="020E4543" w14:textId="44E033E7" w:rsidR="00744A11" w:rsidRDefault="00423C7D">
      <w:r>
        <w:t xml:space="preserve">Subsequently, </w:t>
      </w:r>
      <w:r w:rsidR="001E3567">
        <w:t xml:space="preserve">high engaged organisations </w:t>
      </w:r>
      <w:r w:rsidR="008A7F57">
        <w:t xml:space="preserve">will generally find positive and </w:t>
      </w:r>
      <w:r w:rsidR="00DF57B6">
        <w:t>supportive</w:t>
      </w:r>
      <w:r w:rsidR="008A7F57">
        <w:t xml:space="preserve"> relationships, with hig</w:t>
      </w:r>
      <w:r w:rsidR="00DF57B6">
        <w:t>her job satisfaction levels</w:t>
      </w:r>
      <w:r w:rsidR="0095443A">
        <w:t xml:space="preserve"> as colleagues are given more autonomy over their </w:t>
      </w:r>
      <w:r w:rsidR="00901BAC">
        <w:t xml:space="preserve">work, more career opportunities </w:t>
      </w:r>
      <w:r w:rsidR="00AF38CF">
        <w:t>and high commitment to their job. However, high engaged organisations often experience higher burn out</w:t>
      </w:r>
      <w:r w:rsidR="00640DD1">
        <w:t xml:space="preserve"> rates, high stress levels and unable to switch off from work, resulting in their mental and physical health being </w:t>
      </w:r>
      <w:r w:rsidR="007D7175">
        <w:t>compromised</w:t>
      </w:r>
      <w:r w:rsidR="009F4A25">
        <w:t xml:space="preserve"> (CIPD, 2019).</w:t>
      </w:r>
    </w:p>
    <w:p w14:paraId="4721249A" w14:textId="398BF79E" w:rsidR="00E21B97" w:rsidRDefault="00AC11DE">
      <w:r>
        <w:t xml:space="preserve">HR </w:t>
      </w:r>
      <w:r w:rsidR="009D79AF">
        <w:t>managers will also pl</w:t>
      </w:r>
      <w:r w:rsidR="009F4343">
        <w:t xml:space="preserve">ay an important role in encouraging employee engagement by implementing safeguarding processes that </w:t>
      </w:r>
      <w:r w:rsidR="0090523E">
        <w:t>protect</w:t>
      </w:r>
      <w:r w:rsidR="009F4343">
        <w:t xml:space="preserve"> the </w:t>
      </w:r>
      <w:r w:rsidR="0090523E">
        <w:t xml:space="preserve">organisations </w:t>
      </w:r>
      <w:r w:rsidR="009F4343">
        <w:t>culture</w:t>
      </w:r>
      <w:r w:rsidR="0041266A">
        <w:t>, values</w:t>
      </w:r>
      <w:r w:rsidR="00FE25BA">
        <w:t>,</w:t>
      </w:r>
      <w:r w:rsidR="0041266A">
        <w:t xml:space="preserve"> and leadership</w:t>
      </w:r>
      <w:r w:rsidR="003F5AB3">
        <w:t xml:space="preserve">. </w:t>
      </w:r>
      <w:r w:rsidR="00E21B97">
        <w:t xml:space="preserve">They </w:t>
      </w:r>
      <w:r w:rsidR="00AB5DA2">
        <w:t>develop</w:t>
      </w:r>
      <w:r w:rsidR="00E21B97">
        <w:t xml:space="preserve"> </w:t>
      </w:r>
      <w:r w:rsidR="00AB5DA2">
        <w:t xml:space="preserve">clear, fair, and accessible policies and ensure colleagues </w:t>
      </w:r>
      <w:r w:rsidR="00BA11DF">
        <w:t xml:space="preserve">well-being is </w:t>
      </w:r>
      <w:r w:rsidR="00C65D43">
        <w:t>cared for</w:t>
      </w:r>
      <w:r w:rsidR="00AB5DA2">
        <w:t xml:space="preserve"> </w:t>
      </w:r>
      <w:r w:rsidR="00824D1E">
        <w:t xml:space="preserve">(Robinson, Perryman, and </w:t>
      </w:r>
      <w:proofErr w:type="spellStart"/>
      <w:r w:rsidR="00824D1E">
        <w:t>Hayday</w:t>
      </w:r>
      <w:proofErr w:type="spellEnd"/>
      <w:r w:rsidR="00824D1E">
        <w:t xml:space="preserve"> (2004)</w:t>
      </w:r>
      <w:r w:rsidR="00C65D43">
        <w:t xml:space="preserve">. </w:t>
      </w:r>
      <w:r w:rsidR="00AD7155">
        <w:t xml:space="preserve">A combination of health, well-being and engagement enables sustainable outcomes </w:t>
      </w:r>
      <w:r w:rsidR="000E6DB6">
        <w:t>and better productivity (CIPD, 2017).</w:t>
      </w:r>
      <w:r w:rsidR="00AD7155">
        <w:t xml:space="preserve"> </w:t>
      </w:r>
    </w:p>
    <w:p w14:paraId="0F1D68F8" w14:textId="041EE8FB" w:rsidR="000207F1" w:rsidRDefault="00824D1E">
      <w:r>
        <w:t>HR</w:t>
      </w:r>
      <w:r w:rsidR="003F5AB3">
        <w:t xml:space="preserve"> ensure </w:t>
      </w:r>
      <w:r w:rsidR="006D1B6E">
        <w:t xml:space="preserve">these </w:t>
      </w:r>
      <w:r w:rsidR="003F5AB3">
        <w:t>key drivers are</w:t>
      </w:r>
      <w:r w:rsidR="00917D3F">
        <w:t xml:space="preserve"> communicated, implemented</w:t>
      </w:r>
      <w:r w:rsidR="00FE25BA">
        <w:t>,</w:t>
      </w:r>
      <w:r w:rsidR="00917D3F">
        <w:t xml:space="preserve"> and embedded into new starters and throughout the employee lifecycle</w:t>
      </w:r>
      <w:r w:rsidR="00BD533E">
        <w:t xml:space="preserve"> (Purcell, 2004). </w:t>
      </w:r>
    </w:p>
    <w:p w14:paraId="3FC78FE2" w14:textId="77777777" w:rsidR="00540257" w:rsidRDefault="00540257" w:rsidP="00540257">
      <w:r>
        <w:t xml:space="preserve">CIPD (2012) identifies two types of engagement: emotional and transactional. Emotional engagement is seen in colleagues who have the desire to perform greater than is expected, often having higher levels of wellbeing, performance and modelling better behaviours. On the other hand, transactional engagement often mimics behaviour of engagement but lacks commitment, this resulting in high employee turnover as employee is less likely to perform to the requirements and responds negatively to the organisations’ relationship, showing deviant behaviour and attitudes. </w:t>
      </w:r>
    </w:p>
    <w:p w14:paraId="4CC985A5" w14:textId="7A01DD3C" w:rsidR="00311982" w:rsidRDefault="00856B5A">
      <w:r>
        <w:t>M</w:t>
      </w:r>
      <w:r w:rsidR="001C2A42">
        <w:t>anagers</w:t>
      </w:r>
      <w:r w:rsidR="0021032C">
        <w:t xml:space="preserve"> are the most fundamental asset to organisations as they make things happen. </w:t>
      </w:r>
      <w:r w:rsidR="009D7DE3">
        <w:t>Those</w:t>
      </w:r>
      <w:r w:rsidR="00B363EC">
        <w:t xml:space="preserve"> who inspire, provide autonomy,</w:t>
      </w:r>
      <w:r w:rsidR="00665A3F">
        <w:t xml:space="preserve"> set</w:t>
      </w:r>
      <w:r w:rsidR="00B363EC">
        <w:t xml:space="preserve"> clear goals, offer flexible work</w:t>
      </w:r>
      <w:r w:rsidR="00665A3F">
        <w:t>ing</w:t>
      </w:r>
      <w:r w:rsidR="007D0EBF">
        <w:t>,</w:t>
      </w:r>
      <w:r w:rsidR="00665A3F">
        <w:t xml:space="preserve"> and support their </w:t>
      </w:r>
      <w:r w:rsidR="00F51B25">
        <w:t xml:space="preserve">staff drive engagement and </w:t>
      </w:r>
      <w:r w:rsidR="006F6F05">
        <w:t xml:space="preserve">become </w:t>
      </w:r>
      <w:r w:rsidR="00DA1273">
        <w:t>attractive</w:t>
      </w:r>
      <w:r w:rsidR="006F6F05">
        <w:t xml:space="preserve"> to work for</w:t>
      </w:r>
      <w:r w:rsidR="009D7DE3">
        <w:t xml:space="preserve"> (Deloitte, 2021)</w:t>
      </w:r>
      <w:r w:rsidR="007D0EBF">
        <w:t xml:space="preserve">. </w:t>
      </w:r>
    </w:p>
    <w:p w14:paraId="31B688A1" w14:textId="21B0AD0A" w:rsidR="00311982" w:rsidRDefault="00966A8D">
      <w:r>
        <w:t>Research shows</w:t>
      </w:r>
      <w:r w:rsidR="007963AE">
        <w:t xml:space="preserve"> alignment and engagement are </w:t>
      </w:r>
      <w:r w:rsidR="00AF7750">
        <w:t>key to achieving high performance. Employees who are aligned and engaged are more committed</w:t>
      </w:r>
      <w:r w:rsidR="00AD2C11">
        <w:t xml:space="preserve">, </w:t>
      </w:r>
      <w:r w:rsidR="00AF7750">
        <w:t>motivated</w:t>
      </w:r>
      <w:r w:rsidR="009831E6">
        <w:t xml:space="preserve">, </w:t>
      </w:r>
      <w:r w:rsidR="00AD2C11">
        <w:t>and work smarter to deliver organisational objectives</w:t>
      </w:r>
      <w:r w:rsidR="002425F7">
        <w:t xml:space="preserve"> (Hodges, 201</w:t>
      </w:r>
      <w:r w:rsidR="00247473">
        <w:t xml:space="preserve">8). </w:t>
      </w:r>
      <w:r w:rsidR="00423A8E">
        <w:t xml:space="preserve">Engagement models can be used to help determine the level of engagement within an organisation. Cook (2011) refers to the WIFI model containing 4 elements that focusses on driving engagement and commitment: well-being, information, </w:t>
      </w:r>
      <w:proofErr w:type="gramStart"/>
      <w:r w:rsidR="00423A8E">
        <w:t>fairness</w:t>
      </w:r>
      <w:proofErr w:type="gramEnd"/>
      <w:r w:rsidR="00423A8E">
        <w:t xml:space="preserve"> and involvement. When employees feel aligned with the core values of the business, they’ll naturally become more committed.</w:t>
      </w:r>
    </w:p>
    <w:p w14:paraId="582910A3" w14:textId="22F55A94" w:rsidR="009831E6" w:rsidRDefault="00221D85">
      <w:r>
        <w:t>A</w:t>
      </w:r>
      <w:r w:rsidR="009831E6">
        <w:t xml:space="preserve">lignment can also </w:t>
      </w:r>
      <w:r>
        <w:t>improve</w:t>
      </w:r>
      <w:r w:rsidR="009831E6">
        <w:t xml:space="preserve"> </w:t>
      </w:r>
      <w:r w:rsidR="007678D7">
        <w:t xml:space="preserve">customer </w:t>
      </w:r>
      <w:r w:rsidR="009D764E">
        <w:t>loyalty, employee retention</w:t>
      </w:r>
      <w:r w:rsidR="00284EAC">
        <w:t xml:space="preserve">, </w:t>
      </w:r>
      <w:r w:rsidR="00495D63">
        <w:t xml:space="preserve">and </w:t>
      </w:r>
      <w:r>
        <w:t>reduce health and safety risks. Unaligned and disengaged organisations tend to hinder</w:t>
      </w:r>
      <w:r w:rsidR="00E7215E">
        <w:t xml:space="preserve"> their</w:t>
      </w:r>
      <w:r>
        <w:t xml:space="preserve"> </w:t>
      </w:r>
      <w:r w:rsidR="00E7215E">
        <w:t>growth</w:t>
      </w:r>
      <w:r>
        <w:t xml:space="preserve"> and </w:t>
      </w:r>
      <w:r w:rsidR="007D1BA1">
        <w:t>see higher levels o</w:t>
      </w:r>
      <w:r w:rsidR="00E7215E">
        <w:t>f</w:t>
      </w:r>
      <w:r w:rsidR="007D1BA1">
        <w:t xml:space="preserve"> employee absence and turnover. </w:t>
      </w:r>
      <w:r w:rsidR="00187672">
        <w:t xml:space="preserve">Additionally, aligning </w:t>
      </w:r>
      <w:r w:rsidR="007D6082">
        <w:t>employee ethics with organisational core values can have a significant</w:t>
      </w:r>
      <w:r w:rsidR="00057929">
        <w:t xml:space="preserve"> benefit </w:t>
      </w:r>
      <w:r w:rsidR="00863C59">
        <w:t xml:space="preserve">on employee engagement (Macleod, 2009). </w:t>
      </w:r>
    </w:p>
    <w:p w14:paraId="2AF348DB" w14:textId="27674C80" w:rsidR="00CE44A5" w:rsidRDefault="003335A9" w:rsidP="00103664">
      <w:r>
        <w:lastRenderedPageBreak/>
        <w:t xml:space="preserve">Organisations can improve alignment by </w:t>
      </w:r>
      <w:r w:rsidR="006D0BD2">
        <w:t xml:space="preserve">clearly outlining </w:t>
      </w:r>
      <w:r w:rsidR="00DC1FD5">
        <w:t xml:space="preserve">the objectives and linking them to the bigger picture, </w:t>
      </w:r>
      <w:r w:rsidR="001E6F32">
        <w:t xml:space="preserve">setting SMART </w:t>
      </w:r>
      <w:r w:rsidR="003A444B">
        <w:t xml:space="preserve">goals </w:t>
      </w:r>
      <w:r w:rsidR="00F50728">
        <w:t>and continually providing colleagues with feedback</w:t>
      </w:r>
      <w:r w:rsidR="00CE44A5">
        <w:t xml:space="preserve"> </w:t>
      </w:r>
      <w:r w:rsidR="00FA7EAC">
        <w:t xml:space="preserve">helps identifies </w:t>
      </w:r>
      <w:r w:rsidR="00103664">
        <w:t>the gap between performance and the organisations goals</w:t>
      </w:r>
      <w:r w:rsidR="00DD58DF">
        <w:t xml:space="preserve"> (</w:t>
      </w:r>
      <w:proofErr w:type="spellStart"/>
      <w:r w:rsidR="00DD58DF">
        <w:t>Mone</w:t>
      </w:r>
      <w:proofErr w:type="spellEnd"/>
      <w:r w:rsidR="009244CA">
        <w:t xml:space="preserve"> and London</w:t>
      </w:r>
      <w:r w:rsidR="00DD58DF">
        <w:t xml:space="preserve">, 2018). </w:t>
      </w:r>
    </w:p>
    <w:p w14:paraId="5242043A" w14:textId="04398D04" w:rsidR="003E317F" w:rsidRDefault="003E317F" w:rsidP="003E317F">
      <w:pPr>
        <w:spacing w:after="120"/>
        <w:rPr>
          <w:rFonts w:cs="Arial"/>
          <w:b/>
          <w:bCs/>
        </w:rPr>
      </w:pPr>
      <w:r w:rsidRPr="003E317F">
        <w:rPr>
          <w:b/>
          <w:bCs/>
        </w:rPr>
        <w:t>3</w:t>
      </w:r>
      <w:r w:rsidRPr="003E317F">
        <w:rPr>
          <w:b/>
          <w:bCs/>
        </w:rPr>
        <w:tab/>
      </w:r>
      <w:r w:rsidRPr="003E317F">
        <w:rPr>
          <w:rFonts w:cs="Arial"/>
          <w:b/>
          <w:bCs/>
        </w:rPr>
        <w:t>Understand</w:t>
      </w:r>
      <w:r>
        <w:rPr>
          <w:rFonts w:cs="Arial"/>
          <w:b/>
          <w:bCs/>
        </w:rPr>
        <w:t>ing</w:t>
      </w:r>
      <w:r w:rsidRPr="003E317F">
        <w:rPr>
          <w:rFonts w:cs="Arial"/>
          <w:b/>
          <w:bCs/>
        </w:rPr>
        <w:t xml:space="preserve"> the potential contribution of employee engagement to positive organisational outcomes</w:t>
      </w:r>
    </w:p>
    <w:p w14:paraId="66BE8DDA" w14:textId="2527413F" w:rsidR="003E317F" w:rsidRDefault="006B0C25" w:rsidP="003E317F">
      <w:pPr>
        <w:spacing w:after="120"/>
        <w:rPr>
          <w:rFonts w:cs="Arial"/>
        </w:rPr>
      </w:pPr>
      <w:r>
        <w:rPr>
          <w:rFonts w:cs="Arial"/>
        </w:rPr>
        <w:t>In order for engagement to</w:t>
      </w:r>
      <w:r w:rsidR="00CD21B9">
        <w:rPr>
          <w:rFonts w:cs="Arial"/>
        </w:rPr>
        <w:t xml:space="preserve"> contribute positively to an</w:t>
      </w:r>
      <w:r w:rsidR="000C7357">
        <w:rPr>
          <w:rFonts w:cs="Arial"/>
        </w:rPr>
        <w:t>y outcomes, organisations must firstly develop and incorporate engagement into their policies, practices</w:t>
      </w:r>
      <w:r w:rsidR="00A248BC">
        <w:rPr>
          <w:rFonts w:cs="Arial"/>
        </w:rPr>
        <w:t>,</w:t>
      </w:r>
      <w:r w:rsidR="000C7357">
        <w:rPr>
          <w:rFonts w:cs="Arial"/>
        </w:rPr>
        <w:t xml:space="preserve"> and their </w:t>
      </w:r>
      <w:r w:rsidR="00801BD9">
        <w:rPr>
          <w:rFonts w:cs="Arial"/>
        </w:rPr>
        <w:t>vision. Guest (2015) suggests this can be don</w:t>
      </w:r>
      <w:r w:rsidR="007D3C19">
        <w:rPr>
          <w:rFonts w:cs="Arial"/>
        </w:rPr>
        <w:t xml:space="preserve">e by actively promoting and leading the business values, creating </w:t>
      </w:r>
      <w:r w:rsidR="009F2773">
        <w:rPr>
          <w:rFonts w:cs="Arial"/>
        </w:rPr>
        <w:t xml:space="preserve">a culture of fairness and trust, recruiting engaging individuals </w:t>
      </w:r>
      <w:r w:rsidR="003216DC">
        <w:rPr>
          <w:rFonts w:cs="Arial"/>
        </w:rPr>
        <w:t xml:space="preserve">whilst </w:t>
      </w:r>
      <w:r w:rsidR="008443BA">
        <w:rPr>
          <w:rFonts w:cs="Arial"/>
        </w:rPr>
        <w:t xml:space="preserve">providing training and development opportunities, and lastly by reviewing engagement </w:t>
      </w:r>
      <w:r w:rsidR="00EF187D">
        <w:rPr>
          <w:rFonts w:cs="Arial"/>
        </w:rPr>
        <w:t xml:space="preserve">through surveys. </w:t>
      </w:r>
    </w:p>
    <w:p w14:paraId="5E7AF8DE" w14:textId="31B730F3" w:rsidR="00042A90" w:rsidRPr="003E317F" w:rsidRDefault="008A22B4" w:rsidP="003E317F">
      <w:pPr>
        <w:spacing w:after="120"/>
        <w:rPr>
          <w:rFonts w:cs="Arial"/>
        </w:rPr>
      </w:pPr>
      <w:r>
        <w:rPr>
          <w:rFonts w:cs="Arial"/>
        </w:rPr>
        <w:t>When engagement is incorporated into the business strategy</w:t>
      </w:r>
      <w:r w:rsidR="00377A96">
        <w:rPr>
          <w:rFonts w:cs="Arial"/>
        </w:rPr>
        <w:t>, the individual</w:t>
      </w:r>
      <w:r w:rsidR="00CE02EF">
        <w:rPr>
          <w:rFonts w:cs="Arial"/>
        </w:rPr>
        <w:t xml:space="preserve">, </w:t>
      </w:r>
      <w:r w:rsidR="00377A96">
        <w:rPr>
          <w:rFonts w:cs="Arial"/>
        </w:rPr>
        <w:t>the employer</w:t>
      </w:r>
      <w:r w:rsidR="00851054">
        <w:rPr>
          <w:rFonts w:cs="Arial"/>
        </w:rPr>
        <w:t xml:space="preserve">, and the customer will </w:t>
      </w:r>
      <w:r w:rsidR="00A87565">
        <w:rPr>
          <w:rFonts w:cs="Arial"/>
        </w:rPr>
        <w:t xml:space="preserve">succeed. Macleod and Clarke (2009) refers to this as a triple win. </w:t>
      </w:r>
      <w:r w:rsidR="00F41224">
        <w:rPr>
          <w:rFonts w:cs="Arial"/>
        </w:rPr>
        <w:t xml:space="preserve">However, many organisations </w:t>
      </w:r>
      <w:r>
        <w:rPr>
          <w:rFonts w:cs="Arial"/>
        </w:rPr>
        <w:t xml:space="preserve">still do not prioritise engagement and </w:t>
      </w:r>
      <w:r w:rsidR="009B071B">
        <w:rPr>
          <w:rFonts w:cs="Arial"/>
        </w:rPr>
        <w:t>culture</w:t>
      </w:r>
      <w:r>
        <w:rPr>
          <w:rFonts w:cs="Arial"/>
        </w:rPr>
        <w:t xml:space="preserve"> within their strategy</w:t>
      </w:r>
      <w:r w:rsidR="00B17C95">
        <w:rPr>
          <w:rFonts w:cs="Arial"/>
        </w:rPr>
        <w:t xml:space="preserve">. </w:t>
      </w:r>
    </w:p>
    <w:p w14:paraId="5AFB401E" w14:textId="064ACC3D" w:rsidR="00BD4DAB" w:rsidRDefault="00BD4DAB" w:rsidP="00BD4DAB">
      <w:proofErr w:type="spellStart"/>
      <w:r>
        <w:t>Shriar</w:t>
      </w:r>
      <w:proofErr w:type="spellEnd"/>
      <w:r>
        <w:t xml:space="preserve">, (2015) argues there are ten pillars essential to employee engagement that </w:t>
      </w:r>
      <w:r w:rsidR="00F779C0">
        <w:t>HR</w:t>
      </w:r>
      <w:r>
        <w:t xml:space="preserve"> </w:t>
      </w:r>
      <w:r w:rsidR="00F779C0">
        <w:t>should</w:t>
      </w:r>
      <w:r>
        <w:t xml:space="preserve"> adopt into their strategy such as, regular feedback and recognition, encouraging personal growth, and </w:t>
      </w:r>
      <w:r w:rsidR="00F779C0">
        <w:t xml:space="preserve">focussing on </w:t>
      </w:r>
      <w:r>
        <w:t xml:space="preserve">employing individuals who are </w:t>
      </w:r>
      <w:proofErr w:type="gramStart"/>
      <w:r>
        <w:t>culture-fit</w:t>
      </w:r>
      <w:proofErr w:type="gramEnd"/>
      <w:r>
        <w:t xml:space="preserve">. </w:t>
      </w:r>
      <w:r w:rsidR="00793086">
        <w:t>Strategies that</w:t>
      </w:r>
      <w:r>
        <w:t xml:space="preserve"> focus on supporting performance rather than fixa</w:t>
      </w:r>
      <w:r w:rsidR="00793086">
        <w:t>ting</w:t>
      </w:r>
      <w:r>
        <w:t xml:space="preserve"> on </w:t>
      </w:r>
      <w:r w:rsidR="00793086">
        <w:t>policy processes</w:t>
      </w:r>
      <w:r>
        <w:t xml:space="preserve"> will support their </w:t>
      </w:r>
      <w:r w:rsidR="00793086">
        <w:t>employees</w:t>
      </w:r>
      <w:r>
        <w:t xml:space="preserve"> in building high engage</w:t>
      </w:r>
      <w:r w:rsidR="0034789B">
        <w:t xml:space="preserve">ment </w:t>
      </w:r>
      <w:r>
        <w:t>(</w:t>
      </w:r>
      <w:r w:rsidR="00F35E3C">
        <w:t>Forbes</w:t>
      </w:r>
      <w:r w:rsidR="00B23965">
        <w:t xml:space="preserve">, 2019). </w:t>
      </w:r>
    </w:p>
    <w:p w14:paraId="6E0B46F8" w14:textId="0E246444" w:rsidR="00446D92" w:rsidRDefault="0084568F" w:rsidP="00024798">
      <w:r>
        <w:t xml:space="preserve">Research </w:t>
      </w:r>
      <w:r w:rsidR="009C2BD7">
        <w:t xml:space="preserve">also </w:t>
      </w:r>
      <w:r>
        <w:t xml:space="preserve">shows </w:t>
      </w:r>
      <w:r w:rsidR="0003580F">
        <w:t xml:space="preserve">the more </w:t>
      </w:r>
      <w:r w:rsidR="00B01DD3">
        <w:t>committed</w:t>
      </w:r>
      <w:r w:rsidR="0003580F">
        <w:t xml:space="preserve"> and valued employees feel, the l</w:t>
      </w:r>
      <w:r w:rsidR="00125857">
        <w:t>ess likely they’ll be absent from work</w:t>
      </w:r>
      <w:r w:rsidR="009C2BD7">
        <w:t xml:space="preserve"> </w:t>
      </w:r>
      <w:r w:rsidR="00315003">
        <w:t xml:space="preserve">or to leave the business. Whilst performance is </w:t>
      </w:r>
      <w:r w:rsidR="00284B95">
        <w:t xml:space="preserve">the most vital outcome for organisations, retaining talent is just as important. </w:t>
      </w:r>
      <w:r w:rsidR="00B374A0">
        <w:t xml:space="preserve">Employees with high commitment </w:t>
      </w:r>
      <w:r w:rsidR="007966F5">
        <w:t>are less likely to quit, and more likely to recommend their employer to others</w:t>
      </w:r>
      <w:r w:rsidR="00024798">
        <w:t xml:space="preserve"> </w:t>
      </w:r>
      <w:r w:rsidR="005E3953">
        <w:t>HR should focus on</w:t>
      </w:r>
      <w:r w:rsidR="00E060A9">
        <w:t xml:space="preserve"> </w:t>
      </w:r>
      <w:r w:rsidR="005E3953">
        <w:t xml:space="preserve">building their strategy around </w:t>
      </w:r>
      <w:r w:rsidR="00AD274A">
        <w:t>people and cultural matters that will in turn increase job satisfaction and customer commitment (</w:t>
      </w:r>
      <w:r w:rsidR="00A248BC">
        <w:t>CIPD, 2021b).</w:t>
      </w:r>
    </w:p>
    <w:p w14:paraId="7F3D7F88" w14:textId="5D9CC70A" w:rsidR="00CF5299" w:rsidRDefault="00CF5299" w:rsidP="00024798">
      <w:r>
        <w:t xml:space="preserve">Subsequently, HR need </w:t>
      </w:r>
      <w:r w:rsidR="006D5B7C">
        <w:t xml:space="preserve">innovative and succeeding strategies to help deal with disengaged colleagues and the </w:t>
      </w:r>
      <w:r w:rsidR="00F06605">
        <w:t>negative effect their attitude and behaviours could have on the business and their peers</w:t>
      </w:r>
      <w:r w:rsidR="00C33F6C">
        <w:t xml:space="preserve"> (HBR, 2020).</w:t>
      </w:r>
    </w:p>
    <w:p w14:paraId="12A87FE1" w14:textId="77777777" w:rsidR="00CF5299" w:rsidRPr="00D851DF" w:rsidRDefault="00CF5299" w:rsidP="00CF5299">
      <w:pPr>
        <w:rPr>
          <w:b/>
          <w:bCs/>
        </w:rPr>
      </w:pPr>
      <w:r w:rsidRPr="00D851DF">
        <w:rPr>
          <w:b/>
          <w:bCs/>
        </w:rPr>
        <w:t>The potential benefits for different parties</w:t>
      </w:r>
    </w:p>
    <w:p w14:paraId="5F9EC478" w14:textId="77777777" w:rsidR="00C33F6C" w:rsidRDefault="00DB4A27" w:rsidP="00FB2691">
      <w:r>
        <w:t>Research conducted by Gallup (2012) on 1.4 million employees across 190 companies found there is a strong link between employee engagement and performance outcomes, particularly in customer retention, absenteeism, profitability</w:t>
      </w:r>
      <w:r w:rsidR="00D04BBE">
        <w:t>,</w:t>
      </w:r>
      <w:r>
        <w:t xml:space="preserve"> and productivity levels. Gallup saw high-performing businesses outperformed disengaged businesses by 22% profitability, 65% lower turnover rate and 48% fewer safety incidents. Studies have shown the benefits organisations gain when employee engagement and customer engagement are aligned. </w:t>
      </w:r>
    </w:p>
    <w:p w14:paraId="0A6FF887" w14:textId="7D5C791A" w:rsidR="00FB2691" w:rsidRDefault="0079267D" w:rsidP="00FB2691">
      <w:r>
        <w:t xml:space="preserve">In order for employee engagement to </w:t>
      </w:r>
      <w:r w:rsidR="00EC4F85">
        <w:t xml:space="preserve">succeed it requires two-way participation from various stakeholders, </w:t>
      </w:r>
      <w:r w:rsidR="00090D08">
        <w:t xml:space="preserve">from </w:t>
      </w:r>
      <w:r w:rsidR="00C92AE3">
        <w:t>high-level senior managers down to</w:t>
      </w:r>
      <w:r w:rsidR="00090D08">
        <w:t xml:space="preserve"> colleagues. </w:t>
      </w:r>
      <w:r w:rsidR="00C92AE3">
        <w:t>Senior managers are seen as the catalysts, HR as the facilitators, line managers as implementers, union representatives as enablers and colleagues as partners</w:t>
      </w:r>
      <w:r w:rsidR="00E13069">
        <w:t xml:space="preserve"> (</w:t>
      </w:r>
      <w:r w:rsidR="002E158D">
        <w:t xml:space="preserve">CIPD, 2018). </w:t>
      </w:r>
    </w:p>
    <w:p w14:paraId="09CB558E" w14:textId="52BB90CA" w:rsidR="00A20A48" w:rsidRPr="00A20A48" w:rsidRDefault="00352C4B" w:rsidP="00FB2691">
      <w:pPr>
        <w:rPr>
          <w:u w:val="single"/>
        </w:rPr>
      </w:pPr>
      <w:r>
        <w:rPr>
          <w:u w:val="single"/>
        </w:rPr>
        <w:t>Shareholders</w:t>
      </w:r>
    </w:p>
    <w:p w14:paraId="1E011B87" w14:textId="37B18D6F" w:rsidR="00FC09CA" w:rsidRDefault="001760E9" w:rsidP="00FB2691">
      <w:r>
        <w:t xml:space="preserve">A study conducted by Tower Perrins (2009) found that </w:t>
      </w:r>
      <w:r w:rsidR="002F39EC">
        <w:t>businesses who</w:t>
      </w:r>
      <w:r w:rsidR="00105354">
        <w:t xml:space="preserve"> have an engaged workforce saw 19% increase in profits</w:t>
      </w:r>
      <w:r w:rsidR="006B41B6">
        <w:t>, with a 28% growth in price per share</w:t>
      </w:r>
      <w:r w:rsidR="00105354">
        <w:t xml:space="preserve"> vs </w:t>
      </w:r>
      <w:r w:rsidR="00EE190F">
        <w:t xml:space="preserve">a 32% drop in </w:t>
      </w:r>
      <w:r w:rsidR="006B41B6">
        <w:t xml:space="preserve">profits in organisations </w:t>
      </w:r>
      <w:r w:rsidR="00EE190F">
        <w:t>who were disengaged</w:t>
      </w:r>
      <w:r w:rsidR="00352C4B">
        <w:t>, benefitting both the employer and its’ shareholders</w:t>
      </w:r>
      <w:r w:rsidR="003C7163">
        <w:t xml:space="preserve">. </w:t>
      </w:r>
      <w:r w:rsidR="00061A8A">
        <w:lastRenderedPageBreak/>
        <w:t xml:space="preserve">Additionally, </w:t>
      </w:r>
      <w:r w:rsidR="00BD329B">
        <w:t xml:space="preserve">organisations who focus on both their customers and colleagues saw </w:t>
      </w:r>
      <w:r w:rsidR="00FC09CA">
        <w:t xml:space="preserve">higher monthly revenue </w:t>
      </w:r>
      <w:r w:rsidR="002C6F1C">
        <w:t>and increase in customer loyalty</w:t>
      </w:r>
      <w:r w:rsidR="00FC09CA">
        <w:t xml:space="preserve"> (Gallup, 2012)</w:t>
      </w:r>
      <w:r w:rsidR="00A20A48">
        <w:t xml:space="preserve">. </w:t>
      </w:r>
    </w:p>
    <w:p w14:paraId="1BE49B9D" w14:textId="01B9DFAB" w:rsidR="00352C4B" w:rsidRDefault="00352C4B" w:rsidP="00FB2691">
      <w:pPr>
        <w:rPr>
          <w:u w:val="single"/>
        </w:rPr>
      </w:pPr>
      <w:r>
        <w:rPr>
          <w:u w:val="single"/>
        </w:rPr>
        <w:t>HR</w:t>
      </w:r>
    </w:p>
    <w:p w14:paraId="364EBF96" w14:textId="08A116DE" w:rsidR="004E731D" w:rsidRDefault="00A67FF0" w:rsidP="00FB2691">
      <w:r>
        <w:t xml:space="preserve">HR play a crucial role in encouraging the organisation’s culture and </w:t>
      </w:r>
      <w:r w:rsidR="009D1A7B">
        <w:t xml:space="preserve">promoting </w:t>
      </w:r>
      <w:r w:rsidR="00AB5A08">
        <w:t xml:space="preserve">the link between </w:t>
      </w:r>
      <w:r w:rsidR="009D1A7B">
        <w:t>leadership, objectives</w:t>
      </w:r>
      <w:r w:rsidR="00AB5A08">
        <w:t xml:space="preserve">, </w:t>
      </w:r>
      <w:r w:rsidR="009D1A7B">
        <w:t>and</w:t>
      </w:r>
      <w:r w:rsidR="00AB5A08">
        <w:t xml:space="preserve"> employees. Therefore, HR are fundamental in creating high-engaged workforces</w:t>
      </w:r>
      <w:r w:rsidR="00A92FBD">
        <w:t xml:space="preserve"> (</w:t>
      </w:r>
      <w:proofErr w:type="spellStart"/>
      <w:r w:rsidR="00A92FBD">
        <w:t>MyHub</w:t>
      </w:r>
      <w:proofErr w:type="spellEnd"/>
      <w:r w:rsidR="00A92FBD">
        <w:t xml:space="preserve">, 2019). </w:t>
      </w:r>
      <w:r w:rsidR="004E731D">
        <w:t>Engaged, satisfied</w:t>
      </w:r>
      <w:r w:rsidR="007874F0">
        <w:t>,</w:t>
      </w:r>
      <w:r w:rsidR="004E731D">
        <w:t xml:space="preserve"> and </w:t>
      </w:r>
      <w:r w:rsidR="00CF00A4">
        <w:t>committed workers are less likely to leave their employer</w:t>
      </w:r>
      <w:r w:rsidR="007874F0">
        <w:t xml:space="preserve"> or be absent from</w:t>
      </w:r>
      <w:r w:rsidR="008C6922">
        <w:t xml:space="preserve"> work</w:t>
      </w:r>
      <w:r w:rsidR="008430C9">
        <w:t>. T</w:t>
      </w:r>
      <w:r w:rsidR="008C6922">
        <w:t>hus</w:t>
      </w:r>
      <w:r w:rsidR="001E03F9">
        <w:t>,</w:t>
      </w:r>
      <w:r w:rsidR="0071293A">
        <w:t xml:space="preserve"> resulting in lower staff turnover</w:t>
      </w:r>
      <w:r w:rsidR="008C6922">
        <w:t xml:space="preserve"> and absence rates</w:t>
      </w:r>
      <w:r w:rsidR="008430C9">
        <w:t>, a</w:t>
      </w:r>
      <w:r w:rsidR="0070073B">
        <w:t>l</w:t>
      </w:r>
      <w:r w:rsidR="008430C9">
        <w:t xml:space="preserve">ong with </w:t>
      </w:r>
      <w:r w:rsidR="0070073B">
        <w:t>reduction in exit interviews</w:t>
      </w:r>
      <w:r w:rsidR="001E03F9">
        <w:t xml:space="preserve"> and</w:t>
      </w:r>
      <w:r w:rsidR="0070073B">
        <w:t xml:space="preserve"> the need for recruitment drives</w:t>
      </w:r>
      <w:r w:rsidR="001E03F9">
        <w:t>.</w:t>
      </w:r>
      <w:r w:rsidR="0070073B">
        <w:t xml:space="preserve"> </w:t>
      </w:r>
      <w:r w:rsidR="008C6922">
        <w:t>Subsequently, the more engaged the workforce are, the less issues and grievances HR will face.</w:t>
      </w:r>
    </w:p>
    <w:p w14:paraId="6C584F44" w14:textId="4E38A7FD" w:rsidR="002C6F1C" w:rsidRPr="002C6F1C" w:rsidRDefault="002C6F1C" w:rsidP="00FB2691">
      <w:pPr>
        <w:rPr>
          <w:u w:val="single"/>
        </w:rPr>
      </w:pPr>
      <w:r w:rsidRPr="002C6F1C">
        <w:rPr>
          <w:u w:val="single"/>
        </w:rPr>
        <w:t>Line Managers</w:t>
      </w:r>
    </w:p>
    <w:p w14:paraId="49EC59A5" w14:textId="075A2F7C" w:rsidR="000D3B62" w:rsidRDefault="000D3B62" w:rsidP="000D3B62">
      <w:r>
        <w:t>Engaged managers who are passionate about building an engaging workforce will reap the rewards</w:t>
      </w:r>
      <w:r w:rsidR="006F2B1F">
        <w:t xml:space="preserve"> in many ways.</w:t>
      </w:r>
      <w:r w:rsidR="001C24B8">
        <w:t xml:space="preserve"> Engaged colleagues experience greater job satisfaction</w:t>
      </w:r>
      <w:r w:rsidR="00335806">
        <w:t xml:space="preserve"> and commitment, providing colleagues with trust to make the right decisions</w:t>
      </w:r>
      <w:r w:rsidR="00FD5E8C">
        <w:t xml:space="preserve"> gives them a sense of autonomy </w:t>
      </w:r>
      <w:r w:rsidR="000D3B3F">
        <w:t xml:space="preserve">and confidence, which in turn </w:t>
      </w:r>
      <w:r w:rsidR="003B5780">
        <w:t>can save managers time</w:t>
      </w:r>
      <w:r w:rsidR="002E26AC">
        <w:t xml:space="preserve"> as the team are capable of making future decisions</w:t>
      </w:r>
      <w:r>
        <w:t xml:space="preserve"> </w:t>
      </w:r>
      <w:r w:rsidR="004C7BAA">
        <w:t>(Roper, 2017).</w:t>
      </w:r>
    </w:p>
    <w:p w14:paraId="1203DA24" w14:textId="31B8E5A0" w:rsidR="006213CB" w:rsidRDefault="0013491F" w:rsidP="00341A75">
      <w:r>
        <w:t xml:space="preserve">When managers are provided with effective development opportunities, </w:t>
      </w:r>
      <w:r w:rsidR="00EA0BED">
        <w:t xml:space="preserve">employees in return will be provided with more effective management, thus </w:t>
      </w:r>
      <w:r w:rsidR="00825170">
        <w:t xml:space="preserve">enhancing </w:t>
      </w:r>
      <w:r w:rsidR="00341A75">
        <w:t xml:space="preserve">a healthier, </w:t>
      </w:r>
      <w:proofErr w:type="gramStart"/>
      <w:r w:rsidR="00341A75">
        <w:t>engaged</w:t>
      </w:r>
      <w:proofErr w:type="gramEnd"/>
      <w:r w:rsidR="00341A75">
        <w:t xml:space="preserve"> and high-performing workforce</w:t>
      </w:r>
      <w:r w:rsidR="00756DDA">
        <w:t xml:space="preserve"> (CIPD</w:t>
      </w:r>
      <w:r w:rsidR="00341A75">
        <w:t>,</w:t>
      </w:r>
      <w:r w:rsidR="00756DDA">
        <w:t xml:space="preserve"> 2017)</w:t>
      </w:r>
      <w:r w:rsidR="00341A75">
        <w:t xml:space="preserve">. </w:t>
      </w:r>
    </w:p>
    <w:p w14:paraId="253E381D" w14:textId="38F863CD" w:rsidR="00934065" w:rsidRDefault="00934065" w:rsidP="0064501F">
      <w:pPr>
        <w:spacing w:after="0"/>
        <w:rPr>
          <w:rFonts w:ascii="Arial" w:hAnsi="Arial" w:cs="Arial"/>
          <w:b/>
        </w:rPr>
      </w:pPr>
      <w:r w:rsidRPr="00934065">
        <w:rPr>
          <w:b/>
          <w:bCs/>
        </w:rPr>
        <w:t>4</w:t>
      </w:r>
      <w:r w:rsidRPr="00934065">
        <w:rPr>
          <w:b/>
          <w:bCs/>
        </w:rPr>
        <w:tab/>
      </w:r>
      <w:r w:rsidR="0064501F" w:rsidRPr="0064501F">
        <w:rPr>
          <w:b/>
          <w:bCs/>
        </w:rPr>
        <w:t>H</w:t>
      </w:r>
      <w:r w:rsidR="0064501F" w:rsidRPr="0064501F">
        <w:rPr>
          <w:b/>
          <w:bCs/>
        </w:rPr>
        <w:t>ow to access and interpret employee engagement data.</w:t>
      </w:r>
    </w:p>
    <w:p w14:paraId="6C4801A0" w14:textId="77777777" w:rsidR="0064501F" w:rsidRPr="0064501F" w:rsidRDefault="0064501F" w:rsidP="0064501F">
      <w:pPr>
        <w:spacing w:after="0"/>
        <w:rPr>
          <w:rFonts w:ascii="Arial" w:hAnsi="Arial" w:cs="Arial"/>
          <w:b/>
        </w:rPr>
      </w:pPr>
    </w:p>
    <w:p w14:paraId="0A15EB00" w14:textId="37A467D0" w:rsidR="00641C69" w:rsidRPr="00641C69" w:rsidRDefault="00641C69" w:rsidP="00103664">
      <w:pPr>
        <w:rPr>
          <w:b/>
          <w:bCs/>
        </w:rPr>
      </w:pPr>
      <w:r w:rsidRPr="00641C69">
        <w:rPr>
          <w:b/>
          <w:bCs/>
        </w:rPr>
        <w:t xml:space="preserve">Key sources of </w:t>
      </w:r>
      <w:r>
        <w:rPr>
          <w:b/>
          <w:bCs/>
        </w:rPr>
        <w:t>engagement</w:t>
      </w:r>
      <w:r w:rsidRPr="00641C69">
        <w:rPr>
          <w:b/>
          <w:bCs/>
        </w:rPr>
        <w:t xml:space="preserve"> data</w:t>
      </w:r>
    </w:p>
    <w:p w14:paraId="441F784E" w14:textId="3DB9850B" w:rsidR="0035579C" w:rsidRDefault="00A30FFA" w:rsidP="00103664">
      <w:r>
        <w:t>Measuring employee engagement data is an important way for organisations to understand the strengths and weaknesses of the way they operate, and how their employees really feel</w:t>
      </w:r>
      <w:r w:rsidR="00E60CE5">
        <w:t xml:space="preserve">, and what the main factors are that motivate or demotivate a workforce (CIPD, </w:t>
      </w:r>
      <w:r w:rsidR="00A7707E">
        <w:t>2021).</w:t>
      </w:r>
    </w:p>
    <w:p w14:paraId="1C02ECF2" w14:textId="414C9E80" w:rsidR="00C53916" w:rsidRPr="00040AA8" w:rsidRDefault="00C53916" w:rsidP="00103664">
      <w:r>
        <w:t xml:space="preserve">There are many sources used to measure and benchmark engagement levels. For example, the Tower Perrins </w:t>
      </w:r>
      <w:r w:rsidR="00266961">
        <w:t>(2014) Global Workforce Study</w:t>
      </w:r>
      <w:r w:rsidR="00B92F9E">
        <w:t xml:space="preserve"> highlights the trends effecting employee engagement, attraction and retention</w:t>
      </w:r>
      <w:r w:rsidR="00F712E4">
        <w:t xml:space="preserve"> whilst explaining the links between high performance and high engagement. </w:t>
      </w:r>
    </w:p>
    <w:p w14:paraId="68C999CD" w14:textId="550E2A23" w:rsidR="001A60AA" w:rsidRDefault="001A60AA" w:rsidP="001A60AA">
      <w:r>
        <w:t>Internal employee engagement surveys are now a popular method used in majority of organisations that enables benchmarking to take place and compare how engaged their workforce are against others alike (Moss,</w:t>
      </w:r>
      <w:r w:rsidR="00245237">
        <w:t xml:space="preserve"> 2106</w:t>
      </w:r>
      <w:r>
        <w:t>)</w:t>
      </w:r>
    </w:p>
    <w:p w14:paraId="795877D6" w14:textId="72038E76" w:rsidR="00311982" w:rsidRDefault="009C10E8">
      <w:r>
        <w:t>Additionally</w:t>
      </w:r>
      <w:r w:rsidR="006A2D08">
        <w:t xml:space="preserve">, the CIPD </w:t>
      </w:r>
      <w:r>
        <w:t>Evidence Review (2021) Report</w:t>
      </w:r>
      <w:r w:rsidR="00175306">
        <w:t xml:space="preserve"> and Good Work Index </w:t>
      </w:r>
      <w:r w:rsidR="00BE1BF5">
        <w:t>(2021)</w:t>
      </w:r>
      <w:r w:rsidR="00150C0B">
        <w:t xml:space="preserve"> Report</w:t>
      </w:r>
      <w:r>
        <w:t xml:space="preserve"> </w:t>
      </w:r>
      <w:r w:rsidR="00876151">
        <w:t xml:space="preserve">supports businesses understand what engagement is, how to measure it, what are the key drivers, and the outcomes it can lead to. </w:t>
      </w:r>
    </w:p>
    <w:p w14:paraId="7FF78580" w14:textId="5B6292D8" w:rsidR="00EF33B6" w:rsidRDefault="00EF33B6">
      <w:r>
        <w:t>Gallup’s Q12 Engagement Report</w:t>
      </w:r>
      <w:r w:rsidR="00B305F2">
        <w:t xml:space="preserve"> studied thousands of organisations to understand the correlations </w:t>
      </w:r>
      <w:r w:rsidR="002D372E">
        <w:t>between</w:t>
      </w:r>
      <w:r w:rsidR="00B305F2">
        <w:t xml:space="preserve"> productivity and performance</w:t>
      </w:r>
      <w:r w:rsidR="00CB2453">
        <w:t xml:space="preserve"> </w:t>
      </w:r>
      <w:r w:rsidR="002D372E">
        <w:t xml:space="preserve">and what is important to engagement. This study </w:t>
      </w:r>
      <w:r w:rsidR="00CB2453">
        <w:t xml:space="preserve">is now one of the largest benchmarks </w:t>
      </w:r>
      <w:r w:rsidR="002D372E">
        <w:t>available for organisations to use</w:t>
      </w:r>
      <w:r w:rsidR="003D1589">
        <w:t xml:space="preserve"> (Gallup, </w:t>
      </w:r>
      <w:proofErr w:type="spellStart"/>
      <w:r w:rsidR="003D1589">
        <w:t>n.d</w:t>
      </w:r>
      <w:proofErr w:type="spellEnd"/>
      <w:r w:rsidR="003D1589">
        <w:t>).</w:t>
      </w:r>
    </w:p>
    <w:p w14:paraId="33B54630" w14:textId="0CBAD2F9" w:rsidR="00150C0B" w:rsidRDefault="00150C0B">
      <w:r>
        <w:t xml:space="preserve">Subsequently, the ORC International </w:t>
      </w:r>
      <w:r w:rsidR="00701A32">
        <w:t xml:space="preserve">Global Perspective Study (2015) supports </w:t>
      </w:r>
      <w:r w:rsidR="003F1EB8">
        <w:t xml:space="preserve">employers enhance their business </w:t>
      </w:r>
      <w:r w:rsidR="00EE2BEF">
        <w:t xml:space="preserve">by </w:t>
      </w:r>
      <w:r w:rsidR="005D575E">
        <w:t>allowing them to understand</w:t>
      </w:r>
      <w:r w:rsidR="004876A6">
        <w:t xml:space="preserve"> the</w:t>
      </w:r>
      <w:r w:rsidR="005D575E">
        <w:t xml:space="preserve"> main</w:t>
      </w:r>
      <w:r w:rsidR="004876A6">
        <w:t xml:space="preserve"> drivers that cause employees to ‘stay’ ‘say’ ‘strive’</w:t>
      </w:r>
      <w:r w:rsidR="005D575E">
        <w:t xml:space="preserve"> and what they can do differently to </w:t>
      </w:r>
      <w:r w:rsidR="00C83377">
        <w:t>perform better.</w:t>
      </w:r>
    </w:p>
    <w:p w14:paraId="37641865" w14:textId="4203D0BB" w:rsidR="00A53EB1" w:rsidRDefault="00A53EB1">
      <w:r>
        <w:lastRenderedPageBreak/>
        <w:t xml:space="preserve">Meanwhile the Human Capital Trends </w:t>
      </w:r>
      <w:r w:rsidR="004F3C90">
        <w:t>2014 Survey</w:t>
      </w:r>
      <w:r w:rsidR="006847AF">
        <w:t xml:space="preserve"> c</w:t>
      </w:r>
      <w:r w:rsidR="004D102F">
        <w:t xml:space="preserve">overed thousands of organisations across many countries </w:t>
      </w:r>
      <w:r w:rsidR="005D575E">
        <w:t>to</w:t>
      </w:r>
      <w:r w:rsidR="00C83377">
        <w:t xml:space="preserve"> highlight the priorities </w:t>
      </w:r>
      <w:r w:rsidR="00E8791F">
        <w:t>and factors that HR professionals and leaders must focus on within their agenda. The report also outlined</w:t>
      </w:r>
      <w:r w:rsidR="00BF2087">
        <w:t xml:space="preserve"> factors that are classed as ‘urgent’, ‘</w:t>
      </w:r>
      <w:r w:rsidR="002C686B">
        <w:t>highly urgent’ and ‘important’</w:t>
      </w:r>
      <w:r w:rsidR="00422CAF">
        <w:t xml:space="preserve"> to promoting and building engagement, </w:t>
      </w:r>
      <w:proofErr w:type="gramStart"/>
      <w:r w:rsidR="00422CAF">
        <w:t>retention</w:t>
      </w:r>
      <w:proofErr w:type="gramEnd"/>
      <w:r w:rsidR="00422CAF">
        <w:t xml:space="preserve"> and satisfaction</w:t>
      </w:r>
      <w:r w:rsidR="004F3C90">
        <w:t xml:space="preserve"> (Deloitte, 2014). </w:t>
      </w:r>
    </w:p>
    <w:p w14:paraId="1821D247" w14:textId="19F041E4" w:rsidR="008B235A" w:rsidRDefault="00673D68">
      <w:r>
        <w:t>The</w:t>
      </w:r>
      <w:r w:rsidR="00BB235F">
        <w:t>re are different types of</w:t>
      </w:r>
      <w:r>
        <w:t xml:space="preserve"> data found within each study</w:t>
      </w:r>
      <w:r w:rsidR="00BB235F">
        <w:t xml:space="preserve"> that</w:t>
      </w:r>
      <w:r>
        <w:t xml:space="preserve"> can be reviewed and used to assist organisations</w:t>
      </w:r>
      <w:r w:rsidR="00C94F20">
        <w:t xml:space="preserve"> </w:t>
      </w:r>
      <w:r w:rsidR="00BB235F">
        <w:t xml:space="preserve">with their employee engagement: </w:t>
      </w:r>
    </w:p>
    <w:p w14:paraId="3108BF17" w14:textId="61F98705" w:rsidR="00BB235F" w:rsidRPr="00887541" w:rsidRDefault="00BB235F" w:rsidP="00887541">
      <w:pPr>
        <w:pStyle w:val="ListParagraph"/>
        <w:numPr>
          <w:ilvl w:val="0"/>
          <w:numId w:val="9"/>
        </w:numPr>
        <w:rPr>
          <w:rFonts w:ascii="Calibri" w:hAnsi="Calibri" w:cs="Calibri"/>
        </w:rPr>
      </w:pPr>
      <w:r w:rsidRPr="00887541">
        <w:rPr>
          <w:rFonts w:ascii="Calibri" w:hAnsi="Calibri" w:cs="Calibri"/>
        </w:rPr>
        <w:t>Macro</w:t>
      </w:r>
      <w:r w:rsidR="00801E1B" w:rsidRPr="00887541">
        <w:rPr>
          <w:rFonts w:ascii="Calibri" w:hAnsi="Calibri" w:cs="Calibri"/>
        </w:rPr>
        <w:t xml:space="preserve">-level data </w:t>
      </w:r>
      <w:r w:rsidR="00E32F75" w:rsidRPr="00887541">
        <w:rPr>
          <w:rFonts w:ascii="Calibri" w:hAnsi="Calibri" w:cs="Calibri"/>
        </w:rPr>
        <w:t xml:space="preserve">refers to the overall </w:t>
      </w:r>
      <w:r w:rsidR="00561511" w:rsidRPr="00887541">
        <w:rPr>
          <w:rFonts w:ascii="Calibri" w:hAnsi="Calibri" w:cs="Calibri"/>
        </w:rPr>
        <w:t xml:space="preserve">factors used to </w:t>
      </w:r>
      <w:r w:rsidR="00553D6E" w:rsidRPr="00887541">
        <w:rPr>
          <w:rFonts w:ascii="Calibri" w:hAnsi="Calibri" w:cs="Calibri"/>
        </w:rPr>
        <w:t xml:space="preserve">drive engagement and </w:t>
      </w:r>
      <w:r w:rsidR="00C54B0B" w:rsidRPr="00887541">
        <w:rPr>
          <w:rFonts w:ascii="Calibri" w:hAnsi="Calibri" w:cs="Calibri"/>
        </w:rPr>
        <w:t>includes more of the underlying data</w:t>
      </w:r>
      <w:r w:rsidR="006764E8" w:rsidRPr="00887541">
        <w:rPr>
          <w:rFonts w:ascii="Calibri" w:hAnsi="Calibri" w:cs="Calibri"/>
        </w:rPr>
        <w:t xml:space="preserve"> that contributes to it </w:t>
      </w:r>
    </w:p>
    <w:p w14:paraId="54BE378B" w14:textId="45E66F9E" w:rsidR="006764E8" w:rsidRDefault="006764E8" w:rsidP="00887541">
      <w:pPr>
        <w:pStyle w:val="ListParagraph"/>
        <w:numPr>
          <w:ilvl w:val="0"/>
          <w:numId w:val="9"/>
        </w:numPr>
        <w:rPr>
          <w:rFonts w:ascii="Calibri" w:hAnsi="Calibri" w:cs="Calibri"/>
        </w:rPr>
      </w:pPr>
      <w:r w:rsidRPr="00887541">
        <w:rPr>
          <w:rFonts w:ascii="Calibri" w:hAnsi="Calibri" w:cs="Calibri"/>
        </w:rPr>
        <w:t xml:space="preserve">Micro-level data </w:t>
      </w:r>
      <w:r w:rsidR="00A116DF">
        <w:rPr>
          <w:rFonts w:ascii="Calibri" w:hAnsi="Calibri" w:cs="Calibri"/>
        </w:rPr>
        <w:t xml:space="preserve">is more personal to each business and </w:t>
      </w:r>
      <w:r w:rsidRPr="00887541">
        <w:rPr>
          <w:rFonts w:ascii="Calibri" w:hAnsi="Calibri" w:cs="Calibri"/>
        </w:rPr>
        <w:t>supports the development and man</w:t>
      </w:r>
      <w:r w:rsidR="00A116DF">
        <w:rPr>
          <w:rFonts w:ascii="Calibri" w:hAnsi="Calibri" w:cs="Calibri"/>
        </w:rPr>
        <w:t xml:space="preserve">aging of processes and </w:t>
      </w:r>
      <w:r w:rsidR="009E7DB7">
        <w:rPr>
          <w:rFonts w:ascii="Calibri" w:hAnsi="Calibri" w:cs="Calibri"/>
        </w:rPr>
        <w:t xml:space="preserve">KPI’s </w:t>
      </w:r>
    </w:p>
    <w:p w14:paraId="43610DBD" w14:textId="0C58EAFB" w:rsidR="00BB235F" w:rsidRDefault="009E7DB7" w:rsidP="00167AC3">
      <w:pPr>
        <w:pStyle w:val="ListParagraph"/>
        <w:numPr>
          <w:ilvl w:val="0"/>
          <w:numId w:val="9"/>
        </w:numPr>
        <w:rPr>
          <w:rFonts w:ascii="Calibri" w:hAnsi="Calibri" w:cs="Calibri"/>
        </w:rPr>
      </w:pPr>
      <w:r>
        <w:rPr>
          <w:rFonts w:ascii="Calibri" w:hAnsi="Calibri" w:cs="Calibri"/>
        </w:rPr>
        <w:t xml:space="preserve">Meso-level data is specific to each particular sector, such as public sector </w:t>
      </w:r>
      <w:r w:rsidR="00F9484E">
        <w:rPr>
          <w:rFonts w:ascii="Calibri" w:hAnsi="Calibri" w:cs="Calibri"/>
        </w:rPr>
        <w:t>(Buckingham</w:t>
      </w:r>
      <w:r w:rsidR="00C30907">
        <w:rPr>
          <w:rFonts w:ascii="Calibri" w:hAnsi="Calibri" w:cs="Calibri"/>
        </w:rPr>
        <w:t xml:space="preserve"> Shum, 2012). </w:t>
      </w:r>
    </w:p>
    <w:p w14:paraId="51ED02C0" w14:textId="77777777" w:rsidR="00167AC3" w:rsidRDefault="00167AC3">
      <w:pPr>
        <w:rPr>
          <w:b/>
          <w:bCs/>
        </w:rPr>
      </w:pPr>
    </w:p>
    <w:p w14:paraId="223A0EA0" w14:textId="3E68B4CD" w:rsidR="00167AC3" w:rsidRPr="00167AC3" w:rsidRDefault="00167AC3">
      <w:pPr>
        <w:rPr>
          <w:b/>
          <w:bCs/>
        </w:rPr>
      </w:pPr>
      <w:r>
        <w:rPr>
          <w:b/>
          <w:bCs/>
        </w:rPr>
        <w:t>K</w:t>
      </w:r>
      <w:r w:rsidRPr="00167AC3">
        <w:rPr>
          <w:b/>
          <w:bCs/>
        </w:rPr>
        <w:t>ey trends in employee engagement</w:t>
      </w:r>
    </w:p>
    <w:p w14:paraId="548C06A4" w14:textId="67CF5559" w:rsidR="00BB235F" w:rsidRDefault="0003659B">
      <w:r>
        <w:t xml:space="preserve">Analysing key trends </w:t>
      </w:r>
      <w:r w:rsidR="00D83030">
        <w:t>of employee engagement can provide crucial insights on the quality of employee’s experiences at work and the underlying issues organisations need to tackle.</w:t>
      </w:r>
      <w:r w:rsidR="00D514D7">
        <w:t xml:space="preserve"> </w:t>
      </w:r>
    </w:p>
    <w:p w14:paraId="56108D58" w14:textId="7B374E06" w:rsidR="00073764" w:rsidRDefault="00D514D7">
      <w:r>
        <w:t xml:space="preserve">The COVID pandemic </w:t>
      </w:r>
      <w:r w:rsidR="00A962AA">
        <w:t>called for</w:t>
      </w:r>
      <w:r>
        <w:t xml:space="preserve"> a major shift i</w:t>
      </w:r>
      <w:r w:rsidR="00A962AA">
        <w:t>n how businesses operate</w:t>
      </w:r>
      <w:r w:rsidR="00516CC1">
        <w:t xml:space="preserve">. </w:t>
      </w:r>
      <w:r w:rsidR="00073764">
        <w:t>Employee retention is now seen as the mos</w:t>
      </w:r>
      <w:r w:rsidR="00FD14CA">
        <w:t>t crucial focus</w:t>
      </w:r>
      <w:r w:rsidR="008A5CC6">
        <w:t xml:space="preserve"> as employers must shift their </w:t>
      </w:r>
      <w:r w:rsidR="00FD14CA">
        <w:t>energy</w:t>
      </w:r>
      <w:r w:rsidR="008A5CC6">
        <w:t xml:space="preserve"> to </w:t>
      </w:r>
      <w:r w:rsidR="00003C9B">
        <w:t xml:space="preserve">training, </w:t>
      </w:r>
      <w:r w:rsidR="008A5CC6">
        <w:t>engaging</w:t>
      </w:r>
      <w:r w:rsidR="00003C9B">
        <w:t>,</w:t>
      </w:r>
      <w:r w:rsidR="008A5CC6">
        <w:t xml:space="preserve"> and retaining their staff.  </w:t>
      </w:r>
    </w:p>
    <w:p w14:paraId="345EA6C7" w14:textId="180A1692" w:rsidR="00D514D7" w:rsidRDefault="00516CC1">
      <w:r>
        <w:t xml:space="preserve">Many studies have found a shift in trends </w:t>
      </w:r>
      <w:r w:rsidR="00A26F89">
        <w:t>particularly in the decline of employee engagement</w:t>
      </w:r>
      <w:r w:rsidR="00F633E6">
        <w:t xml:space="preserve"> (EE).</w:t>
      </w:r>
      <w:r w:rsidR="00A26F89">
        <w:t xml:space="preserve"> Qua</w:t>
      </w:r>
      <w:r w:rsidR="00F633E6">
        <w:t>ntum Workplace (2021) stated in 2020 EE levels had grown 3% from 201</w:t>
      </w:r>
      <w:r w:rsidR="009F6EA6">
        <w:t>9, despite the pandemic</w:t>
      </w:r>
      <w:r w:rsidR="002C1708">
        <w:t xml:space="preserve"> causing major disruptions. The study found this was due to an improvement in communication between the employer and employees, </w:t>
      </w:r>
      <w:r w:rsidR="00D704F5">
        <w:t>flexible working was introduced giving more people a better work-life balance, and more health and wellbeing initiatives were implemented</w:t>
      </w:r>
      <w:r w:rsidR="00497E13">
        <w:t>. Th</w:t>
      </w:r>
      <w:r w:rsidR="00015F8D">
        <w:t>i</w:t>
      </w:r>
      <w:r w:rsidR="00497E13">
        <w:t xml:space="preserve">s resulting in employees feeling happier, </w:t>
      </w:r>
      <w:proofErr w:type="gramStart"/>
      <w:r w:rsidR="00497E13">
        <w:t>satisfied</w:t>
      </w:r>
      <w:proofErr w:type="gramEnd"/>
      <w:r w:rsidR="00497E13">
        <w:t xml:space="preserve"> and trusting in their </w:t>
      </w:r>
      <w:r w:rsidR="000D4983">
        <w:t>leaders. Subsequently, in January 2021 EE continued to rise to 81%</w:t>
      </w:r>
      <w:r w:rsidR="00A6419D">
        <w:t>, however with restrictions easing and many workforces having to return to their workplace EE levels saw a decline to 7</w:t>
      </w:r>
      <w:r w:rsidR="00DA6F2C">
        <w:t xml:space="preserve">4%. This saw reduced flexibility and ability to manage their work-life balance, regardless of the 68% who </w:t>
      </w:r>
      <w:r w:rsidR="003278B5">
        <w:t xml:space="preserve">had hoped for hybrid working. </w:t>
      </w:r>
    </w:p>
    <w:p w14:paraId="47930D3A" w14:textId="17866DAA" w:rsidR="00B66788" w:rsidRDefault="00B66788">
      <w:r>
        <w:t xml:space="preserve">ONS, (2021) </w:t>
      </w:r>
      <w:r w:rsidR="00F84EE2">
        <w:t>researc</w:t>
      </w:r>
      <w:r w:rsidR="002D22D5">
        <w:t xml:space="preserve">h found a clear North-South divide </w:t>
      </w:r>
      <w:r w:rsidR="008C150B">
        <w:t>highlighting the highest income areas</w:t>
      </w:r>
      <w:r w:rsidR="008909A6">
        <w:t xml:space="preserve"> such as London, Scotland and Cheshire</w:t>
      </w:r>
      <w:r w:rsidR="008C150B">
        <w:t xml:space="preserve"> saw higher productivity levels</w:t>
      </w:r>
      <w:r w:rsidR="00A837AF">
        <w:t>. W</w:t>
      </w:r>
      <w:r w:rsidR="008909A6">
        <w:t xml:space="preserve">hereas </w:t>
      </w:r>
      <w:r w:rsidR="00A837AF">
        <w:t>urban areas such as M</w:t>
      </w:r>
      <w:r w:rsidR="00140930">
        <w:t xml:space="preserve">anchester, Birmingham and areas of Wales </w:t>
      </w:r>
      <w:r w:rsidR="00750DCC">
        <w:t>had</w:t>
      </w:r>
      <w:r w:rsidR="00140930">
        <w:t xml:space="preserve"> lowe</w:t>
      </w:r>
      <w:r w:rsidR="00762BC6">
        <w:t xml:space="preserve">st levels of income but </w:t>
      </w:r>
      <w:r w:rsidR="00750DCC">
        <w:t>average level of productivity</w:t>
      </w:r>
      <w:r w:rsidR="0002396B">
        <w:t xml:space="preserve">. Rural areas tended </w:t>
      </w:r>
      <w:r w:rsidR="00DE6374">
        <w:t>to show lower productivity due to commuting time and distance to the workplace.</w:t>
      </w:r>
    </w:p>
    <w:p w14:paraId="3520CDEF" w14:textId="50DE4FFB" w:rsidR="005702C1" w:rsidRDefault="003B4B65" w:rsidP="00FF438B">
      <w:r>
        <w:t xml:space="preserve">Research also shows </w:t>
      </w:r>
      <w:r w:rsidR="005702C1">
        <w:t xml:space="preserve">an increase in women </w:t>
      </w:r>
      <w:r w:rsidR="00536288">
        <w:t>fulfilling vacancies in the workplace w</w:t>
      </w:r>
      <w:r w:rsidR="003144C4">
        <w:t xml:space="preserve">ith majority of women stating flexible working and part-time working is important to them </w:t>
      </w:r>
      <w:r w:rsidR="00FF438B">
        <w:t xml:space="preserve">and is a vital criteria in whether they stay or leave their employer </w:t>
      </w:r>
      <w:r w:rsidR="000E144A">
        <w:t xml:space="preserve">(Engage for Success, 2021). </w:t>
      </w:r>
    </w:p>
    <w:p w14:paraId="7AC7F811" w14:textId="67A2D9EA" w:rsidR="007A4912" w:rsidRDefault="006969F6" w:rsidP="00FF438B">
      <w:r>
        <w:t xml:space="preserve">IES found </w:t>
      </w:r>
      <w:r w:rsidR="00D52E7F">
        <w:t>engagement levels varied between age groups, gender</w:t>
      </w:r>
      <w:r w:rsidR="009629BD">
        <w:t>,</w:t>
      </w:r>
      <w:r w:rsidR="00D52E7F">
        <w:t xml:space="preserve"> and </w:t>
      </w:r>
      <w:r w:rsidR="009629BD">
        <w:t xml:space="preserve">organisations type. Trends show a significant difference in engagement levels </w:t>
      </w:r>
      <w:r w:rsidR="007A4912">
        <w:t xml:space="preserve">in age group, </w:t>
      </w:r>
      <w:r w:rsidR="00F567EC">
        <w:t xml:space="preserve">as the older they employee get the less engaged </w:t>
      </w:r>
      <w:r w:rsidR="00053CFA">
        <w:t xml:space="preserve">they become until reaching 60 years of age and display the highest of engagement levels </w:t>
      </w:r>
      <w:r w:rsidR="004B14AC">
        <w:t>(</w:t>
      </w:r>
      <w:r w:rsidR="004B14AC">
        <w:t>Robinson, Perryman,</w:t>
      </w:r>
      <w:r w:rsidR="004B14AC">
        <w:t xml:space="preserve"> </w:t>
      </w:r>
      <w:proofErr w:type="spellStart"/>
      <w:r w:rsidR="004B14AC">
        <w:t>Hayday</w:t>
      </w:r>
      <w:proofErr w:type="spellEnd"/>
      <w:r w:rsidR="004B14AC">
        <w:t xml:space="preserve">, </w:t>
      </w:r>
      <w:r w:rsidR="004B14AC">
        <w:t>2004</w:t>
      </w:r>
      <w:r w:rsidR="004B14AC">
        <w:t xml:space="preserve">). </w:t>
      </w:r>
    </w:p>
    <w:p w14:paraId="033573D1" w14:textId="77777777" w:rsidR="00E84E81" w:rsidRDefault="006E1A4C" w:rsidP="00FF438B">
      <w:r>
        <w:t>Additionally</w:t>
      </w:r>
      <w:r w:rsidR="00566705">
        <w:t>,</w:t>
      </w:r>
      <w:r>
        <w:t xml:space="preserve"> the C</w:t>
      </w:r>
      <w:r w:rsidR="0001270A">
        <w:t xml:space="preserve">IPD Employee Outlook Survey (2013) </w:t>
      </w:r>
      <w:r w:rsidR="004A37DE">
        <w:t>found</w:t>
      </w:r>
      <w:r w:rsidR="008356C3">
        <w:t xml:space="preserve"> </w:t>
      </w:r>
      <w:r w:rsidR="00B6548B">
        <w:t>employees are increasingly working</w:t>
      </w:r>
      <w:r w:rsidR="00282087">
        <w:t xml:space="preserve"> to a</w:t>
      </w:r>
      <w:r w:rsidR="00B6548B">
        <w:t xml:space="preserve"> later </w:t>
      </w:r>
      <w:r w:rsidR="00282087">
        <w:t xml:space="preserve">age </w:t>
      </w:r>
      <w:r w:rsidR="00B6548B">
        <w:t xml:space="preserve">than current trends where 26% of respondents </w:t>
      </w:r>
      <w:r w:rsidR="00282087">
        <w:t xml:space="preserve">see continuing to work enhances their </w:t>
      </w:r>
      <w:r w:rsidR="00282087">
        <w:lastRenderedPageBreak/>
        <w:t>personal wellbeing</w:t>
      </w:r>
      <w:r w:rsidR="00614237">
        <w:t xml:space="preserve">, highlighting the importance of considering </w:t>
      </w:r>
      <w:r w:rsidR="009A10EA">
        <w:t xml:space="preserve">employee </w:t>
      </w:r>
      <w:r w:rsidR="00614237">
        <w:t xml:space="preserve">wellbeing </w:t>
      </w:r>
      <w:r w:rsidR="009A10EA">
        <w:t>in the workplace.</w:t>
      </w:r>
    </w:p>
    <w:p w14:paraId="31522F57" w14:textId="402DE784" w:rsidR="00E40DEF" w:rsidRDefault="004746A9" w:rsidP="008D53B6">
      <w:r>
        <w:t>Furthermore,</w:t>
      </w:r>
      <w:r w:rsidR="00E84E81">
        <w:t xml:space="preserve"> with vacancies at its highest in the UK</w:t>
      </w:r>
      <w:r>
        <w:t xml:space="preserve"> </w:t>
      </w:r>
      <w:r w:rsidR="00274FD8">
        <w:t xml:space="preserve">organisations are now increasing their focus on improving pay incentives particularly within the private sector </w:t>
      </w:r>
      <w:r w:rsidR="002429B2">
        <w:t xml:space="preserve">to increase retention and engagement levels. The CIPD Labour Market Outlook (2021) report showed </w:t>
      </w:r>
      <w:r w:rsidR="00955512">
        <w:t>an increase in pay from 2.2% to 2.5%</w:t>
      </w:r>
      <w:r w:rsidR="006646BF">
        <w:t xml:space="preserve">, with 47% of </w:t>
      </w:r>
      <w:r w:rsidR="00E84E81">
        <w:t>organisations</w:t>
      </w:r>
      <w:r w:rsidR="006646BF">
        <w:t xml:space="preserve"> increasing wages, 44% focussing on upskilling their current staff and </w:t>
      </w:r>
      <w:r w:rsidR="00E84E81">
        <w:t>20% improving job quality</w:t>
      </w:r>
      <w:r w:rsidR="00E673F5">
        <w:t xml:space="preserve"> (CIPD, 2021</w:t>
      </w:r>
      <w:r w:rsidR="00503660">
        <w:t>c</w:t>
      </w:r>
      <w:r w:rsidR="00E673F5">
        <w:t>).</w:t>
      </w:r>
    </w:p>
    <w:p w14:paraId="51EC5271" w14:textId="78C5CBCE" w:rsidR="008D53B6" w:rsidRDefault="008D53B6" w:rsidP="008D53B6">
      <w:pPr>
        <w:rPr>
          <w:b/>
          <w:bCs/>
        </w:rPr>
      </w:pPr>
      <w:r>
        <w:rPr>
          <w:b/>
          <w:bCs/>
        </w:rPr>
        <w:t xml:space="preserve">The future for employee engagement </w:t>
      </w:r>
    </w:p>
    <w:p w14:paraId="53006A36" w14:textId="6F1C526F" w:rsidR="00BF40F5" w:rsidRDefault="00627739" w:rsidP="008D53B6">
      <w:r>
        <w:t>In conclusion</w:t>
      </w:r>
      <w:r w:rsidR="00247C2A">
        <w:t xml:space="preserve">, organisations need to analysis and incorporate current key trends in order to retain, engage and </w:t>
      </w:r>
      <w:r w:rsidR="00B2421A">
        <w:t xml:space="preserve">motivate their employees into their strategy. </w:t>
      </w:r>
      <w:r w:rsidR="007B769A">
        <w:t xml:space="preserve">Based on key trends </w:t>
      </w:r>
      <w:r w:rsidR="00B82698">
        <w:t>following the pandemic</w:t>
      </w:r>
      <w:r w:rsidR="001542D0">
        <w:t xml:space="preserve"> it is now important </w:t>
      </w:r>
      <w:r w:rsidR="00AD4035">
        <w:t>employees shift their focus to improving</w:t>
      </w:r>
      <w:r w:rsidR="00B82698">
        <w:t xml:space="preserve"> wellbeing, high stress and burnout,</w:t>
      </w:r>
      <w:r w:rsidR="00AD4035">
        <w:t xml:space="preserve"> </w:t>
      </w:r>
      <w:r w:rsidR="00B82698">
        <w:t>work-life balance</w:t>
      </w:r>
      <w:r w:rsidR="00AD4035">
        <w:t xml:space="preserve">, and remote/hybrid working </w:t>
      </w:r>
      <w:r w:rsidR="001A10E5">
        <w:t xml:space="preserve">if they want to retain and build high engaged and performing </w:t>
      </w:r>
      <w:r w:rsidR="003D0EEB">
        <w:t>colleagues</w:t>
      </w:r>
      <w:r w:rsidR="00F62B9B">
        <w:t xml:space="preserve"> (CIPD, 2021</w:t>
      </w:r>
      <w:r w:rsidR="00503660">
        <w:t>d</w:t>
      </w:r>
      <w:r w:rsidR="00F62B9B">
        <w:t xml:space="preserve">). </w:t>
      </w:r>
    </w:p>
    <w:p w14:paraId="4C0D19C3" w14:textId="0E259637" w:rsidR="008D53B6" w:rsidRDefault="001C21B2" w:rsidP="008D53B6">
      <w:r>
        <w:t>Additionally, with a growing workforce of multi-generation</w:t>
      </w:r>
      <w:r w:rsidR="00D454A3">
        <w:t>s better work life balance is becoming increasingly important with 92% stating flexibility is a main factor to</w:t>
      </w:r>
      <w:r w:rsidR="00BF40F5">
        <w:t xml:space="preserve"> selecting employers </w:t>
      </w:r>
      <w:r w:rsidR="00BF40F5">
        <w:t xml:space="preserve">(Engage for Success, 2021). </w:t>
      </w:r>
    </w:p>
    <w:p w14:paraId="59891543" w14:textId="5CA315BB" w:rsidR="009C65E3" w:rsidRDefault="009C65E3" w:rsidP="008D53B6">
      <w:r>
        <w:t xml:space="preserve">Further research shows employees between 40-50 have the highest workplace stress and </w:t>
      </w:r>
      <w:r w:rsidR="00B51CE2">
        <w:t>find it difficult to balance home and work life</w:t>
      </w:r>
      <w:r w:rsidR="001C21B2">
        <w:t xml:space="preserve">, </w:t>
      </w:r>
      <w:r w:rsidR="00B51CE2">
        <w:t xml:space="preserve">indicating attention to family friendly policies could increase engagement of people within these age groups. </w:t>
      </w:r>
    </w:p>
    <w:p w14:paraId="51BB7063" w14:textId="31D5F423" w:rsidR="007F0C0A" w:rsidRPr="00627739" w:rsidRDefault="007F0C0A" w:rsidP="008D53B6">
      <w:r>
        <w:t xml:space="preserve">In </w:t>
      </w:r>
      <w:r w:rsidR="00EC3CB3">
        <w:t xml:space="preserve">the current uncertainty of change there is arguably </w:t>
      </w:r>
      <w:r w:rsidR="002D1C04">
        <w:t>a</w:t>
      </w:r>
      <w:r w:rsidR="00EC3CB3">
        <w:t xml:space="preserve"> need </w:t>
      </w:r>
      <w:r w:rsidR="002D1C04">
        <w:t>for employee engagement now more than ever</w:t>
      </w:r>
      <w:r w:rsidR="008C533F">
        <w:t xml:space="preserve">. Driven by high unemployment </w:t>
      </w:r>
      <w:r w:rsidR="00A3559C">
        <w:t xml:space="preserve">and </w:t>
      </w:r>
      <w:r w:rsidR="00740027">
        <w:t>uncertainty of the future, m</w:t>
      </w:r>
      <w:r w:rsidR="002D1C04">
        <w:t xml:space="preserve">anagers have a </w:t>
      </w:r>
      <w:r w:rsidR="00DF01FA">
        <w:t>key role in creating and sustaining engagement, whilst HR need to incorporate flexibility and wellbeing into their strategy</w:t>
      </w:r>
      <w:r w:rsidR="00E673F8">
        <w:t xml:space="preserve"> approach making it their top priority to rebuild</w:t>
      </w:r>
      <w:r w:rsidR="00740027">
        <w:t xml:space="preserve"> (Johns and Ellis, 2016). </w:t>
      </w:r>
    </w:p>
    <w:p w14:paraId="6E6DEF41" w14:textId="77777777" w:rsidR="00627739" w:rsidRDefault="00627739" w:rsidP="00627739">
      <w:pPr>
        <w:rPr>
          <w:rFonts w:eastAsia="Arial" w:cstheme="minorHAnsi"/>
          <w:sz w:val="24"/>
          <w:szCs w:val="24"/>
        </w:rPr>
      </w:pPr>
    </w:p>
    <w:p w14:paraId="0C03D069" w14:textId="095F0CA9" w:rsidR="00E40DEF" w:rsidRDefault="00E40DEF"/>
    <w:p w14:paraId="6DF864C6" w14:textId="77777777" w:rsidR="004C1899" w:rsidRDefault="004C1899" w:rsidP="00524FB5">
      <w:pPr>
        <w:jc w:val="center"/>
        <w:rPr>
          <w:b/>
          <w:bCs/>
        </w:rPr>
      </w:pPr>
    </w:p>
    <w:p w14:paraId="463D4EAF" w14:textId="77777777" w:rsidR="004C32D4" w:rsidRDefault="004C32D4" w:rsidP="00524FB5">
      <w:pPr>
        <w:jc w:val="center"/>
        <w:rPr>
          <w:b/>
          <w:bCs/>
        </w:rPr>
      </w:pPr>
    </w:p>
    <w:p w14:paraId="5DC2313C" w14:textId="77777777" w:rsidR="004C32D4" w:rsidRDefault="004C32D4" w:rsidP="00524FB5">
      <w:pPr>
        <w:jc w:val="center"/>
        <w:rPr>
          <w:b/>
          <w:bCs/>
        </w:rPr>
      </w:pPr>
    </w:p>
    <w:p w14:paraId="25792427" w14:textId="77777777" w:rsidR="004C1899" w:rsidRDefault="004C1899" w:rsidP="00524FB5">
      <w:pPr>
        <w:jc w:val="center"/>
        <w:rPr>
          <w:b/>
          <w:bCs/>
        </w:rPr>
      </w:pPr>
    </w:p>
    <w:p w14:paraId="6A887F5A" w14:textId="77777777" w:rsidR="004C1899" w:rsidRDefault="004C1899" w:rsidP="00524FB5">
      <w:pPr>
        <w:jc w:val="center"/>
        <w:rPr>
          <w:b/>
          <w:bCs/>
        </w:rPr>
      </w:pPr>
    </w:p>
    <w:p w14:paraId="0A3139C1" w14:textId="77777777" w:rsidR="004C1899" w:rsidRDefault="004C1899" w:rsidP="00524FB5">
      <w:pPr>
        <w:jc w:val="center"/>
        <w:rPr>
          <w:b/>
          <w:bCs/>
        </w:rPr>
      </w:pPr>
    </w:p>
    <w:p w14:paraId="0471C3B9" w14:textId="77777777" w:rsidR="004C1899" w:rsidRDefault="004C1899" w:rsidP="00524FB5">
      <w:pPr>
        <w:jc w:val="center"/>
        <w:rPr>
          <w:b/>
          <w:bCs/>
        </w:rPr>
      </w:pPr>
    </w:p>
    <w:p w14:paraId="6FD6E5DD" w14:textId="77777777" w:rsidR="004C1899" w:rsidRDefault="004C1899" w:rsidP="00524FB5">
      <w:pPr>
        <w:jc w:val="center"/>
        <w:rPr>
          <w:b/>
          <w:bCs/>
        </w:rPr>
      </w:pPr>
    </w:p>
    <w:p w14:paraId="2519806B" w14:textId="77777777" w:rsidR="004C1899" w:rsidRDefault="004C1899" w:rsidP="00524FB5">
      <w:pPr>
        <w:jc w:val="center"/>
        <w:rPr>
          <w:b/>
          <w:bCs/>
        </w:rPr>
      </w:pPr>
    </w:p>
    <w:p w14:paraId="2F2E3A87" w14:textId="77777777" w:rsidR="004C1899" w:rsidRDefault="004C1899" w:rsidP="00524FB5">
      <w:pPr>
        <w:jc w:val="center"/>
        <w:rPr>
          <w:b/>
          <w:bCs/>
        </w:rPr>
      </w:pPr>
    </w:p>
    <w:p w14:paraId="5048A948" w14:textId="77777777" w:rsidR="004C1899" w:rsidRDefault="004C1899" w:rsidP="00524FB5">
      <w:pPr>
        <w:jc w:val="center"/>
        <w:rPr>
          <w:b/>
          <w:bCs/>
        </w:rPr>
      </w:pPr>
    </w:p>
    <w:p w14:paraId="6205E2FB" w14:textId="77777777" w:rsidR="004C1899" w:rsidRDefault="004C1899" w:rsidP="00524FB5">
      <w:pPr>
        <w:jc w:val="center"/>
        <w:rPr>
          <w:b/>
          <w:bCs/>
        </w:rPr>
      </w:pPr>
    </w:p>
    <w:p w14:paraId="1E7571EF" w14:textId="56003BE0" w:rsidR="00E40DEF" w:rsidRPr="00524FB5" w:rsidRDefault="00D1003C" w:rsidP="00524FB5">
      <w:pPr>
        <w:jc w:val="center"/>
        <w:rPr>
          <w:b/>
          <w:bCs/>
        </w:rPr>
      </w:pPr>
      <w:r w:rsidRPr="00524FB5">
        <w:rPr>
          <w:b/>
          <w:bCs/>
        </w:rPr>
        <w:lastRenderedPageBreak/>
        <w:t>References</w:t>
      </w:r>
    </w:p>
    <w:p w14:paraId="557789C1" w14:textId="2A3058E8" w:rsidR="004C32D4" w:rsidRPr="004D62FF" w:rsidRDefault="004C32D4" w:rsidP="00524FB5">
      <w:r>
        <w:t xml:space="preserve">Bridger, </w:t>
      </w:r>
      <w:r w:rsidR="0046796C">
        <w:t>E. (</w:t>
      </w:r>
      <w:r>
        <w:t>2018</w:t>
      </w:r>
      <w:r w:rsidR="0046796C">
        <w:t xml:space="preserve">). </w:t>
      </w:r>
      <w:r w:rsidR="0046796C">
        <w:rPr>
          <w:i/>
          <w:iCs/>
        </w:rPr>
        <w:t>Employee Engagement</w:t>
      </w:r>
      <w:r w:rsidR="004D62FF">
        <w:rPr>
          <w:i/>
          <w:iCs/>
        </w:rPr>
        <w:t xml:space="preserve">. </w:t>
      </w:r>
      <w:r w:rsidR="004D62FF">
        <w:t>2</w:t>
      </w:r>
      <w:r w:rsidR="004D62FF" w:rsidRPr="004D62FF">
        <w:rPr>
          <w:vertAlign w:val="superscript"/>
        </w:rPr>
        <w:t>nd</w:t>
      </w:r>
      <w:r w:rsidR="004D62FF">
        <w:t xml:space="preserve"> </w:t>
      </w:r>
      <w:proofErr w:type="spellStart"/>
      <w:r w:rsidR="004D62FF">
        <w:t>edn</w:t>
      </w:r>
      <w:proofErr w:type="spellEnd"/>
      <w:r w:rsidR="004D62FF">
        <w:t>. CIPD: LONDON</w:t>
      </w:r>
    </w:p>
    <w:p w14:paraId="40032799" w14:textId="3A75D4F5" w:rsidR="00C30907" w:rsidRDefault="00C30907" w:rsidP="00524FB5">
      <w:r>
        <w:t xml:space="preserve">Buckingham Shum, S. (2012). </w:t>
      </w:r>
      <w:r w:rsidR="00524FB5" w:rsidRPr="00524FB5">
        <w:rPr>
          <w:i/>
          <w:iCs/>
        </w:rPr>
        <w:t>UNESCOIITE</w:t>
      </w:r>
      <w:r w:rsidR="00524FB5" w:rsidRPr="00524FB5">
        <w:rPr>
          <w:i/>
          <w:iCs/>
        </w:rPr>
        <w:t xml:space="preserve"> </w:t>
      </w:r>
      <w:r w:rsidR="00524FB5" w:rsidRPr="00524FB5">
        <w:rPr>
          <w:i/>
          <w:iCs/>
        </w:rPr>
        <w:t>POLICY</w:t>
      </w:r>
      <w:r w:rsidR="00524FB5" w:rsidRPr="00524FB5">
        <w:rPr>
          <w:i/>
          <w:iCs/>
        </w:rPr>
        <w:t xml:space="preserve"> </w:t>
      </w:r>
      <w:r w:rsidR="00524FB5" w:rsidRPr="00524FB5">
        <w:rPr>
          <w:i/>
          <w:iCs/>
        </w:rPr>
        <w:t>BRIEFING</w:t>
      </w:r>
      <w:r w:rsidR="00524FB5" w:rsidRPr="00524FB5">
        <w:rPr>
          <w:i/>
          <w:iCs/>
        </w:rPr>
        <w:t xml:space="preserve"> </w:t>
      </w:r>
      <w:r w:rsidR="00524FB5" w:rsidRPr="00524FB5">
        <w:rPr>
          <w:i/>
          <w:iCs/>
        </w:rPr>
        <w:t>LEARNING</w:t>
      </w:r>
      <w:r w:rsidR="00524FB5" w:rsidRPr="00524FB5">
        <w:rPr>
          <w:i/>
          <w:iCs/>
        </w:rPr>
        <w:t xml:space="preserve"> </w:t>
      </w:r>
      <w:r w:rsidR="00524FB5" w:rsidRPr="00524FB5">
        <w:rPr>
          <w:i/>
          <w:iCs/>
        </w:rPr>
        <w:t>ANALYTICS</w:t>
      </w:r>
      <w:r w:rsidR="00524FB5" w:rsidRPr="00524FB5">
        <w:rPr>
          <w:i/>
          <w:iCs/>
        </w:rPr>
        <w:t>.</w:t>
      </w:r>
      <w:r w:rsidR="00524FB5">
        <w:t xml:space="preserve"> </w:t>
      </w:r>
      <w:r>
        <w:t xml:space="preserve">Available at: </w:t>
      </w:r>
      <w:hyperlink r:id="rId5" w:history="1">
        <w:r w:rsidR="001732C4">
          <w:rPr>
            <w:rStyle w:val="Hyperlink"/>
            <w:rFonts w:eastAsia="Times New Roman"/>
          </w:rPr>
          <w:t>http://simon.buckinghamshum.net/wp-content/uploads/2012/10/UNESCOIITE-LearningAnalytics.v4.pdf</w:t>
        </w:r>
      </w:hyperlink>
      <w:r w:rsidR="00D71EF8">
        <w:rPr>
          <w:rFonts w:eastAsia="Times New Roman"/>
        </w:rPr>
        <w:t xml:space="preserve"> [Accessed 10/2/2022]</w:t>
      </w:r>
    </w:p>
    <w:p w14:paraId="32297620" w14:textId="28740E64" w:rsidR="00324AA8" w:rsidRDefault="00324AA8">
      <w:r>
        <w:t xml:space="preserve">CIPD, (2012). </w:t>
      </w:r>
      <w:r w:rsidR="007D7DC5" w:rsidRPr="007D7DC5">
        <w:rPr>
          <w:i/>
          <w:iCs/>
        </w:rPr>
        <w:t>Emotional or transactional engagement – does it matter?</w:t>
      </w:r>
      <w:r w:rsidR="007D7DC5">
        <w:t xml:space="preserve"> Available at: </w:t>
      </w:r>
      <w:hyperlink r:id="rId6" w:history="1">
        <w:r w:rsidR="007D7DC5" w:rsidRPr="001263C1">
          <w:rPr>
            <w:rStyle w:val="Hyperlink"/>
          </w:rPr>
          <w:t>http://www.digitalopinion.co.uk/files/documents/Emotional_or_Transactional_Engagement.pdf#:~:text=Emotional%20engagement%20is%20more%20deep-%20seated%20than%20transactional,job%</w:t>
        </w:r>
        <w:r w:rsidR="007D7DC5" w:rsidRPr="001263C1">
          <w:rPr>
            <w:rStyle w:val="Hyperlink"/>
          </w:rPr>
          <w:t>2</w:t>
        </w:r>
        <w:r w:rsidR="007D7DC5" w:rsidRPr="001263C1">
          <w:rPr>
            <w:rStyle w:val="Hyperlink"/>
          </w:rPr>
          <w:t>0and%20work%20with%20valued%20colleagues%20%28CIPD%202011b%29</w:t>
        </w:r>
      </w:hyperlink>
      <w:r w:rsidRPr="00324AA8">
        <w:t>.</w:t>
      </w:r>
      <w:r>
        <w:t xml:space="preserve"> </w:t>
      </w:r>
      <w:r w:rsidR="009442F5">
        <w:t>[Accessed 6/2/2022]</w:t>
      </w:r>
    </w:p>
    <w:p w14:paraId="5C6444FE" w14:textId="43400AF7" w:rsidR="000910A9" w:rsidRDefault="000910A9">
      <w:r>
        <w:t>CIPD, (2012b)</w:t>
      </w:r>
      <w:r w:rsidR="00667E20">
        <w:t xml:space="preserve">. </w:t>
      </w:r>
      <w:r w:rsidR="00667E20" w:rsidRPr="00667E20">
        <w:rPr>
          <w:i/>
          <w:iCs/>
        </w:rPr>
        <w:t>Managing for sustainable employee engagement</w:t>
      </w:r>
      <w:r w:rsidR="00667E20">
        <w:t>. Available at:</w:t>
      </w:r>
      <w:r>
        <w:t xml:space="preserve"> </w:t>
      </w:r>
      <w:hyperlink r:id="rId7" w:anchor=":~:text=To%20support%20managers%20and%20organisations%20in%20achieving%20sustainable,a%20combined%20%E2%80%98managing%20for%20sustainable%20employee%20engagement%E2%80%99%20framework" w:history="1">
        <w:r w:rsidRPr="00C50A05">
          <w:rPr>
            <w:rStyle w:val="Hyperlink"/>
          </w:rPr>
          <w:t>https://www.cipd.co.uk/Images/managing-for-sustainable-employee-engagement-guidance-for-employers-and-</w:t>
        </w:r>
        <w:r w:rsidRPr="00C50A05">
          <w:rPr>
            <w:rStyle w:val="Hyperlink"/>
          </w:rPr>
          <w:t>m</w:t>
        </w:r>
        <w:r w:rsidRPr="00C50A05">
          <w:rPr>
            <w:rStyle w:val="Hyperlink"/>
          </w:rPr>
          <w:t>anagers_2012_tcm18-10753.pdf#:~:text=To%20support%20managers%20and%20organisations%20in%20achieving%20sustainable,a%20combined%20%E2%80%98managing%20for%20sustainable%20employee%20engagement%E2%80%99%20framework</w:t>
        </w:r>
      </w:hyperlink>
      <w:r w:rsidRPr="000910A9">
        <w:t>.</w:t>
      </w:r>
      <w:r>
        <w:t xml:space="preserve"> </w:t>
      </w:r>
      <w:r w:rsidR="00624FC7">
        <w:t xml:space="preserve">[Accessed </w:t>
      </w:r>
      <w:r w:rsidR="003073D8">
        <w:t>8/2/2022]</w:t>
      </w:r>
    </w:p>
    <w:p w14:paraId="225B4EBC" w14:textId="2DA230C3" w:rsidR="00503B6A" w:rsidRDefault="00503B6A">
      <w:r>
        <w:t>CIPD, (2013)</w:t>
      </w:r>
      <w:r w:rsidR="0058727D">
        <w:t xml:space="preserve">. </w:t>
      </w:r>
      <w:r w:rsidR="0058727D">
        <w:rPr>
          <w:i/>
          <w:iCs/>
        </w:rPr>
        <w:t>Employee Outlook.</w:t>
      </w:r>
      <w:r>
        <w:t xml:space="preserve"> Available at: </w:t>
      </w:r>
      <w:hyperlink r:id="rId8" w:history="1">
        <w:r w:rsidRPr="001263C1">
          <w:rPr>
            <w:rStyle w:val="Hyperlink"/>
          </w:rPr>
          <w:t>https://engageforsuccess.org/wp-content/uploads/2015/10/employee-outlook_2013-autumn.pdf</w:t>
        </w:r>
      </w:hyperlink>
      <w:r>
        <w:t xml:space="preserve"> [Accessed 11/2/2022]</w:t>
      </w:r>
    </w:p>
    <w:p w14:paraId="1ADF293A" w14:textId="69B070EC" w:rsidR="000E6DB6" w:rsidRDefault="000E6DB6">
      <w:r>
        <w:t>CIPD, (2017</w:t>
      </w:r>
      <w:r w:rsidRPr="007470E4">
        <w:rPr>
          <w:i/>
          <w:iCs/>
        </w:rPr>
        <w:t>).</w:t>
      </w:r>
      <w:r w:rsidR="007470E4" w:rsidRPr="007470E4">
        <w:rPr>
          <w:i/>
          <w:iCs/>
        </w:rPr>
        <w:t xml:space="preserve"> </w:t>
      </w:r>
      <w:r w:rsidR="007470E4" w:rsidRPr="007470E4">
        <w:rPr>
          <w:i/>
          <w:iCs/>
        </w:rPr>
        <w:t xml:space="preserve">Developing managers to manage sustainable employee engagement, </w:t>
      </w:r>
      <w:proofErr w:type="gramStart"/>
      <w:r w:rsidR="007470E4" w:rsidRPr="007470E4">
        <w:rPr>
          <w:i/>
          <w:iCs/>
        </w:rPr>
        <w:t>health</w:t>
      </w:r>
      <w:proofErr w:type="gramEnd"/>
      <w:r w:rsidR="007470E4" w:rsidRPr="007470E4">
        <w:rPr>
          <w:i/>
          <w:iCs/>
        </w:rPr>
        <w:t xml:space="preserve"> and well-bein</w:t>
      </w:r>
      <w:r w:rsidR="007470E4" w:rsidRPr="007470E4">
        <w:rPr>
          <w:i/>
          <w:iCs/>
        </w:rPr>
        <w:t xml:space="preserve">g. </w:t>
      </w:r>
      <w:r w:rsidR="007470E4">
        <w:t>Available at:</w:t>
      </w:r>
      <w:r>
        <w:t xml:space="preserve"> </w:t>
      </w:r>
      <w:hyperlink r:id="rId9" w:history="1">
        <w:r w:rsidR="000C6C14" w:rsidRPr="001263C1">
          <w:rPr>
            <w:rStyle w:val="Hyperlink"/>
          </w:rPr>
          <w:t>https://www.cipd.co.uk/Images/developing-managers-to-manage-sustainable-employee-engagement-health-and-well-being_2017_tcm18-18364.pd</w:t>
        </w:r>
        <w:r w:rsidR="000C6C14" w:rsidRPr="001263C1">
          <w:rPr>
            <w:rStyle w:val="Hyperlink"/>
          </w:rPr>
          <w:t>f</w:t>
        </w:r>
      </w:hyperlink>
      <w:r w:rsidR="000C6C14">
        <w:t xml:space="preserve"> </w:t>
      </w:r>
      <w:r>
        <w:t>[Accessed 6/2/2022]</w:t>
      </w:r>
    </w:p>
    <w:p w14:paraId="1EA87E6D" w14:textId="594B54D6" w:rsidR="002E158D" w:rsidRDefault="002E158D">
      <w:r>
        <w:t xml:space="preserve">CIPD, (2018). </w:t>
      </w:r>
      <w:r w:rsidR="00EE4C11" w:rsidRPr="00EE4C11">
        <w:rPr>
          <w:i/>
          <w:iCs/>
        </w:rPr>
        <w:t>CIPD Applied Research Conference 2018 The shifting landscape of work and working lives</w:t>
      </w:r>
      <w:r w:rsidR="00EE4C11" w:rsidRPr="00EE4C11">
        <w:rPr>
          <w:i/>
          <w:iCs/>
        </w:rPr>
        <w:t>.</w:t>
      </w:r>
      <w:r w:rsidR="00EE4C11">
        <w:t xml:space="preserve"> </w:t>
      </w:r>
      <w:r>
        <w:t xml:space="preserve">Available at: </w:t>
      </w:r>
      <w:hyperlink r:id="rId10" w:history="1">
        <w:r w:rsidRPr="001263C1">
          <w:rPr>
            <w:rStyle w:val="Hyperlink"/>
          </w:rPr>
          <w:t>https://w</w:t>
        </w:r>
        <w:r w:rsidRPr="001263C1">
          <w:rPr>
            <w:rStyle w:val="Hyperlink"/>
          </w:rPr>
          <w:t>w</w:t>
        </w:r>
        <w:r w:rsidRPr="001263C1">
          <w:rPr>
            <w:rStyle w:val="Hyperlink"/>
          </w:rPr>
          <w:t>w.cipd.co.uk/Images/employee-engagement_tcm18-59083.pdf</w:t>
        </w:r>
      </w:hyperlink>
      <w:r>
        <w:t xml:space="preserve"> [Accessed 11/02/2022]</w:t>
      </w:r>
    </w:p>
    <w:p w14:paraId="03FA9030" w14:textId="4804E063" w:rsidR="00506917" w:rsidRDefault="00506917">
      <w:r>
        <w:t>CIPD, (2019)</w:t>
      </w:r>
      <w:r w:rsidR="00915A6C">
        <w:t xml:space="preserve">. </w:t>
      </w:r>
      <w:r w:rsidR="00915A6C" w:rsidRPr="00915A6C">
        <w:rPr>
          <w:i/>
          <w:iCs/>
        </w:rPr>
        <w:t>UK Working Lives</w:t>
      </w:r>
      <w:r w:rsidR="00915A6C">
        <w:rPr>
          <w:i/>
          <w:iCs/>
        </w:rPr>
        <w:t xml:space="preserve">. </w:t>
      </w:r>
      <w:r w:rsidR="00915A6C">
        <w:t>Available at:</w:t>
      </w:r>
      <w:r>
        <w:t xml:space="preserve"> </w:t>
      </w:r>
      <w:hyperlink r:id="rId11" w:history="1">
        <w:r w:rsidRPr="00C50A05">
          <w:rPr>
            <w:rStyle w:val="Hyperlink"/>
          </w:rPr>
          <w:t>https://www.cipd.co.uk/Images/uk-wo</w:t>
        </w:r>
        <w:r w:rsidRPr="00C50A05">
          <w:rPr>
            <w:rStyle w:val="Hyperlink"/>
          </w:rPr>
          <w:t>r</w:t>
        </w:r>
        <w:r w:rsidRPr="00C50A05">
          <w:rPr>
            <w:rStyle w:val="Hyperlink"/>
          </w:rPr>
          <w:t>king-lives-summary-2019-v1_tcm18-58584.pdf</w:t>
        </w:r>
      </w:hyperlink>
      <w:r>
        <w:t xml:space="preserve"> </w:t>
      </w:r>
      <w:r w:rsidR="00915A6C">
        <w:t xml:space="preserve">[Accessed </w:t>
      </w:r>
      <w:r w:rsidR="006C47FB">
        <w:t>7/2/2022]</w:t>
      </w:r>
    </w:p>
    <w:p w14:paraId="1C8D6B60" w14:textId="596C6D67" w:rsidR="00D1003C" w:rsidRDefault="00D1003C">
      <w:r>
        <w:t>CIPD, (2021)</w:t>
      </w:r>
      <w:r w:rsidR="00503660">
        <w:t xml:space="preserve">. </w:t>
      </w:r>
      <w:r w:rsidR="00503660">
        <w:rPr>
          <w:i/>
        </w:rPr>
        <w:t xml:space="preserve">Employee engagement and motivation. </w:t>
      </w:r>
      <w:r w:rsidR="00503660">
        <w:rPr>
          <w:iCs/>
        </w:rPr>
        <w:t xml:space="preserve">Available at: </w:t>
      </w:r>
      <w:hyperlink r:id="rId12" w:history="1">
        <w:r w:rsidR="00503660" w:rsidRPr="001263C1">
          <w:rPr>
            <w:rStyle w:val="Hyperlink"/>
          </w:rPr>
          <w:t>https://www.cipd.co.uk/knowledge/fundamentals/relations/engagement/factsheet</w:t>
        </w:r>
      </w:hyperlink>
      <w:r w:rsidR="00503660">
        <w:t xml:space="preserve"> [Accessed 9/2/2022]</w:t>
      </w:r>
    </w:p>
    <w:p w14:paraId="3461A9A4" w14:textId="2246386E" w:rsidR="00D1003C" w:rsidRDefault="00D1003C">
      <w:r>
        <w:t>CIPD, (2021b).</w:t>
      </w:r>
      <w:r w:rsidR="00C776B1" w:rsidRPr="00C776B1">
        <w:t xml:space="preserve"> </w:t>
      </w:r>
      <w:r w:rsidR="00C776B1" w:rsidRPr="00C776B1">
        <w:rPr>
          <w:i/>
          <w:iCs/>
        </w:rPr>
        <w:t>EMPLOYEE ENGAGEMENT</w:t>
      </w:r>
      <w:r w:rsidR="00C776B1">
        <w:t>. Available at:</w:t>
      </w:r>
      <w:r>
        <w:t xml:space="preserve"> </w:t>
      </w:r>
      <w:hyperlink r:id="rId13" w:history="1">
        <w:r w:rsidRPr="00C50A05">
          <w:rPr>
            <w:rStyle w:val="Hyperlink"/>
          </w:rPr>
          <w:t>https://www.cipd.co.uk/</w:t>
        </w:r>
        <w:r w:rsidRPr="00C50A05">
          <w:rPr>
            <w:rStyle w:val="Hyperlink"/>
          </w:rPr>
          <w:t>I</w:t>
        </w:r>
        <w:r w:rsidRPr="00C50A05">
          <w:rPr>
            <w:rStyle w:val="Hyperlink"/>
          </w:rPr>
          <w:t>mages/employee-engagement-discussion-report_tcm18-89598.pdf</w:t>
        </w:r>
      </w:hyperlink>
      <w:r>
        <w:t xml:space="preserve"> </w:t>
      </w:r>
      <w:r w:rsidR="00C776B1">
        <w:t>[Accessed 9/2/2022]</w:t>
      </w:r>
    </w:p>
    <w:p w14:paraId="76313400" w14:textId="3B60E7C7" w:rsidR="00E673F5" w:rsidRDefault="00E673F5">
      <w:r>
        <w:t>CIPD, (2021</w:t>
      </w:r>
      <w:r w:rsidR="00503660">
        <w:t>c</w:t>
      </w:r>
      <w:r>
        <w:t xml:space="preserve">). </w:t>
      </w:r>
      <w:r w:rsidR="009D1FA0">
        <w:rPr>
          <w:i/>
          <w:iCs/>
        </w:rPr>
        <w:t xml:space="preserve">Labour Market Outlook. </w:t>
      </w:r>
      <w:r w:rsidR="009D1FA0">
        <w:rPr>
          <w:iCs/>
        </w:rPr>
        <w:t xml:space="preserve">Available at: </w:t>
      </w:r>
      <w:hyperlink r:id="rId14" w:history="1">
        <w:r w:rsidR="009D1FA0" w:rsidRPr="001263C1">
          <w:rPr>
            <w:rStyle w:val="Hyperlink"/>
          </w:rPr>
          <w:t>https://www.cipd.co.uk/Images/labour-market-outlook-winter-2021-22_tcm18-106241.pdf</w:t>
        </w:r>
      </w:hyperlink>
      <w:r>
        <w:t xml:space="preserve"> [Accessed 10/2/2022]</w:t>
      </w:r>
    </w:p>
    <w:p w14:paraId="05A9DDCC" w14:textId="50C0B046" w:rsidR="00002D82" w:rsidRDefault="00002D82">
      <w:r>
        <w:t>CIPD, (2021</w:t>
      </w:r>
      <w:r w:rsidR="00503660">
        <w:t>d</w:t>
      </w:r>
      <w:r>
        <w:t xml:space="preserve">). </w:t>
      </w:r>
      <w:r w:rsidR="00F62B9B" w:rsidRPr="00F62B9B">
        <w:rPr>
          <w:i/>
          <w:iCs/>
        </w:rPr>
        <w:t>CIPD Good Work Index 2021</w:t>
      </w:r>
      <w:r w:rsidR="00F62B9B">
        <w:t xml:space="preserve">. Available at: </w:t>
      </w:r>
      <w:hyperlink r:id="rId15" w:history="1">
        <w:r w:rsidR="00F62B9B" w:rsidRPr="001263C1">
          <w:rPr>
            <w:rStyle w:val="Hyperlink"/>
          </w:rPr>
          <w:t>https://www.cipd.co.uk/Images/good-work-index-survey-report-2021-1_tcm18-96105.pdf</w:t>
        </w:r>
      </w:hyperlink>
      <w:r>
        <w:t xml:space="preserve"> [Accessed 10/2/2022]</w:t>
      </w:r>
    </w:p>
    <w:p w14:paraId="1BF0DE99" w14:textId="5FA22158" w:rsidR="00AD5AC3" w:rsidRDefault="00AD5AC3">
      <w:r>
        <w:t>CMI, (2015).</w:t>
      </w:r>
      <w:r w:rsidR="004D7212" w:rsidRPr="004D7212">
        <w:t xml:space="preserve"> </w:t>
      </w:r>
      <w:r w:rsidR="004D7212" w:rsidRPr="004D7212">
        <w:rPr>
          <w:i/>
          <w:iCs/>
        </w:rPr>
        <w:t>UNDERSTANDING EMPLOYEE ENGAGEMENT</w:t>
      </w:r>
      <w:r w:rsidR="004D7212">
        <w:rPr>
          <w:i/>
          <w:iCs/>
        </w:rPr>
        <w:t xml:space="preserve">. </w:t>
      </w:r>
      <w:r w:rsidR="004D7212">
        <w:rPr>
          <w:iCs/>
        </w:rPr>
        <w:t>Available at:</w:t>
      </w:r>
      <w:r>
        <w:t xml:space="preserve"> </w:t>
      </w:r>
      <w:hyperlink r:id="rId16" w:history="1">
        <w:r w:rsidRPr="00C50A05">
          <w:rPr>
            <w:rStyle w:val="Hyperlink"/>
          </w:rPr>
          <w:t>https://www.m</w:t>
        </w:r>
        <w:r w:rsidRPr="00C50A05">
          <w:rPr>
            <w:rStyle w:val="Hyperlink"/>
          </w:rPr>
          <w:t>a</w:t>
        </w:r>
        <w:r w:rsidRPr="00C50A05">
          <w:rPr>
            <w:rStyle w:val="Hyperlink"/>
          </w:rPr>
          <w:t>nagers.org.uk/~/media/Files/Checklists/CHK-245-Understanding_employee_engagement.pdf</w:t>
        </w:r>
      </w:hyperlink>
      <w:r>
        <w:t xml:space="preserve"> </w:t>
      </w:r>
      <w:r w:rsidR="004D7212">
        <w:t>[Accessed 6/2/2022]</w:t>
      </w:r>
    </w:p>
    <w:p w14:paraId="1CC6BB41" w14:textId="23E96836" w:rsidR="006A14F3" w:rsidRDefault="006A14F3" w:rsidP="006A14F3">
      <w:r>
        <w:t>Cook, N. (2011).</w:t>
      </w:r>
      <w:r w:rsidR="00223809">
        <w:t xml:space="preserve"> </w:t>
      </w:r>
      <w:r w:rsidR="00223809" w:rsidRPr="00223809">
        <w:rPr>
          <w:i/>
          <w:iCs/>
        </w:rPr>
        <w:t>Employee Engagement to Commitment</w:t>
      </w:r>
      <w:r w:rsidR="00223809">
        <w:t>. Available at:</w:t>
      </w:r>
      <w:r>
        <w:t xml:space="preserve"> </w:t>
      </w:r>
      <w:hyperlink r:id="rId17" w:anchor=":~:text=A%20recent%20report%20by%20the%20Chartered%20Institute%20of,their%20best%20and%20employer%20efforts%20to%20promote%20this" w:history="1">
        <w:r w:rsidRPr="00A946CC">
          <w:rPr>
            <w:rStyle w:val="Hyperlink"/>
          </w:rPr>
          <w:t>http://www.thestairway.co.uk/Articles/employee-engagement-to-</w:t>
        </w:r>
        <w:r w:rsidRPr="00A946CC">
          <w:rPr>
            <w:rStyle w:val="Hyperlink"/>
          </w:rPr>
          <w:lastRenderedPageBreak/>
          <w:t>commitment.html#:~:text=A%20recent%20report%20by%20the%20Chartered%20Institute%20of,their%20best%20and%20employer%20efforts</w:t>
        </w:r>
        <w:r w:rsidRPr="00A946CC">
          <w:rPr>
            <w:rStyle w:val="Hyperlink"/>
          </w:rPr>
          <w:t>%</w:t>
        </w:r>
        <w:r w:rsidRPr="00A946CC">
          <w:rPr>
            <w:rStyle w:val="Hyperlink"/>
          </w:rPr>
          <w:t>20to%20promote%20this</w:t>
        </w:r>
      </w:hyperlink>
      <w:r w:rsidRPr="00A93E58">
        <w:t>.</w:t>
      </w:r>
      <w:r>
        <w:t xml:space="preserve"> </w:t>
      </w:r>
      <w:r w:rsidR="00223809">
        <w:t>[Accessed 6/2/2022]</w:t>
      </w:r>
    </w:p>
    <w:p w14:paraId="7217194B" w14:textId="11BC66C7" w:rsidR="0066458A" w:rsidRDefault="0066458A" w:rsidP="006A14F3">
      <w:r>
        <w:t>Deloitte, (2021).</w:t>
      </w:r>
      <w:r w:rsidR="004E6344">
        <w:t xml:space="preserve"> </w:t>
      </w:r>
      <w:r w:rsidR="004E6344" w:rsidRPr="004E6344">
        <w:rPr>
          <w:i/>
          <w:iCs/>
        </w:rPr>
        <w:t>Becoming irresistible: A new model for employee engagement</w:t>
      </w:r>
      <w:r w:rsidR="004E6344">
        <w:t>. Available at:</w:t>
      </w:r>
      <w:r>
        <w:t xml:space="preserve"> </w:t>
      </w:r>
      <w:hyperlink r:id="rId18" w:history="1">
        <w:r w:rsidRPr="00C50A05">
          <w:rPr>
            <w:rStyle w:val="Hyperlink"/>
          </w:rPr>
          <w:t>https://www2.deloitte.com/us/en/insights/deloitte-review/issue-16/employee-engagement-strate</w:t>
        </w:r>
        <w:r w:rsidRPr="00C50A05">
          <w:rPr>
            <w:rStyle w:val="Hyperlink"/>
          </w:rPr>
          <w:t>g</w:t>
        </w:r>
        <w:r w:rsidRPr="00C50A05">
          <w:rPr>
            <w:rStyle w:val="Hyperlink"/>
          </w:rPr>
          <w:t>ies.html</w:t>
        </w:r>
      </w:hyperlink>
      <w:r>
        <w:t xml:space="preserve"> </w:t>
      </w:r>
      <w:r w:rsidR="00223809">
        <w:t>[Accessed 7/2/2022]</w:t>
      </w:r>
    </w:p>
    <w:p w14:paraId="6E0B2E62" w14:textId="3AE59E3B" w:rsidR="00C866D9" w:rsidRDefault="00C866D9" w:rsidP="006A14F3">
      <w:r>
        <w:t>Deloitte, (2014</w:t>
      </w:r>
      <w:r w:rsidR="000871FE">
        <w:t xml:space="preserve">). </w:t>
      </w:r>
      <w:r w:rsidR="000871FE" w:rsidRPr="000871FE">
        <w:rPr>
          <w:i/>
          <w:iCs/>
        </w:rPr>
        <w:t>Human Capital Trends 2014 survey</w:t>
      </w:r>
      <w:r w:rsidR="000871FE" w:rsidRPr="000871FE">
        <w:rPr>
          <w:i/>
          <w:iCs/>
        </w:rPr>
        <w:t>.</w:t>
      </w:r>
      <w:r w:rsidR="000871FE">
        <w:t xml:space="preserve"> Available at: </w:t>
      </w:r>
      <w:hyperlink r:id="rId19" w:history="1">
        <w:r w:rsidR="000871FE" w:rsidRPr="001263C1">
          <w:rPr>
            <w:rStyle w:val="Hyperlink"/>
          </w:rPr>
          <w:t>https://www2.deloitte.com/us/en/insights/focus/human-capital-trends/2014/human-capital-trends-2014-survey-top-10-findings.html</w:t>
        </w:r>
      </w:hyperlink>
      <w:r w:rsidR="000871FE">
        <w:t xml:space="preserve"> [Accessed 11/2/2022]</w:t>
      </w:r>
    </w:p>
    <w:p w14:paraId="0B26AF1A" w14:textId="71181AE6" w:rsidR="009F5A7C" w:rsidRDefault="009F5A7C" w:rsidP="006A14F3">
      <w:r>
        <w:t xml:space="preserve">Engage for Success, (2021). </w:t>
      </w:r>
      <w:r w:rsidRPr="009F5A7C">
        <w:t>PEOPLE TRENDS – DEMOGRAPHIC CHANGE</w:t>
      </w:r>
      <w:r>
        <w:t xml:space="preserve">. Available at: </w:t>
      </w:r>
      <w:hyperlink r:id="rId20" w:history="1">
        <w:r w:rsidRPr="001263C1">
          <w:rPr>
            <w:rStyle w:val="Hyperlink"/>
          </w:rPr>
          <w:t>https://engageforsuccess.org/inclusion-diversity/people-trends-demographic-change/</w:t>
        </w:r>
      </w:hyperlink>
      <w:r>
        <w:t xml:space="preserve"> [Accessed 10/2/2022]</w:t>
      </w:r>
    </w:p>
    <w:p w14:paraId="272C3D29" w14:textId="6D2AB86B" w:rsidR="004A0CD4" w:rsidRDefault="004A0CD4" w:rsidP="006A14F3">
      <w:r>
        <w:t>Forbes, (2019).</w:t>
      </w:r>
      <w:r w:rsidR="00A9030E">
        <w:t xml:space="preserve"> </w:t>
      </w:r>
      <w:r w:rsidR="00101C52" w:rsidRPr="00101C52">
        <w:rPr>
          <w:i/>
          <w:iCs/>
        </w:rPr>
        <w:t xml:space="preserve">Why An Employee Engagement Strategy Is Vital </w:t>
      </w:r>
      <w:proofErr w:type="gramStart"/>
      <w:r w:rsidR="00101C52" w:rsidRPr="00101C52">
        <w:rPr>
          <w:i/>
          <w:iCs/>
        </w:rPr>
        <w:t>To</w:t>
      </w:r>
      <w:proofErr w:type="gramEnd"/>
      <w:r w:rsidR="00101C52" w:rsidRPr="00101C52">
        <w:rPr>
          <w:i/>
          <w:iCs/>
        </w:rPr>
        <w:t xml:space="preserve"> Your Business</w:t>
      </w:r>
      <w:r w:rsidR="00101C52">
        <w:t>. Available at:</w:t>
      </w:r>
      <w:r>
        <w:t xml:space="preserve"> </w:t>
      </w:r>
      <w:hyperlink r:id="rId21" w:history="1">
        <w:r w:rsidRPr="008F6445">
          <w:rPr>
            <w:rStyle w:val="Hyperlink"/>
          </w:rPr>
          <w:t>https://www.forbes.com/sites/forbesbostoncouncil/2019/04/04/why-an-employee-engagement-strategy-is-vital-to-your-business/?sh=5a270a856cee</w:t>
        </w:r>
      </w:hyperlink>
      <w:r>
        <w:t xml:space="preserve"> [Accessed 9/2/2022]</w:t>
      </w:r>
    </w:p>
    <w:p w14:paraId="28B937B2" w14:textId="1F85C23D" w:rsidR="003D1589" w:rsidRDefault="003D1589" w:rsidP="006A14F3">
      <w:r>
        <w:t xml:space="preserve">Gallup, (no date). </w:t>
      </w:r>
      <w:r w:rsidR="00397294" w:rsidRPr="00397294">
        <w:rPr>
          <w:i/>
          <w:iCs/>
        </w:rPr>
        <w:t>Gallup's Employee Engagement Survey</w:t>
      </w:r>
      <w:r w:rsidR="00397294">
        <w:t>. Available at:</w:t>
      </w:r>
      <w:r>
        <w:t xml:space="preserve"> </w:t>
      </w:r>
      <w:hyperlink r:id="rId22" w:history="1">
        <w:r w:rsidRPr="001263C1">
          <w:rPr>
            <w:rStyle w:val="Hyperlink"/>
          </w:rPr>
          <w:t>https://www.gallup.com/workplace/356063/gallup-q12-employee-engagement-survey.aspx</w:t>
        </w:r>
      </w:hyperlink>
      <w:r>
        <w:t xml:space="preserve"> [Accessed 10/2/2022]</w:t>
      </w:r>
    </w:p>
    <w:p w14:paraId="0BCDDCF0" w14:textId="0E3E4287" w:rsidR="00F97F29" w:rsidRDefault="00F97F29" w:rsidP="006A14F3">
      <w:r>
        <w:t xml:space="preserve">Gallup, (2012). </w:t>
      </w:r>
      <w:r>
        <w:rPr>
          <w:i/>
          <w:iCs/>
        </w:rPr>
        <w:t xml:space="preserve">Employee engagement drives growth. </w:t>
      </w:r>
      <w:r>
        <w:rPr>
          <w:iCs/>
        </w:rPr>
        <w:t>Available at:</w:t>
      </w:r>
      <w:r>
        <w:t xml:space="preserve"> </w:t>
      </w:r>
      <w:hyperlink r:id="rId23" w:history="1">
        <w:r w:rsidRPr="008F6445">
          <w:rPr>
            <w:rStyle w:val="Hyperlink"/>
          </w:rPr>
          <w:t>https://www.gallup.com/workplace/236927/employee-engagement-drives-growth.aspx</w:t>
        </w:r>
      </w:hyperlink>
      <w:r>
        <w:t xml:space="preserve"> [Accessed 9/2/2022]</w:t>
      </w:r>
    </w:p>
    <w:p w14:paraId="204CBA67" w14:textId="7F38796E" w:rsidR="00E405EE" w:rsidRDefault="00E405EE" w:rsidP="006A14F3">
      <w:r>
        <w:t xml:space="preserve">HBR, (2020). </w:t>
      </w:r>
      <w:r w:rsidR="00AF1A29">
        <w:rPr>
          <w:i/>
          <w:iCs/>
        </w:rPr>
        <w:t xml:space="preserve">How to work with someone who’s disengaged. </w:t>
      </w:r>
      <w:r>
        <w:t xml:space="preserve">Available at: </w:t>
      </w:r>
      <w:hyperlink r:id="rId24" w:history="1">
        <w:r w:rsidRPr="001263C1">
          <w:rPr>
            <w:rStyle w:val="Hyperlink"/>
          </w:rPr>
          <w:t>https://hbr.org/2020/03/how-to-work-with-someone-whos-disengaged</w:t>
        </w:r>
      </w:hyperlink>
      <w:r>
        <w:t xml:space="preserve"> [Accessed 9/2/2022]</w:t>
      </w:r>
    </w:p>
    <w:p w14:paraId="79C40927" w14:textId="77777777" w:rsidR="009848FF" w:rsidRDefault="009848FF">
      <w:r>
        <w:t>John and Ellis, 2016</w:t>
      </w:r>
    </w:p>
    <w:p w14:paraId="209AD8ED" w14:textId="40182804" w:rsidR="00E40DEF" w:rsidRDefault="00190D02">
      <w:r>
        <w:t xml:space="preserve">Macleod, D. (2009) </w:t>
      </w:r>
      <w:hyperlink r:id="rId25" w:history="1">
        <w:r w:rsidRPr="00C50A05">
          <w:rPr>
            <w:rStyle w:val="Hyperlink"/>
          </w:rPr>
          <w:t>https://engageforsuccess.org/wp-content/uploads/2021/02/Engaging-for-Success.pdf</w:t>
        </w:r>
      </w:hyperlink>
      <w:r>
        <w:t xml:space="preserve"> </w:t>
      </w:r>
      <w:r w:rsidR="004B3407">
        <w:t>[Accessed 1/2/2022]</w:t>
      </w:r>
    </w:p>
    <w:p w14:paraId="73920EFC" w14:textId="01CBD0FA" w:rsidR="006A14F3" w:rsidRDefault="006A14F3" w:rsidP="006A14F3">
      <w:r>
        <w:t>Mindtools,</w:t>
      </w:r>
      <w:r w:rsidR="001E493D">
        <w:t xml:space="preserve"> (2021). </w:t>
      </w:r>
      <w:r w:rsidR="001E493D" w:rsidRPr="001E493D">
        <w:t>The Three Component Model of Commitment</w:t>
      </w:r>
      <w:r w:rsidR="001E493D">
        <w:t>. Available at:</w:t>
      </w:r>
      <w:r>
        <w:t xml:space="preserve"> </w:t>
      </w:r>
      <w:hyperlink r:id="rId26" w:history="1">
        <w:r w:rsidRPr="00A946CC">
          <w:rPr>
            <w:rStyle w:val="Hyperlink"/>
          </w:rPr>
          <w:t>https://www.mindtools.com/pages/article/three-component-model-commitment.htm</w:t>
        </w:r>
      </w:hyperlink>
      <w:r>
        <w:t xml:space="preserve"> </w:t>
      </w:r>
      <w:r w:rsidR="001E493D">
        <w:t>[Accessed 21/01/2022]</w:t>
      </w:r>
      <w:r w:rsidR="00932069">
        <w:t xml:space="preserve"> </w:t>
      </w:r>
    </w:p>
    <w:p w14:paraId="559901CB" w14:textId="26A5B95E" w:rsidR="00B23200" w:rsidRPr="004A5A7E" w:rsidRDefault="00B23200" w:rsidP="00B23200">
      <w:proofErr w:type="spellStart"/>
      <w:r>
        <w:t>Mone</w:t>
      </w:r>
      <w:proofErr w:type="spellEnd"/>
      <w:r w:rsidR="00CF00D4">
        <w:t xml:space="preserve">, </w:t>
      </w:r>
      <w:r w:rsidR="002A5F35">
        <w:t xml:space="preserve">E., London, M. </w:t>
      </w:r>
      <w:r w:rsidR="00CF00D4">
        <w:t>(</w:t>
      </w:r>
      <w:r w:rsidR="00CF00D4">
        <w:t>2018</w:t>
      </w:r>
      <w:r w:rsidR="00CF00D4">
        <w:t xml:space="preserve">). </w:t>
      </w:r>
      <w:r w:rsidR="004A5A7E">
        <w:rPr>
          <w:i/>
          <w:iCs/>
        </w:rPr>
        <w:t xml:space="preserve">Employee engagement through effective performance management. </w:t>
      </w:r>
      <w:r w:rsidR="004A5A7E">
        <w:t>2</w:t>
      </w:r>
      <w:r w:rsidR="004A5A7E" w:rsidRPr="004A5A7E">
        <w:rPr>
          <w:vertAlign w:val="superscript"/>
        </w:rPr>
        <w:t>nd</w:t>
      </w:r>
      <w:r w:rsidR="004A5A7E">
        <w:t xml:space="preserve"> </w:t>
      </w:r>
      <w:proofErr w:type="spellStart"/>
      <w:r w:rsidR="004A5A7E">
        <w:t>edn</w:t>
      </w:r>
      <w:proofErr w:type="spellEnd"/>
      <w:r w:rsidR="004A5A7E">
        <w:t xml:space="preserve">. </w:t>
      </w:r>
      <w:r w:rsidR="00A06365">
        <w:t>Routledge: NEW YORK and LONDON</w:t>
      </w:r>
    </w:p>
    <w:p w14:paraId="2D16CE92" w14:textId="11511BD2" w:rsidR="00B23200" w:rsidRDefault="00B23200" w:rsidP="00B23200">
      <w:r>
        <w:t xml:space="preserve">Moss, J. (2016). </w:t>
      </w:r>
      <w:r w:rsidR="00DB2068" w:rsidRPr="00DB2068">
        <w:rPr>
          <w:i/>
          <w:iCs/>
        </w:rPr>
        <w:t xml:space="preserve">Unlocking Happiness </w:t>
      </w:r>
      <w:proofErr w:type="gramStart"/>
      <w:r w:rsidR="00DB2068" w:rsidRPr="00DB2068">
        <w:rPr>
          <w:i/>
          <w:iCs/>
        </w:rPr>
        <w:t>At</w:t>
      </w:r>
      <w:proofErr w:type="gramEnd"/>
      <w:r w:rsidR="00DB2068" w:rsidRPr="00DB2068">
        <w:rPr>
          <w:i/>
          <w:iCs/>
        </w:rPr>
        <w:t xml:space="preserve"> Work</w:t>
      </w:r>
      <w:r w:rsidR="00DB2068">
        <w:t xml:space="preserve">. </w:t>
      </w:r>
      <w:r w:rsidR="00CF00D4">
        <w:t>Kogan page: LONDON</w:t>
      </w:r>
    </w:p>
    <w:p w14:paraId="09BB07FA" w14:textId="6AE6915B" w:rsidR="00A92FBD" w:rsidRDefault="00A92FBD" w:rsidP="006A14F3">
      <w:proofErr w:type="spellStart"/>
      <w:r>
        <w:t>MyHub</w:t>
      </w:r>
      <w:proofErr w:type="spellEnd"/>
      <w:r>
        <w:t>, (2019).</w:t>
      </w:r>
      <w:r w:rsidR="00101C52">
        <w:t xml:space="preserve"> </w:t>
      </w:r>
      <w:r w:rsidR="00101C52">
        <w:rPr>
          <w:i/>
          <w:iCs/>
        </w:rPr>
        <w:t>Employee Engagement.</w:t>
      </w:r>
      <w:r>
        <w:t xml:space="preserve"> Available at: </w:t>
      </w:r>
      <w:hyperlink r:id="rId27" w:history="1">
        <w:r w:rsidRPr="001263C1">
          <w:rPr>
            <w:rStyle w:val="Hyperlink"/>
          </w:rPr>
          <w:t>https://www.myhubintranet.com/employee-engagement-hr/</w:t>
        </w:r>
      </w:hyperlink>
      <w:r>
        <w:t xml:space="preserve"> [Accessed 10/2/2022]</w:t>
      </w:r>
    </w:p>
    <w:p w14:paraId="352AC616" w14:textId="01CFEB5B" w:rsidR="00250033" w:rsidRDefault="00250033" w:rsidP="006A14F3">
      <w:r>
        <w:t>ONS, (2021).</w:t>
      </w:r>
      <w:r w:rsidR="00486D7F">
        <w:t xml:space="preserve"> </w:t>
      </w:r>
      <w:r w:rsidR="00486D7F" w:rsidRPr="00486D7F">
        <w:rPr>
          <w:i/>
          <w:iCs/>
        </w:rPr>
        <w:t>What are the regional differences in income and productivity?</w:t>
      </w:r>
      <w:r w:rsidR="00486D7F">
        <w:t xml:space="preserve"> Available at:</w:t>
      </w:r>
      <w:r>
        <w:t xml:space="preserve"> </w:t>
      </w:r>
      <w:hyperlink r:id="rId28" w:history="1">
        <w:r w:rsidRPr="001263C1">
          <w:rPr>
            <w:rStyle w:val="Hyperlink"/>
          </w:rPr>
          <w:t>https://www.ons.gov.uk/visualisations/dvc1370/</w:t>
        </w:r>
      </w:hyperlink>
      <w:r>
        <w:t xml:space="preserve"> [Accessed 10/2/2022]</w:t>
      </w:r>
    </w:p>
    <w:p w14:paraId="5EE08720" w14:textId="34EE986B" w:rsidR="0061475A" w:rsidRDefault="0061475A" w:rsidP="006A14F3">
      <w:r>
        <w:t xml:space="preserve">ONS, (2021b). </w:t>
      </w:r>
      <w:r w:rsidR="00024548" w:rsidRPr="00024548">
        <w:rPr>
          <w:i/>
          <w:iCs/>
        </w:rPr>
        <w:t>Changing trends and recent shortages in the labour market, UK: 2016 to 2021.</w:t>
      </w:r>
      <w:r w:rsidR="00024548">
        <w:t xml:space="preserve"> </w:t>
      </w:r>
      <w:r>
        <w:t xml:space="preserve">Available at: </w:t>
      </w:r>
      <w:hyperlink r:id="rId29" w:history="1">
        <w:r w:rsidR="00024548" w:rsidRPr="001263C1">
          <w:rPr>
            <w:rStyle w:val="Hyperlink"/>
          </w:rPr>
          <w:t>https://www.ons.gov.uk/employmentandlabourmarket/peopleinwork/employmentandemployeetypes/articles/changingtrendsandrecentshortagesinthelabourmarketuk/latest</w:t>
        </w:r>
      </w:hyperlink>
      <w:r>
        <w:t xml:space="preserve"> [Accessed 10/2/2022]</w:t>
      </w:r>
      <w:r w:rsidR="00024548" w:rsidRPr="00024548">
        <w:t xml:space="preserve"> </w:t>
      </w:r>
    </w:p>
    <w:p w14:paraId="3C187325" w14:textId="0575C8F0" w:rsidR="0094736E" w:rsidRDefault="0094736E" w:rsidP="006A14F3">
      <w:r>
        <w:lastRenderedPageBreak/>
        <w:t xml:space="preserve">ORC International (2015). </w:t>
      </w:r>
      <w:r w:rsidR="00274587">
        <w:rPr>
          <w:i/>
          <w:iCs/>
        </w:rPr>
        <w:t xml:space="preserve">Global Perspective Survey. </w:t>
      </w:r>
      <w:r w:rsidR="00274587">
        <w:t xml:space="preserve">Available at: </w:t>
      </w:r>
      <w:r>
        <w:t xml:space="preserve"> </w:t>
      </w:r>
      <w:hyperlink r:id="rId30" w:history="1">
        <w:r w:rsidRPr="001263C1">
          <w:rPr>
            <w:rStyle w:val="Hyperlink"/>
          </w:rPr>
          <w:t>https://orcpeoplebuzz.wordpress.com/2015/04/23/global-perspectives-survey-2015-global-headlines/</w:t>
        </w:r>
      </w:hyperlink>
      <w:r>
        <w:t xml:space="preserve"> [Accessed 12/2/2022]</w:t>
      </w:r>
    </w:p>
    <w:p w14:paraId="52E407A8" w14:textId="2C87A530" w:rsidR="007840CA" w:rsidRDefault="007840CA" w:rsidP="007840CA">
      <w:r>
        <w:t xml:space="preserve">Purcell, J. (2014). </w:t>
      </w:r>
      <w:r w:rsidR="00EA4ECC" w:rsidRPr="00EA4ECC">
        <w:rPr>
          <w:i/>
          <w:iCs/>
        </w:rPr>
        <w:t>The Future of Engagement: Thought Piece Collection</w:t>
      </w:r>
      <w:r w:rsidR="00EA4ECC">
        <w:t xml:space="preserve">. Available at: </w:t>
      </w:r>
      <w:hyperlink r:id="rId31" w:history="1">
        <w:r w:rsidR="00EA4ECC" w:rsidRPr="001263C1">
          <w:rPr>
            <w:rStyle w:val="Hyperlink"/>
          </w:rPr>
          <w:t>https://www.cipd.co.uk/Images/the-future-of-engagement_2014-thought-piece-rediscovering-the-black-box-john-purcell_tcm18-10766.pdf</w:t>
        </w:r>
      </w:hyperlink>
      <w:r>
        <w:t xml:space="preserve"> [Accessed 2/2/2022]</w:t>
      </w:r>
    </w:p>
    <w:p w14:paraId="33CE5447" w14:textId="0140864A" w:rsidR="0030491E" w:rsidRDefault="0030491E" w:rsidP="007840CA">
      <w:r>
        <w:t xml:space="preserve">Quantum Workplace, (2021). </w:t>
      </w:r>
      <w:r w:rsidR="00FE04FD" w:rsidRPr="00FE04FD">
        <w:rPr>
          <w:i/>
          <w:iCs/>
        </w:rPr>
        <w:t>E</w:t>
      </w:r>
      <w:r w:rsidR="00FE04FD" w:rsidRPr="00FE04FD">
        <w:rPr>
          <w:i/>
          <w:iCs/>
        </w:rPr>
        <w:t>MPLOYEE ENGAGEMENT TRENDS</w:t>
      </w:r>
      <w:r w:rsidR="00FE04FD">
        <w:t xml:space="preserve">. </w:t>
      </w:r>
      <w:r>
        <w:t xml:space="preserve">Available at: </w:t>
      </w:r>
      <w:hyperlink r:id="rId32" w:history="1">
        <w:r w:rsidR="00FE04FD" w:rsidRPr="001263C1">
          <w:rPr>
            <w:rStyle w:val="Hyperlink"/>
          </w:rPr>
          <w:t>https://www.quantumworkplace.com/future-of-work/employee-engagement-trends</w:t>
        </w:r>
      </w:hyperlink>
      <w:r w:rsidR="00FE04FD">
        <w:t xml:space="preserve"> [Accessed 9/2/2022]</w:t>
      </w:r>
    </w:p>
    <w:p w14:paraId="5A630C37" w14:textId="05CABF51" w:rsidR="00302C2B" w:rsidRDefault="00302C2B" w:rsidP="007840CA">
      <w:r>
        <w:t xml:space="preserve">Robinson, D., </w:t>
      </w:r>
      <w:proofErr w:type="spellStart"/>
      <w:r>
        <w:t>Hayday</w:t>
      </w:r>
      <w:proofErr w:type="spellEnd"/>
      <w:r>
        <w:t xml:space="preserve">, S. (2009). </w:t>
      </w:r>
      <w:hyperlink r:id="rId33" w:history="1">
        <w:r w:rsidRPr="00C50A05">
          <w:rPr>
            <w:rStyle w:val="Hyperlink"/>
          </w:rPr>
          <w:t>https://www.employment-studies.co.uk/system/files/resources/fil</w:t>
        </w:r>
        <w:r w:rsidRPr="00C50A05">
          <w:rPr>
            <w:rStyle w:val="Hyperlink"/>
          </w:rPr>
          <w:t>e</w:t>
        </w:r>
        <w:r w:rsidRPr="00C50A05">
          <w:rPr>
            <w:rStyle w:val="Hyperlink"/>
          </w:rPr>
          <w:t>s/470.pdf</w:t>
        </w:r>
      </w:hyperlink>
      <w:r>
        <w:t xml:space="preserve"> [Accessed 4/2/2022]</w:t>
      </w:r>
    </w:p>
    <w:p w14:paraId="46950CF9" w14:textId="08C15BDE" w:rsidR="007840CA" w:rsidRDefault="007840CA" w:rsidP="007840CA">
      <w:r>
        <w:t xml:space="preserve">Robinson, D., Perryman, S., </w:t>
      </w:r>
      <w:proofErr w:type="spellStart"/>
      <w:r>
        <w:t>Hayday</w:t>
      </w:r>
      <w:proofErr w:type="spellEnd"/>
      <w:r>
        <w:t>, S. (2004).</w:t>
      </w:r>
      <w:r w:rsidR="0049367F">
        <w:t xml:space="preserve"> </w:t>
      </w:r>
      <w:r w:rsidR="00192FBB" w:rsidRPr="00192FBB">
        <w:rPr>
          <w:i/>
          <w:iCs/>
        </w:rPr>
        <w:t>The Engaging Manager</w:t>
      </w:r>
      <w:r w:rsidR="0049367F">
        <w:t>. Available at:</w:t>
      </w:r>
      <w:r>
        <w:t xml:space="preserve"> </w:t>
      </w:r>
      <w:hyperlink r:id="rId34" w:history="1">
        <w:r w:rsidRPr="00C50A05">
          <w:rPr>
            <w:rStyle w:val="Hyperlink"/>
          </w:rPr>
          <w:t>https://www.employment-studies.co.uk/system/files/resources/files/408.pdf</w:t>
        </w:r>
      </w:hyperlink>
      <w:r>
        <w:t xml:space="preserve"> [Accessed 4/2/2022]</w:t>
      </w:r>
    </w:p>
    <w:p w14:paraId="428E8CD1" w14:textId="482C7371" w:rsidR="004C7BAA" w:rsidRDefault="004C7BAA" w:rsidP="007840CA">
      <w:r>
        <w:t>Roper, J (2017).</w:t>
      </w:r>
      <w:r w:rsidR="00192FBB">
        <w:t xml:space="preserve"> </w:t>
      </w:r>
      <w:r w:rsidR="00192FBB">
        <w:rPr>
          <w:i/>
          <w:iCs/>
        </w:rPr>
        <w:t xml:space="preserve">The line manager role in engagement. </w:t>
      </w:r>
      <w:r w:rsidR="00192FBB">
        <w:rPr>
          <w:iCs/>
        </w:rPr>
        <w:t>Available at:</w:t>
      </w:r>
      <w:r>
        <w:t xml:space="preserve"> </w:t>
      </w:r>
      <w:hyperlink r:id="rId35" w:history="1">
        <w:r w:rsidRPr="001263C1">
          <w:rPr>
            <w:rStyle w:val="Hyperlink"/>
          </w:rPr>
          <w:t>https://www.hrmagazine.co.uk/content/features/the-line-manager-s-role-in-engagement</w:t>
        </w:r>
      </w:hyperlink>
      <w:r>
        <w:t xml:space="preserve"> [Accessed 9/2/2022]</w:t>
      </w:r>
    </w:p>
    <w:p w14:paraId="2BD0FE53" w14:textId="77777777" w:rsidR="00880228" w:rsidRDefault="00880228" w:rsidP="00880228">
      <w:proofErr w:type="spellStart"/>
      <w:r>
        <w:t>Shriar</w:t>
      </w:r>
      <w:proofErr w:type="spellEnd"/>
      <w:r>
        <w:t xml:space="preserve">, J. (2015). </w:t>
      </w:r>
      <w:r w:rsidRPr="00981FDD">
        <w:rPr>
          <w:i/>
          <w:iCs/>
        </w:rPr>
        <w:t xml:space="preserve">10 Essential Pillars </w:t>
      </w:r>
      <w:proofErr w:type="gramStart"/>
      <w:r w:rsidRPr="00981FDD">
        <w:rPr>
          <w:i/>
          <w:iCs/>
        </w:rPr>
        <w:t>Of</w:t>
      </w:r>
      <w:proofErr w:type="gramEnd"/>
      <w:r w:rsidRPr="00981FDD">
        <w:rPr>
          <w:i/>
          <w:iCs/>
        </w:rPr>
        <w:t xml:space="preserve"> Employee Engagement</w:t>
      </w:r>
      <w:r>
        <w:t xml:space="preserve">. Available at: </w:t>
      </w:r>
      <w:hyperlink r:id="rId36" w:history="1">
        <w:r w:rsidRPr="001263C1">
          <w:rPr>
            <w:rStyle w:val="Hyperlink"/>
          </w:rPr>
          <w:t>https://www.business2community.com/infographics/10-essential-pillars-employee-engagement-infographic-01124922#:~:text=%2010%20Essential%20Pillars%20Of%20Employee%20Engagement%20%28Infographic%29,the%20company%E2%80%99s%20core%20values%20has%20a...%20More%20</w:t>
        </w:r>
      </w:hyperlink>
      <w:r>
        <w:t xml:space="preserve"> [Accessed 5/2/2022]</w:t>
      </w:r>
    </w:p>
    <w:p w14:paraId="3AC4BF12" w14:textId="50B0C990" w:rsidR="00E40DEF" w:rsidRDefault="002A07C3">
      <w:r>
        <w:t xml:space="preserve">SHRM, (2006). </w:t>
      </w:r>
      <w:r w:rsidRPr="002A07C3">
        <w:rPr>
          <w:i/>
          <w:iCs/>
        </w:rPr>
        <w:t>Employee Engagement and Commitment.</w:t>
      </w:r>
      <w:r>
        <w:t xml:space="preserve"> Available at: </w:t>
      </w:r>
      <w:hyperlink r:id="rId37" w:history="1">
        <w:r w:rsidRPr="00C50A05">
          <w:rPr>
            <w:rStyle w:val="Hyperlink"/>
          </w:rPr>
          <w:t>https://moodle.uwtsd.ac.uk/pluginfile.php/258168/mod_resource/content/1/Employee%20Engagement%20and%20Commitment.pdf</w:t>
        </w:r>
      </w:hyperlink>
      <w:r>
        <w:t xml:space="preserve"> [Accessed 01/02/2022]</w:t>
      </w:r>
    </w:p>
    <w:p w14:paraId="4E2F9494" w14:textId="5D8C43A1" w:rsidR="00803304" w:rsidRDefault="00803304">
      <w:r>
        <w:t>Tower Perrin</w:t>
      </w:r>
      <w:r w:rsidR="003904FC">
        <w:t>,</w:t>
      </w:r>
      <w:r>
        <w:t xml:space="preserve"> (2009). </w:t>
      </w:r>
      <w:r w:rsidR="003904FC" w:rsidRPr="003904FC">
        <w:rPr>
          <w:i/>
          <w:iCs/>
        </w:rPr>
        <w:t>Closing the Engagement Gap: A Road Map for Driving Superior Business Performance</w:t>
      </w:r>
      <w:r w:rsidR="003904FC">
        <w:t xml:space="preserve">. </w:t>
      </w:r>
      <w:r>
        <w:t xml:space="preserve">Available at: </w:t>
      </w:r>
      <w:hyperlink r:id="rId38" w:history="1">
        <w:r w:rsidRPr="001263C1">
          <w:rPr>
            <w:rStyle w:val="Hyperlink"/>
          </w:rPr>
          <w:t>http://www.canfieldtrainthetrainer.com/login/media/Full_Engagement_Study.pdf</w:t>
        </w:r>
      </w:hyperlink>
      <w:r>
        <w:t xml:space="preserve"> [Accessed 9/2/2022]</w:t>
      </w:r>
    </w:p>
    <w:p w14:paraId="6CC6A7C7" w14:textId="7D66D561" w:rsidR="00266961" w:rsidRDefault="00266961">
      <w:r>
        <w:t>Tower</w:t>
      </w:r>
      <w:r w:rsidR="004C4FCA">
        <w:t>s</w:t>
      </w:r>
      <w:r>
        <w:t xml:space="preserve"> Perrin</w:t>
      </w:r>
      <w:r w:rsidR="004C4FCA">
        <w:t xml:space="preserve">, (2014). </w:t>
      </w:r>
      <w:r w:rsidR="000F601D" w:rsidRPr="000F601D">
        <w:rPr>
          <w:rFonts w:cstheme="minorHAnsi"/>
          <w:i/>
          <w:iCs/>
          <w:spacing w:val="15"/>
          <w:shd w:val="clear" w:color="auto" w:fill="FFFFFF"/>
        </w:rPr>
        <w:t>2014 Global Workforce</w:t>
      </w:r>
      <w:r w:rsidR="000F601D" w:rsidRPr="000F601D">
        <w:rPr>
          <w:rFonts w:cstheme="minorHAnsi"/>
          <w:i/>
          <w:iCs/>
          <w:spacing w:val="15"/>
          <w:shd w:val="clear" w:color="auto" w:fill="FFFFFF"/>
        </w:rPr>
        <w:t xml:space="preserve"> Study</w:t>
      </w:r>
      <w:r w:rsidR="000F601D">
        <w:t>. Available at:</w:t>
      </w:r>
      <w:r w:rsidR="004C4FCA">
        <w:t xml:space="preserve"> </w:t>
      </w:r>
      <w:hyperlink r:id="rId39" w:history="1">
        <w:r w:rsidR="004C4FCA" w:rsidRPr="001263C1">
          <w:rPr>
            <w:rStyle w:val="Hyperlink"/>
          </w:rPr>
          <w:t>https://www.wtwco.com/en-GB/Insights/2014/10/global-trends-in-employee-attraction-retention-and-engagement</w:t>
        </w:r>
      </w:hyperlink>
      <w:r w:rsidR="004C4FCA">
        <w:t xml:space="preserve"> [Accessed 10/2/2022]</w:t>
      </w:r>
    </w:p>
    <w:p w14:paraId="06066C7A" w14:textId="6015467B" w:rsidR="00B653A0" w:rsidRDefault="00B653A0">
      <w:r>
        <w:t xml:space="preserve"> </w:t>
      </w:r>
    </w:p>
    <w:sectPr w:rsidR="00B653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F628F"/>
    <w:multiLevelType w:val="hybridMultilevel"/>
    <w:tmpl w:val="8F9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C255E"/>
    <w:multiLevelType w:val="multilevel"/>
    <w:tmpl w:val="68DC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C62A3"/>
    <w:multiLevelType w:val="hybridMultilevel"/>
    <w:tmpl w:val="1A10305A"/>
    <w:lvl w:ilvl="0" w:tplc="29703A4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4CA22D34"/>
    <w:multiLevelType w:val="hybridMultilevel"/>
    <w:tmpl w:val="CE229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3B20C9F"/>
    <w:multiLevelType w:val="multilevel"/>
    <w:tmpl w:val="A2C8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5936378A"/>
    <w:multiLevelType w:val="multilevel"/>
    <w:tmpl w:val="C43C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lvlOverride w:ilvl="1"/>
    <w:lvlOverride w:ilvl="2"/>
    <w:lvlOverride w:ilvl="3"/>
    <w:lvlOverride w:ilvl="4"/>
    <w:lvlOverride w:ilvl="5"/>
    <w:lvlOverride w:ilvl="6"/>
    <w:lvlOverride w:ilvl="7"/>
    <w:lvlOverride w:ilvl="8"/>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F7BE8"/>
    <w:rsid w:val="00002D82"/>
    <w:rsid w:val="00003C9B"/>
    <w:rsid w:val="0001270A"/>
    <w:rsid w:val="00015F8D"/>
    <w:rsid w:val="00017CDB"/>
    <w:rsid w:val="000207F1"/>
    <w:rsid w:val="00020953"/>
    <w:rsid w:val="0002396B"/>
    <w:rsid w:val="00024548"/>
    <w:rsid w:val="00024798"/>
    <w:rsid w:val="0003487C"/>
    <w:rsid w:val="0003580F"/>
    <w:rsid w:val="0003659B"/>
    <w:rsid w:val="00040AA8"/>
    <w:rsid w:val="00042A90"/>
    <w:rsid w:val="00053CFA"/>
    <w:rsid w:val="00055D12"/>
    <w:rsid w:val="00057406"/>
    <w:rsid w:val="00057929"/>
    <w:rsid w:val="00061A8A"/>
    <w:rsid w:val="00073764"/>
    <w:rsid w:val="00075DA1"/>
    <w:rsid w:val="00083291"/>
    <w:rsid w:val="000871FE"/>
    <w:rsid w:val="00090D08"/>
    <w:rsid w:val="000910A9"/>
    <w:rsid w:val="000C1DB1"/>
    <w:rsid w:val="000C6C14"/>
    <w:rsid w:val="000C7357"/>
    <w:rsid w:val="000D3B3F"/>
    <w:rsid w:val="000D3B62"/>
    <w:rsid w:val="000D4983"/>
    <w:rsid w:val="000E144A"/>
    <w:rsid w:val="000E6DB6"/>
    <w:rsid w:val="000F601D"/>
    <w:rsid w:val="000F7A8E"/>
    <w:rsid w:val="00101C52"/>
    <w:rsid w:val="00102A9E"/>
    <w:rsid w:val="00103664"/>
    <w:rsid w:val="00105354"/>
    <w:rsid w:val="00110647"/>
    <w:rsid w:val="00125857"/>
    <w:rsid w:val="00125E44"/>
    <w:rsid w:val="00132B47"/>
    <w:rsid w:val="0013491F"/>
    <w:rsid w:val="00140930"/>
    <w:rsid w:val="00150C0B"/>
    <w:rsid w:val="001542D0"/>
    <w:rsid w:val="00167AC3"/>
    <w:rsid w:val="001732C4"/>
    <w:rsid w:val="00175306"/>
    <w:rsid w:val="001760E9"/>
    <w:rsid w:val="00187672"/>
    <w:rsid w:val="00190D02"/>
    <w:rsid w:val="00192FBB"/>
    <w:rsid w:val="00195E52"/>
    <w:rsid w:val="001A10E5"/>
    <w:rsid w:val="001A60AA"/>
    <w:rsid w:val="001B3EBC"/>
    <w:rsid w:val="001B545F"/>
    <w:rsid w:val="001C21B2"/>
    <w:rsid w:val="001C24B8"/>
    <w:rsid w:val="001C2A42"/>
    <w:rsid w:val="001C77CE"/>
    <w:rsid w:val="001D3032"/>
    <w:rsid w:val="001E03F9"/>
    <w:rsid w:val="001E0583"/>
    <w:rsid w:val="001E3567"/>
    <w:rsid w:val="001E493D"/>
    <w:rsid w:val="001E6F32"/>
    <w:rsid w:val="00207EDA"/>
    <w:rsid w:val="0021032C"/>
    <w:rsid w:val="00213FE5"/>
    <w:rsid w:val="00215BFE"/>
    <w:rsid w:val="00221D85"/>
    <w:rsid w:val="00223809"/>
    <w:rsid w:val="002272C7"/>
    <w:rsid w:val="002425F7"/>
    <w:rsid w:val="002429B2"/>
    <w:rsid w:val="00245237"/>
    <w:rsid w:val="00247473"/>
    <w:rsid w:val="00247C2A"/>
    <w:rsid w:val="00250033"/>
    <w:rsid w:val="00250CC7"/>
    <w:rsid w:val="00266961"/>
    <w:rsid w:val="00273B41"/>
    <w:rsid w:val="00274587"/>
    <w:rsid w:val="00274FD8"/>
    <w:rsid w:val="00282087"/>
    <w:rsid w:val="00284B95"/>
    <w:rsid w:val="00284EAC"/>
    <w:rsid w:val="002871F4"/>
    <w:rsid w:val="0029475A"/>
    <w:rsid w:val="002971DF"/>
    <w:rsid w:val="002A07C3"/>
    <w:rsid w:val="002A1C08"/>
    <w:rsid w:val="002A5F35"/>
    <w:rsid w:val="002C1708"/>
    <w:rsid w:val="002C686B"/>
    <w:rsid w:val="002C6F1C"/>
    <w:rsid w:val="002D01DA"/>
    <w:rsid w:val="002D077F"/>
    <w:rsid w:val="002D1C04"/>
    <w:rsid w:val="002D22D5"/>
    <w:rsid w:val="002D372E"/>
    <w:rsid w:val="002E158D"/>
    <w:rsid w:val="002E26AC"/>
    <w:rsid w:val="002F39EC"/>
    <w:rsid w:val="002F6B11"/>
    <w:rsid w:val="00302C2B"/>
    <w:rsid w:val="0030491E"/>
    <w:rsid w:val="003073D8"/>
    <w:rsid w:val="00311910"/>
    <w:rsid w:val="00311982"/>
    <w:rsid w:val="003144C4"/>
    <w:rsid w:val="00315003"/>
    <w:rsid w:val="003216DC"/>
    <w:rsid w:val="00322B07"/>
    <w:rsid w:val="00322B98"/>
    <w:rsid w:val="00324AA8"/>
    <w:rsid w:val="003278B5"/>
    <w:rsid w:val="00327E65"/>
    <w:rsid w:val="003335A9"/>
    <w:rsid w:val="00335806"/>
    <w:rsid w:val="00341A75"/>
    <w:rsid w:val="0034789B"/>
    <w:rsid w:val="00352497"/>
    <w:rsid w:val="00352C4B"/>
    <w:rsid w:val="003537DC"/>
    <w:rsid w:val="0035470B"/>
    <w:rsid w:val="0035579C"/>
    <w:rsid w:val="00356F4B"/>
    <w:rsid w:val="0036396B"/>
    <w:rsid w:val="00370E8A"/>
    <w:rsid w:val="00377A96"/>
    <w:rsid w:val="00377C7E"/>
    <w:rsid w:val="00381E7E"/>
    <w:rsid w:val="003904FC"/>
    <w:rsid w:val="00391344"/>
    <w:rsid w:val="00394F0B"/>
    <w:rsid w:val="00397294"/>
    <w:rsid w:val="003A444B"/>
    <w:rsid w:val="003B117F"/>
    <w:rsid w:val="003B4B65"/>
    <w:rsid w:val="003B5780"/>
    <w:rsid w:val="003C7163"/>
    <w:rsid w:val="003D0EEB"/>
    <w:rsid w:val="003D1589"/>
    <w:rsid w:val="003D39E7"/>
    <w:rsid w:val="003E1224"/>
    <w:rsid w:val="003E317F"/>
    <w:rsid w:val="003E72DB"/>
    <w:rsid w:val="003F1EB8"/>
    <w:rsid w:val="003F5296"/>
    <w:rsid w:val="003F5AB3"/>
    <w:rsid w:val="0040607E"/>
    <w:rsid w:val="0041266A"/>
    <w:rsid w:val="00422CAF"/>
    <w:rsid w:val="00423A8E"/>
    <w:rsid w:val="00423C7D"/>
    <w:rsid w:val="004325E2"/>
    <w:rsid w:val="00444387"/>
    <w:rsid w:val="00446D92"/>
    <w:rsid w:val="00450AA0"/>
    <w:rsid w:val="0046796C"/>
    <w:rsid w:val="00467D87"/>
    <w:rsid w:val="00470428"/>
    <w:rsid w:val="00472552"/>
    <w:rsid w:val="004746A9"/>
    <w:rsid w:val="00475216"/>
    <w:rsid w:val="00483CB9"/>
    <w:rsid w:val="00486D7F"/>
    <w:rsid w:val="004876A6"/>
    <w:rsid w:val="00491FD7"/>
    <w:rsid w:val="0049367F"/>
    <w:rsid w:val="00495D63"/>
    <w:rsid w:val="00495E6C"/>
    <w:rsid w:val="00497E13"/>
    <w:rsid w:val="004A0CD4"/>
    <w:rsid w:val="004A37DE"/>
    <w:rsid w:val="004A3EE2"/>
    <w:rsid w:val="004A5A7E"/>
    <w:rsid w:val="004A65D3"/>
    <w:rsid w:val="004B14AC"/>
    <w:rsid w:val="004B3407"/>
    <w:rsid w:val="004C1899"/>
    <w:rsid w:val="004C32D4"/>
    <w:rsid w:val="004C4FCA"/>
    <w:rsid w:val="004C7BAA"/>
    <w:rsid w:val="004D102F"/>
    <w:rsid w:val="004D42C1"/>
    <w:rsid w:val="004D62FF"/>
    <w:rsid w:val="004D6B33"/>
    <w:rsid w:val="004D7212"/>
    <w:rsid w:val="004E03C1"/>
    <w:rsid w:val="004E11A2"/>
    <w:rsid w:val="004E2E63"/>
    <w:rsid w:val="004E6344"/>
    <w:rsid w:val="004E731D"/>
    <w:rsid w:val="004F3C90"/>
    <w:rsid w:val="004F50BA"/>
    <w:rsid w:val="004F6BE2"/>
    <w:rsid w:val="004F76DF"/>
    <w:rsid w:val="00503660"/>
    <w:rsid w:val="00503B6A"/>
    <w:rsid w:val="00506917"/>
    <w:rsid w:val="00511E2A"/>
    <w:rsid w:val="00512F10"/>
    <w:rsid w:val="00516CC1"/>
    <w:rsid w:val="00524FB5"/>
    <w:rsid w:val="0052674C"/>
    <w:rsid w:val="00536288"/>
    <w:rsid w:val="00540257"/>
    <w:rsid w:val="00553D6E"/>
    <w:rsid w:val="00556A81"/>
    <w:rsid w:val="00561511"/>
    <w:rsid w:val="005625F9"/>
    <w:rsid w:val="00566705"/>
    <w:rsid w:val="005702C1"/>
    <w:rsid w:val="005725DD"/>
    <w:rsid w:val="00584E6F"/>
    <w:rsid w:val="0058727D"/>
    <w:rsid w:val="00587F36"/>
    <w:rsid w:val="005B3258"/>
    <w:rsid w:val="005D575E"/>
    <w:rsid w:val="005E3953"/>
    <w:rsid w:val="005F288A"/>
    <w:rsid w:val="005F3A15"/>
    <w:rsid w:val="005F631A"/>
    <w:rsid w:val="00604FC5"/>
    <w:rsid w:val="00614038"/>
    <w:rsid w:val="00614237"/>
    <w:rsid w:val="0061475A"/>
    <w:rsid w:val="006149C1"/>
    <w:rsid w:val="006213CB"/>
    <w:rsid w:val="00622C8F"/>
    <w:rsid w:val="00624FC7"/>
    <w:rsid w:val="00627739"/>
    <w:rsid w:val="00627964"/>
    <w:rsid w:val="00640DD1"/>
    <w:rsid w:val="00641C69"/>
    <w:rsid w:val="0064501F"/>
    <w:rsid w:val="006477EE"/>
    <w:rsid w:val="00663BF9"/>
    <w:rsid w:val="0066458A"/>
    <w:rsid w:val="006646BF"/>
    <w:rsid w:val="00665A3F"/>
    <w:rsid w:val="00665DA1"/>
    <w:rsid w:val="00665DE3"/>
    <w:rsid w:val="00667E20"/>
    <w:rsid w:val="00673D68"/>
    <w:rsid w:val="006764E8"/>
    <w:rsid w:val="00676758"/>
    <w:rsid w:val="00676A08"/>
    <w:rsid w:val="006847AF"/>
    <w:rsid w:val="006969F6"/>
    <w:rsid w:val="006A14F3"/>
    <w:rsid w:val="006A2D08"/>
    <w:rsid w:val="006B0C25"/>
    <w:rsid w:val="006B41B6"/>
    <w:rsid w:val="006B539A"/>
    <w:rsid w:val="006C3A29"/>
    <w:rsid w:val="006C47FB"/>
    <w:rsid w:val="006D0BD2"/>
    <w:rsid w:val="006D0C2A"/>
    <w:rsid w:val="006D1B6E"/>
    <w:rsid w:val="006D5B7C"/>
    <w:rsid w:val="006D6424"/>
    <w:rsid w:val="006E1A4C"/>
    <w:rsid w:val="006F2B1F"/>
    <w:rsid w:val="006F5903"/>
    <w:rsid w:val="006F6F05"/>
    <w:rsid w:val="0070073B"/>
    <w:rsid w:val="00701A32"/>
    <w:rsid w:val="00701D4C"/>
    <w:rsid w:val="00701DBA"/>
    <w:rsid w:val="0071293A"/>
    <w:rsid w:val="00714A9A"/>
    <w:rsid w:val="00715C24"/>
    <w:rsid w:val="00716EB5"/>
    <w:rsid w:val="00722CC1"/>
    <w:rsid w:val="00722D00"/>
    <w:rsid w:val="007265A3"/>
    <w:rsid w:val="007270DE"/>
    <w:rsid w:val="00740027"/>
    <w:rsid w:val="00744A11"/>
    <w:rsid w:val="007470E4"/>
    <w:rsid w:val="00750DCC"/>
    <w:rsid w:val="00751A50"/>
    <w:rsid w:val="00751E20"/>
    <w:rsid w:val="00754EC0"/>
    <w:rsid w:val="00756DDA"/>
    <w:rsid w:val="00761FAF"/>
    <w:rsid w:val="00762BC6"/>
    <w:rsid w:val="007678D7"/>
    <w:rsid w:val="00772594"/>
    <w:rsid w:val="00780FCD"/>
    <w:rsid w:val="007840CA"/>
    <w:rsid w:val="007874F0"/>
    <w:rsid w:val="0079267D"/>
    <w:rsid w:val="00793086"/>
    <w:rsid w:val="0079522B"/>
    <w:rsid w:val="007963AE"/>
    <w:rsid w:val="007966F5"/>
    <w:rsid w:val="007A062E"/>
    <w:rsid w:val="007A4912"/>
    <w:rsid w:val="007B769A"/>
    <w:rsid w:val="007C05DC"/>
    <w:rsid w:val="007D0EBF"/>
    <w:rsid w:val="007D1BA1"/>
    <w:rsid w:val="007D3C19"/>
    <w:rsid w:val="007D6082"/>
    <w:rsid w:val="007D7001"/>
    <w:rsid w:val="007D7175"/>
    <w:rsid w:val="007D7DC5"/>
    <w:rsid w:val="007F0C0A"/>
    <w:rsid w:val="00801BD9"/>
    <w:rsid w:val="00801E1B"/>
    <w:rsid w:val="00803304"/>
    <w:rsid w:val="008063B8"/>
    <w:rsid w:val="00807749"/>
    <w:rsid w:val="0081039D"/>
    <w:rsid w:val="008109B2"/>
    <w:rsid w:val="00811EC7"/>
    <w:rsid w:val="00824D1E"/>
    <w:rsid w:val="00825170"/>
    <w:rsid w:val="00834713"/>
    <w:rsid w:val="008356C3"/>
    <w:rsid w:val="0084089C"/>
    <w:rsid w:val="008430C9"/>
    <w:rsid w:val="008443BA"/>
    <w:rsid w:val="0084568F"/>
    <w:rsid w:val="00851054"/>
    <w:rsid w:val="00856B5A"/>
    <w:rsid w:val="00860FF5"/>
    <w:rsid w:val="00863C59"/>
    <w:rsid w:val="00875711"/>
    <w:rsid w:val="00876151"/>
    <w:rsid w:val="008766B7"/>
    <w:rsid w:val="00880228"/>
    <w:rsid w:val="00882FE9"/>
    <w:rsid w:val="00887541"/>
    <w:rsid w:val="0089079C"/>
    <w:rsid w:val="008909A6"/>
    <w:rsid w:val="0089396D"/>
    <w:rsid w:val="008A22B4"/>
    <w:rsid w:val="008A3824"/>
    <w:rsid w:val="008A5CC6"/>
    <w:rsid w:val="008A7F57"/>
    <w:rsid w:val="008B235A"/>
    <w:rsid w:val="008C150B"/>
    <w:rsid w:val="008C533F"/>
    <w:rsid w:val="008C6922"/>
    <w:rsid w:val="008C6E09"/>
    <w:rsid w:val="008D2FA3"/>
    <w:rsid w:val="008D53B6"/>
    <w:rsid w:val="008E0BD1"/>
    <w:rsid w:val="008E5A04"/>
    <w:rsid w:val="00901BAC"/>
    <w:rsid w:val="0090523E"/>
    <w:rsid w:val="00906B47"/>
    <w:rsid w:val="00915A6C"/>
    <w:rsid w:val="00917D3F"/>
    <w:rsid w:val="009201E5"/>
    <w:rsid w:val="009244CA"/>
    <w:rsid w:val="00930A37"/>
    <w:rsid w:val="00932069"/>
    <w:rsid w:val="00934065"/>
    <w:rsid w:val="009350A9"/>
    <w:rsid w:val="009442F5"/>
    <w:rsid w:val="009457B9"/>
    <w:rsid w:val="00946DB9"/>
    <w:rsid w:val="0094736E"/>
    <w:rsid w:val="0095443A"/>
    <w:rsid w:val="00955512"/>
    <w:rsid w:val="00957D0A"/>
    <w:rsid w:val="009629BD"/>
    <w:rsid w:val="00966A8D"/>
    <w:rsid w:val="00981FDD"/>
    <w:rsid w:val="009831E6"/>
    <w:rsid w:val="009848FF"/>
    <w:rsid w:val="00997AEB"/>
    <w:rsid w:val="009A10EA"/>
    <w:rsid w:val="009B071B"/>
    <w:rsid w:val="009B1791"/>
    <w:rsid w:val="009C10E8"/>
    <w:rsid w:val="009C2277"/>
    <w:rsid w:val="009C2BD7"/>
    <w:rsid w:val="009C65E3"/>
    <w:rsid w:val="009D1A7B"/>
    <w:rsid w:val="009D1FA0"/>
    <w:rsid w:val="009D764E"/>
    <w:rsid w:val="009D79AF"/>
    <w:rsid w:val="009D7DE3"/>
    <w:rsid w:val="009E2B93"/>
    <w:rsid w:val="009E43C8"/>
    <w:rsid w:val="009E7DB7"/>
    <w:rsid w:val="009F0435"/>
    <w:rsid w:val="009F2773"/>
    <w:rsid w:val="009F4343"/>
    <w:rsid w:val="009F4A25"/>
    <w:rsid w:val="009F5A7C"/>
    <w:rsid w:val="009F6EA6"/>
    <w:rsid w:val="00A06365"/>
    <w:rsid w:val="00A116DF"/>
    <w:rsid w:val="00A20A48"/>
    <w:rsid w:val="00A248BC"/>
    <w:rsid w:val="00A26F89"/>
    <w:rsid w:val="00A3004D"/>
    <w:rsid w:val="00A30FFA"/>
    <w:rsid w:val="00A32929"/>
    <w:rsid w:val="00A3559C"/>
    <w:rsid w:val="00A43D3A"/>
    <w:rsid w:val="00A53C7A"/>
    <w:rsid w:val="00A53EB1"/>
    <w:rsid w:val="00A56321"/>
    <w:rsid w:val="00A6017D"/>
    <w:rsid w:val="00A61E54"/>
    <w:rsid w:val="00A6419D"/>
    <w:rsid w:val="00A66792"/>
    <w:rsid w:val="00A67FF0"/>
    <w:rsid w:val="00A71E9E"/>
    <w:rsid w:val="00A7707E"/>
    <w:rsid w:val="00A81C37"/>
    <w:rsid w:val="00A837AF"/>
    <w:rsid w:val="00A87565"/>
    <w:rsid w:val="00A9030E"/>
    <w:rsid w:val="00A92FBD"/>
    <w:rsid w:val="00A93E58"/>
    <w:rsid w:val="00A962AA"/>
    <w:rsid w:val="00AA19D9"/>
    <w:rsid w:val="00AA3092"/>
    <w:rsid w:val="00AA46C6"/>
    <w:rsid w:val="00AB0D9B"/>
    <w:rsid w:val="00AB5709"/>
    <w:rsid w:val="00AB5A08"/>
    <w:rsid w:val="00AB5DA2"/>
    <w:rsid w:val="00AC11DE"/>
    <w:rsid w:val="00AD274A"/>
    <w:rsid w:val="00AD2C11"/>
    <w:rsid w:val="00AD4035"/>
    <w:rsid w:val="00AD5AC3"/>
    <w:rsid w:val="00AD7155"/>
    <w:rsid w:val="00AE4B8A"/>
    <w:rsid w:val="00AF1A29"/>
    <w:rsid w:val="00AF38CF"/>
    <w:rsid w:val="00AF7750"/>
    <w:rsid w:val="00B01DD3"/>
    <w:rsid w:val="00B11A91"/>
    <w:rsid w:val="00B17C95"/>
    <w:rsid w:val="00B23200"/>
    <w:rsid w:val="00B23965"/>
    <w:rsid w:val="00B2421A"/>
    <w:rsid w:val="00B305F2"/>
    <w:rsid w:val="00B34BC4"/>
    <w:rsid w:val="00B363EC"/>
    <w:rsid w:val="00B374A0"/>
    <w:rsid w:val="00B475DA"/>
    <w:rsid w:val="00B51CE2"/>
    <w:rsid w:val="00B55720"/>
    <w:rsid w:val="00B62930"/>
    <w:rsid w:val="00B64A2D"/>
    <w:rsid w:val="00B653A0"/>
    <w:rsid w:val="00B6548B"/>
    <w:rsid w:val="00B66788"/>
    <w:rsid w:val="00B82036"/>
    <w:rsid w:val="00B82698"/>
    <w:rsid w:val="00B87E4E"/>
    <w:rsid w:val="00B90729"/>
    <w:rsid w:val="00B90F56"/>
    <w:rsid w:val="00B92F9E"/>
    <w:rsid w:val="00B93EDF"/>
    <w:rsid w:val="00BA11DF"/>
    <w:rsid w:val="00BB235F"/>
    <w:rsid w:val="00BD0F7F"/>
    <w:rsid w:val="00BD329B"/>
    <w:rsid w:val="00BD4DAB"/>
    <w:rsid w:val="00BD533E"/>
    <w:rsid w:val="00BE1BF5"/>
    <w:rsid w:val="00BE53F8"/>
    <w:rsid w:val="00BF18C6"/>
    <w:rsid w:val="00BF2087"/>
    <w:rsid w:val="00BF40F5"/>
    <w:rsid w:val="00BF4405"/>
    <w:rsid w:val="00C1450D"/>
    <w:rsid w:val="00C14EAC"/>
    <w:rsid w:val="00C161DB"/>
    <w:rsid w:val="00C22A0C"/>
    <w:rsid w:val="00C30907"/>
    <w:rsid w:val="00C33F6C"/>
    <w:rsid w:val="00C45CB1"/>
    <w:rsid w:val="00C46CA3"/>
    <w:rsid w:val="00C4731E"/>
    <w:rsid w:val="00C53916"/>
    <w:rsid w:val="00C54B0B"/>
    <w:rsid w:val="00C60578"/>
    <w:rsid w:val="00C65D43"/>
    <w:rsid w:val="00C776B1"/>
    <w:rsid w:val="00C83377"/>
    <w:rsid w:val="00C866D9"/>
    <w:rsid w:val="00C92AE3"/>
    <w:rsid w:val="00C94F20"/>
    <w:rsid w:val="00CA0605"/>
    <w:rsid w:val="00CA13CB"/>
    <w:rsid w:val="00CA52FC"/>
    <w:rsid w:val="00CB2453"/>
    <w:rsid w:val="00CD21B9"/>
    <w:rsid w:val="00CE02EF"/>
    <w:rsid w:val="00CE0303"/>
    <w:rsid w:val="00CE44A5"/>
    <w:rsid w:val="00CE657C"/>
    <w:rsid w:val="00CF00A4"/>
    <w:rsid w:val="00CF00D4"/>
    <w:rsid w:val="00CF0E00"/>
    <w:rsid w:val="00CF5299"/>
    <w:rsid w:val="00CF71DD"/>
    <w:rsid w:val="00CF7BE8"/>
    <w:rsid w:val="00D00007"/>
    <w:rsid w:val="00D04BBE"/>
    <w:rsid w:val="00D1003C"/>
    <w:rsid w:val="00D21CC1"/>
    <w:rsid w:val="00D2524A"/>
    <w:rsid w:val="00D454A3"/>
    <w:rsid w:val="00D514D7"/>
    <w:rsid w:val="00D52E7F"/>
    <w:rsid w:val="00D56BD6"/>
    <w:rsid w:val="00D57578"/>
    <w:rsid w:val="00D61753"/>
    <w:rsid w:val="00D704F5"/>
    <w:rsid w:val="00D71EF8"/>
    <w:rsid w:val="00D72995"/>
    <w:rsid w:val="00D83030"/>
    <w:rsid w:val="00D851DF"/>
    <w:rsid w:val="00D961DE"/>
    <w:rsid w:val="00DA1273"/>
    <w:rsid w:val="00DA6F2C"/>
    <w:rsid w:val="00DB2068"/>
    <w:rsid w:val="00DB4A27"/>
    <w:rsid w:val="00DC1FD5"/>
    <w:rsid w:val="00DD58DF"/>
    <w:rsid w:val="00DD7E9C"/>
    <w:rsid w:val="00DE4CE0"/>
    <w:rsid w:val="00DE6374"/>
    <w:rsid w:val="00DF01FA"/>
    <w:rsid w:val="00DF17E0"/>
    <w:rsid w:val="00DF57B6"/>
    <w:rsid w:val="00E02B90"/>
    <w:rsid w:val="00E034E0"/>
    <w:rsid w:val="00E0421E"/>
    <w:rsid w:val="00E060A9"/>
    <w:rsid w:val="00E13069"/>
    <w:rsid w:val="00E210DB"/>
    <w:rsid w:val="00E21B97"/>
    <w:rsid w:val="00E32F75"/>
    <w:rsid w:val="00E405EE"/>
    <w:rsid w:val="00E40DEF"/>
    <w:rsid w:val="00E452E9"/>
    <w:rsid w:val="00E456D1"/>
    <w:rsid w:val="00E60CE5"/>
    <w:rsid w:val="00E673F5"/>
    <w:rsid w:val="00E673F8"/>
    <w:rsid w:val="00E7215E"/>
    <w:rsid w:val="00E72E83"/>
    <w:rsid w:val="00E84E81"/>
    <w:rsid w:val="00E870B4"/>
    <w:rsid w:val="00E8791F"/>
    <w:rsid w:val="00E919B2"/>
    <w:rsid w:val="00EA0BED"/>
    <w:rsid w:val="00EA1D88"/>
    <w:rsid w:val="00EA4ECC"/>
    <w:rsid w:val="00EA4ED3"/>
    <w:rsid w:val="00EB20D8"/>
    <w:rsid w:val="00EC3CB3"/>
    <w:rsid w:val="00EC4F85"/>
    <w:rsid w:val="00ED1CA4"/>
    <w:rsid w:val="00EE190F"/>
    <w:rsid w:val="00EE2BEF"/>
    <w:rsid w:val="00EE4C11"/>
    <w:rsid w:val="00EF187D"/>
    <w:rsid w:val="00EF33B6"/>
    <w:rsid w:val="00EF3A93"/>
    <w:rsid w:val="00F052D3"/>
    <w:rsid w:val="00F06605"/>
    <w:rsid w:val="00F2239C"/>
    <w:rsid w:val="00F34A97"/>
    <w:rsid w:val="00F35364"/>
    <w:rsid w:val="00F35E3C"/>
    <w:rsid w:val="00F411A1"/>
    <w:rsid w:val="00F41224"/>
    <w:rsid w:val="00F50728"/>
    <w:rsid w:val="00F51B25"/>
    <w:rsid w:val="00F567EC"/>
    <w:rsid w:val="00F62B9B"/>
    <w:rsid w:val="00F633E6"/>
    <w:rsid w:val="00F712E4"/>
    <w:rsid w:val="00F71E22"/>
    <w:rsid w:val="00F779C0"/>
    <w:rsid w:val="00F84EE2"/>
    <w:rsid w:val="00F901C8"/>
    <w:rsid w:val="00F9484E"/>
    <w:rsid w:val="00F97F29"/>
    <w:rsid w:val="00FA56C5"/>
    <w:rsid w:val="00FA7EAC"/>
    <w:rsid w:val="00FB2691"/>
    <w:rsid w:val="00FC04AC"/>
    <w:rsid w:val="00FC09CA"/>
    <w:rsid w:val="00FD04FD"/>
    <w:rsid w:val="00FD12A5"/>
    <w:rsid w:val="00FD14CA"/>
    <w:rsid w:val="00FD1843"/>
    <w:rsid w:val="00FD4FD3"/>
    <w:rsid w:val="00FD5E8C"/>
    <w:rsid w:val="00FE04FD"/>
    <w:rsid w:val="00FE25BA"/>
    <w:rsid w:val="00FE6305"/>
    <w:rsid w:val="00FF417E"/>
    <w:rsid w:val="00FF4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DD7D"/>
  <w15:docId w15:val="{2364E109-A4C6-4D8B-86BD-826B4DA9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9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10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223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E44"/>
    <w:rPr>
      <w:color w:val="0563C1" w:themeColor="hyperlink"/>
      <w:u w:val="single"/>
    </w:rPr>
  </w:style>
  <w:style w:type="character" w:styleId="UnresolvedMention">
    <w:name w:val="Unresolved Mention"/>
    <w:basedOn w:val="DefaultParagraphFont"/>
    <w:uiPriority w:val="99"/>
    <w:semiHidden/>
    <w:unhideWhenUsed/>
    <w:rsid w:val="00125E44"/>
    <w:rPr>
      <w:color w:val="605E5C"/>
      <w:shd w:val="clear" w:color="auto" w:fill="E1DFDD"/>
    </w:rPr>
  </w:style>
  <w:style w:type="paragraph" w:styleId="ListParagraph">
    <w:name w:val="List Paragraph"/>
    <w:basedOn w:val="Normal"/>
    <w:uiPriority w:val="34"/>
    <w:qFormat/>
    <w:rsid w:val="00311982"/>
    <w:pPr>
      <w:spacing w:after="0" w:line="240" w:lineRule="auto"/>
      <w:ind w:left="720"/>
      <w:contextualSpacing/>
    </w:pPr>
    <w:rPr>
      <w:rFonts w:ascii="Arial" w:eastAsia="Calibri" w:hAnsi="Arial" w:cs="Times New Roman"/>
    </w:rPr>
  </w:style>
  <w:style w:type="character" w:customStyle="1" w:styleId="Heading2Char">
    <w:name w:val="Heading 2 Char"/>
    <w:basedOn w:val="DefaultParagraphFont"/>
    <w:link w:val="Heading2"/>
    <w:uiPriority w:val="9"/>
    <w:rsid w:val="00E210D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729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2995"/>
    <w:rPr>
      <w:b/>
      <w:bCs/>
    </w:rPr>
  </w:style>
  <w:style w:type="character" w:styleId="FollowedHyperlink">
    <w:name w:val="FollowedHyperlink"/>
    <w:basedOn w:val="DefaultParagraphFont"/>
    <w:uiPriority w:val="99"/>
    <w:semiHidden/>
    <w:unhideWhenUsed/>
    <w:rsid w:val="00D72995"/>
    <w:rPr>
      <w:color w:val="954F72" w:themeColor="followedHyperlink"/>
      <w:u w:val="single"/>
    </w:rPr>
  </w:style>
  <w:style w:type="character" w:customStyle="1" w:styleId="Heading1Char">
    <w:name w:val="Heading 1 Char"/>
    <w:basedOn w:val="DefaultParagraphFont"/>
    <w:link w:val="Heading1"/>
    <w:uiPriority w:val="9"/>
    <w:rsid w:val="001E49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239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0923">
      <w:bodyDiv w:val="1"/>
      <w:marLeft w:val="0"/>
      <w:marRight w:val="0"/>
      <w:marTop w:val="0"/>
      <w:marBottom w:val="0"/>
      <w:divBdr>
        <w:top w:val="none" w:sz="0" w:space="0" w:color="auto"/>
        <w:left w:val="none" w:sz="0" w:space="0" w:color="auto"/>
        <w:bottom w:val="none" w:sz="0" w:space="0" w:color="auto"/>
        <w:right w:val="none" w:sz="0" w:space="0" w:color="auto"/>
      </w:divBdr>
    </w:div>
    <w:div w:id="85925051">
      <w:bodyDiv w:val="1"/>
      <w:marLeft w:val="0"/>
      <w:marRight w:val="0"/>
      <w:marTop w:val="0"/>
      <w:marBottom w:val="0"/>
      <w:divBdr>
        <w:top w:val="none" w:sz="0" w:space="0" w:color="auto"/>
        <w:left w:val="none" w:sz="0" w:space="0" w:color="auto"/>
        <w:bottom w:val="none" w:sz="0" w:space="0" w:color="auto"/>
        <w:right w:val="none" w:sz="0" w:space="0" w:color="auto"/>
      </w:divBdr>
    </w:div>
    <w:div w:id="286358347">
      <w:bodyDiv w:val="1"/>
      <w:marLeft w:val="0"/>
      <w:marRight w:val="0"/>
      <w:marTop w:val="0"/>
      <w:marBottom w:val="0"/>
      <w:divBdr>
        <w:top w:val="none" w:sz="0" w:space="0" w:color="auto"/>
        <w:left w:val="none" w:sz="0" w:space="0" w:color="auto"/>
        <w:bottom w:val="none" w:sz="0" w:space="0" w:color="auto"/>
        <w:right w:val="none" w:sz="0" w:space="0" w:color="auto"/>
      </w:divBdr>
    </w:div>
    <w:div w:id="297876759">
      <w:bodyDiv w:val="1"/>
      <w:marLeft w:val="0"/>
      <w:marRight w:val="0"/>
      <w:marTop w:val="0"/>
      <w:marBottom w:val="0"/>
      <w:divBdr>
        <w:top w:val="none" w:sz="0" w:space="0" w:color="auto"/>
        <w:left w:val="none" w:sz="0" w:space="0" w:color="auto"/>
        <w:bottom w:val="none" w:sz="0" w:space="0" w:color="auto"/>
        <w:right w:val="none" w:sz="0" w:space="0" w:color="auto"/>
      </w:divBdr>
    </w:div>
    <w:div w:id="511838584">
      <w:bodyDiv w:val="1"/>
      <w:marLeft w:val="0"/>
      <w:marRight w:val="0"/>
      <w:marTop w:val="0"/>
      <w:marBottom w:val="0"/>
      <w:divBdr>
        <w:top w:val="none" w:sz="0" w:space="0" w:color="auto"/>
        <w:left w:val="none" w:sz="0" w:space="0" w:color="auto"/>
        <w:bottom w:val="none" w:sz="0" w:space="0" w:color="auto"/>
        <w:right w:val="none" w:sz="0" w:space="0" w:color="auto"/>
      </w:divBdr>
    </w:div>
    <w:div w:id="524564882">
      <w:bodyDiv w:val="1"/>
      <w:marLeft w:val="0"/>
      <w:marRight w:val="0"/>
      <w:marTop w:val="0"/>
      <w:marBottom w:val="0"/>
      <w:divBdr>
        <w:top w:val="none" w:sz="0" w:space="0" w:color="auto"/>
        <w:left w:val="none" w:sz="0" w:space="0" w:color="auto"/>
        <w:bottom w:val="none" w:sz="0" w:space="0" w:color="auto"/>
        <w:right w:val="none" w:sz="0" w:space="0" w:color="auto"/>
      </w:divBdr>
    </w:div>
    <w:div w:id="603076387">
      <w:bodyDiv w:val="1"/>
      <w:marLeft w:val="0"/>
      <w:marRight w:val="0"/>
      <w:marTop w:val="0"/>
      <w:marBottom w:val="0"/>
      <w:divBdr>
        <w:top w:val="none" w:sz="0" w:space="0" w:color="auto"/>
        <w:left w:val="none" w:sz="0" w:space="0" w:color="auto"/>
        <w:bottom w:val="none" w:sz="0" w:space="0" w:color="auto"/>
        <w:right w:val="none" w:sz="0" w:space="0" w:color="auto"/>
      </w:divBdr>
    </w:div>
    <w:div w:id="622923382">
      <w:bodyDiv w:val="1"/>
      <w:marLeft w:val="0"/>
      <w:marRight w:val="0"/>
      <w:marTop w:val="0"/>
      <w:marBottom w:val="0"/>
      <w:divBdr>
        <w:top w:val="none" w:sz="0" w:space="0" w:color="auto"/>
        <w:left w:val="none" w:sz="0" w:space="0" w:color="auto"/>
        <w:bottom w:val="none" w:sz="0" w:space="0" w:color="auto"/>
        <w:right w:val="none" w:sz="0" w:space="0" w:color="auto"/>
      </w:divBdr>
    </w:div>
    <w:div w:id="638608441">
      <w:bodyDiv w:val="1"/>
      <w:marLeft w:val="0"/>
      <w:marRight w:val="0"/>
      <w:marTop w:val="0"/>
      <w:marBottom w:val="0"/>
      <w:divBdr>
        <w:top w:val="none" w:sz="0" w:space="0" w:color="auto"/>
        <w:left w:val="none" w:sz="0" w:space="0" w:color="auto"/>
        <w:bottom w:val="none" w:sz="0" w:space="0" w:color="auto"/>
        <w:right w:val="none" w:sz="0" w:space="0" w:color="auto"/>
      </w:divBdr>
    </w:div>
    <w:div w:id="663897334">
      <w:bodyDiv w:val="1"/>
      <w:marLeft w:val="0"/>
      <w:marRight w:val="0"/>
      <w:marTop w:val="0"/>
      <w:marBottom w:val="0"/>
      <w:divBdr>
        <w:top w:val="none" w:sz="0" w:space="0" w:color="auto"/>
        <w:left w:val="none" w:sz="0" w:space="0" w:color="auto"/>
        <w:bottom w:val="none" w:sz="0" w:space="0" w:color="auto"/>
        <w:right w:val="none" w:sz="0" w:space="0" w:color="auto"/>
      </w:divBdr>
    </w:div>
    <w:div w:id="872306036">
      <w:bodyDiv w:val="1"/>
      <w:marLeft w:val="0"/>
      <w:marRight w:val="0"/>
      <w:marTop w:val="0"/>
      <w:marBottom w:val="0"/>
      <w:divBdr>
        <w:top w:val="none" w:sz="0" w:space="0" w:color="auto"/>
        <w:left w:val="none" w:sz="0" w:space="0" w:color="auto"/>
        <w:bottom w:val="none" w:sz="0" w:space="0" w:color="auto"/>
        <w:right w:val="none" w:sz="0" w:space="0" w:color="auto"/>
      </w:divBdr>
      <w:divsChild>
        <w:div w:id="1505973218">
          <w:marLeft w:val="0"/>
          <w:marRight w:val="0"/>
          <w:marTop w:val="0"/>
          <w:marBottom w:val="0"/>
          <w:divBdr>
            <w:top w:val="none" w:sz="0" w:space="0" w:color="auto"/>
            <w:left w:val="none" w:sz="0" w:space="0" w:color="auto"/>
            <w:bottom w:val="none" w:sz="0" w:space="0" w:color="auto"/>
            <w:right w:val="none" w:sz="0" w:space="0" w:color="auto"/>
          </w:divBdr>
        </w:div>
      </w:divsChild>
    </w:div>
    <w:div w:id="1038311699">
      <w:bodyDiv w:val="1"/>
      <w:marLeft w:val="0"/>
      <w:marRight w:val="0"/>
      <w:marTop w:val="0"/>
      <w:marBottom w:val="0"/>
      <w:divBdr>
        <w:top w:val="none" w:sz="0" w:space="0" w:color="auto"/>
        <w:left w:val="none" w:sz="0" w:space="0" w:color="auto"/>
        <w:bottom w:val="none" w:sz="0" w:space="0" w:color="auto"/>
        <w:right w:val="none" w:sz="0" w:space="0" w:color="auto"/>
      </w:divBdr>
    </w:div>
    <w:div w:id="1038360172">
      <w:bodyDiv w:val="1"/>
      <w:marLeft w:val="0"/>
      <w:marRight w:val="0"/>
      <w:marTop w:val="0"/>
      <w:marBottom w:val="0"/>
      <w:divBdr>
        <w:top w:val="none" w:sz="0" w:space="0" w:color="auto"/>
        <w:left w:val="none" w:sz="0" w:space="0" w:color="auto"/>
        <w:bottom w:val="none" w:sz="0" w:space="0" w:color="auto"/>
        <w:right w:val="none" w:sz="0" w:space="0" w:color="auto"/>
      </w:divBdr>
    </w:div>
    <w:div w:id="1063723511">
      <w:bodyDiv w:val="1"/>
      <w:marLeft w:val="0"/>
      <w:marRight w:val="0"/>
      <w:marTop w:val="0"/>
      <w:marBottom w:val="0"/>
      <w:divBdr>
        <w:top w:val="none" w:sz="0" w:space="0" w:color="auto"/>
        <w:left w:val="none" w:sz="0" w:space="0" w:color="auto"/>
        <w:bottom w:val="none" w:sz="0" w:space="0" w:color="auto"/>
        <w:right w:val="none" w:sz="0" w:space="0" w:color="auto"/>
      </w:divBdr>
    </w:div>
    <w:div w:id="1081294291">
      <w:bodyDiv w:val="1"/>
      <w:marLeft w:val="0"/>
      <w:marRight w:val="0"/>
      <w:marTop w:val="0"/>
      <w:marBottom w:val="0"/>
      <w:divBdr>
        <w:top w:val="none" w:sz="0" w:space="0" w:color="auto"/>
        <w:left w:val="none" w:sz="0" w:space="0" w:color="auto"/>
        <w:bottom w:val="none" w:sz="0" w:space="0" w:color="auto"/>
        <w:right w:val="none" w:sz="0" w:space="0" w:color="auto"/>
      </w:divBdr>
    </w:div>
    <w:div w:id="1103189329">
      <w:bodyDiv w:val="1"/>
      <w:marLeft w:val="0"/>
      <w:marRight w:val="0"/>
      <w:marTop w:val="0"/>
      <w:marBottom w:val="0"/>
      <w:divBdr>
        <w:top w:val="none" w:sz="0" w:space="0" w:color="auto"/>
        <w:left w:val="none" w:sz="0" w:space="0" w:color="auto"/>
        <w:bottom w:val="none" w:sz="0" w:space="0" w:color="auto"/>
        <w:right w:val="none" w:sz="0" w:space="0" w:color="auto"/>
      </w:divBdr>
    </w:div>
    <w:div w:id="1349914634">
      <w:bodyDiv w:val="1"/>
      <w:marLeft w:val="0"/>
      <w:marRight w:val="0"/>
      <w:marTop w:val="0"/>
      <w:marBottom w:val="0"/>
      <w:divBdr>
        <w:top w:val="none" w:sz="0" w:space="0" w:color="auto"/>
        <w:left w:val="none" w:sz="0" w:space="0" w:color="auto"/>
        <w:bottom w:val="none" w:sz="0" w:space="0" w:color="auto"/>
        <w:right w:val="none" w:sz="0" w:space="0" w:color="auto"/>
      </w:divBdr>
    </w:div>
    <w:div w:id="1441416923">
      <w:bodyDiv w:val="1"/>
      <w:marLeft w:val="0"/>
      <w:marRight w:val="0"/>
      <w:marTop w:val="0"/>
      <w:marBottom w:val="0"/>
      <w:divBdr>
        <w:top w:val="none" w:sz="0" w:space="0" w:color="auto"/>
        <w:left w:val="none" w:sz="0" w:space="0" w:color="auto"/>
        <w:bottom w:val="none" w:sz="0" w:space="0" w:color="auto"/>
        <w:right w:val="none" w:sz="0" w:space="0" w:color="auto"/>
      </w:divBdr>
    </w:div>
    <w:div w:id="1444879340">
      <w:bodyDiv w:val="1"/>
      <w:marLeft w:val="0"/>
      <w:marRight w:val="0"/>
      <w:marTop w:val="0"/>
      <w:marBottom w:val="0"/>
      <w:divBdr>
        <w:top w:val="none" w:sz="0" w:space="0" w:color="auto"/>
        <w:left w:val="none" w:sz="0" w:space="0" w:color="auto"/>
        <w:bottom w:val="none" w:sz="0" w:space="0" w:color="auto"/>
        <w:right w:val="none" w:sz="0" w:space="0" w:color="auto"/>
      </w:divBdr>
    </w:div>
    <w:div w:id="1535649762">
      <w:bodyDiv w:val="1"/>
      <w:marLeft w:val="0"/>
      <w:marRight w:val="0"/>
      <w:marTop w:val="0"/>
      <w:marBottom w:val="0"/>
      <w:divBdr>
        <w:top w:val="none" w:sz="0" w:space="0" w:color="auto"/>
        <w:left w:val="none" w:sz="0" w:space="0" w:color="auto"/>
        <w:bottom w:val="none" w:sz="0" w:space="0" w:color="auto"/>
        <w:right w:val="none" w:sz="0" w:space="0" w:color="auto"/>
      </w:divBdr>
    </w:div>
    <w:div w:id="1564563249">
      <w:bodyDiv w:val="1"/>
      <w:marLeft w:val="0"/>
      <w:marRight w:val="0"/>
      <w:marTop w:val="0"/>
      <w:marBottom w:val="0"/>
      <w:divBdr>
        <w:top w:val="none" w:sz="0" w:space="0" w:color="auto"/>
        <w:left w:val="none" w:sz="0" w:space="0" w:color="auto"/>
        <w:bottom w:val="none" w:sz="0" w:space="0" w:color="auto"/>
        <w:right w:val="none" w:sz="0" w:space="0" w:color="auto"/>
      </w:divBdr>
    </w:div>
    <w:div w:id="1607808512">
      <w:bodyDiv w:val="1"/>
      <w:marLeft w:val="0"/>
      <w:marRight w:val="0"/>
      <w:marTop w:val="0"/>
      <w:marBottom w:val="0"/>
      <w:divBdr>
        <w:top w:val="none" w:sz="0" w:space="0" w:color="auto"/>
        <w:left w:val="none" w:sz="0" w:space="0" w:color="auto"/>
        <w:bottom w:val="none" w:sz="0" w:space="0" w:color="auto"/>
        <w:right w:val="none" w:sz="0" w:space="0" w:color="auto"/>
      </w:divBdr>
    </w:div>
    <w:div w:id="1771075642">
      <w:bodyDiv w:val="1"/>
      <w:marLeft w:val="0"/>
      <w:marRight w:val="0"/>
      <w:marTop w:val="0"/>
      <w:marBottom w:val="0"/>
      <w:divBdr>
        <w:top w:val="none" w:sz="0" w:space="0" w:color="auto"/>
        <w:left w:val="none" w:sz="0" w:space="0" w:color="auto"/>
        <w:bottom w:val="none" w:sz="0" w:space="0" w:color="auto"/>
        <w:right w:val="none" w:sz="0" w:space="0" w:color="auto"/>
      </w:divBdr>
    </w:div>
    <w:div w:id="1849060317">
      <w:bodyDiv w:val="1"/>
      <w:marLeft w:val="0"/>
      <w:marRight w:val="0"/>
      <w:marTop w:val="0"/>
      <w:marBottom w:val="0"/>
      <w:divBdr>
        <w:top w:val="none" w:sz="0" w:space="0" w:color="auto"/>
        <w:left w:val="none" w:sz="0" w:space="0" w:color="auto"/>
        <w:bottom w:val="none" w:sz="0" w:space="0" w:color="auto"/>
        <w:right w:val="none" w:sz="0" w:space="0" w:color="auto"/>
      </w:divBdr>
    </w:div>
    <w:div w:id="1871602280">
      <w:bodyDiv w:val="1"/>
      <w:marLeft w:val="0"/>
      <w:marRight w:val="0"/>
      <w:marTop w:val="0"/>
      <w:marBottom w:val="0"/>
      <w:divBdr>
        <w:top w:val="none" w:sz="0" w:space="0" w:color="auto"/>
        <w:left w:val="none" w:sz="0" w:space="0" w:color="auto"/>
        <w:bottom w:val="none" w:sz="0" w:space="0" w:color="auto"/>
        <w:right w:val="none" w:sz="0" w:space="0" w:color="auto"/>
      </w:divBdr>
    </w:div>
    <w:div w:id="1940526833">
      <w:bodyDiv w:val="1"/>
      <w:marLeft w:val="0"/>
      <w:marRight w:val="0"/>
      <w:marTop w:val="0"/>
      <w:marBottom w:val="0"/>
      <w:divBdr>
        <w:top w:val="none" w:sz="0" w:space="0" w:color="auto"/>
        <w:left w:val="none" w:sz="0" w:space="0" w:color="auto"/>
        <w:bottom w:val="none" w:sz="0" w:space="0" w:color="auto"/>
        <w:right w:val="none" w:sz="0" w:space="0" w:color="auto"/>
      </w:divBdr>
    </w:div>
    <w:div w:id="2028746451">
      <w:bodyDiv w:val="1"/>
      <w:marLeft w:val="0"/>
      <w:marRight w:val="0"/>
      <w:marTop w:val="0"/>
      <w:marBottom w:val="0"/>
      <w:divBdr>
        <w:top w:val="none" w:sz="0" w:space="0" w:color="auto"/>
        <w:left w:val="none" w:sz="0" w:space="0" w:color="auto"/>
        <w:bottom w:val="none" w:sz="0" w:space="0" w:color="auto"/>
        <w:right w:val="none" w:sz="0" w:space="0" w:color="auto"/>
      </w:divBdr>
    </w:div>
    <w:div w:id="2034453285">
      <w:bodyDiv w:val="1"/>
      <w:marLeft w:val="0"/>
      <w:marRight w:val="0"/>
      <w:marTop w:val="0"/>
      <w:marBottom w:val="0"/>
      <w:divBdr>
        <w:top w:val="none" w:sz="0" w:space="0" w:color="auto"/>
        <w:left w:val="none" w:sz="0" w:space="0" w:color="auto"/>
        <w:bottom w:val="none" w:sz="0" w:space="0" w:color="auto"/>
        <w:right w:val="none" w:sz="0" w:space="0" w:color="auto"/>
      </w:divBdr>
    </w:div>
    <w:div w:id="2082174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employee-engagement-discussion-report_tcm18-89598.pdf" TargetMode="External"/><Relationship Id="rId18" Type="http://schemas.openxmlformats.org/officeDocument/2006/relationships/hyperlink" Target="https://www2.deloitte.com/us/en/insights/deloitte-review/issue-16/employee-engagement-strategies.html" TargetMode="External"/><Relationship Id="rId26" Type="http://schemas.openxmlformats.org/officeDocument/2006/relationships/hyperlink" Target="https://www.mindtools.com/pages/article/three-component-model-commitment.htm" TargetMode="External"/><Relationship Id="rId39" Type="http://schemas.openxmlformats.org/officeDocument/2006/relationships/hyperlink" Target="https://www.wtwco.com/en-GB/Insights/2014/10/global-trends-in-employee-attraction-retention-and-engagement" TargetMode="External"/><Relationship Id="rId21" Type="http://schemas.openxmlformats.org/officeDocument/2006/relationships/hyperlink" Target="https://www.forbes.com/sites/forbesbostoncouncil/2019/04/04/why-an-employee-engagement-strategy-is-vital-to-your-business/?sh=5a270a856cee" TargetMode="External"/><Relationship Id="rId34" Type="http://schemas.openxmlformats.org/officeDocument/2006/relationships/hyperlink" Target="https://www.employment-studies.co.uk/system/files/resources/files/408.pdf" TargetMode="External"/><Relationship Id="rId7" Type="http://schemas.openxmlformats.org/officeDocument/2006/relationships/hyperlink" Target="https://www.cipd.co.uk/Images/managing-for-sustainable-employee-engagement-guidance-for-employers-and-managers_2012_tcm18-10753.pdf" TargetMode="External"/><Relationship Id="rId2" Type="http://schemas.openxmlformats.org/officeDocument/2006/relationships/styles" Target="styles.xml"/><Relationship Id="rId16" Type="http://schemas.openxmlformats.org/officeDocument/2006/relationships/hyperlink" Target="https://www.managers.org.uk/~/media/Files/Checklists/CHK-245-Understanding_employee_engagement.pdf" TargetMode="External"/><Relationship Id="rId20" Type="http://schemas.openxmlformats.org/officeDocument/2006/relationships/hyperlink" Target="https://engageforsuccess.org/inclusion-diversity/people-trends-demographic-change/" TargetMode="External"/><Relationship Id="rId29" Type="http://schemas.openxmlformats.org/officeDocument/2006/relationships/hyperlink" Target="https://www.ons.gov.uk/employmentandlabourmarket/peopleinwork/employmentandemployeetypes/articles/changingtrendsandrecentshortagesinthelabourmarketuk/lates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digitalopinion.co.uk/files/documents/Emotional_or_Transactional_Engagement.pdf#:~:text=Emotional%20engagement%20is%20more%20deep-%20seated%20than%20transactional,job%20and%20work%20with%20valued%20colleagues%20%28CIPD%202011b%29" TargetMode="External"/><Relationship Id="rId11" Type="http://schemas.openxmlformats.org/officeDocument/2006/relationships/hyperlink" Target="https://www.cipd.co.uk/Images/uk-working-lives-summary-2019-v1_tcm18-58584.pdf" TargetMode="External"/><Relationship Id="rId24" Type="http://schemas.openxmlformats.org/officeDocument/2006/relationships/hyperlink" Target="https://hbr.org/2020/03/how-to-work-with-someone-whos-disengaged" TargetMode="External"/><Relationship Id="rId32" Type="http://schemas.openxmlformats.org/officeDocument/2006/relationships/hyperlink" Target="https://www.quantumworkplace.com/future-of-work/employee-engagement-trends" TargetMode="External"/><Relationship Id="rId37" Type="http://schemas.openxmlformats.org/officeDocument/2006/relationships/hyperlink" Target="https://moodle.uwtsd.ac.uk/pluginfile.php/258168/mod_resource/content/1/Employee%20Engagement%20and%20Commitment.pdf" TargetMode="External"/><Relationship Id="rId40" Type="http://schemas.openxmlformats.org/officeDocument/2006/relationships/fontTable" Target="fontTable.xml"/><Relationship Id="rId5" Type="http://schemas.openxmlformats.org/officeDocument/2006/relationships/hyperlink" Target="http://simon.buckinghamshum.net/wp-content/uploads/2012/10/UNESCOIITE-LearningAnalytics.v4.pdf" TargetMode="External"/><Relationship Id="rId15" Type="http://schemas.openxmlformats.org/officeDocument/2006/relationships/hyperlink" Target="https://www.cipd.co.uk/Images/good-work-index-survey-report-2021-1_tcm18-96105.pdf" TargetMode="External"/><Relationship Id="rId23" Type="http://schemas.openxmlformats.org/officeDocument/2006/relationships/hyperlink" Target="https://www.gallup.com/workplace/236927/employee-engagement-drives-growth.aspx" TargetMode="External"/><Relationship Id="rId28" Type="http://schemas.openxmlformats.org/officeDocument/2006/relationships/hyperlink" Target="https://www.ons.gov.uk/visualisations/dvc1370/" TargetMode="External"/><Relationship Id="rId36" Type="http://schemas.openxmlformats.org/officeDocument/2006/relationships/hyperlink" Target="https://www.business2community.com/infographics/10-essential-pillars-employee-engagement-infographic-01124922#:~:text=%2010%20Essential%20Pillars%20Of%20Employee%20Engagement%20%28Infographic%29,the%20company%E2%80%99s%20core%20values%20has%20a...%20More%20" TargetMode="External"/><Relationship Id="rId10" Type="http://schemas.openxmlformats.org/officeDocument/2006/relationships/hyperlink" Target="https://www.cipd.co.uk/Images/employee-engagement_tcm18-59083.pdf" TargetMode="External"/><Relationship Id="rId19" Type="http://schemas.openxmlformats.org/officeDocument/2006/relationships/hyperlink" Target="https://www2.deloitte.com/us/en/insights/focus/human-capital-trends/2014/human-capital-trends-2014-survey-top-10-findings.html" TargetMode="External"/><Relationship Id="rId31" Type="http://schemas.openxmlformats.org/officeDocument/2006/relationships/hyperlink" Target="https://www.cipd.co.uk/Images/the-future-of-engagement_2014-thought-piece-rediscovering-the-black-box-john-purcell_tcm18-10766.pdf" TargetMode="External"/><Relationship Id="rId4" Type="http://schemas.openxmlformats.org/officeDocument/2006/relationships/webSettings" Target="webSettings.xml"/><Relationship Id="rId9" Type="http://schemas.openxmlformats.org/officeDocument/2006/relationships/hyperlink" Target="https://www.cipd.co.uk/Images/developing-managers-to-manage-sustainable-employee-engagement-health-and-well-being_2017_tcm18-18364.pdf" TargetMode="External"/><Relationship Id="rId14" Type="http://schemas.openxmlformats.org/officeDocument/2006/relationships/hyperlink" Target="https://www.cipd.co.uk/Images/labour-market-outlook-winter-2021-22_tcm18-106241.pdf" TargetMode="External"/><Relationship Id="rId22" Type="http://schemas.openxmlformats.org/officeDocument/2006/relationships/hyperlink" Target="https://www.gallup.com/workplace/356063/gallup-q12-employee-engagement-survey.aspx" TargetMode="External"/><Relationship Id="rId27" Type="http://schemas.openxmlformats.org/officeDocument/2006/relationships/hyperlink" Target="https://www.myhubintranet.com/employee-engagement-hr/" TargetMode="External"/><Relationship Id="rId30" Type="http://schemas.openxmlformats.org/officeDocument/2006/relationships/hyperlink" Target="https://orcpeoplebuzz.wordpress.com/2015/04/23/global-perspectives-survey-2015-global-headlines/" TargetMode="External"/><Relationship Id="rId35" Type="http://schemas.openxmlformats.org/officeDocument/2006/relationships/hyperlink" Target="https://www.hrmagazine.co.uk/content/features/the-line-manager-s-role-in-engagement" TargetMode="External"/><Relationship Id="rId8" Type="http://schemas.openxmlformats.org/officeDocument/2006/relationships/hyperlink" Target="https://engageforsuccess.org/wp-content/uploads/2015/10/employee-outlook_2013-autumn.pdf" TargetMode="External"/><Relationship Id="rId3" Type="http://schemas.openxmlformats.org/officeDocument/2006/relationships/settings" Target="settings.xml"/><Relationship Id="rId12" Type="http://schemas.openxmlformats.org/officeDocument/2006/relationships/hyperlink" Target="https://www.cipd.co.uk/knowledge/fundamentals/relations/engagement/factsheet" TargetMode="External"/><Relationship Id="rId17" Type="http://schemas.openxmlformats.org/officeDocument/2006/relationships/hyperlink" Target="http://www.thestairway.co.uk/Articles/employee-engagement-to-commitment.html" TargetMode="External"/><Relationship Id="rId25" Type="http://schemas.openxmlformats.org/officeDocument/2006/relationships/hyperlink" Target="https://engageforsuccess.org/wp-content/uploads/2021/02/Engaging-for-Success.pdf" TargetMode="External"/><Relationship Id="rId33" Type="http://schemas.openxmlformats.org/officeDocument/2006/relationships/hyperlink" Target="https://www.employment-studies.co.uk/system/files/resources/files/470.pdf" TargetMode="External"/><Relationship Id="rId38" Type="http://schemas.openxmlformats.org/officeDocument/2006/relationships/hyperlink" Target="http://www.canfieldtrainthetrainer.com/login/media/Full_Engagement_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15011</TotalTime>
  <Pages>10</Pages>
  <Words>4604</Words>
  <Characters>26249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571</cp:revision>
  <dcterms:created xsi:type="dcterms:W3CDTF">2022-01-02T15:48:00Z</dcterms:created>
  <dcterms:modified xsi:type="dcterms:W3CDTF">2022-02-15T11:13:00Z</dcterms:modified>
</cp:coreProperties>
</file>