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pPr>
      <w:r>
        <w:rPr>
          <w:noProof/>
        </w:rPr>
        <w:drawing>
          <wp:inline distL="0" distT="0" distB="0" distR="0">
            <wp:extent cx="2114550" cy="2095500"/>
            <wp:effectExtent l="0" t="0" r="0" b="0"/>
            <wp:docPr id="1026" name="Picture 2" descr="A black and yellow shield with blue flowers&#10;&#10;AI-generated content may be incorrect."/>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2114550" cy="2095500"/>
                    </a:xfrm>
                    <a:prstGeom prst="rect"/>
                    <a:ln>
                      <a:noFill/>
                    </a:ln>
                  </pic:spPr>
                </pic:pic>
              </a:graphicData>
            </a:graphic>
          </wp:inline>
        </w:drawing>
      </w:r>
    </w:p>
    <w:p>
      <w:pPr>
        <w:pStyle w:val="style0"/>
        <w:rPr/>
      </w:pPr>
    </w:p>
    <w:p>
      <w:pPr>
        <w:pStyle w:val="style0"/>
        <w:jc w:val="center"/>
        <w:rPr/>
      </w:pPr>
      <w:r>
        <w:rPr>
          <w:b/>
          <w:bCs/>
        </w:rPr>
        <w:t>Module Name:</w:t>
      </w:r>
      <w:r>
        <w:t xml:space="preserve"> </w:t>
      </w:r>
      <w:r>
        <w:t>Marketing</w:t>
      </w:r>
      <w:r>
        <w:t xml:space="preserve"> Management</w:t>
      </w:r>
    </w:p>
    <w:p>
      <w:pPr>
        <w:pStyle w:val="style0"/>
        <w:jc w:val="center"/>
        <w:rPr/>
      </w:pPr>
      <w:r>
        <w:rPr>
          <w:b/>
          <w:bCs/>
        </w:rPr>
        <w:t>Module Code</w:t>
      </w:r>
      <w:r>
        <w:t>: LCMB702</w:t>
      </w:r>
      <w:r>
        <w:t>4</w:t>
      </w:r>
    </w:p>
    <w:p>
      <w:pPr>
        <w:pStyle w:val="style0"/>
        <w:jc w:val="center"/>
        <w:rPr/>
      </w:pPr>
      <w:r>
        <w:rPr>
          <w:b/>
          <w:bCs/>
        </w:rPr>
        <w:t>Program</w:t>
      </w:r>
      <w:r>
        <w:rPr>
          <w:b/>
          <w:bCs/>
        </w:rPr>
        <w:t xml:space="preserve"> Name:</w:t>
      </w:r>
      <w:r>
        <w:t xml:space="preserve"> Master of Business Administration</w:t>
      </w:r>
    </w:p>
    <w:p>
      <w:pPr>
        <w:pStyle w:val="style0"/>
        <w:jc w:val="center"/>
        <w:rPr/>
      </w:pPr>
      <w:r>
        <w:rPr>
          <w:b/>
          <w:bCs/>
        </w:rPr>
        <w:t>Student Name:</w:t>
      </w:r>
      <w:r>
        <w:t xml:space="preserve"> </w:t>
      </w:r>
      <w:r>
        <w:t>Aamir Sohail</w:t>
      </w:r>
    </w:p>
    <w:p>
      <w:pPr>
        <w:pStyle w:val="style0"/>
        <w:jc w:val="center"/>
        <w:rPr/>
      </w:pPr>
      <w:r>
        <w:rPr>
          <w:b/>
          <w:bCs/>
        </w:rPr>
        <w:t>Student ID:</w:t>
      </w:r>
      <w:r>
        <w:t xml:space="preserve"> </w:t>
      </w:r>
      <w:r>
        <w:t>2439807</w:t>
      </w:r>
    </w:p>
    <w:p>
      <w:pPr>
        <w:pStyle w:val="style0"/>
        <w:jc w:val="center"/>
        <w:rPr/>
      </w:pPr>
      <w:r>
        <w:rPr>
          <w:b/>
          <w:bCs/>
        </w:rPr>
        <w:t>Tutor name:</w:t>
      </w:r>
      <w:r>
        <w:t xml:space="preserve"> </w:t>
      </w:r>
      <w:r>
        <w:t xml:space="preserve"> </w:t>
      </w:r>
      <w:r>
        <w:rPr>
          <w:lang w:val="en-US"/>
        </w:rPr>
        <w:t xml:space="preserve">Dian Mayasari </w:t>
      </w:r>
    </w:p>
    <w:p>
      <w:pPr>
        <w:pStyle w:val="style0"/>
        <w:jc w:val="center"/>
        <w:rPr>
          <w:b/>
          <w:bCs/>
        </w:rPr>
      </w:pPr>
      <w:r>
        <w:rPr>
          <w:b/>
          <w:bCs/>
        </w:rPr>
        <w:t>Submission Date:</w:t>
      </w:r>
    </w:p>
    <w:p>
      <w:pPr>
        <w:pStyle w:val="style0"/>
        <w:jc w:val="center"/>
        <w:rPr>
          <w:b/>
          <w:bCs/>
        </w:rPr>
      </w:pPr>
      <w:r>
        <w:rPr>
          <w:b/>
          <w:bCs/>
        </w:rPr>
        <w:t>Wordcount:</w:t>
      </w:r>
      <w:r>
        <w:rPr>
          <w:b/>
          <w:bCs/>
        </w:rPr>
        <w:t xml:space="preserve"> </w:t>
      </w:r>
      <w:r>
        <w:t>2</w:t>
      </w:r>
      <w:r>
        <w:t>729</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62"/>
        <w:jc w:val="center"/>
        <w:rPr/>
      </w:pPr>
      <w:r>
        <w:t>Marketing Environment Analysis: The Impact of Technological and Sociocultural Factors on UK Mass-Market Fashion Retail</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266"/>
        <w:rPr>
          <w:noProof/>
        </w:rPr>
      </w:pPr>
      <w:r>
        <w:t>Contents</w:t>
      </w:r>
      <w:r>
        <w:rPr/>
        <w:fldChar w:fldCharType="begin"/>
      </w:r>
      <w:r>
        <w:instrText xml:space="preserve"> TOC \o "1-3" \h \z \u </w:instrText>
      </w:r>
      <w:r>
        <w:rPr/>
        <w:fldChar w:fldCharType="separate"/>
      </w:r>
    </w:p>
    <w:p>
      <w:pPr>
        <w:pStyle w:val="style19"/>
        <w:tabs>
          <w:tab w:val="right" w:leader="dot" w:pos="9350"/>
        </w:tabs>
        <w:rPr>
          <w:rFonts w:ascii="Aptos" w:eastAsia="宋体" w:hAnsi="Aptos"/>
          <w:noProof/>
          <w:szCs w:val="24"/>
        </w:rPr>
      </w:pPr>
      <w:r>
        <w:rPr/>
        <w:fldChar w:fldCharType="begin"/>
      </w:r>
      <w:r>
        <w:instrText xml:space="preserve"> HYPERLINK \l "_Toc211963407"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_Toc211963407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rFonts w:ascii="Aptos" w:eastAsia="宋体" w:hAnsi="Aptos"/>
          <w:noProof/>
          <w:szCs w:val="24"/>
        </w:rPr>
      </w:pPr>
      <w:r>
        <w:rPr/>
        <w:fldChar w:fldCharType="begin"/>
      </w:r>
      <w:r>
        <w:instrText xml:space="preserve"> HYPERLINK \l "_Toc211963408" </w:instrText>
      </w:r>
      <w:r>
        <w:rPr/>
        <w:fldChar w:fldCharType="separate"/>
      </w:r>
      <w:r>
        <w:rPr>
          <w:rStyle w:val="style85"/>
          <w:noProof/>
        </w:rPr>
        <w:t>2. Macro Marketing Environment Analysis</w:t>
      </w:r>
      <w:r>
        <w:rPr>
          <w:noProof/>
          <w:webHidden/>
        </w:rPr>
        <w:tab/>
      </w:r>
      <w:r>
        <w:rPr>
          <w:noProof/>
          <w:webHidden/>
        </w:rPr>
        <w:fldChar w:fldCharType="begin"/>
      </w:r>
      <w:r>
        <w:rPr>
          <w:noProof/>
          <w:webHidden/>
        </w:rPr>
        <w:instrText xml:space="preserve"> PAGEREF _Toc211963408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Aptos" w:eastAsia="宋体" w:hAnsi="Aptos"/>
          <w:noProof/>
          <w:szCs w:val="24"/>
        </w:rPr>
      </w:pPr>
      <w:r>
        <w:rPr/>
        <w:fldChar w:fldCharType="begin"/>
      </w:r>
      <w:r>
        <w:instrText xml:space="preserve"> HYPERLINK \l "_Toc211963409" </w:instrText>
      </w:r>
      <w:r>
        <w:rPr/>
        <w:fldChar w:fldCharType="separate"/>
      </w:r>
      <w:r>
        <w:rPr>
          <w:rStyle w:val="style85"/>
          <w:noProof/>
        </w:rPr>
        <w:t>2.1 Technological Factors</w:t>
      </w:r>
      <w:r>
        <w:rPr>
          <w:noProof/>
          <w:webHidden/>
        </w:rPr>
        <w:tab/>
      </w:r>
      <w:r>
        <w:rPr>
          <w:noProof/>
          <w:webHidden/>
        </w:rPr>
        <w:fldChar w:fldCharType="begin"/>
      </w:r>
      <w:r>
        <w:rPr>
          <w:noProof/>
          <w:webHidden/>
        </w:rPr>
        <w:instrText xml:space="preserve"> PAGEREF _Toc211963409 \h </w:instrText>
      </w:r>
      <w:r>
        <w:rPr>
          <w:noProof/>
          <w:webHidden/>
        </w:rPr>
        <w:fldChar w:fldCharType="separate"/>
      </w:r>
      <w:r>
        <w:rPr>
          <w:noProof/>
          <w:webHidden/>
        </w:rPr>
        <w:t>4</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"_Toc211963410" </w:instrText>
      </w:r>
      <w:r>
        <w:rPr/>
        <w:fldChar w:fldCharType="separate"/>
      </w:r>
      <w:r>
        <w:rPr>
          <w:rStyle w:val="style85"/>
          <w:noProof/>
        </w:rPr>
        <w:t>Opportunities for Pioneers</w:t>
      </w:r>
      <w:r>
        <w:rPr>
          <w:noProof/>
          <w:webHidden/>
        </w:rPr>
        <w:tab/>
      </w:r>
      <w:r>
        <w:rPr>
          <w:noProof/>
          <w:webHidden/>
        </w:rPr>
        <w:fldChar w:fldCharType="begin"/>
      </w:r>
      <w:r>
        <w:rPr>
          <w:noProof/>
          <w:webHidden/>
        </w:rPr>
        <w:instrText xml:space="preserve"> PAGEREF _Toc211963410 \h </w:instrText>
      </w:r>
      <w:r>
        <w:rPr>
          <w:noProof/>
          <w:webHidden/>
        </w:rPr>
        <w:fldChar w:fldCharType="separate"/>
      </w:r>
      <w:r>
        <w:rPr>
          <w:noProof/>
          <w:webHidden/>
        </w:rPr>
        <w:t>5</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"_Toc211963411" </w:instrText>
      </w:r>
      <w:r>
        <w:rPr/>
        <w:fldChar w:fldCharType="separate"/>
      </w:r>
      <w:r>
        <w:rPr>
          <w:rStyle w:val="style85"/>
          <w:noProof/>
        </w:rPr>
        <w:t>Threats for Pioneers</w:t>
      </w:r>
      <w:r>
        <w:rPr>
          <w:noProof/>
          <w:webHidden/>
        </w:rPr>
        <w:tab/>
      </w:r>
      <w:r>
        <w:rPr>
          <w:noProof/>
          <w:webHidden/>
        </w:rPr>
        <w:fldChar w:fldCharType="begin"/>
      </w:r>
      <w:r>
        <w:rPr>
          <w:noProof/>
          <w:webHidden/>
        </w:rPr>
        <w:instrText xml:space="preserve"> PAGEREF _Toc211963411 \h </w:instrText>
      </w:r>
      <w:r>
        <w:rPr>
          <w:noProof/>
          <w:webHidden/>
        </w:rPr>
        <w:fldChar w:fldCharType="separate"/>
      </w:r>
      <w:r>
        <w:rPr>
          <w:noProof/>
          <w:webHidden/>
        </w:rPr>
        <w:t>6</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"_Toc211963412" </w:instrText>
      </w:r>
      <w:r>
        <w:rPr/>
        <w:fldChar w:fldCharType="separate"/>
      </w:r>
      <w:r>
        <w:rPr>
          <w:rStyle w:val="style85"/>
          <w:noProof/>
        </w:rPr>
        <w:t>Opportunities for Followers</w:t>
      </w:r>
      <w:r>
        <w:rPr>
          <w:noProof/>
          <w:webHidden/>
        </w:rPr>
        <w:tab/>
      </w:r>
      <w:r>
        <w:rPr>
          <w:noProof/>
          <w:webHidden/>
        </w:rPr>
        <w:fldChar w:fldCharType="begin"/>
      </w:r>
      <w:r>
        <w:rPr>
          <w:noProof/>
          <w:webHidden/>
        </w:rPr>
        <w:instrText xml:space="preserve"> PAGEREF _Toc211963412 \h </w:instrText>
      </w:r>
      <w:r>
        <w:rPr>
          <w:noProof/>
          <w:webHidden/>
        </w:rPr>
        <w:fldChar w:fldCharType="separate"/>
      </w:r>
      <w:r>
        <w:rPr>
          <w:noProof/>
          <w:webHidden/>
        </w:rPr>
        <w:t>6</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"_Toc211963413" </w:instrText>
      </w:r>
      <w:r>
        <w:rPr/>
        <w:fldChar w:fldCharType="separate"/>
      </w:r>
      <w:r>
        <w:rPr>
          <w:rStyle w:val="style85"/>
          <w:noProof/>
        </w:rPr>
        <w:t>Threats for Followers</w:t>
      </w:r>
      <w:r>
        <w:rPr>
          <w:noProof/>
          <w:webHidden/>
        </w:rPr>
        <w:tab/>
      </w:r>
      <w:r>
        <w:rPr>
          <w:noProof/>
          <w:webHidden/>
        </w:rPr>
        <w:fldChar w:fldCharType="begin"/>
      </w:r>
      <w:r>
        <w:rPr>
          <w:noProof/>
          <w:webHidden/>
        </w:rPr>
        <w:instrText xml:space="preserve"> PAGEREF _Toc211963413 \h </w:instrText>
      </w:r>
      <w:r>
        <w:rPr>
          <w:noProof/>
          <w:webHidden/>
        </w:rPr>
        <w:fldChar w:fldCharType="separate"/>
      </w:r>
      <w:r>
        <w:rPr>
          <w:noProof/>
          <w:webHidden/>
        </w:rPr>
        <w:t>6</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"_Toc211963414" </w:instrText>
      </w:r>
      <w:r>
        <w:rPr/>
        <w:fldChar w:fldCharType="separate"/>
      </w:r>
      <w:r>
        <w:rPr>
          <w:rStyle w:val="style85"/>
          <w:noProof/>
        </w:rPr>
        <w:t>Critical Comparison</w:t>
      </w:r>
      <w:r>
        <w:rPr>
          <w:noProof/>
          <w:webHidden/>
        </w:rPr>
        <w:tab/>
      </w:r>
      <w:r>
        <w:rPr>
          <w:noProof/>
          <w:webHidden/>
        </w:rPr>
        <w:fldChar w:fldCharType="begin"/>
      </w:r>
      <w:r>
        <w:rPr>
          <w:noProof/>
          <w:webHidden/>
        </w:rPr>
        <w:instrText xml:space="preserve"> PAGEREF _Toc211963414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Aptos" w:eastAsia="宋体" w:hAnsi="Aptos"/>
          <w:noProof/>
          <w:szCs w:val="24"/>
        </w:rPr>
      </w:pPr>
      <w:r>
        <w:rPr/>
        <w:fldChar w:fldCharType="begin"/>
      </w:r>
      <w:r>
        <w:instrText xml:space="preserve"> HYPERLINK \l "_Toc211963415" </w:instrText>
      </w:r>
      <w:r>
        <w:rPr/>
        <w:fldChar w:fldCharType="separate"/>
      </w:r>
      <w:r>
        <w:rPr>
          <w:rStyle w:val="style85"/>
          <w:noProof/>
        </w:rPr>
        <w:t>2.2 Sociocultural Factors</w:t>
      </w:r>
      <w:r>
        <w:rPr>
          <w:noProof/>
          <w:webHidden/>
        </w:rPr>
        <w:tab/>
      </w:r>
      <w:r>
        <w:rPr>
          <w:noProof/>
          <w:webHidden/>
        </w:rPr>
        <w:fldChar w:fldCharType="begin"/>
      </w:r>
      <w:r>
        <w:rPr>
          <w:noProof/>
          <w:webHidden/>
        </w:rPr>
        <w:instrText xml:space="preserve"> PAGEREF _Toc211963415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"_Toc211963416" </w:instrText>
      </w:r>
      <w:r>
        <w:rPr/>
        <w:fldChar w:fldCharType="separate"/>
      </w:r>
      <w:r>
        <w:rPr>
          <w:rStyle w:val="style85"/>
          <w:noProof/>
        </w:rPr>
        <w:t>Changing Consumer Behavior</w:t>
      </w:r>
      <w:r>
        <w:rPr>
          <w:noProof/>
          <w:webHidden/>
        </w:rPr>
        <w:tab/>
      </w:r>
      <w:r>
        <w:rPr>
          <w:noProof/>
          <w:webHidden/>
        </w:rPr>
        <w:fldChar w:fldCharType="begin"/>
      </w:r>
      <w:r>
        <w:rPr>
          <w:noProof/>
          <w:webHidden/>
        </w:rPr>
        <w:instrText xml:space="preserve"> PAGEREF _Toc211963416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"_Toc211963417" </w:instrText>
      </w:r>
      <w:r>
        <w:rPr/>
        <w:fldChar w:fldCharType="separate"/>
      </w:r>
      <w:r>
        <w:rPr>
          <w:rStyle w:val="style85"/>
          <w:noProof/>
        </w:rPr>
        <w:t>Opportunities for Pioneers</w:t>
      </w:r>
      <w:r>
        <w:rPr>
          <w:noProof/>
          <w:webHidden/>
        </w:rPr>
        <w:tab/>
      </w:r>
      <w:r>
        <w:rPr>
          <w:noProof/>
          <w:webHidden/>
        </w:rPr>
        <w:fldChar w:fldCharType="begin"/>
      </w:r>
      <w:r>
        <w:rPr>
          <w:noProof/>
          <w:webHidden/>
        </w:rPr>
        <w:instrText xml:space="preserve"> PAGEREF _Toc211963417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"_Toc211963418" </w:instrText>
      </w:r>
      <w:r>
        <w:rPr/>
        <w:fldChar w:fldCharType="separate"/>
      </w:r>
      <w:r>
        <w:rPr>
          <w:rStyle w:val="style85"/>
          <w:noProof/>
        </w:rPr>
        <w:t>Threats for Pioneers</w:t>
      </w:r>
      <w:r>
        <w:rPr>
          <w:noProof/>
          <w:webHidden/>
        </w:rPr>
        <w:tab/>
      </w:r>
      <w:r>
        <w:rPr>
          <w:noProof/>
          <w:webHidden/>
        </w:rPr>
        <w:fldChar w:fldCharType="begin"/>
      </w:r>
      <w:r>
        <w:rPr>
          <w:noProof/>
          <w:webHidden/>
        </w:rPr>
        <w:instrText xml:space="preserve"> PAGEREF _Toc211963418 \h </w:instrText>
      </w:r>
      <w:r>
        <w:rPr>
          <w:noProof/>
          <w:webHidden/>
        </w:rPr>
        <w:fldChar w:fldCharType="separate"/>
      </w:r>
      <w:r>
        <w:rPr>
          <w:noProof/>
          <w:webHidden/>
        </w:rPr>
        <w:t>8</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"_Toc211963419" </w:instrText>
      </w:r>
      <w:r>
        <w:rPr/>
        <w:fldChar w:fldCharType="separate"/>
      </w:r>
      <w:r>
        <w:rPr>
          <w:rStyle w:val="style85"/>
          <w:noProof/>
        </w:rPr>
        <w:t>Opportunities for Followers</w:t>
      </w:r>
      <w:r>
        <w:rPr>
          <w:noProof/>
          <w:webHidden/>
        </w:rPr>
        <w:tab/>
      </w:r>
      <w:r>
        <w:rPr>
          <w:noProof/>
          <w:webHidden/>
        </w:rPr>
        <w:fldChar w:fldCharType="begin"/>
      </w:r>
      <w:r>
        <w:rPr>
          <w:noProof/>
          <w:webHidden/>
        </w:rPr>
        <w:instrText xml:space="preserve"> PAGEREF _Toc211963419 \h </w:instrText>
      </w:r>
      <w:r>
        <w:rPr>
          <w:noProof/>
          <w:webHidden/>
        </w:rPr>
        <w:fldChar w:fldCharType="separate"/>
      </w:r>
      <w:r>
        <w:rPr>
          <w:noProof/>
          <w:webHidden/>
        </w:rPr>
        <w:t>8</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"_Toc211963420" </w:instrText>
      </w:r>
      <w:r>
        <w:rPr/>
        <w:fldChar w:fldCharType="separate"/>
      </w:r>
      <w:r>
        <w:rPr>
          <w:rStyle w:val="style85"/>
          <w:noProof/>
        </w:rPr>
        <w:t>Threats for Followers</w:t>
      </w:r>
      <w:r>
        <w:rPr>
          <w:noProof/>
          <w:webHidden/>
        </w:rPr>
        <w:tab/>
      </w:r>
      <w:r>
        <w:rPr>
          <w:noProof/>
          <w:webHidden/>
        </w:rPr>
        <w:fldChar w:fldCharType="begin"/>
      </w:r>
      <w:r>
        <w:rPr>
          <w:noProof/>
          <w:webHidden/>
        </w:rPr>
        <w:instrText xml:space="preserve"> PAGEREF _Toc211963420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ascii="Aptos" w:eastAsia="宋体" w:hAnsi="Aptos"/>
          <w:noProof/>
          <w:szCs w:val="24"/>
        </w:rPr>
      </w:pPr>
      <w:r>
        <w:rPr/>
        <w:fldChar w:fldCharType="begin"/>
      </w:r>
      <w:r>
        <w:instrText xml:space="preserve"> HYPERLINK \l "_Toc211963421" </w:instrText>
      </w:r>
      <w:r>
        <w:rPr/>
        <w:fldChar w:fldCharType="separate"/>
      </w:r>
      <w:r>
        <w:rPr>
          <w:rStyle w:val="style85"/>
          <w:noProof/>
        </w:rPr>
        <w:t>3. Strategic Responses of Pioneers and Followers</w:t>
      </w:r>
      <w:r>
        <w:rPr>
          <w:noProof/>
          <w:webHidden/>
        </w:rPr>
        <w:tab/>
      </w:r>
      <w:r>
        <w:rPr>
          <w:noProof/>
          <w:webHidden/>
        </w:rPr>
        <w:fldChar w:fldCharType="begin"/>
      </w:r>
      <w:r>
        <w:rPr>
          <w:noProof/>
          <w:webHidden/>
        </w:rPr>
        <w:instrText xml:space="preserve"> PAGEREF _Toc211963421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Aptos" w:eastAsia="宋体" w:hAnsi="Aptos"/>
          <w:noProof/>
          <w:szCs w:val="24"/>
        </w:rPr>
      </w:pPr>
      <w:r>
        <w:rPr/>
        <w:fldChar w:fldCharType="begin"/>
      </w:r>
      <w:r>
        <w:instrText xml:space="preserve"> HYPERLINK \l "_Toc211963422" </w:instrText>
      </w:r>
      <w:r>
        <w:rPr/>
        <w:fldChar w:fldCharType="separate"/>
      </w:r>
      <w:r>
        <w:rPr>
          <w:rStyle w:val="style85"/>
          <w:noProof/>
        </w:rPr>
        <w:t>3.1 Pioneers: Strategic Innovation and Differentiation</w:t>
      </w:r>
      <w:r>
        <w:rPr>
          <w:noProof/>
          <w:webHidden/>
        </w:rPr>
        <w:tab/>
      </w:r>
      <w:r>
        <w:rPr>
          <w:noProof/>
          <w:webHidden/>
        </w:rPr>
        <w:fldChar w:fldCharType="begin"/>
      </w:r>
      <w:r>
        <w:rPr>
          <w:noProof/>
          <w:webHidden/>
        </w:rPr>
        <w:instrText xml:space="preserve"> PAGEREF _Toc211963422 \h </w:instrText>
      </w:r>
      <w:r>
        <w:rPr>
          <w:noProof/>
          <w:webHidden/>
        </w:rPr>
        <w:fldChar w:fldCharType="separate"/>
      </w:r>
      <w:r>
        <w:rPr>
          <w:noProof/>
          <w:webHidden/>
        </w:rPr>
        <w:t>10</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"_Toc211963423" </w:instrText>
      </w:r>
      <w:r>
        <w:rPr/>
        <w:fldChar w:fldCharType="separate"/>
      </w:r>
      <w:r>
        <w:rPr>
          <w:rStyle w:val="style85"/>
          <w:noProof/>
        </w:rPr>
        <w:t>Innovation as Core Competence</w:t>
      </w:r>
      <w:r>
        <w:rPr>
          <w:noProof/>
          <w:webHidden/>
        </w:rPr>
        <w:tab/>
      </w:r>
      <w:r>
        <w:rPr>
          <w:noProof/>
          <w:webHidden/>
        </w:rPr>
        <w:fldChar w:fldCharType="begin"/>
      </w:r>
      <w:r>
        <w:rPr>
          <w:noProof/>
          <w:webHidden/>
        </w:rPr>
        <w:instrText xml:space="preserve"> PAGEREF _Toc211963423 \h </w:instrText>
      </w:r>
      <w:r>
        <w:rPr>
          <w:noProof/>
          <w:webHidden/>
        </w:rPr>
        <w:fldChar w:fldCharType="separate"/>
      </w:r>
      <w:r>
        <w:rPr>
          <w:noProof/>
          <w:webHidden/>
        </w:rPr>
        <w:t>10</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"_Toc211963424" </w:instrText>
      </w:r>
      <w:r>
        <w:rPr/>
        <w:fldChar w:fldCharType="separate"/>
      </w:r>
      <w:r>
        <w:rPr>
          <w:rStyle w:val="style85"/>
          <w:noProof/>
        </w:rPr>
        <w:t>STP and Marketing Mix Application</w:t>
      </w:r>
      <w:r>
        <w:rPr>
          <w:noProof/>
          <w:webHidden/>
        </w:rPr>
        <w:tab/>
      </w:r>
      <w:r>
        <w:rPr>
          <w:noProof/>
          <w:webHidden/>
        </w:rPr>
        <w:fldChar w:fldCharType="begin"/>
      </w:r>
      <w:r>
        <w:rPr>
          <w:noProof/>
          <w:webHidden/>
        </w:rPr>
        <w:instrText xml:space="preserve"> PAGEREF _Toc211963424 \h </w:instrText>
      </w:r>
      <w:r>
        <w:rPr>
          <w:noProof/>
          <w:webHidden/>
        </w:rPr>
        <w:fldChar w:fldCharType="separate"/>
      </w:r>
      <w:r>
        <w:rPr>
          <w:noProof/>
          <w:webHidden/>
        </w:rPr>
        <w:t>10</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"_Toc211963425" </w:instrText>
      </w:r>
      <w:r>
        <w:rPr/>
        <w:fldChar w:fldCharType="separate"/>
      </w:r>
      <w:r>
        <w:rPr>
          <w:rStyle w:val="style85"/>
          <w:noProof/>
        </w:rPr>
        <w:t>Strategic Challenges</w:t>
      </w:r>
      <w:r>
        <w:rPr>
          <w:noProof/>
          <w:webHidden/>
        </w:rPr>
        <w:tab/>
      </w:r>
      <w:r>
        <w:rPr>
          <w:noProof/>
          <w:webHidden/>
        </w:rPr>
        <w:fldChar w:fldCharType="begin"/>
      </w:r>
      <w:r>
        <w:rPr>
          <w:noProof/>
          <w:webHidden/>
        </w:rPr>
        <w:instrText xml:space="preserve"> PAGEREF _Toc211963425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rFonts w:ascii="Aptos" w:eastAsia="宋体" w:hAnsi="Aptos"/>
          <w:noProof/>
          <w:szCs w:val="24"/>
        </w:rPr>
      </w:pPr>
      <w:r>
        <w:rPr/>
        <w:fldChar w:fldCharType="begin"/>
      </w:r>
      <w:r>
        <w:instrText xml:space="preserve"> HYPERLINK \l "_Toc211963426" </w:instrText>
      </w:r>
      <w:r>
        <w:rPr/>
        <w:fldChar w:fldCharType="separate"/>
      </w:r>
      <w:r>
        <w:rPr>
          <w:rStyle w:val="style85"/>
          <w:noProof/>
        </w:rPr>
        <w:t>3.2 Followers: Strategic Adaptation and Operational Excellence</w:t>
      </w:r>
      <w:r>
        <w:rPr>
          <w:noProof/>
          <w:webHidden/>
        </w:rPr>
        <w:tab/>
      </w:r>
      <w:r>
        <w:rPr>
          <w:noProof/>
          <w:webHidden/>
        </w:rPr>
        <w:fldChar w:fldCharType="begin"/>
      </w:r>
      <w:r>
        <w:rPr>
          <w:noProof/>
          <w:webHidden/>
        </w:rPr>
        <w:instrText xml:space="preserve"> PAGEREF _Toc211963426 \h </w:instrText>
      </w:r>
      <w:r>
        <w:rPr>
          <w:noProof/>
          <w:webHidden/>
        </w:rPr>
        <w:fldChar w:fldCharType="separate"/>
      </w:r>
      <w:r>
        <w:rPr>
          <w:noProof/>
          <w:webHidden/>
        </w:rPr>
        <w:t>11</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"_Toc211963427" </w:instrText>
      </w:r>
      <w:r>
        <w:rPr/>
        <w:fldChar w:fldCharType="separate"/>
      </w:r>
      <w:r>
        <w:rPr>
          <w:rStyle w:val="style85"/>
          <w:noProof/>
        </w:rPr>
        <w:t>Cost Leadership and Efficiency</w:t>
      </w:r>
      <w:r>
        <w:rPr>
          <w:noProof/>
          <w:webHidden/>
        </w:rPr>
        <w:tab/>
      </w:r>
      <w:r>
        <w:rPr>
          <w:noProof/>
          <w:webHidden/>
        </w:rPr>
        <w:fldChar w:fldCharType="begin"/>
      </w:r>
      <w:r>
        <w:rPr>
          <w:noProof/>
          <w:webHidden/>
        </w:rPr>
        <w:instrText xml:space="preserve"> PAGEREF _Toc211963427 \h </w:instrText>
      </w:r>
      <w:r>
        <w:rPr>
          <w:noProof/>
          <w:webHidden/>
        </w:rPr>
        <w:fldChar w:fldCharType="separate"/>
      </w:r>
      <w:r>
        <w:rPr>
          <w:noProof/>
          <w:webHidden/>
        </w:rPr>
        <w:t>11</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"_Toc211963428" </w:instrText>
      </w:r>
      <w:r>
        <w:rPr/>
        <w:fldChar w:fldCharType="separate"/>
      </w:r>
      <w:r>
        <w:rPr>
          <w:rStyle w:val="style85"/>
          <w:noProof/>
        </w:rPr>
        <w:t>Balancing Heritage and Modernity</w:t>
      </w:r>
      <w:r>
        <w:rPr>
          <w:noProof/>
          <w:webHidden/>
        </w:rPr>
        <w:tab/>
      </w:r>
      <w:r>
        <w:rPr>
          <w:noProof/>
          <w:webHidden/>
        </w:rPr>
        <w:fldChar w:fldCharType="begin"/>
      </w:r>
      <w:r>
        <w:rPr>
          <w:noProof/>
          <w:webHidden/>
        </w:rPr>
        <w:instrText xml:space="preserve"> PAGEREF _Toc211963428 \h </w:instrText>
      </w:r>
      <w:r>
        <w:rPr>
          <w:noProof/>
          <w:webHidden/>
        </w:rPr>
        <w:fldChar w:fldCharType="separate"/>
      </w:r>
      <w:r>
        <w:rPr>
          <w:noProof/>
          <w:webHidden/>
        </w:rPr>
        <w:t>11</w:t>
      </w:r>
      <w:r>
        <w:rPr>
          <w:noProof/>
          <w:webHidden/>
        </w:rPr>
        <w:fldChar w:fldCharType="end"/>
      </w:r>
      <w:r>
        <w:rPr/>
        <w:fldChar w:fldCharType="end"/>
      </w:r>
    </w:p>
    <w:p>
      <w:pPr>
        <w:pStyle w:val="style21"/>
        <w:tabs>
          <w:tab w:val="right" w:leader="dot" w:pos="9350"/>
        </w:tabs>
        <w:rPr>
          <w:rFonts w:ascii="Aptos" w:eastAsia="宋体" w:hAnsi="Aptos"/>
          <w:noProof/>
          <w:szCs w:val="24"/>
        </w:rPr>
      </w:pPr>
      <w:r>
        <w:rPr/>
        <w:fldChar w:fldCharType="begin"/>
      </w:r>
      <w:r>
        <w:instrText xml:space="preserve"> HYPERLINK \l "_Toc211963429" </w:instrText>
      </w:r>
      <w:r>
        <w:rPr/>
        <w:fldChar w:fldCharType="separate"/>
      </w:r>
      <w:r>
        <w:rPr>
          <w:rStyle w:val="style85"/>
          <w:noProof/>
        </w:rPr>
        <w:t>Strategic Risks</w:t>
      </w:r>
      <w:r>
        <w:rPr>
          <w:noProof/>
          <w:webHidden/>
        </w:rPr>
        <w:tab/>
      </w:r>
      <w:r>
        <w:rPr>
          <w:noProof/>
          <w:webHidden/>
        </w:rPr>
        <w:fldChar w:fldCharType="begin"/>
      </w:r>
      <w:r>
        <w:rPr>
          <w:noProof/>
          <w:webHidden/>
        </w:rPr>
        <w:instrText xml:space="preserve"> PAGEREF _Toc211963429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rPr>
          <w:rFonts w:ascii="Aptos" w:eastAsia="宋体" w:hAnsi="Aptos"/>
          <w:noProof/>
          <w:szCs w:val="24"/>
        </w:rPr>
      </w:pPr>
      <w:r>
        <w:rPr/>
        <w:fldChar w:fldCharType="begin"/>
      </w:r>
      <w:r>
        <w:instrText xml:space="preserve"> HYPERLINK \l "_Toc211963430" </w:instrText>
      </w:r>
      <w:r>
        <w:rPr/>
        <w:fldChar w:fldCharType="separate"/>
      </w:r>
      <w:r>
        <w:rPr>
          <w:rStyle w:val="style85"/>
          <w:noProof/>
        </w:rPr>
        <w:t>3.3 Comparative Evaluation and Strategic Synthesis</w:t>
      </w:r>
      <w:r>
        <w:rPr>
          <w:noProof/>
          <w:webHidden/>
        </w:rPr>
        <w:tab/>
      </w:r>
      <w:r>
        <w:rPr>
          <w:noProof/>
          <w:webHidden/>
        </w:rPr>
        <w:fldChar w:fldCharType="begin"/>
      </w:r>
      <w:r>
        <w:rPr>
          <w:noProof/>
          <w:webHidden/>
        </w:rPr>
        <w:instrText xml:space="preserve"> PAGEREF _Toc211963430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350"/>
        </w:tabs>
        <w:rPr>
          <w:rFonts w:ascii="Aptos" w:eastAsia="宋体" w:hAnsi="Aptos"/>
          <w:noProof/>
          <w:szCs w:val="24"/>
        </w:rPr>
      </w:pPr>
      <w:r>
        <w:rPr/>
        <w:fldChar w:fldCharType="begin"/>
      </w:r>
      <w:r>
        <w:instrText xml:space="preserve"> HYPERLINK \l "_Toc211963431" </w:instrText>
      </w:r>
      <w:r>
        <w:rPr/>
        <w:fldChar w:fldCharType="separate"/>
      </w:r>
      <w:r>
        <w:rPr>
          <w:rStyle w:val="style85"/>
          <w:noProof/>
        </w:rPr>
        <w:t>4. Conclusion</w:t>
      </w:r>
      <w:r>
        <w:rPr>
          <w:noProof/>
          <w:webHidden/>
        </w:rPr>
        <w:tab/>
      </w:r>
      <w:r>
        <w:rPr>
          <w:noProof/>
          <w:webHidden/>
        </w:rPr>
        <w:fldChar w:fldCharType="begin"/>
      </w:r>
      <w:r>
        <w:rPr>
          <w:noProof/>
          <w:webHidden/>
        </w:rPr>
        <w:instrText xml:space="preserve"> PAGEREF _Toc211963431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350"/>
        </w:tabs>
        <w:rPr>
          <w:rFonts w:ascii="Aptos" w:eastAsia="宋体" w:hAnsi="Aptos"/>
          <w:noProof/>
          <w:szCs w:val="24"/>
        </w:rPr>
      </w:pPr>
      <w:r>
        <w:rPr/>
        <w:fldChar w:fldCharType="begin"/>
      </w:r>
      <w:r>
        <w:instrText xml:space="preserve"> HYPERLINK \l "_Toc211963432"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_Toc211963432 \h </w:instrText>
      </w:r>
      <w:r>
        <w:rPr>
          <w:noProof/>
          <w:webHidden/>
        </w:rPr>
        <w:fldChar w:fldCharType="separate"/>
      </w:r>
      <w:r>
        <w:rPr>
          <w:noProof/>
          <w:webHidden/>
        </w:rPr>
        <w:t>14</w:t>
      </w:r>
      <w:r>
        <w:rPr>
          <w:noProof/>
          <w:webHidden/>
        </w:rPr>
        <w:fldChar w:fldCharType="end"/>
      </w:r>
      <w:r>
        <w:rPr/>
        <w:fldChar w:fldCharType="end"/>
      </w:r>
    </w:p>
    <w:p>
      <w:pPr>
        <w:pStyle w:val="style0"/>
        <w:rPr/>
      </w:pPr>
      <w:r>
        <w:rPr>
          <w:b/>
          <w:bCs/>
          <w:noProof/>
        </w:rPr>
        <w:fldChar w:fldCharType="end"/>
      </w:r>
    </w:p>
    <w:p>
      <w:pPr>
        <w:pStyle w:val="style0"/>
        <w:rPr/>
      </w:pPr>
    </w:p>
    <w:p>
      <w:pPr>
        <w:pStyle w:val="style0"/>
        <w:rPr/>
      </w:pPr>
    </w:p>
    <w:p>
      <w:pPr>
        <w:pStyle w:val="style0"/>
        <w:rPr/>
      </w:pPr>
    </w:p>
    <w:p>
      <w:pPr>
        <w:pStyle w:val="style0"/>
        <w:rPr/>
      </w:pPr>
    </w:p>
    <w:p>
      <w:pPr>
        <w:pStyle w:val="style62"/>
        <w:jc w:val="center"/>
        <w:rPr/>
      </w:pPr>
      <w:r>
        <w:t>Marketing Environment Analysis: The Impact of Technological and Sociocultural Factors on UK Mass-Market Fashion Retail</w:t>
      </w:r>
    </w:p>
    <w:p>
      <w:pPr>
        <w:pStyle w:val="style0"/>
        <w:rPr/>
      </w:pPr>
      <w:r>
        <w:t xml:space="preserve"> </w:t>
      </w:r>
    </w:p>
    <w:bookmarkStart w:id="0" w:name="_Toc211963407"/>
    <w:p>
      <w:pPr>
        <w:pStyle w:val="style1"/>
        <w:rPr/>
      </w:pPr>
      <w:r>
        <w:t>1. Introduction</w:t>
      </w:r>
      <w:bookmarkEnd w:id="0"/>
      <w:r>
        <w:t xml:space="preserve"> </w:t>
      </w:r>
    </w:p>
    <w:p>
      <w:pPr>
        <w:pStyle w:val="style0"/>
        <w:spacing w:lineRule="auto" w:line="360"/>
        <w:jc w:val="both"/>
        <w:rPr/>
      </w:pPr>
      <w:r>
        <w:t>The UK fashion retail market has become the largest and most competitive consumer market</w:t>
      </w:r>
      <w:r>
        <w:t>,</w:t>
      </w:r>
      <w:r>
        <w:t xml:space="preserve"> with a value of over </w:t>
      </w:r>
      <w:r>
        <w:t>60</w:t>
      </w:r>
      <w:r>
        <w:t xml:space="preserve"> billion and more than 800,000 employees (British Fashion Council, 2024). It is in this dynamic environment that pioneering and follower </w:t>
      </w:r>
      <w:r>
        <w:t>organizations</w:t>
      </w:r>
      <w:r>
        <w:t xml:space="preserve"> are forced to constantly respond to external macro-environmental forces that </w:t>
      </w:r>
      <w:r>
        <w:t>influence</w:t>
      </w:r>
      <w:r>
        <w:t xml:space="preserve"> marketing strategy and competitive advantage. This report considers two key </w:t>
      </w:r>
      <w:r>
        <w:t>trends</w:t>
      </w:r>
      <w:r>
        <w:t xml:space="preserve"> of the PESTLE framework, technological development and sociocultural change, to discuss how they present opportunities and threats to pioneers like ASOS and Boohoo, and followers like Primark, Next, and Marks &amp; Spencer (M&amp;S).</w:t>
      </w:r>
    </w:p>
    <w:p>
      <w:pPr>
        <w:pStyle w:val="style0"/>
        <w:spacing w:lineRule="auto" w:line="360"/>
        <w:jc w:val="both"/>
        <w:rPr/>
      </w:pPr>
      <w:r>
        <w:t xml:space="preserve">It assumes the application of major marketing theories as developed by Abratt and Bendixen (2018), </w:t>
      </w:r>
      <w:r>
        <w:t>Homburg</w:t>
      </w:r>
      <w:r>
        <w:t xml:space="preserve"> et al. (20</w:t>
      </w:r>
      <w:r>
        <w:t>03</w:t>
      </w:r>
      <w:r>
        <w:t xml:space="preserve">), and </w:t>
      </w:r>
      <w:r>
        <w:t>Gallo</w:t>
      </w:r>
      <w:r>
        <w:t xml:space="preserve"> et al. (20</w:t>
      </w:r>
      <w:r>
        <w:t>25</w:t>
      </w:r>
      <w:r>
        <w:t>) to show how the marketing management decision-making process influences the macro-environmental trends. The report further critically analyzes the responsiveness of both leaders and followers to these challenges in a strategic manner using electronic transformation, sustainability, and consumer-driven approaches, on the frameworks of growth of Ansoff Growth Matrix, Generic Strategies, and marketing 4.0.</w:t>
      </w:r>
    </w:p>
    <w:bookmarkStart w:id="1" w:name="_Toc211963408"/>
    <w:p>
      <w:pPr>
        <w:pStyle w:val="style1"/>
        <w:rPr/>
      </w:pPr>
      <w:r>
        <w:t>2. Macro Marketing Environment Analysis</w:t>
      </w:r>
      <w:bookmarkEnd w:id="1"/>
    </w:p>
    <w:bookmarkStart w:id="2" w:name="_Toc211963409"/>
    <w:p>
      <w:pPr>
        <w:pStyle w:val="style2"/>
        <w:rPr/>
      </w:pPr>
      <w:r>
        <w:t>2.1 Technological Factors</w:t>
      </w:r>
      <w:bookmarkEnd w:id="2"/>
    </w:p>
    <w:p>
      <w:pPr>
        <w:pStyle w:val="style0"/>
        <w:spacing w:lineRule="auto" w:line="360"/>
        <w:jc w:val="both"/>
        <w:rPr/>
      </w:pPr>
      <w:r>
        <w:t xml:space="preserve">Technology is now the catalyst of change in the UK fashion retail industry, as it reinvents the ways </w:t>
      </w:r>
      <w:r>
        <w:t>organizations</w:t>
      </w:r>
      <w:r>
        <w:t xml:space="preserve"> design, distribute</w:t>
      </w:r>
      <w:r>
        <w:t>,</w:t>
      </w:r>
      <w:r>
        <w:t xml:space="preserve"> and communicate their value propositions. According to </w:t>
      </w:r>
      <w:r>
        <w:t>Paley (</w:t>
      </w:r>
      <w:r>
        <w:t>20</w:t>
      </w:r>
      <w:r>
        <w:t>21</w:t>
      </w:r>
      <w:r>
        <w:t>), technological innovation is not just a question of efficiency improvement</w:t>
      </w:r>
      <w:r>
        <w:t>,</w:t>
      </w:r>
      <w:r>
        <w:t xml:space="preserve"> as it alters the layout of </w:t>
      </w:r>
      <w:r>
        <w:t xml:space="preserve">the </w:t>
      </w:r>
      <w:r>
        <w:t xml:space="preserve">contest by altering the perception and the experience of value by customers. Artificial intelligence (AI), e-commerce, augmented reality (AR), virtual fitting </w:t>
      </w:r>
      <w:r>
        <w:t>rooms</w:t>
      </w:r>
      <w:r>
        <w:t xml:space="preserve">, digital loyalty </w:t>
      </w:r>
      <w:r>
        <w:t>programs</w:t>
      </w:r>
      <w:r>
        <w:t>, and mobile shopping apps are some of the technologies that have transformed the operations of mass-market fashion and the marketing approaches.</w:t>
      </w:r>
    </w:p>
    <w:p>
      <w:pPr>
        <w:pStyle w:val="style0"/>
        <w:spacing w:lineRule="auto" w:line="360"/>
        <w:jc w:val="both"/>
        <w:rPr/>
      </w:pPr>
      <w:r>
        <w:t xml:space="preserve"> </w:t>
      </w:r>
      <w:r>
        <w:rPr>
          <w:b/>
          <w:bCs/>
        </w:rPr>
        <w:t>Figure 1</w:t>
      </w:r>
      <w:r>
        <w:t>:</w:t>
      </w:r>
      <w:r>
        <w:t xml:space="preserve"> </w:t>
      </w:r>
      <w:r>
        <w:t>E-commerce</w:t>
      </w:r>
      <w:r>
        <w:t xml:space="preserve"> accounts for approximately </w:t>
      </w:r>
      <w:r>
        <w:rPr>
          <w:b/>
          <w:bCs/>
        </w:rPr>
        <w:t>30.7 percent</w:t>
      </w:r>
      <w:r>
        <w:t xml:space="preserve"> of the UK’s total retail sales</w:t>
      </w:r>
      <w:r>
        <w:t>.</w:t>
      </w:r>
    </w:p>
    <w:p>
      <w:pPr>
        <w:pStyle w:val="style0"/>
        <w:spacing w:lineRule="auto" w:line="360"/>
        <w:jc w:val="both"/>
        <w:rPr/>
      </w:pPr>
      <w:r>
        <w:rPr>
          <w:noProof/>
        </w:rPr>
        <w:drawing>
          <wp:inline distL="0" distT="0" distB="0" distR="0">
            <wp:extent cx="5943600" cy="3030220"/>
            <wp:effectExtent l="0" t="0" r="0" b="0"/>
            <wp:docPr id="1027" name="Picture 2" descr="UK Retail and Ecommerce Sales Benchmarks 202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0" r="0" b="0"/>
                    <a:stretch/>
                  </pic:blipFill>
                  <pic:spPr>
                    <a:xfrm rot="0">
                      <a:off x="0" y="0"/>
                      <a:ext cx="5943600" cy="3030220"/>
                    </a:xfrm>
                    <a:prstGeom prst="rect"/>
                    <a:ln>
                      <a:noFill/>
                    </a:ln>
                  </pic:spPr>
                </pic:pic>
              </a:graphicData>
            </a:graphic>
          </wp:inline>
        </w:drawing>
      </w:r>
    </w:p>
    <w:p>
      <w:pPr>
        <w:pStyle w:val="style0"/>
        <w:spacing w:lineRule="auto" w:line="360"/>
        <w:jc w:val="both"/>
        <w:rPr/>
      </w:pPr>
      <w:r>
        <w:t xml:space="preserve">Source: </w:t>
      </w:r>
      <w:r>
        <w:t>eMarketer (2024)</w:t>
      </w:r>
      <w:r>
        <w:t>.</w:t>
      </w:r>
      <w:r>
        <w:t xml:space="preserve"> </w:t>
      </w:r>
      <w:r>
        <w:rPr>
          <w:i/>
          <w:iCs/>
        </w:rPr>
        <w:t>Total retail sales at a glance: billions in UK total retail sales and % of total retail sales, by channel and category, 2025.</w:t>
      </w:r>
      <w:r>
        <w:t xml:space="preserve"> London: eMarketer Forecast, October 2024. Available at: </w:t>
      </w:r>
      <w:r>
        <w:rPr/>
        <w:fldChar w:fldCharType="begin"/>
      </w:r>
      <w:r>
        <w:instrText xml:space="preserve"> HYPERLINK "https://www.emarketer.com" \t "_new" </w:instrText>
      </w:r>
      <w:r>
        <w:rPr/>
        <w:fldChar w:fldCharType="separate"/>
      </w:r>
      <w:r>
        <w:rPr>
          <w:rStyle w:val="style85"/>
        </w:rPr>
        <w:t>https://www.emarketer.com</w:t>
      </w:r>
      <w:r>
        <w:rPr/>
        <w:fldChar w:fldCharType="end"/>
      </w:r>
      <w:r>
        <w:t>.</w:t>
      </w:r>
    </w:p>
    <w:bookmarkStart w:id="3" w:name="_Toc211963410"/>
    <w:p>
      <w:pPr>
        <w:pStyle w:val="style3"/>
        <w:rPr/>
      </w:pPr>
      <w:r>
        <w:t>Opportunities for Pioneers</w:t>
      </w:r>
      <w:bookmarkEnd w:id="3"/>
    </w:p>
    <w:p>
      <w:pPr>
        <w:pStyle w:val="style0"/>
        <w:spacing w:lineRule="auto" w:line="360"/>
        <w:jc w:val="both"/>
        <w:rPr/>
      </w:pPr>
      <w:r>
        <w:t xml:space="preserve">Technology has been employed by the innovators as a differentiating force. The case of ASOS, which has been among the first UK retailers to adopt a mobile-first approach, is not an exception because it ensures that over 85 percent of the transactions conducted by the company are mobile-related (ASOS Annual Report, 2024). It features recommendation engines that operate under AI, </w:t>
      </w:r>
      <w:r>
        <w:t>which</w:t>
      </w:r>
      <w:r>
        <w:t xml:space="preserve"> leverage predictive analytics to suggest items based on the actions of the user when browsing, which Gallo describes as the notion of connected, context-based marketing. Boeing, on the same note, uses real-time data mining and influencer-driven social commerce, which facilitates micro-segmentation of Gen Zs. The peer networks exploited through its social media marketing campaigns on </w:t>
      </w:r>
      <w:r>
        <w:t>TikTok</w:t>
      </w:r>
      <w:r>
        <w:t xml:space="preserve"> and Instagram have been used to encourage emotional connections and brand virality</w:t>
      </w:r>
      <w:r>
        <w:t>.</w:t>
      </w:r>
    </w:p>
    <w:bookmarkStart w:id="4" w:name="_Toc211963411"/>
    <w:p>
      <w:pPr>
        <w:pStyle w:val="style3"/>
        <w:rPr/>
      </w:pPr>
      <w:r>
        <w:t>Threats for Pioneers</w:t>
      </w:r>
      <w:bookmarkEnd w:id="4"/>
    </w:p>
    <w:p>
      <w:pPr>
        <w:pStyle w:val="style0"/>
        <w:spacing w:lineRule="auto" w:line="360"/>
        <w:jc w:val="both"/>
        <w:rPr/>
      </w:pPr>
      <w:r>
        <w:t xml:space="preserve">Technological leadership is helpful and has significant risks to it. The innovation of the current nature presupposes continuous investment in infrastructure, analytics, and cybersecurity that can </w:t>
      </w:r>
      <w:r>
        <w:t xml:space="preserve">become a burden on the resources and erode the brand image in case of incompetent management (Abratt and Bendixen, 2018). In the case of early adopters, including ASOS and Boohoo, failure of a system or information leak could destroy consumer trust, and reputation-related concerns about algorithmic bias on AI tools may also enter the frame. Moreover, such innovations as virtual try-ons or express delivery are quickly gaining traction, and, therefore, a new reinvention with a cost- and risk-increasing effect is necessary. Paley et al. (2021) assert that the advantages that technology implies are short-lived unless underpinned </w:t>
      </w:r>
      <w:r>
        <w:t>by</w:t>
      </w:r>
      <w:r>
        <w:t xml:space="preserve"> excellent branding and customer relations</w:t>
      </w:r>
      <w:r>
        <w:t>.</w:t>
      </w:r>
    </w:p>
    <w:bookmarkStart w:id="5" w:name="_Toc211963412"/>
    <w:p>
      <w:pPr>
        <w:pStyle w:val="style3"/>
        <w:rPr/>
      </w:pPr>
      <w:r>
        <w:t>Opportunities for Followers</w:t>
      </w:r>
      <w:bookmarkEnd w:id="5"/>
    </w:p>
    <w:p>
      <w:pPr>
        <w:pStyle w:val="style0"/>
        <w:spacing w:lineRule="auto" w:line="360"/>
        <w:jc w:val="both"/>
        <w:rPr/>
      </w:pPr>
      <w:r>
        <w:t>On the other hand, other followers like Primark, M&amp;S</w:t>
      </w:r>
      <w:r>
        <w:t>,</w:t>
      </w:r>
      <w:r>
        <w:t xml:space="preserve"> and Next </w:t>
      </w:r>
      <w:r>
        <w:t>minimize</w:t>
      </w:r>
      <w:r>
        <w:t xml:space="preserve"> risk by not developing new technology but instead using proven technology. This learning-curve strategy can make digital transformation affordable, as seen in Primark's phygital projects, M&amp;S's Sparks App, and AI-assisted inventory management, which can be used to increase </w:t>
      </w:r>
      <w:r>
        <w:t>personalization</w:t>
      </w:r>
      <w:r>
        <w:t xml:space="preserve"> and relational marketing (</w:t>
      </w:r>
      <w:r>
        <w:t>Homburg</w:t>
      </w:r>
      <w:r>
        <w:t>, 20</w:t>
      </w:r>
      <w:r>
        <w:t>03</w:t>
      </w:r>
      <w:r>
        <w:t>).</w:t>
      </w:r>
    </w:p>
    <w:bookmarkStart w:id="6" w:name="_Toc211963413"/>
    <w:p>
      <w:pPr>
        <w:pStyle w:val="style3"/>
        <w:rPr/>
      </w:pPr>
      <w:r>
        <w:t>Threats for Followers</w:t>
      </w:r>
      <w:bookmarkEnd w:id="6"/>
    </w:p>
    <w:p>
      <w:pPr>
        <w:pStyle w:val="style0"/>
        <w:spacing w:lineRule="auto" w:line="360"/>
        <w:jc w:val="both"/>
        <w:rPr/>
      </w:pPr>
      <w:r>
        <w:t xml:space="preserve">Progress notwithstanding, there are inherent limitations </w:t>
      </w:r>
      <w:r>
        <w:t>for</w:t>
      </w:r>
      <w:r>
        <w:t xml:space="preserve"> the followers. Their negative </w:t>
      </w:r>
      <w:r>
        <w:t>response</w:t>
      </w:r>
      <w:r>
        <w:t xml:space="preserve"> stance may result in their being perceived as lagging in consumer expectations. Omni-channel experiences are also desired by younger and digitally native audiences (particularly Gen Z), who currently are unable to find seamless experiences in some of the follower retailers. According to Baker (20</w:t>
      </w:r>
      <w:r>
        <w:t>10</w:t>
      </w:r>
      <w:r>
        <w:t>), imitation strategies in the absence of unique value creation rarely create a sustained brand equity.</w:t>
      </w:r>
    </w:p>
    <w:bookmarkStart w:id="7" w:name="_Toc211963414"/>
    <w:p>
      <w:pPr>
        <w:pStyle w:val="style3"/>
        <w:rPr/>
      </w:pPr>
      <w:r>
        <w:t>Critical Comparison</w:t>
      </w:r>
      <w:bookmarkEnd w:id="7"/>
    </w:p>
    <w:p>
      <w:pPr>
        <w:pStyle w:val="style0"/>
        <w:spacing w:lineRule="auto" w:line="360"/>
        <w:jc w:val="both"/>
        <w:rPr/>
      </w:pPr>
      <w:r>
        <w:t>The technological change has enlarged the gap between the digital pioneers and those who follow its operationalization, and has established interdependence. Early adopters</w:t>
      </w:r>
      <w:r>
        <w:t>,</w:t>
      </w:r>
      <w:r>
        <w:t xml:space="preserve"> such as ASOS</w:t>
      </w:r>
      <w:r>
        <w:t>,</w:t>
      </w:r>
      <w:r>
        <w:t xml:space="preserve"> make innovation cycles that inform the market, and late adopters</w:t>
      </w:r>
      <w:r>
        <w:t>,</w:t>
      </w:r>
      <w:r>
        <w:t xml:space="preserve"> such as Primark</w:t>
      </w:r>
      <w:r>
        <w:t>,</w:t>
      </w:r>
      <w:r>
        <w:t xml:space="preserve"> increase accessibility and </w:t>
      </w:r>
      <w:r>
        <w:t>standardization</w:t>
      </w:r>
      <w:r>
        <w:t xml:space="preserve">. Innovation- Ansoff Growth Matrix pioneers and followers are developing products and diversifying their entities using innovation- AI-based </w:t>
      </w:r>
      <w:r>
        <w:t>personalization</w:t>
      </w:r>
      <w:r>
        <w:t xml:space="preserve">, new digital experience- where innovators are working on product development; followers are working on </w:t>
      </w:r>
      <w:r>
        <w:t>market penetration, efficiency</w:t>
      </w:r>
      <w:r>
        <w:t>,</w:t>
      </w:r>
      <w:r>
        <w:t xml:space="preserve"> and scale optimization. Each of the two strategies helps to keep the industry alive: pioneers keep it alive and differentiated; followers make it affordable and reachable.</w:t>
      </w:r>
    </w:p>
    <w:bookmarkStart w:id="8" w:name="_Toc211963415"/>
    <w:p>
      <w:pPr>
        <w:pStyle w:val="style2"/>
        <w:rPr/>
      </w:pPr>
      <w:r>
        <w:t>2.2 Sociocultural Factors</w:t>
      </w:r>
      <w:bookmarkEnd w:id="8"/>
    </w:p>
    <w:p>
      <w:pPr>
        <w:pStyle w:val="style0"/>
        <w:spacing w:lineRule="auto" w:line="360"/>
        <w:jc w:val="both"/>
        <w:rPr/>
      </w:pPr>
      <w:r>
        <w:t>Although technology is changing the consumption of fashion, there are sociocultural forces that determine whether fashion is consumed. Consumer attitudes, social expectations, and morals are changing fast</w:t>
      </w:r>
      <w:r>
        <w:t>,</w:t>
      </w:r>
      <w:r>
        <w:t xml:space="preserve"> and they compel companies to incorporate social meaning in marketing. </w:t>
      </w:r>
      <w:r>
        <w:t xml:space="preserve">Gallo </w:t>
      </w:r>
      <w:r>
        <w:t>(20</w:t>
      </w:r>
      <w:r>
        <w:t>25</w:t>
      </w:r>
      <w:r>
        <w:t>) note</w:t>
      </w:r>
      <w:r>
        <w:t>s</w:t>
      </w:r>
      <w:r>
        <w:t xml:space="preserve"> that contemporary marketing should be able to balance profit, people</w:t>
      </w:r>
      <w:r>
        <w:t>,</w:t>
      </w:r>
      <w:r>
        <w:t xml:space="preserve"> and purpose since customers are increasingly appreciating brands that reflect authenticity, inclusivity</w:t>
      </w:r>
      <w:r>
        <w:t>,</w:t>
      </w:r>
      <w:r>
        <w:t xml:space="preserve"> and sustainability.</w:t>
      </w:r>
    </w:p>
    <w:bookmarkStart w:id="9" w:name="_Toc211963416"/>
    <w:p>
      <w:pPr>
        <w:pStyle w:val="style3"/>
        <w:rPr/>
      </w:pPr>
      <w:r>
        <w:t xml:space="preserve">Changing Consumer </w:t>
      </w:r>
      <w:r>
        <w:t>Behavior</w:t>
      </w:r>
      <w:bookmarkEnd w:id="9"/>
    </w:p>
    <w:p>
      <w:pPr>
        <w:pStyle w:val="style0"/>
        <w:spacing w:lineRule="auto" w:line="360"/>
        <w:jc w:val="both"/>
        <w:rPr/>
      </w:pPr>
      <w:r>
        <w:t xml:space="preserve">Lifestyle and identity expression trends have increased because of the post-pandemic environment. Millennial and Gen Z consumers (who in total constitute over half of the expenditures on fashion in the UK) require sourcing ethics, </w:t>
      </w:r>
      <w:r>
        <w:t>body positivity</w:t>
      </w:r>
      <w:r>
        <w:t xml:space="preserve">, diversity, and environmentally-friendly manufacturing. The British Fashion Council (2024) claims that 68 percent of all buyers in the UK consider the environmental impact of a brand before they purchase. According to </w:t>
      </w:r>
      <w:r>
        <w:t xml:space="preserve">Lee </w:t>
      </w:r>
      <w:r>
        <w:t>(20</w:t>
      </w:r>
      <w:r>
        <w:t>22</w:t>
      </w:r>
      <w:r>
        <w:t>), this is elaborated by the Consistent Consumer Model</w:t>
      </w:r>
      <w:r>
        <w:t>,</w:t>
      </w:r>
      <w:r>
        <w:t xml:space="preserve"> </w:t>
      </w:r>
      <w:r>
        <w:t>which</w:t>
      </w:r>
      <w:r>
        <w:t xml:space="preserve"> says buying is a moral action that shows personal identity and social integration.</w:t>
      </w:r>
    </w:p>
    <w:p>
      <w:pPr>
        <w:pStyle w:val="style0"/>
        <w:spacing w:lineRule="auto" w:line="360"/>
        <w:jc w:val="both"/>
        <w:rPr/>
      </w:pPr>
      <w:r>
        <w:t xml:space="preserve">This has been enhanced by social media. Instagram and </w:t>
      </w:r>
      <w:r>
        <w:t>TikTok</w:t>
      </w:r>
      <w:r>
        <w:t xml:space="preserve"> build platforms on which consumers co-create brand meaning via content and feedback loops. Reputation has become very delicate but powerful due to the digital word of mouth phenomenon</w:t>
      </w:r>
      <w:r>
        <w:t>;</w:t>
      </w:r>
      <w:r>
        <w:t xml:space="preserve"> a single misstep of virality may undermine the years of brand-building. It is a climate that rewards brands </w:t>
      </w:r>
      <w:r>
        <w:t>that</w:t>
      </w:r>
      <w:r>
        <w:t xml:space="preserve"> do not shirk in communicating and listening</w:t>
      </w:r>
      <w:r>
        <w:t xml:space="preserve"> (Patel, 2023)</w:t>
      </w:r>
      <w:r>
        <w:t>.</w:t>
      </w:r>
    </w:p>
    <w:bookmarkStart w:id="10" w:name="_Toc211963417"/>
    <w:p>
      <w:pPr>
        <w:pStyle w:val="style3"/>
        <w:rPr/>
      </w:pPr>
      <w:r>
        <w:t>Opportunities for Pioneers</w:t>
      </w:r>
      <w:bookmarkEnd w:id="10"/>
    </w:p>
    <w:p>
      <w:pPr>
        <w:pStyle w:val="style0"/>
        <w:spacing w:lineRule="auto" w:line="360"/>
        <w:jc w:val="both"/>
        <w:rPr/>
      </w:pPr>
      <w:r>
        <w:t>The trendsetters</w:t>
      </w:r>
      <w:r>
        <w:t>,</w:t>
      </w:r>
      <w:r>
        <w:t xml:space="preserve"> such as ASOS and Boohoo</w:t>
      </w:r>
      <w:r>
        <w:t>,</w:t>
      </w:r>
      <w:r>
        <w:t xml:space="preserve"> are leading the way in decoding cultural waves. The campaigns of ASOS include models of various ethnic backgrounds, body sizes, </w:t>
      </w:r>
      <w:r>
        <w:t xml:space="preserve">and </w:t>
      </w:r>
      <w:r>
        <w:t xml:space="preserve">gender identities, which makes the brand seem inclusive and socially progressive. Meanwhile, Boohoo is taking advantage of the influencer economy, that is, using the services of micro-influencers who are portrayals of authentic lifestyles, as opposed to the notions of ideals of celebrities. This is in </w:t>
      </w:r>
      <w:r>
        <w:t xml:space="preserve">line with the theory of value co-creation by </w:t>
      </w:r>
      <w:r>
        <w:t>Homburg</w:t>
      </w:r>
      <w:r>
        <w:t xml:space="preserve"> (20</w:t>
      </w:r>
      <w:r>
        <w:t>03</w:t>
      </w:r>
      <w:r>
        <w:t>), in which consumers are involved in creating brand narratives.</w:t>
      </w:r>
    </w:p>
    <w:bookmarkStart w:id="11" w:name="_Toc211963418"/>
    <w:p>
      <w:pPr>
        <w:pStyle w:val="style3"/>
        <w:rPr/>
      </w:pPr>
      <w:r>
        <w:t>Threats for Pioneers</w:t>
      </w:r>
      <w:bookmarkEnd w:id="11"/>
    </w:p>
    <w:p>
      <w:pPr>
        <w:pStyle w:val="style0"/>
        <w:spacing w:lineRule="auto" w:line="360"/>
        <w:jc w:val="both"/>
        <w:rPr/>
      </w:pPr>
      <w:r>
        <w:t>Despite</w:t>
      </w:r>
      <w:r>
        <w:t xml:space="preserve"> being agile, pioneers work under a lot of scrutiny. The reputational weakness of fast-fashion models was revealed by Boohoo in 2020 with the supply-chain scandal (alleging underpaid factory workers) that revealed Boohoo's susceptibility to its image (</w:t>
      </w:r>
      <w:r>
        <w:t>Morgan</w:t>
      </w:r>
      <w:r>
        <w:t>, 202</w:t>
      </w:r>
      <w:r>
        <w:t>3</w:t>
      </w:r>
      <w:r>
        <w:t>). The backlash also shed light on the incompatibility between sustainability marketing and operational reality, which does not refute the argument by Abratt and Bendixen (2018) that brand equity in the digital era of transparency and backlash is always weak.</w:t>
      </w:r>
    </w:p>
    <w:bookmarkStart w:id="12" w:name="_Toc211963419"/>
    <w:p>
      <w:pPr>
        <w:pStyle w:val="style3"/>
        <w:rPr/>
      </w:pPr>
      <w:r>
        <w:t>Opportunities for Followers</w:t>
      </w:r>
      <w:bookmarkEnd w:id="12"/>
    </w:p>
    <w:p>
      <w:pPr>
        <w:pStyle w:val="style0"/>
        <w:spacing w:lineRule="auto" w:line="360"/>
        <w:jc w:val="both"/>
        <w:rPr/>
      </w:pPr>
      <w:r>
        <w:t>The followers include Primark, Next</w:t>
      </w:r>
      <w:r>
        <w:t>,</w:t>
      </w:r>
      <w:r>
        <w:t xml:space="preserve"> and M&amp;S</w:t>
      </w:r>
      <w:r>
        <w:t>,</w:t>
      </w:r>
      <w:r>
        <w:t xml:space="preserve"> and they have turned the sociocultural change into available sustainability. Primark Cares, which was introduced in 2021, promises that all its materials (recycled or sustainably sourced) will be used by 2030. Its efforts focus on its campaigns, and </w:t>
      </w:r>
      <w:r>
        <w:t>its</w:t>
      </w:r>
      <w:r>
        <w:t xml:space="preserve"> message of affordability -sustainability for </w:t>
      </w:r>
      <w:r>
        <w:t>all</w:t>
      </w:r>
      <w:r>
        <w:t xml:space="preserve"> fills the ethical will and the consumer pocket gap.</w:t>
      </w:r>
    </w:p>
    <w:p>
      <w:pPr>
        <w:pStyle w:val="style0"/>
        <w:spacing w:lineRule="auto" w:line="360"/>
        <w:jc w:val="both"/>
        <w:rPr/>
      </w:pPr>
      <w:r>
        <w:t xml:space="preserve">The Plan A sustainability </w:t>
      </w:r>
      <w:r>
        <w:t>program</w:t>
      </w:r>
      <w:r>
        <w:t xml:space="preserve"> of M&amp;S, which was launched long before most of the first movers, remains a process of developing into a full-scale circular-economy scheme with carbon neutrality and waste reduction as its key themes. This goes to prove that even when they are trailing in terms of innovation, the followers can at times be faster than the pioneers in terms of implementation. Next has adopted a similar approach of transparency in communication and collaboration with certified suppliers to strengthen trust</w:t>
      </w:r>
      <w:r>
        <w:t>,</w:t>
      </w:r>
      <w:r>
        <w:t xml:space="preserve"> as </w:t>
      </w:r>
      <w:r>
        <w:t>Paley</w:t>
      </w:r>
      <w:r>
        <w:t xml:space="preserve"> et al. (20</w:t>
      </w:r>
      <w:r>
        <w:t>21</w:t>
      </w:r>
      <w:r>
        <w:t xml:space="preserve">) </w:t>
      </w:r>
      <w:r>
        <w:t>highlight</w:t>
      </w:r>
      <w:r>
        <w:t xml:space="preserve"> credibility as an element in brand positioning.</w:t>
      </w:r>
    </w:p>
    <w:bookmarkStart w:id="13" w:name="_Toc211963420"/>
    <w:p>
      <w:pPr>
        <w:pStyle w:val="style3"/>
        <w:rPr/>
      </w:pPr>
      <w:r>
        <w:t>Threats for Followers</w:t>
      </w:r>
      <w:bookmarkEnd w:id="13"/>
    </w:p>
    <w:p>
      <w:pPr>
        <w:pStyle w:val="style0"/>
        <w:spacing w:lineRule="auto" w:line="360"/>
        <w:jc w:val="both"/>
        <w:rPr/>
      </w:pPr>
      <w:r>
        <w:t xml:space="preserve">However, believers have to fight </w:t>
      </w:r>
      <w:r>
        <w:t>against</w:t>
      </w:r>
      <w:r>
        <w:t xml:space="preserve"> the doubt of authenticity. When the idea of sustainability is viewed as a marketing gimmick but not an actual change, brands stand to be accused of greenwashing. As an example, although the sustainability message conveyed by Primark is powerful, it has been criticized that its model of low-cost, high-volume essentially negates </w:t>
      </w:r>
      <w:r>
        <w:t xml:space="preserve">environmental objectives. </w:t>
      </w:r>
      <w:r>
        <w:t>L</w:t>
      </w:r>
      <w:r>
        <w:t xml:space="preserve"> (20</w:t>
      </w:r>
      <w:r>
        <w:t>22</w:t>
      </w:r>
      <w:r>
        <w:t xml:space="preserve">) </w:t>
      </w:r>
      <w:r>
        <w:t>cautions</w:t>
      </w:r>
      <w:r>
        <w:t xml:space="preserve"> that the sociocultural adaptation needs to be internally aligned, i.e.</w:t>
      </w:r>
      <w:r>
        <w:t>,</w:t>
      </w:r>
      <w:r>
        <w:t xml:space="preserve"> values need to be entrenched in operations and not enclosed in promotion rhetoric.</w:t>
      </w:r>
    </w:p>
    <w:p>
      <w:pPr>
        <w:pStyle w:val="style0"/>
        <w:spacing w:lineRule="auto" w:line="360"/>
        <w:jc w:val="both"/>
        <w:rPr/>
      </w:pPr>
      <w:r>
        <w:rPr>
          <w:b/>
          <w:bCs/>
        </w:rPr>
        <w:t>Table 1. Opportunities and Threats from Technological and Sociocultural Factors in UK Mass-Market Fashion Retail</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762"/>
        <w:gridCol w:w="2842"/>
        <w:gridCol w:w="2754"/>
      </w:tblGrid>
      <w:tr>
        <w:trPr>
          <w:tblHeader/>
          <w:tblCellSpacing w:w="15" w:type="dxa"/>
        </w:trPr>
        <w:tc>
          <w:tcPr>
            <w:tcW w:w="0" w:type="auto"/>
            <w:tcBorders/>
            <w:vAlign w:val="center"/>
            <w:hideMark/>
          </w:tcPr>
          <w:p>
            <w:pPr>
              <w:pStyle w:val="style0"/>
              <w:spacing w:lineRule="auto" w:line="360"/>
              <w:jc w:val="both"/>
              <w:rPr>
                <w:b/>
                <w:bCs/>
              </w:rPr>
            </w:pPr>
            <w:r>
              <w:rPr>
                <w:b/>
                <w:bCs/>
              </w:rPr>
              <w:t>Factor</w:t>
            </w:r>
          </w:p>
        </w:tc>
        <w:tc>
          <w:tcPr>
            <w:tcW w:w="0" w:type="auto"/>
            <w:tcBorders/>
            <w:vAlign w:val="center"/>
            <w:hideMark/>
          </w:tcPr>
          <w:p>
            <w:pPr>
              <w:pStyle w:val="style0"/>
              <w:spacing w:lineRule="auto" w:line="360"/>
              <w:jc w:val="both"/>
              <w:rPr>
                <w:b/>
                <w:bCs/>
              </w:rPr>
            </w:pPr>
            <w:r>
              <w:rPr>
                <w:b/>
                <w:bCs/>
              </w:rPr>
              <w:t>Pioneers (ASOS, Boohoo)</w:t>
            </w:r>
          </w:p>
        </w:tc>
        <w:tc>
          <w:tcPr>
            <w:tcW w:w="0" w:type="auto"/>
            <w:tcBorders/>
            <w:vAlign w:val="center"/>
            <w:hideMark/>
          </w:tcPr>
          <w:p>
            <w:pPr>
              <w:pStyle w:val="style0"/>
              <w:spacing w:lineRule="auto" w:line="360"/>
              <w:jc w:val="both"/>
              <w:rPr>
                <w:b/>
                <w:bCs/>
              </w:rPr>
            </w:pPr>
            <w:r>
              <w:rPr>
                <w:b/>
                <w:bCs/>
              </w:rPr>
              <w:t>Followers (Primark, Next, M&amp;S)</w:t>
            </w:r>
          </w:p>
        </w:tc>
      </w:tr>
      <w:tr>
        <w:tblPrEx/>
        <w:trPr>
          <w:tblCellSpacing w:w="15" w:type="dxa"/>
        </w:trPr>
        <w:tc>
          <w:tcPr>
            <w:tcW w:w="0" w:type="auto"/>
            <w:tcBorders/>
            <w:vAlign w:val="center"/>
            <w:hideMark/>
          </w:tcPr>
          <w:p>
            <w:pPr>
              <w:pStyle w:val="style0"/>
              <w:spacing w:lineRule="auto" w:line="360"/>
              <w:jc w:val="both"/>
              <w:rPr/>
            </w:pPr>
            <w:r>
              <w:rPr>
                <w:b/>
                <w:bCs/>
              </w:rPr>
              <w:t>Technology – Opportunities</w:t>
            </w:r>
          </w:p>
        </w:tc>
        <w:tc>
          <w:tcPr>
            <w:tcW w:w="0" w:type="auto"/>
            <w:tcBorders/>
            <w:vAlign w:val="center"/>
            <w:hideMark/>
          </w:tcPr>
          <w:p>
            <w:pPr>
              <w:pStyle w:val="style0"/>
              <w:spacing w:lineRule="auto" w:line="360"/>
              <w:jc w:val="both"/>
              <w:rPr/>
            </w:pPr>
            <w:r>
              <w:t xml:space="preserve">AI </w:t>
            </w:r>
            <w:r>
              <w:t>personalization</w:t>
            </w:r>
            <w:r>
              <w:t>, social commerce, AR/VR innovation, data analytics</w:t>
            </w:r>
          </w:p>
        </w:tc>
        <w:tc>
          <w:tcPr>
            <w:tcW w:w="0" w:type="auto"/>
            <w:tcBorders/>
            <w:vAlign w:val="center"/>
            <w:hideMark/>
          </w:tcPr>
          <w:p>
            <w:pPr>
              <w:pStyle w:val="style0"/>
              <w:spacing w:lineRule="auto" w:line="360"/>
              <w:jc w:val="both"/>
              <w:rPr/>
            </w:pPr>
            <w:r>
              <w:t>Digital integration in stores, platform sharing (Next Total Platform)</w:t>
            </w:r>
          </w:p>
        </w:tc>
      </w:tr>
      <w:tr>
        <w:tblPrEx/>
        <w:trPr>
          <w:tblCellSpacing w:w="15" w:type="dxa"/>
        </w:trPr>
        <w:tc>
          <w:tcPr>
            <w:tcW w:w="0" w:type="auto"/>
            <w:tcBorders/>
            <w:vAlign w:val="center"/>
            <w:hideMark/>
          </w:tcPr>
          <w:p>
            <w:pPr>
              <w:pStyle w:val="style0"/>
              <w:spacing w:lineRule="auto" w:line="360"/>
              <w:jc w:val="both"/>
              <w:rPr/>
            </w:pPr>
            <w:r>
              <w:rPr>
                <w:b/>
                <w:bCs/>
              </w:rPr>
              <w:t>Technology – Threats</w:t>
            </w:r>
          </w:p>
        </w:tc>
        <w:tc>
          <w:tcPr>
            <w:tcW w:w="0" w:type="auto"/>
            <w:tcBorders/>
            <w:vAlign w:val="center"/>
            <w:hideMark/>
          </w:tcPr>
          <w:p>
            <w:pPr>
              <w:pStyle w:val="style0"/>
              <w:spacing w:lineRule="auto" w:line="360"/>
              <w:jc w:val="both"/>
              <w:rPr/>
            </w:pPr>
            <w:r>
              <w:t>Cybersecurity risk, high R&amp;D cost, rapid obsolescence</w:t>
            </w:r>
          </w:p>
        </w:tc>
        <w:tc>
          <w:tcPr>
            <w:tcW w:w="0" w:type="auto"/>
            <w:tcBorders/>
            <w:vAlign w:val="center"/>
            <w:hideMark/>
          </w:tcPr>
          <w:p>
            <w:pPr>
              <w:pStyle w:val="style0"/>
              <w:spacing w:lineRule="auto" w:line="360"/>
              <w:jc w:val="both"/>
              <w:rPr/>
            </w:pPr>
            <w:r>
              <w:t xml:space="preserve">Brand imitation, skill gaps, </w:t>
            </w:r>
            <w:r>
              <w:t xml:space="preserve">and </w:t>
            </w:r>
            <w:r>
              <w:t>slow cultural adaptation</w:t>
            </w:r>
          </w:p>
        </w:tc>
      </w:tr>
      <w:tr>
        <w:tblPrEx/>
        <w:trPr>
          <w:tblCellSpacing w:w="15" w:type="dxa"/>
        </w:trPr>
        <w:tc>
          <w:tcPr>
            <w:tcW w:w="0" w:type="auto"/>
            <w:tcBorders/>
            <w:vAlign w:val="center"/>
            <w:hideMark/>
          </w:tcPr>
          <w:p>
            <w:pPr>
              <w:pStyle w:val="style0"/>
              <w:spacing w:lineRule="auto" w:line="360"/>
              <w:jc w:val="both"/>
              <w:rPr/>
            </w:pPr>
            <w:r>
              <w:rPr>
                <w:b/>
                <w:bCs/>
              </w:rPr>
              <w:t>Sociocultural – Opportunities</w:t>
            </w:r>
          </w:p>
        </w:tc>
        <w:tc>
          <w:tcPr>
            <w:tcW w:w="0" w:type="auto"/>
            <w:tcBorders/>
            <w:vAlign w:val="center"/>
            <w:hideMark/>
          </w:tcPr>
          <w:p>
            <w:pPr>
              <w:pStyle w:val="style0"/>
              <w:spacing w:lineRule="auto" w:line="360"/>
              <w:jc w:val="both"/>
              <w:rPr/>
            </w:pPr>
            <w:r>
              <w:t>Inclusive branding, sustainable collections, influencer engagement</w:t>
            </w:r>
          </w:p>
        </w:tc>
        <w:tc>
          <w:tcPr>
            <w:tcW w:w="0" w:type="auto"/>
            <w:tcBorders/>
            <w:vAlign w:val="center"/>
            <w:hideMark/>
          </w:tcPr>
          <w:p>
            <w:pPr>
              <w:pStyle w:val="style0"/>
              <w:spacing w:lineRule="auto" w:line="360"/>
              <w:jc w:val="both"/>
              <w:rPr/>
            </w:pPr>
            <w:r>
              <w:t>Affordable sustainability, CSR credibility, heritage trust</w:t>
            </w:r>
          </w:p>
        </w:tc>
      </w:tr>
      <w:tr>
        <w:tblPrEx/>
        <w:trPr>
          <w:tblCellSpacing w:w="15" w:type="dxa"/>
        </w:trPr>
        <w:tc>
          <w:tcPr>
            <w:tcW w:w="0" w:type="auto"/>
            <w:tcBorders/>
            <w:vAlign w:val="center"/>
            <w:hideMark/>
          </w:tcPr>
          <w:p>
            <w:pPr>
              <w:pStyle w:val="style0"/>
              <w:spacing w:lineRule="auto" w:line="360"/>
              <w:jc w:val="both"/>
              <w:rPr/>
            </w:pPr>
            <w:r>
              <w:rPr>
                <w:b/>
                <w:bCs/>
              </w:rPr>
              <w:t>Sociocultural – Threats</w:t>
            </w:r>
          </w:p>
        </w:tc>
        <w:tc>
          <w:tcPr>
            <w:tcW w:w="0" w:type="auto"/>
            <w:tcBorders/>
            <w:vAlign w:val="center"/>
            <w:hideMark/>
          </w:tcPr>
          <w:p>
            <w:pPr>
              <w:pStyle w:val="style0"/>
              <w:spacing w:lineRule="auto" w:line="360"/>
              <w:jc w:val="both"/>
              <w:rPr/>
            </w:pPr>
            <w:r>
              <w:t>Reputational risk (greenwashing, scandals)</w:t>
            </w:r>
          </w:p>
        </w:tc>
        <w:tc>
          <w:tcPr>
            <w:tcW w:w="0" w:type="auto"/>
            <w:tcBorders/>
            <w:vAlign w:val="center"/>
            <w:hideMark/>
          </w:tcPr>
          <w:p>
            <w:pPr>
              <w:pStyle w:val="style0"/>
              <w:spacing w:lineRule="auto" w:line="360"/>
              <w:jc w:val="both"/>
              <w:rPr/>
            </w:pPr>
            <w:r>
              <w:t>Perceived inauthenticity, communication lag</w:t>
            </w:r>
          </w:p>
        </w:tc>
      </w:tr>
      <w:tr>
        <w:tblPrEx/>
        <w:trPr>
          <w:tblCellSpacing w:w="15" w:type="dxa"/>
        </w:trPr>
        <w:tc>
          <w:tcPr>
            <w:tcW w:w="0" w:type="auto"/>
            <w:tcBorders/>
            <w:vAlign w:val="center"/>
            <w:hideMark/>
          </w:tcPr>
          <w:p>
            <w:pPr>
              <w:pStyle w:val="style0"/>
              <w:spacing w:lineRule="auto" w:line="360"/>
              <w:jc w:val="both"/>
              <w:rPr/>
            </w:pPr>
            <w:r>
              <w:rPr>
                <w:i/>
                <w:iCs/>
              </w:rPr>
              <w:t xml:space="preserve">Source: Developed by </w:t>
            </w:r>
            <w:r>
              <w:rPr>
                <w:i/>
                <w:iCs/>
              </w:rPr>
              <w:t xml:space="preserve">the </w:t>
            </w:r>
            <w:r>
              <w:rPr>
                <w:i/>
                <w:iCs/>
              </w:rPr>
              <w:t xml:space="preserve">author based on Abratt &amp; Bendixen (2018); </w:t>
            </w:r>
            <w:r>
              <w:rPr>
                <w:i/>
                <w:iCs/>
              </w:rPr>
              <w:t>Paley</w:t>
            </w:r>
            <w:r>
              <w:rPr>
                <w:i/>
                <w:iCs/>
              </w:rPr>
              <w:t xml:space="preserve"> et al. (20</w:t>
            </w:r>
            <w:r>
              <w:rPr>
                <w:i/>
                <w:iCs/>
              </w:rPr>
              <w:t>21</w:t>
            </w:r>
            <w:r>
              <w:rPr>
                <w:i/>
                <w:iCs/>
              </w:rPr>
              <w:t xml:space="preserve">); </w:t>
            </w:r>
            <w:r>
              <w:rPr>
                <w:i/>
                <w:iCs/>
              </w:rPr>
              <w:t>Gallo</w:t>
            </w:r>
            <w:r>
              <w:rPr>
                <w:i/>
                <w:iCs/>
              </w:rPr>
              <w:t xml:space="preserve"> et al. (20</w:t>
            </w:r>
            <w:r>
              <w:rPr>
                <w:i/>
                <w:iCs/>
              </w:rPr>
              <w:t>25</w:t>
            </w:r>
            <w:r>
              <w:rPr>
                <w:i/>
                <w:iCs/>
              </w:rPr>
              <w:t>); Statista (2024).</w:t>
            </w:r>
          </w:p>
        </w:tc>
        <w:tc>
          <w:tcPr>
            <w:tcW w:w="0" w:type="auto"/>
            <w:tcBorders/>
            <w:vAlign w:val="center"/>
            <w:hideMark/>
          </w:tcPr>
          <w:p>
            <w:pPr>
              <w:pStyle w:val="style0"/>
              <w:spacing w:lineRule="auto" w:line="360"/>
              <w:jc w:val="both"/>
              <w:rPr/>
            </w:pPr>
          </w:p>
        </w:tc>
        <w:tc>
          <w:tcPr>
            <w:tcW w:w="0" w:type="auto"/>
            <w:tcBorders/>
            <w:vAlign w:val="center"/>
            <w:hideMark/>
          </w:tcPr>
          <w:p>
            <w:pPr>
              <w:pStyle w:val="style0"/>
              <w:spacing w:lineRule="auto" w:line="360"/>
              <w:jc w:val="both"/>
              <w:rPr/>
            </w:pPr>
          </w:p>
        </w:tc>
      </w:tr>
    </w:tbl>
    <w:p>
      <w:pPr>
        <w:pStyle w:val="style0"/>
        <w:spacing w:lineRule="auto" w:line="360"/>
        <w:jc w:val="both"/>
        <w:rPr/>
      </w:pPr>
    </w:p>
    <w:bookmarkStart w:id="14" w:name="_Toc211963421"/>
    <w:p>
      <w:pPr>
        <w:pStyle w:val="style1"/>
        <w:rPr/>
      </w:pPr>
      <w:r>
        <w:t>3. Strategic Responses of Pioneers and Followers</w:t>
      </w:r>
      <w:bookmarkEnd w:id="14"/>
      <w:r>
        <w:t xml:space="preserve"> </w:t>
      </w:r>
    </w:p>
    <w:p>
      <w:pPr>
        <w:pStyle w:val="style0"/>
        <w:spacing w:lineRule="auto" w:line="360"/>
        <w:jc w:val="both"/>
        <w:rPr/>
      </w:pPr>
      <w:r>
        <w:t xml:space="preserve">The dynamism and high pace of the fashion sector in the UK necessitate companies to develop both creative and reactive strategic marketing solutions. Abratt and Bendixen (2018) describe marketing strategy as the combination of positioning, differentiation, and stakeholder engagement </w:t>
      </w:r>
      <w:r>
        <w:t xml:space="preserve">that requires long-term value creation. </w:t>
      </w:r>
      <w:r>
        <w:t>In</w:t>
      </w:r>
      <w:r>
        <w:t xml:space="preserve"> the mass-market fashion arena, two specific, although interdependent, strategic orientations are born: the differentiation through innovation of pioneers and the adaptation through efficiency of followers. The sections below examine the relationship between these approaches and marketing practice and competitiveness.</w:t>
      </w:r>
    </w:p>
    <w:bookmarkStart w:id="15" w:name="_Toc211963422"/>
    <w:p>
      <w:pPr>
        <w:pStyle w:val="style2"/>
        <w:rPr/>
      </w:pPr>
      <w:r>
        <w:t>3.1 Pioneers: Strategic Innovation and Differentiation</w:t>
      </w:r>
      <w:bookmarkEnd w:id="15"/>
    </w:p>
    <w:p>
      <w:pPr>
        <w:pStyle w:val="style0"/>
        <w:spacing w:lineRule="auto" w:line="360"/>
        <w:jc w:val="both"/>
        <w:rPr/>
      </w:pPr>
      <w:r>
        <w:t>ASOS and Boohoo are leading the digital transformation in UK retailing, and they are the prime illustrations of the concepts of strategic proactiveness: the capacity to influence markets rather than respond to them (</w:t>
      </w:r>
      <w:r>
        <w:t>L, 2022</w:t>
      </w:r>
      <w:r>
        <w:t>). They are successful when they find out what consumers want but cannot get, implement new technologies</w:t>
      </w:r>
      <w:r>
        <w:t>,</w:t>
      </w:r>
      <w:r>
        <w:t xml:space="preserve"> and convey the brand values that are aligned with the new sociocultural standards.</w:t>
      </w:r>
    </w:p>
    <w:bookmarkStart w:id="16" w:name="_Toc211963423"/>
    <w:p>
      <w:pPr>
        <w:pStyle w:val="style3"/>
        <w:rPr/>
      </w:pPr>
      <w:r>
        <w:t>Innovation as Core Competence</w:t>
      </w:r>
      <w:bookmarkEnd w:id="16"/>
    </w:p>
    <w:p>
      <w:pPr>
        <w:pStyle w:val="style0"/>
        <w:spacing w:lineRule="auto" w:line="360"/>
        <w:jc w:val="both"/>
        <w:rPr/>
      </w:pPr>
      <w:r>
        <w:t xml:space="preserve">ASOS has </w:t>
      </w:r>
      <w:r>
        <w:t>institutionalized</w:t>
      </w:r>
      <w:r>
        <w:t xml:space="preserve"> innovation by means of its strategy of Fashion with Integrity, which combines both ethical sourcing and digital excellence. By using the Growth Matrix suggested by Ansoff, ASOS focuses on diversification by expanding to related industries, like beauty, wearable, and gender-neutral clothing, and market </w:t>
      </w:r>
      <w:r>
        <w:t>maturity</w:t>
      </w:r>
      <w:r>
        <w:t xml:space="preserve"> by </w:t>
      </w:r>
      <w:r>
        <w:t>internationalization</w:t>
      </w:r>
      <w:r>
        <w:t xml:space="preserve">. Its e-logistics system and its high-end AI recommendation systems exemplify how the adaptive market orientation suggested by </w:t>
      </w:r>
      <w:r>
        <w:t>Homburg</w:t>
      </w:r>
      <w:r>
        <w:t xml:space="preserve"> et al. (20</w:t>
      </w:r>
      <w:r>
        <w:t>03</w:t>
      </w:r>
      <w:r>
        <w:t xml:space="preserve">) can be applied, in which the data-driven decision-making process is made </w:t>
      </w:r>
      <w:r>
        <w:t>based on</w:t>
      </w:r>
      <w:r>
        <w:t xml:space="preserve"> </w:t>
      </w:r>
      <w:r>
        <w:t xml:space="preserve">a </w:t>
      </w:r>
      <w:r>
        <w:t>continuous feedback loop between consumer insight and data.</w:t>
      </w:r>
    </w:p>
    <w:bookmarkStart w:id="17" w:name="_Toc211963424"/>
    <w:p>
      <w:pPr>
        <w:pStyle w:val="style3"/>
        <w:rPr/>
      </w:pPr>
      <w:r>
        <w:t>STP and Marketing Mix Application</w:t>
      </w:r>
      <w:bookmarkEnd w:id="17"/>
    </w:p>
    <w:p>
      <w:pPr>
        <w:pStyle w:val="style0"/>
        <w:spacing w:lineRule="auto" w:line="360"/>
        <w:jc w:val="both"/>
        <w:rPr/>
      </w:pPr>
      <w:r>
        <w:t>When considered through the STP (Segmentation, Targeting, Positioning) lens, both ASOS and Boohoo target digital-native Gen Z and millennial clients, delivering a brand as an inclusive, fast-paced, and socially conscious brand. They distinguish themselves using the 4Ps marketing mix, such as product innovation (sustainable design and quick style change), promotion (influencer campaigns and social-commerce use)</w:t>
      </w:r>
      <w:r>
        <w:t>,</w:t>
      </w:r>
      <w:r>
        <w:t xml:space="preserve"> and place (mobile-first omnichannel delivery). The pricing will create an equilibrium between access and perceived exclusivity </w:t>
      </w:r>
      <w:r>
        <w:t>to</w:t>
      </w:r>
      <w:r>
        <w:t xml:space="preserve"> stay competitive in a highly saturated online market.</w:t>
      </w:r>
    </w:p>
    <w:bookmarkStart w:id="18" w:name="_Toc211963425"/>
    <w:p>
      <w:pPr>
        <w:pStyle w:val="style3"/>
        <w:rPr/>
      </w:pPr>
      <w:r>
        <w:t>Strategic Challenges</w:t>
      </w:r>
      <w:bookmarkEnd w:id="18"/>
    </w:p>
    <w:p>
      <w:pPr>
        <w:pStyle w:val="style0"/>
        <w:spacing w:lineRule="auto" w:line="360"/>
        <w:jc w:val="both"/>
        <w:rPr/>
      </w:pPr>
      <w:r>
        <w:t xml:space="preserve">Maintaining an innovative process is very expensive. Profiteering due to high levels of R&amp;D spending, continuous product upgrades, and low life cycle of products </w:t>
      </w:r>
      <w:r>
        <w:t>puts</w:t>
      </w:r>
      <w:r>
        <w:t xml:space="preserve"> pressure on profitability. Moreover, innovators experience moral dilemmas between speed in </w:t>
      </w:r>
      <w:r>
        <w:t>fast fashion</w:t>
      </w:r>
      <w:r>
        <w:t xml:space="preserve"> and the sustainability requirements. As a way to reduce these risks, companies such as ASOS outsource technology services, such as Google Cloud, and analytics companies, which is an example of collaborative innovation</w:t>
      </w:r>
      <w:r>
        <w:t>,</w:t>
      </w:r>
      <w:r>
        <w:t xml:space="preserve"> a type of strategic alliance that spreads the cost and speeds up the learning process (</w:t>
      </w:r>
      <w:r>
        <w:t xml:space="preserve">Kraujalienė, </w:t>
      </w:r>
      <w:r>
        <w:t>2022</w:t>
      </w:r>
      <w:r>
        <w:t>).</w:t>
      </w:r>
    </w:p>
    <w:bookmarkStart w:id="19" w:name="_Toc211963426"/>
    <w:p>
      <w:pPr>
        <w:pStyle w:val="style2"/>
        <w:rPr/>
      </w:pPr>
      <w:r>
        <w:t>3.2 Followers: Strategic Adaptation and Operational Excellence</w:t>
      </w:r>
      <w:bookmarkEnd w:id="19"/>
    </w:p>
    <w:p>
      <w:pPr>
        <w:pStyle w:val="style0"/>
        <w:spacing w:lineRule="auto" w:line="360"/>
        <w:jc w:val="both"/>
        <w:rPr/>
      </w:pPr>
      <w:r>
        <w:t xml:space="preserve">Even though disruptors get the headlines, the </w:t>
      </w:r>
      <w:r>
        <w:t>stabilizing</w:t>
      </w:r>
      <w:r>
        <w:t xml:space="preserve"> force of the UK fashion ecosystem is played by the followers like Primark, Next</w:t>
      </w:r>
      <w:r>
        <w:t>,</w:t>
      </w:r>
      <w:r>
        <w:t xml:space="preserve"> and Marks and Spencer (M&amp;S). They are the best examples of the concept </w:t>
      </w:r>
      <w:r>
        <w:t>L</w:t>
      </w:r>
      <w:r>
        <w:t xml:space="preserve">  (</w:t>
      </w:r>
      <w:r>
        <w:t>2022</w:t>
      </w:r>
      <w:r>
        <w:t xml:space="preserve">) </w:t>
      </w:r>
      <w:r>
        <w:t>has</w:t>
      </w:r>
      <w:r>
        <w:t xml:space="preserve"> of strategic timing- venturing into the world of technology or culture when the uncertainty has decreased and the consumer needs are more developed.</w:t>
      </w:r>
    </w:p>
    <w:bookmarkStart w:id="20" w:name="_Toc211963427"/>
    <w:p>
      <w:pPr>
        <w:pStyle w:val="style3"/>
        <w:rPr/>
      </w:pPr>
      <w:r>
        <w:t>Cost Leadership and Efficiency</w:t>
      </w:r>
      <w:bookmarkEnd w:id="20"/>
    </w:p>
    <w:p>
      <w:pPr>
        <w:pStyle w:val="style0"/>
        <w:spacing w:lineRule="auto" w:line="360"/>
        <w:jc w:val="both"/>
        <w:rPr/>
      </w:pPr>
      <w:r>
        <w:t xml:space="preserve">Cost leadership is the major source of competitive advantage </w:t>
      </w:r>
      <w:r>
        <w:t>for</w:t>
      </w:r>
      <w:r>
        <w:t xml:space="preserve"> the followers. Primark, the fashion brand with low prices, keeps its prices low due to its economies of scale and low supply-chain management. Its approach is an indication of </w:t>
      </w:r>
      <w:r>
        <w:t>Porter's</w:t>
      </w:r>
      <w:r>
        <w:t xml:space="preserve"> generic model</w:t>
      </w:r>
      <w:r>
        <w:t>,</w:t>
      </w:r>
      <w:r>
        <w:t xml:space="preserve"> whereby the operational efficiency and volumes offset the smaller margins. Investing in phygital retailing allows Primark to increase in-store experience without rushing into the digital browsing process and the so-called click-and-collect, which demonstrates the model of operation adaptation.</w:t>
      </w:r>
    </w:p>
    <w:bookmarkStart w:id="21" w:name="_Toc211963428"/>
    <w:p>
      <w:pPr>
        <w:pStyle w:val="style3"/>
        <w:rPr/>
      </w:pPr>
      <w:r>
        <w:t>Balancing Heritage and Modernity</w:t>
      </w:r>
      <w:bookmarkEnd w:id="21"/>
    </w:p>
    <w:p>
      <w:pPr>
        <w:pStyle w:val="style0"/>
        <w:spacing w:lineRule="auto" w:line="360"/>
        <w:jc w:val="both"/>
        <w:rPr/>
      </w:pPr>
      <w:r>
        <w:t>At​‍​‌‍​‍‌​‍​‌‍​‍‌ one point in time, the company was considered a reliable brand</w:t>
      </w:r>
      <w:r>
        <w:t>;</w:t>
      </w:r>
      <w:r>
        <w:t xml:space="preserve"> thus</w:t>
      </w:r>
      <w:r>
        <w:t>,</w:t>
      </w:r>
      <w:r>
        <w:t xml:space="preserve"> the brand image has been changed by online loyalty programs (the Sparks App) and AI-based inventory management. Its commitment to tradition as well as innovation is a good example of Abratt and Bendixen's argument that a strategic repositioning can be facilitated by a return to the core brand rather than a complete brand redefinition. M&amp;S is allowed to follow consumer nostalgia, but </w:t>
      </w:r>
      <w:r>
        <w:t>its</w:t>
      </w:r>
      <w:r>
        <w:t xml:space="preserve"> long-term plan for sustainability, Plan A, is quite compatible with contemporary moral standards.</w:t>
      </w:r>
    </w:p>
    <w:p>
      <w:pPr>
        <w:pStyle w:val="style0"/>
        <w:spacing w:lineRule="auto" w:line="360"/>
        <w:jc w:val="center"/>
        <w:rPr>
          <w:b/>
          <w:bCs/>
        </w:rPr>
      </w:pPr>
      <w:r>
        <w:rPr>
          <w:b/>
          <w:bCs/>
        </w:rPr>
        <w:t xml:space="preserve">Figure </w:t>
      </w:r>
      <w:r>
        <w:rPr>
          <w:b/>
          <w:bCs/>
        </w:rPr>
        <w:t>2</w:t>
      </w:r>
      <w:r>
        <w:rPr>
          <w:b/>
          <w:bCs/>
        </w:rPr>
        <w:t>: State of the UK E-commerce</w:t>
      </w:r>
    </w:p>
    <w:p>
      <w:pPr>
        <w:pStyle w:val="style0"/>
        <w:spacing w:lineRule="auto" w:line="360"/>
        <w:jc w:val="both"/>
        <w:rPr/>
      </w:pPr>
      <w:r>
        <w:rPr>
          <w:noProof/>
        </w:rPr>
        <w:drawing>
          <wp:inline distL="0" distT="0" distB="0" distR="0">
            <wp:extent cx="5467350" cy="4581525"/>
            <wp:effectExtent l="0" t="0" r="0" b="9525"/>
            <wp:docPr id="1028" name="Picture 1" descr="A graph of sales&#10;&#10;AI-generated content may be incorrect."/>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5467350" cy="4581525"/>
                    </a:xfrm>
                    <a:prstGeom prst="rect"/>
                    <a:ln>
                      <a:noFill/>
                    </a:ln>
                  </pic:spPr>
                </pic:pic>
              </a:graphicData>
            </a:graphic>
          </wp:inline>
        </w:drawing>
      </w:r>
    </w:p>
    <w:p>
      <w:pPr>
        <w:pStyle w:val="style0"/>
        <w:spacing w:lineRule="auto" w:line="360"/>
        <w:jc w:val="both"/>
        <w:rPr/>
      </w:pPr>
      <w:r>
        <w:t xml:space="preserve">The​‍​‌‍​‍‌​‍​‌‍​‍‌ figure illustrates consistent increases in the online UK fashion market sales over the period, rising from 20.7 billion pounds in 2023 to 23.7 billion pounds by 2028, which is a clear indication of the sector's digital maturity. </w:t>
      </w:r>
      <w:r>
        <w:t xml:space="preserve"> </w:t>
      </w:r>
    </w:p>
    <w:p>
      <w:pPr>
        <w:pStyle w:val="style0"/>
        <w:spacing w:lineRule="auto" w:line="360"/>
        <w:jc w:val="both"/>
        <w:rPr/>
      </w:pPr>
      <w:r>
        <w:t xml:space="preserve">Source: </w:t>
      </w:r>
      <w:r>
        <w:rPr/>
        <w:fldChar w:fldCharType="begin"/>
      </w:r>
      <w:r>
        <w:instrText xml:space="preserve"> HYPERLINK "https://www.emarketer.com/content/state-of-uk-fashion-ecommerce-2025" </w:instrText>
      </w:r>
      <w:r>
        <w:rPr/>
        <w:fldChar w:fldCharType="separate"/>
      </w:r>
      <w:r>
        <w:rPr>
          <w:rStyle w:val="style85"/>
        </w:rPr>
        <w:t>https://www.emarketer.com/content/state-of-uk-fashion-ecommerce-2025</w:t>
      </w:r>
      <w:r>
        <w:rPr/>
        <w:fldChar w:fldCharType="end"/>
      </w:r>
      <w:r>
        <w:t xml:space="preserve"> </w:t>
      </w:r>
    </w:p>
    <w:bookmarkStart w:id="22" w:name="_Toc211963429"/>
    <w:p>
      <w:pPr>
        <w:pStyle w:val="style3"/>
        <w:rPr/>
      </w:pPr>
      <w:r>
        <w:t>Strategic Risks</w:t>
      </w:r>
      <w:bookmarkEnd w:id="22"/>
    </w:p>
    <w:p>
      <w:pPr>
        <w:pStyle w:val="style0"/>
        <w:spacing w:lineRule="auto" w:line="360"/>
        <w:jc w:val="both"/>
        <w:rPr/>
      </w:pPr>
      <w:r>
        <w:t>But it is the constant threat of strategic inertia to followers. According to Baker (20</w:t>
      </w:r>
      <w:r>
        <w:t>10</w:t>
      </w:r>
      <w:r>
        <w:t xml:space="preserve">), reactive strategies need to be recalibrated continuously as a way of preventing obsolescence. Excessive dependence on efficiency may restrict flexibility, especially in cases when digital platforms and consumer preferences are changing at a faster rate than the </w:t>
      </w:r>
      <w:r>
        <w:t>organizational</w:t>
      </w:r>
      <w:r>
        <w:t xml:space="preserve"> culture. The acquisition of digital talent and the incorporation of the concept of data-driven decision-making have also posed an inner problem in M&amp;S and Primark that relies on the observation by </w:t>
      </w:r>
      <w:r>
        <w:t>Gallo</w:t>
      </w:r>
      <w:r>
        <w:t xml:space="preserve"> et al. (20</w:t>
      </w:r>
      <w:r>
        <w:t>25</w:t>
      </w:r>
      <w:r>
        <w:t xml:space="preserve">) </w:t>
      </w:r>
      <w:r>
        <w:t>that the ultimate way to adapt to technology is the human willingness and the ability of the leaders to envision the way forward.</w:t>
      </w:r>
    </w:p>
    <w:bookmarkStart w:id="23" w:name="_Toc211963430"/>
    <w:p>
      <w:pPr>
        <w:pStyle w:val="style2"/>
        <w:rPr/>
      </w:pPr>
      <w:r>
        <w:t>3.3 Comparative Evaluation and Strategic Synthesis</w:t>
      </w:r>
      <w:bookmarkEnd w:id="23"/>
    </w:p>
    <w:p>
      <w:pPr>
        <w:pStyle w:val="style0"/>
        <w:spacing w:lineRule="auto" w:line="360"/>
        <w:jc w:val="both"/>
        <w:rPr/>
      </w:pPr>
      <w:r>
        <w:t>The UK fashion industry is a good example of a co-evolution market system in which innovators and imitators need each other to remain competitive and innovative. First movers like ASOS and Boohoo are the pioneers that test out new technologies, digital platforms</w:t>
      </w:r>
      <w:r>
        <w:t>,</w:t>
      </w:r>
      <w:r>
        <w:t xml:space="preserve"> and cultural trends </w:t>
      </w:r>
      <w:r>
        <w:t>to</w:t>
      </w:r>
      <w:r>
        <w:t xml:space="preserve"> reach niche markets that prioritize individuality, inclusion</w:t>
      </w:r>
      <w:r>
        <w:t>,</w:t>
      </w:r>
      <w:r>
        <w:t xml:space="preserve"> and speed. They appeal to younger, more tech-savvy consumers with the help of the STP framework and position themselves as </w:t>
      </w:r>
      <w:r>
        <w:t>trendsetters</w:t>
      </w:r>
      <w:r>
        <w:t xml:space="preserve"> and leaders of innovation. Primark, Next, and M&amp;S, the followers, follow the more general targeting strategy based on consumer demands of </w:t>
      </w:r>
      <w:r>
        <w:t>the mass market</w:t>
      </w:r>
      <w:r>
        <w:t xml:space="preserve"> to focus on affordability, trust, and reliability. Among </w:t>
      </w:r>
      <w:r>
        <w:t xml:space="preserve">the </w:t>
      </w:r>
      <w:r>
        <w:t>4Ps of marketing, pioneers concentrate on product differentiation, digital promotion, and omnichannel distribution, whereas followers are the best in price competitiveness, physical store networks, and CSR-based promotion featuring sustainability and heritage. This interdependence ascertains that innovators stretch innovative and technological limits, and followers make innovations more stable and democratic. According to the argument presented by Homburg et al. (2003)</w:t>
      </w:r>
      <w:r>
        <w:t>,</w:t>
      </w:r>
      <w:r>
        <w:t xml:space="preserve"> the sustainability of the market relies upon co-adaptation - pioneers establish creative pathways, and the leaders give it validity and magnitude so that innovation and equilibrium are maintained within the UK fashion ecosystem</w:t>
      </w:r>
      <w:r>
        <w:t xml:space="preserve">. </w:t>
      </w:r>
      <w:r>
        <w:t xml:space="preserve"> </w:t>
      </w:r>
    </w:p>
    <w:bookmarkStart w:id="24" w:name="_Toc211963431"/>
    <w:p>
      <w:pPr>
        <w:pStyle w:val="style1"/>
        <w:rPr/>
      </w:pPr>
      <w:r>
        <w:t>4. Conclusion</w:t>
      </w:r>
      <w:bookmarkEnd w:id="24"/>
      <w:r>
        <w:t xml:space="preserve"> </w:t>
      </w:r>
    </w:p>
    <w:p>
      <w:pPr>
        <w:pStyle w:val="style0"/>
        <w:spacing w:lineRule="auto" w:line="360"/>
        <w:jc w:val="both"/>
        <w:rPr/>
      </w:pPr>
      <w:r>
        <w:t xml:space="preserve">Due to technological and </w:t>
      </w:r>
      <w:r>
        <w:t>socio-cultural</w:t>
      </w:r>
      <w:r>
        <w:t xml:space="preserve"> forces, the UK mass-market fashion industry is evolving, and this is reshaping the marketing management practice of both the pioneers and followers. The latter are digital-first, emotionally appealing brands that are pioneered by the disruptive companies like ASOS and Boohoo that exploit the capabilities of new technologies as well as cultural relevance to develop such a brand. The </w:t>
      </w:r>
      <w:r>
        <w:t>follower</w:t>
      </w:r>
      <w:r>
        <w:t xml:space="preserve"> companies, Primark, Next</w:t>
      </w:r>
      <w:r>
        <w:t>,</w:t>
      </w:r>
      <w:r>
        <w:t xml:space="preserve"> and M&amp;S, are effective at scaling accessibility, operating efficiency</w:t>
      </w:r>
      <w:r>
        <w:t>,</w:t>
      </w:r>
      <w:r>
        <w:t xml:space="preserve"> and sustainable practices.</w:t>
      </w:r>
    </w:p>
    <w:p>
      <w:pPr>
        <w:pStyle w:val="style0"/>
        <w:spacing w:lineRule="auto" w:line="360"/>
        <w:jc w:val="both"/>
        <w:rPr/>
      </w:pPr>
      <w:r>
        <w:t xml:space="preserve">The overlapping of disruptive technology with shifting consumer values </w:t>
      </w:r>
      <w:r>
        <w:t>has</w:t>
      </w:r>
      <w:r>
        <w:t xml:space="preserve"> blurred the boundaries </w:t>
      </w:r>
      <w:r>
        <w:t>of</w:t>
      </w:r>
      <w:r>
        <w:t xml:space="preserve"> innovation and imitation. To become competitive, pioneers and followers must be capable of balancing the digital transformation and ethical authenticity</w:t>
      </w:r>
      <w:r>
        <w:t>,</w:t>
      </w:r>
      <w:r>
        <w:t xml:space="preserve"> which is consistent with the vision of inclusive, connected, and sustainable marketing that </w:t>
      </w:r>
      <w:r>
        <w:t>Gallo (2025)</w:t>
      </w:r>
      <w:r>
        <w:t xml:space="preserve"> described in his Marketing 4.0 </w:t>
      </w:r>
      <w:r>
        <w:t>vision. Getting first, getting fast is</w:t>
      </w:r>
      <w:r>
        <w:t>,</w:t>
      </w:r>
      <w:r>
        <w:t xml:space="preserve"> however</w:t>
      </w:r>
      <w:r>
        <w:t>,</w:t>
      </w:r>
      <w:r>
        <w:t xml:space="preserve"> not success, but being agile, open</w:t>
      </w:r>
      <w:r>
        <w:t>,</w:t>
      </w:r>
      <w:r>
        <w:t xml:space="preserve"> and </w:t>
      </w:r>
      <w:r>
        <w:t>customer-focused</w:t>
      </w:r>
      <w:r>
        <w:t xml:space="preserve"> in a </w:t>
      </w:r>
      <w:r>
        <w:t>fast-changing</w:t>
      </w:r>
      <w:r>
        <w:t xml:space="preserve"> environment that has been defined as such because of the fast change.</w:t>
      </w: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bookmarkStart w:id="25" w:name="_Toc211963432"/>
    <w:p>
      <w:pPr>
        <w:pStyle w:val="style1"/>
        <w:jc w:val="center"/>
        <w:rPr/>
      </w:pPr>
      <w:r>
        <w:t>References</w:t>
      </w:r>
      <w:bookmarkEnd w:id="25"/>
    </w:p>
    <w:p>
      <w:pPr>
        <w:pStyle w:val="style0"/>
        <w:spacing w:lineRule="auto" w:line="360"/>
        <w:jc w:val="both"/>
        <w:rPr/>
      </w:pPr>
      <w:r>
        <w:t>Abratt, R. and Bendixen, M., 2018. </w:t>
      </w:r>
      <w:r>
        <w:rPr>
          <w:i/>
          <w:iCs/>
        </w:rPr>
        <w:t>Strategic marketing: Concepts and cases</w:t>
      </w:r>
      <w:r>
        <w:t>. Routledge.</w:t>
      </w:r>
    </w:p>
    <w:p>
      <w:pPr>
        <w:pStyle w:val="style0"/>
        <w:spacing w:lineRule="auto" w:line="360"/>
        <w:jc w:val="both"/>
        <w:rPr/>
      </w:pPr>
      <w:r>
        <w:t>Baker, M.J., 2010. Theory, practice</w:t>
      </w:r>
      <w:r>
        <w:t>,</w:t>
      </w:r>
      <w:r>
        <w:t xml:space="preserve"> and impact in academic marketing research. </w:t>
      </w:r>
      <w:r>
        <w:rPr>
          <w:i/>
          <w:iCs/>
        </w:rPr>
        <w:t xml:space="preserve">Journal of Customer </w:t>
      </w:r>
      <w:r>
        <w:rPr>
          <w:i/>
          <w:iCs/>
        </w:rPr>
        <w:t>Behavior</w:t>
      </w:r>
      <w:r>
        <w:t>, </w:t>
      </w:r>
      <w:r>
        <w:rPr>
          <w:i/>
          <w:iCs/>
        </w:rPr>
        <w:t>9</w:t>
      </w:r>
      <w:r>
        <w:t>(1), pp.5-18.</w:t>
      </w:r>
    </w:p>
    <w:p>
      <w:pPr>
        <w:pStyle w:val="style0"/>
        <w:spacing w:lineRule="auto" w:line="360"/>
        <w:jc w:val="both"/>
        <w:rPr/>
      </w:pPr>
      <w:r>
        <w:t xml:space="preserve">British Fashion Council (2024) </w:t>
      </w:r>
      <w:r>
        <w:rPr>
          <w:i/>
          <w:iCs/>
        </w:rPr>
        <w:t>UK Fashion Industry Economic Impact Report.</w:t>
      </w:r>
      <w:r>
        <w:t xml:space="preserve"> London: BFC.</w:t>
      </w:r>
    </w:p>
    <w:p>
      <w:pPr>
        <w:pStyle w:val="style0"/>
        <w:spacing w:lineRule="auto" w:line="360"/>
        <w:jc w:val="both"/>
        <w:rPr/>
      </w:pPr>
      <w:r>
        <w:t>Gallo Mendoza, G., 2025. Marketing 4.0: Moving from Traditional to Digital. </w:t>
      </w:r>
      <w:r>
        <w:rPr>
          <w:i/>
          <w:iCs/>
        </w:rPr>
        <w:t>Estudios de la Gestión</w:t>
      </w:r>
      <w:r>
        <w:t>, (18), pp.231-234.</w:t>
      </w:r>
    </w:p>
    <w:p>
      <w:pPr>
        <w:pStyle w:val="style0"/>
        <w:spacing w:lineRule="auto" w:line="360"/>
        <w:jc w:val="both"/>
        <w:rPr/>
      </w:pPr>
      <w:r>
        <w:t>Homburg, C., Kuester, S. and Krohmer, H., 2003. </w:t>
      </w:r>
      <w:r>
        <w:rPr>
          <w:i/>
          <w:iCs/>
        </w:rPr>
        <w:t>Marketingmanagement</w:t>
      </w:r>
      <w:r>
        <w:t> (Vol. 2). Wiesbaden: Gabler.</w:t>
      </w:r>
    </w:p>
    <w:p>
      <w:pPr>
        <w:pStyle w:val="style0"/>
        <w:spacing w:lineRule="auto" w:line="360"/>
        <w:jc w:val="both"/>
        <w:rPr/>
      </w:pPr>
      <w:r>
        <w:t>Kraujalienė, L. and Kromalcas, S., 2022. Brand positioning strategy in the competitive aspect. </w:t>
      </w:r>
      <w:r>
        <w:rPr>
          <w:i/>
          <w:iCs/>
        </w:rPr>
        <w:t>Business: Theory and Practice</w:t>
      </w:r>
      <w:r>
        <w:t>, </w:t>
      </w:r>
      <w:r>
        <w:rPr>
          <w:i/>
          <w:iCs/>
        </w:rPr>
        <w:t>23</w:t>
      </w:r>
      <w:r>
        <w:t>(2), pp.467-475.</w:t>
      </w:r>
    </w:p>
    <w:p>
      <w:pPr>
        <w:pStyle w:val="style0"/>
        <w:spacing w:lineRule="auto" w:line="360"/>
        <w:jc w:val="both"/>
        <w:rPr/>
      </w:pPr>
      <w:r>
        <w:t>Lee, C.K.H., 2022. How guest-host interactions affect consumer experiences in the sharing economy: New evidence from a configurational analysis based on consumer reviews. </w:t>
      </w:r>
      <w:r>
        <w:rPr>
          <w:i/>
          <w:iCs/>
        </w:rPr>
        <w:t>Decision Support Systems</w:t>
      </w:r>
      <w:r>
        <w:t>, </w:t>
      </w:r>
      <w:r>
        <w:rPr>
          <w:i/>
          <w:iCs/>
        </w:rPr>
        <w:t>152</w:t>
      </w:r>
      <w:r>
        <w:t>, p.113634.</w:t>
      </w:r>
    </w:p>
    <w:p>
      <w:pPr>
        <w:pStyle w:val="style0"/>
        <w:spacing w:lineRule="auto" w:line="360"/>
        <w:jc w:val="both"/>
        <w:rPr/>
      </w:pPr>
      <w:r>
        <w:t xml:space="preserve">Morgan, A. (2023) ‘Boohoo faces £100m lawsuit over modern slavery breaches’, </w:t>
      </w:r>
      <w:r>
        <w:rPr>
          <w:i/>
          <w:iCs/>
        </w:rPr>
        <w:t>Retail Gazette</w:t>
      </w:r>
      <w:r>
        <w:t xml:space="preserve">, 26 October. Available at: </w:t>
      </w:r>
      <w:r>
        <w:rPr/>
        <w:fldChar w:fldCharType="begin"/>
      </w:r>
      <w:r>
        <w:instrText xml:space="preserve"> HYPERLINK "https://www.retailgazette.co.uk/blog/2023/10/boohoo-faces-lawsuit-slavery/?utm_source=chatgpt.com" \t "_new" </w:instrText>
      </w:r>
      <w:r>
        <w:rPr/>
        <w:fldChar w:fldCharType="separate"/>
      </w:r>
      <w:r>
        <w:rPr>
          <w:rStyle w:val="style85"/>
        </w:rPr>
        <w:t>https://www.retailgazette.co.uk/blog/2023/10/boohoo-faces-lawsuit-slavery/</w:t>
      </w:r>
      <w:r>
        <w:rPr/>
        <w:fldChar w:fldCharType="end"/>
      </w:r>
      <w:r>
        <w:t xml:space="preserve"> (Accessed: 20 October 2025).</w:t>
      </w:r>
    </w:p>
    <w:p>
      <w:pPr>
        <w:pStyle w:val="style0"/>
        <w:spacing w:lineRule="auto" w:line="360"/>
        <w:jc w:val="both"/>
        <w:rPr/>
      </w:pPr>
      <w:r>
        <w:t>Patel, K.S. and Swamy, D., 2023. Customer Role in Relationship Marketing in Acquisition and Retention of Customers: TESCO. </w:t>
      </w:r>
      <w:r>
        <w:rPr>
          <w:i/>
          <w:iCs/>
        </w:rPr>
        <w:t xml:space="preserve">Modern Research in Consumer </w:t>
      </w:r>
      <w:r>
        <w:rPr>
          <w:i/>
          <w:iCs/>
        </w:rPr>
        <w:t>Behavior</w:t>
      </w:r>
      <w:r>
        <w:rPr>
          <w:i/>
          <w:iCs/>
        </w:rPr>
        <w:t xml:space="preserve"> and Marketing Research</w:t>
      </w:r>
      <w:r>
        <w:t>, p.87.</w:t>
      </w:r>
    </w:p>
    <w:p>
      <w:pPr>
        <w:pStyle w:val="style0"/>
        <w:spacing w:lineRule="auto" w:line="360"/>
        <w:jc w:val="both"/>
        <w:rPr/>
      </w:pPr>
      <w:r>
        <w:t>Paley, N., 2021. </w:t>
      </w:r>
      <w:r>
        <w:rPr>
          <w:i/>
          <w:iCs/>
        </w:rPr>
        <w:t>The manager's guide to competitive marketing strategies</w:t>
      </w:r>
      <w:r>
        <w:t>. Routledge.</w:t>
      </w:r>
    </w:p>
    <w:p>
      <w:pPr>
        <w:pStyle w:val="style0"/>
        <w:spacing w:lineRule="auto" w:line="360"/>
        <w:jc w:val="both"/>
        <w:rPr/>
      </w:pPr>
      <w:r>
        <w:t xml:space="preserve">Statista (2024) </w:t>
      </w:r>
      <w:r>
        <w:rPr>
          <w:i/>
          <w:iCs/>
        </w:rPr>
        <w:t>UK Online Fashion Sales Growth 2020–2025.</w:t>
      </w:r>
      <w:r>
        <w:t xml:space="preserve"> Available at: </w:t>
      </w:r>
      <w:r>
        <w:rPr/>
        <w:fldChar w:fldCharType="begin"/>
      </w:r>
      <w:r>
        <w:instrText xml:space="preserve"> HYPERLINK "https://www.statista.com" </w:instrText>
      </w:r>
      <w:r>
        <w:rPr/>
        <w:fldChar w:fldCharType="separate"/>
      </w:r>
      <w:r>
        <w:rPr>
          <w:rStyle w:val="style85"/>
        </w:rPr>
        <w:t>https://www.statista.com</w:t>
      </w:r>
      <w:r>
        <w:rPr/>
        <w:fldChar w:fldCharType="end"/>
      </w:r>
    </w:p>
    <w:p>
      <w:pPr>
        <w:pStyle w:val="style0"/>
        <w:spacing w:lineRule="auto" w:line="360"/>
        <w:jc w:val="both"/>
        <w:rPr/>
      </w:pPr>
      <w:r>
        <w:t xml:space="preserve">Next plc (2024) </w:t>
      </w:r>
      <w:r>
        <w:rPr>
          <w:i/>
          <w:iCs/>
        </w:rPr>
        <w:t>Annual Report 2023/24.</w:t>
      </w:r>
      <w:r>
        <w:t xml:space="preserve"> Leicester: Next Group.</w:t>
      </w:r>
    </w:p>
    <w:p>
      <w:pPr>
        <w:pStyle w:val="style0"/>
        <w:spacing w:lineRule="auto" w:line="360"/>
        <w:jc w:val="both"/>
        <w:rPr/>
      </w:pPr>
      <w:r>
        <w:t xml:space="preserve">M&amp;S plc (2024) </w:t>
      </w:r>
      <w:r>
        <w:rPr>
          <w:i/>
          <w:iCs/>
        </w:rPr>
        <w:t>Sustainability and ESG Report.</w:t>
      </w:r>
      <w:r>
        <w:t xml:space="preserve"> London: Marks &amp; Spencer.</w:t>
      </w:r>
    </w:p>
    <w:p>
      <w:pPr>
        <w:pStyle w:val="style0"/>
        <w:spacing w:lineRule="auto" w:line="360"/>
        <w:jc w:val="both"/>
        <w:rPr/>
      </w:pPr>
      <w:r>
        <w:t xml:space="preserve">Primark (2024) </w:t>
      </w:r>
      <w:r>
        <w:rPr>
          <w:i/>
          <w:iCs/>
        </w:rPr>
        <w:t>Primark Cares Initiative Report.</w:t>
      </w:r>
      <w:r>
        <w:t xml:space="preserve"> Dublin: Associated British Foods.</w:t>
      </w:r>
    </w:p>
    <w:p>
      <w:pPr>
        <w:pStyle w:val="style0"/>
        <w:spacing w:lineRule="auto" w:line="360"/>
        <w:jc w:val="both"/>
        <w:rPr/>
      </w:pPr>
    </w:p>
    <w:p>
      <w:pPr>
        <w:pStyle w:val="style0"/>
        <w:spacing w:lineRule="auto" w:line="360"/>
        <w:jc w:val="both"/>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0000000000000000000"/>
    <w:charset w:val="00"/>
    <w:family w:val="swiss"/>
    <w:pitch w:val="variable"/>
    <w:sig w:usb0="20000287" w:usb1="00000003" w:usb2="00000000" w:usb3="00000000" w:csb0="0000019F" w:csb1="00000000"/>
  </w:font>
  <w:font w:name="Mangal">
    <w:altName w:val="Mangal"/>
    <w:panose1 w:val="00000400000000000000"/>
    <w:charset w:val="00"/>
    <w:family w:val="roman"/>
    <w:pitch w:val="variable"/>
    <w:sig w:usb0="00008003" w:usb1="00000000" w:usb2="00000000" w:usb3="00000000" w:csb0="00000001" w:csb1="00000000"/>
  </w:font>
  <w:font w:name="Aptos Display">
    <w:altName w:val="Aptos Display"/>
    <w:panose1 w:val="00000000000000000000"/>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548AB7B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DEBA464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AF42EF9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multilevel"/>
    <w:tmpl w:val="98C8A79E"/>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4">
    <w:nsid w:val="00000004"/>
    <w:multiLevelType w:val="multilevel"/>
    <w:tmpl w:val="BF1C0D3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宋体" w:eastAsia="Aptos" w:hAnsi="Aptos"/>
        <w:kern w:val="2"/>
        <w:sz w:val="22"/>
        <w:szCs w:val="22"/>
        <w:lang w:val="en-US"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rPr>
      <w:rFonts w:ascii="Times New Roman" w:hAnsi="Times New Roman"/>
      <w:sz w:val="24"/>
    </w:rPr>
  </w:style>
  <w:style w:type="paragraph" w:styleId="style1">
    <w:name w:val="heading 1"/>
    <w:basedOn w:val="style0"/>
    <w:next w:val="style0"/>
    <w:link w:val="style4097"/>
    <w:qFormat/>
    <w:uiPriority w:val="4"/>
    <w:pPr>
      <w:keepNext/>
      <w:keepLines/>
      <w:spacing w:after="0" w:lineRule="auto" w:line="480"/>
      <w:jc w:val="both"/>
      <w:outlineLvl w:val="0"/>
    </w:pPr>
    <w:rPr>
      <w:rFonts w:cs="宋体" w:eastAsia="宋体"/>
      <w:b/>
      <w:bCs/>
      <w:kern w:val="24"/>
      <w:sz w:val="32"/>
    </w:rPr>
  </w:style>
  <w:style w:type="paragraph" w:styleId="style2">
    <w:name w:val="heading 2"/>
    <w:basedOn w:val="style0"/>
    <w:next w:val="style0"/>
    <w:link w:val="style4098"/>
    <w:qFormat/>
    <w:uiPriority w:val="9"/>
    <w:pPr>
      <w:keepNext/>
      <w:keepLines/>
      <w:widowControl w:val="false"/>
      <w:suppressAutoHyphens/>
      <w:spacing w:before="40" w:after="0" w:lineRule="auto" w:line="240"/>
      <w:jc w:val="both"/>
      <w:outlineLvl w:val="1"/>
    </w:pPr>
    <w:rPr>
      <w:rFonts w:cs="Mangal" w:eastAsia="宋体"/>
      <w:b/>
      <w:sz w:val="28"/>
      <w:szCs w:val="23"/>
    </w:rPr>
  </w:style>
  <w:style w:type="paragraph" w:styleId="style3">
    <w:name w:val="heading 3"/>
    <w:basedOn w:val="style0"/>
    <w:next w:val="style0"/>
    <w:link w:val="style4100"/>
    <w:qFormat/>
    <w:uiPriority w:val="9"/>
    <w:pPr>
      <w:keepNext/>
      <w:keepLines/>
      <w:spacing w:before="280" w:after="200"/>
      <w:jc w:val="both"/>
      <w:outlineLvl w:val="2"/>
    </w:pPr>
    <w:rPr>
      <w:rFonts w:cs="宋体" w:eastAsia="宋体"/>
      <w:b/>
      <w:szCs w:val="28"/>
    </w:rPr>
  </w:style>
  <w:style w:type="paragraph" w:styleId="style4">
    <w:name w:val="heading 4"/>
    <w:basedOn w:val="style0"/>
    <w:next w:val="style0"/>
    <w:link w:val="style4101"/>
    <w:qFormat/>
    <w:uiPriority w:val="9"/>
    <w:pPr>
      <w:keepNext/>
      <w:keepLines/>
      <w:spacing w:before="80" w:after="40"/>
      <w:outlineLvl w:val="3"/>
    </w:pPr>
    <w:rPr>
      <w:rFonts w:ascii="Aptos" w:cs="宋体" w:eastAsia="宋体" w:hAnsi="Aptos"/>
      <w:i/>
      <w:iCs/>
      <w:color w:val="0f4761"/>
    </w:rPr>
  </w:style>
  <w:style w:type="paragraph" w:styleId="style5">
    <w:name w:val="heading 5"/>
    <w:basedOn w:val="style0"/>
    <w:next w:val="style0"/>
    <w:link w:val="style4102"/>
    <w:qFormat/>
    <w:uiPriority w:val="9"/>
    <w:pPr>
      <w:keepNext/>
      <w:keepLines/>
      <w:spacing w:before="80" w:after="40"/>
      <w:outlineLvl w:val="4"/>
    </w:pPr>
    <w:rPr>
      <w:rFonts w:ascii="Aptos" w:cs="宋体" w:eastAsia="宋体" w:hAnsi="Aptos"/>
      <w:color w:val="0f4761"/>
    </w:rPr>
  </w:style>
  <w:style w:type="paragraph" w:styleId="style6">
    <w:name w:val="heading 6"/>
    <w:basedOn w:val="style0"/>
    <w:next w:val="style0"/>
    <w:link w:val="style4103"/>
    <w:qFormat/>
    <w:uiPriority w:val="9"/>
    <w:pPr>
      <w:keepNext/>
      <w:keepLines/>
      <w:spacing w:before="40" w:after="0"/>
      <w:outlineLvl w:val="5"/>
    </w:pPr>
    <w:rPr>
      <w:rFonts w:ascii="Aptos" w:cs="宋体" w:eastAsia="宋体" w:hAnsi="Aptos"/>
      <w:i/>
      <w:iCs/>
      <w:color w:val="595959"/>
    </w:rPr>
  </w:style>
  <w:style w:type="paragraph" w:styleId="style7">
    <w:name w:val="heading 7"/>
    <w:basedOn w:val="style0"/>
    <w:next w:val="style0"/>
    <w:link w:val="style4104"/>
    <w:qFormat/>
    <w:uiPriority w:val="9"/>
    <w:pPr>
      <w:keepNext/>
      <w:keepLines/>
      <w:spacing w:before="40" w:after="0"/>
      <w:outlineLvl w:val="6"/>
    </w:pPr>
    <w:rPr>
      <w:rFonts w:ascii="Aptos" w:cs="宋体" w:eastAsia="宋体" w:hAnsi="Aptos"/>
      <w:color w:val="595959"/>
    </w:rPr>
  </w:style>
  <w:style w:type="paragraph" w:styleId="style8">
    <w:name w:val="heading 8"/>
    <w:basedOn w:val="style0"/>
    <w:next w:val="style0"/>
    <w:link w:val="style4105"/>
    <w:qFormat/>
    <w:uiPriority w:val="9"/>
    <w:pPr>
      <w:keepNext/>
      <w:keepLines/>
      <w:spacing w:after="0"/>
      <w:outlineLvl w:val="7"/>
    </w:pPr>
    <w:rPr>
      <w:rFonts w:ascii="Aptos" w:cs="宋体" w:eastAsia="宋体" w:hAnsi="Aptos"/>
      <w:i/>
      <w:iCs/>
      <w:color w:val="272727"/>
    </w:rPr>
  </w:style>
  <w:style w:type="paragraph" w:styleId="style9">
    <w:name w:val="heading 9"/>
    <w:basedOn w:val="style0"/>
    <w:next w:val="style0"/>
    <w:link w:val="style4106"/>
    <w:qFormat/>
    <w:uiPriority w:val="9"/>
    <w:pPr>
      <w:keepNext/>
      <w:keepLines/>
      <w:spacing w:after="0"/>
      <w:outlineLvl w:val="8"/>
    </w:pPr>
    <w:rPr>
      <w:rFonts w:ascii="Aptos" w:cs="宋体" w:eastAsia="宋体" w:hAnsi="Aptos"/>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8521029b-9198-4dbd-8981-976a9f851cef"/>
    <w:basedOn w:val="style65"/>
    <w:next w:val="style4097"/>
    <w:link w:val="style1"/>
    <w:uiPriority w:val="4"/>
    <w:rPr>
      <w:rFonts w:ascii="Times New Roman" w:cs="宋体" w:eastAsia="宋体" w:hAnsi="Times New Roman"/>
      <w:b/>
      <w:bCs/>
      <w:kern w:val="24"/>
      <w:sz w:val="32"/>
    </w:rPr>
  </w:style>
  <w:style w:type="character" w:customStyle="1" w:styleId="style4098">
    <w:name w:val="Heading 2 Char_ba04ccb3-e84c-4d8a-ada6-6657ebef1993"/>
    <w:basedOn w:val="style65"/>
    <w:next w:val="style4098"/>
    <w:link w:val="style2"/>
    <w:uiPriority w:val="9"/>
    <w:rPr>
      <w:rFonts w:ascii="Times New Roman" w:cs="Mangal" w:eastAsia="宋体" w:hAnsi="Times New Roman"/>
      <w:b/>
      <w:sz w:val="28"/>
      <w:szCs w:val="23"/>
    </w:rPr>
  </w:style>
  <w:style w:type="paragraph" w:styleId="style62">
    <w:name w:val="Title"/>
    <w:basedOn w:val="style0"/>
    <w:next w:val="style0"/>
    <w:link w:val="style4099"/>
    <w:qFormat/>
    <w:uiPriority w:val="10"/>
    <w:pPr>
      <w:spacing w:after="0" w:lineRule="auto" w:line="240"/>
      <w:contextualSpacing/>
    </w:pPr>
    <w:rPr>
      <w:rFonts w:cs="宋体" w:eastAsia="宋体"/>
      <w:b/>
      <w:spacing w:val="-10"/>
      <w:kern w:val="28"/>
      <w:sz w:val="32"/>
      <w:szCs w:val="56"/>
    </w:rPr>
  </w:style>
  <w:style w:type="character" w:customStyle="1" w:styleId="style4099">
    <w:name w:val="Title Char_15779d61-2844-47fc-8d9a-afd9cc411b4b"/>
    <w:basedOn w:val="style65"/>
    <w:next w:val="style4099"/>
    <w:link w:val="style62"/>
    <w:uiPriority w:val="10"/>
    <w:rPr>
      <w:rFonts w:ascii="Times New Roman" w:cs="宋体" w:eastAsia="宋体" w:hAnsi="Times New Roman"/>
      <w:b/>
      <w:spacing w:val="-10"/>
      <w:kern w:val="28"/>
      <w:sz w:val="32"/>
      <w:szCs w:val="56"/>
    </w:rPr>
  </w:style>
  <w:style w:type="character" w:customStyle="1" w:styleId="style4100">
    <w:name w:val="Heading 3 Char_4b563c4f-8b58-4d95-9582-372fd2af11e9"/>
    <w:basedOn w:val="style65"/>
    <w:next w:val="style4100"/>
    <w:link w:val="style3"/>
    <w:uiPriority w:val="9"/>
    <w:rPr>
      <w:rFonts w:ascii="Times New Roman" w:cs="宋体" w:eastAsia="宋体" w:hAnsi="Times New Roman"/>
      <w:b/>
      <w:sz w:val="24"/>
      <w:szCs w:val="28"/>
    </w:rPr>
  </w:style>
  <w:style w:type="character" w:customStyle="1" w:styleId="style4101">
    <w:name w:val="Heading 4 Char_456f7807-d21b-4fa8-bb05-db36d7aaba1d"/>
    <w:basedOn w:val="style65"/>
    <w:next w:val="style4101"/>
    <w:link w:val="style4"/>
    <w:uiPriority w:val="9"/>
    <w:rPr>
      <w:rFonts w:cs="宋体" w:eastAsia="宋体"/>
      <w:i/>
      <w:iCs/>
      <w:color w:val="0f4761"/>
      <w:sz w:val="24"/>
    </w:rPr>
  </w:style>
  <w:style w:type="character" w:customStyle="1" w:styleId="style4102">
    <w:name w:val="Heading 5 Char_9ebbab09-1dd4-4d47-b4bf-15def150aca3"/>
    <w:basedOn w:val="style65"/>
    <w:next w:val="style4102"/>
    <w:link w:val="style5"/>
    <w:uiPriority w:val="9"/>
    <w:rPr>
      <w:rFonts w:cs="宋体" w:eastAsia="宋体"/>
      <w:color w:val="0f4761"/>
      <w:sz w:val="24"/>
    </w:rPr>
  </w:style>
  <w:style w:type="character" w:customStyle="1" w:styleId="style4103">
    <w:name w:val="Heading 6 Char_55146cf8-403a-443e-bccf-47138b41b91d"/>
    <w:basedOn w:val="style65"/>
    <w:next w:val="style4103"/>
    <w:link w:val="style6"/>
    <w:uiPriority w:val="9"/>
    <w:rPr>
      <w:rFonts w:cs="宋体" w:eastAsia="宋体"/>
      <w:i/>
      <w:iCs/>
      <w:color w:val="595959"/>
      <w:sz w:val="24"/>
    </w:rPr>
  </w:style>
  <w:style w:type="character" w:customStyle="1" w:styleId="style4104">
    <w:name w:val="Heading 7 Char_b4708dc9-06bd-49ba-befc-88ad015508e9"/>
    <w:basedOn w:val="style65"/>
    <w:next w:val="style4104"/>
    <w:link w:val="style7"/>
    <w:uiPriority w:val="9"/>
    <w:rPr>
      <w:rFonts w:cs="宋体" w:eastAsia="宋体"/>
      <w:color w:val="595959"/>
      <w:sz w:val="24"/>
    </w:rPr>
  </w:style>
  <w:style w:type="character" w:customStyle="1" w:styleId="style4105">
    <w:name w:val="Heading 8 Char_4496e1b5-0269-4dce-9fc6-202afa7c3f5f"/>
    <w:basedOn w:val="style65"/>
    <w:next w:val="style4105"/>
    <w:link w:val="style8"/>
    <w:uiPriority w:val="9"/>
    <w:rPr>
      <w:rFonts w:cs="宋体" w:eastAsia="宋体"/>
      <w:i/>
      <w:iCs/>
      <w:color w:val="272727"/>
      <w:sz w:val="24"/>
    </w:rPr>
  </w:style>
  <w:style w:type="character" w:customStyle="1" w:styleId="style4106">
    <w:name w:val="Heading 9 Char_964cff6b-ef0c-4065-b9ec-e455145a6757"/>
    <w:basedOn w:val="style65"/>
    <w:next w:val="style4106"/>
    <w:link w:val="style9"/>
    <w:uiPriority w:val="9"/>
    <w:rPr>
      <w:rFonts w:cs="宋体" w:eastAsia="宋体"/>
      <w:color w:val="272727"/>
      <w:sz w:val="24"/>
    </w:rPr>
  </w:style>
  <w:style w:type="paragraph" w:styleId="style74">
    <w:name w:val="Subtitle"/>
    <w:basedOn w:val="style0"/>
    <w:next w:val="style0"/>
    <w:link w:val="style4107"/>
    <w:qFormat/>
    <w:uiPriority w:val="11"/>
    <w:pPr>
      <w:numPr>
        <w:ilvl w:val="1"/>
        <w:numId w:val="0"/>
      </w:numPr>
    </w:pPr>
    <w:rPr>
      <w:rFonts w:ascii="Aptos" w:cs="宋体" w:eastAsia="宋体" w:hAnsi="Aptos"/>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ed2feac9-2108-4da5-b966-ac7c46bcb045"/>
    <w:basedOn w:val="style65"/>
    <w:next w:val="style4108"/>
    <w:link w:val="style180"/>
    <w:uiPriority w:val="29"/>
    <w:rPr>
      <w:rFonts w:ascii="Times New Roman" w:hAnsi="Times New Roman"/>
      <w:i/>
      <w:iCs/>
      <w:color w:val="404040"/>
      <w:sz w:val="24"/>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af0fc3a4-b665-4bb1-b084-ff6943f5732d"/>
    <w:basedOn w:val="style65"/>
    <w:next w:val="style4109"/>
    <w:link w:val="style181"/>
    <w:uiPriority w:val="30"/>
    <w:rPr>
      <w:rFonts w:ascii="Times New Roman" w:hAnsi="Times New Roman"/>
      <w:i/>
      <w:iCs/>
      <w:color w:val="0f4761"/>
      <w:sz w:val="24"/>
    </w:rPr>
  </w:style>
  <w:style w:type="character" w:styleId="style263">
    <w:name w:val="Intense Reference"/>
    <w:basedOn w:val="style65"/>
    <w:next w:val="style263"/>
    <w:qFormat/>
    <w:uiPriority w:val="32"/>
    <w:rPr>
      <w:b/>
      <w:bCs/>
      <w:smallCaps/>
      <w:color w:val="0f4761"/>
      <w:spacing w:val="5"/>
    </w:rPr>
  </w:style>
  <w:style w:type="paragraph" w:styleId="style266">
    <w:name w:val="TOC Heading"/>
    <w:basedOn w:val="style1"/>
    <w:next w:val="style0"/>
    <w:qFormat/>
    <w:uiPriority w:val="39"/>
    <w:pPr>
      <w:spacing w:before="240" w:lineRule="auto" w:line="259"/>
      <w:jc w:val="left"/>
      <w:outlineLvl w:val="9"/>
    </w:pPr>
    <w:rPr>
      <w:rFonts w:ascii="Aptos Display" w:hAnsi="Aptos Display"/>
      <w:b w:val="false"/>
      <w:bCs w:val="false"/>
      <w:color w:val="0f4761"/>
      <w:kern w:val="0"/>
      <w:szCs w:val="32"/>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467886"/>
      <w:u w:val="single"/>
    </w:rPr>
  </w:style>
  <w:style w:type="paragraph" w:styleId="style21">
    <w:name w:val="toc 3"/>
    <w:basedOn w:val="style0"/>
    <w:next w:val="style0"/>
    <w:uiPriority w:val="39"/>
    <w:pPr>
      <w:spacing w:after="100"/>
      <w:ind w:left="480"/>
    </w:pPr>
    <w:rPr/>
  </w:style>
  <w:style w:type="character" w:customStyle="1" w:styleId="style4110">
    <w:name w:val="Unresolved Mention"/>
    <w:basedOn w:val="style65"/>
    <w:next w:val="style4110"/>
    <w:uiPriority w:val="99"/>
    <w:rPr>
      <w:color w:val="605e5c"/>
      <w:shd w:val="clear" w:color="auto" w:fill="e1dfdd"/>
    </w:rPr>
  </w:style>
  <w:style w:type="character" w:styleId="style86">
    <w:name w:val="FollowedHyperlink"/>
    <w:basedOn w:val="style65"/>
    <w:next w:val="style86"/>
    <w:uiPriority w:val="99"/>
    <w:rPr>
      <w:color w:val="96607d"/>
      <w:u w:val="single"/>
    </w:rPr>
  </w:style>
  <w:style w:type="paragraph" w:styleId="style94">
    <w:name w:val="Normal (Web)"/>
    <w:basedOn w:val="style0"/>
    <w:next w:val="style94"/>
    <w:uiPriority w:val="99"/>
    <w:pPr/>
    <w:rPr>
      <w:rFonts w:cs="Times New Roman"/>
      <w:szCs w:val="24"/>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C35D3F-EF08-4CB5-9CEA-AC71BC9F4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Words>3184</Words>
  <Pages>16</Pages>
  <Characters>19261</Characters>
  <Application>WPS Office</Application>
  <DocSecurity>0</DocSecurity>
  <Paragraphs>205</Paragraphs>
  <ScaleCrop>false</ScaleCrop>
  <LinksUpToDate>false</LinksUpToDate>
  <CharactersWithSpaces>22334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2025-10-06T12:17:00Z</dcterms:created>
  <dc:creator>Office</dc:creator>
  <lastModifiedBy>V2424</lastModifiedBy>
  <dcterms:modified xsi:type="dcterms:W3CDTF">2025-10-23T19:11:46Z</dcterms:modified>
  <revision>102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03ffc128-1513-4a4c-b0f9-d519421f0e76</vt:lpwstr>
  </property>
  <property fmtid="{D5CDD505-2E9C-101B-9397-08002B2CF9AE}" pid="3" name="ICV">
    <vt:lpwstr>6c10f179159f4f5abb1499ce6853b795</vt:lpwstr>
  </property>
</Properties>
</file>