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64C71" w:rsidRDefault="00000000">
      <w:pPr>
        <w:spacing w:line="360" w:lineRule="auto"/>
        <w:jc w:val="both"/>
        <w:rPr>
          <w:sz w:val="32"/>
          <w:szCs w:val="32"/>
        </w:rPr>
      </w:pPr>
      <w:r>
        <w:rPr>
          <w:sz w:val="32"/>
          <w:szCs w:val="32"/>
        </w:rPr>
        <w:t>LCBB4003 Introducing the Modern Workplace Component 1 Essay</w:t>
      </w:r>
    </w:p>
    <w:p w14:paraId="00000002" w14:textId="7194FDEE" w:rsidR="00864C71" w:rsidRDefault="00000000">
      <w:pPr>
        <w:spacing w:line="360" w:lineRule="auto"/>
        <w:jc w:val="both"/>
        <w:rPr>
          <w:sz w:val="32"/>
          <w:szCs w:val="32"/>
        </w:rPr>
      </w:pPr>
      <w:r>
        <w:rPr>
          <w:sz w:val="32"/>
          <w:szCs w:val="32"/>
        </w:rPr>
        <w:t>Student Name</w:t>
      </w:r>
      <w:r w:rsidR="0092425D">
        <w:rPr>
          <w:sz w:val="32"/>
          <w:szCs w:val="32"/>
        </w:rPr>
        <w:t>: Cristina Elena Negoita</w:t>
      </w:r>
    </w:p>
    <w:p w14:paraId="00000003" w14:textId="101A863E" w:rsidR="00864C71" w:rsidRDefault="00000000">
      <w:pPr>
        <w:spacing w:line="360" w:lineRule="auto"/>
        <w:jc w:val="both"/>
        <w:rPr>
          <w:sz w:val="32"/>
          <w:szCs w:val="32"/>
        </w:rPr>
      </w:pPr>
      <w:r>
        <w:rPr>
          <w:sz w:val="32"/>
          <w:szCs w:val="32"/>
        </w:rPr>
        <w:t>Student ID</w:t>
      </w:r>
      <w:r w:rsidR="0092425D">
        <w:rPr>
          <w:sz w:val="32"/>
          <w:szCs w:val="32"/>
        </w:rPr>
        <w:t>: 2133077</w:t>
      </w:r>
    </w:p>
    <w:p w14:paraId="6B48591B" w14:textId="6EEE7A40" w:rsidR="0092425D" w:rsidRDefault="0092425D">
      <w:pPr>
        <w:spacing w:line="360" w:lineRule="auto"/>
        <w:jc w:val="both"/>
        <w:rPr>
          <w:sz w:val="32"/>
          <w:szCs w:val="32"/>
        </w:rPr>
      </w:pPr>
      <w:r>
        <w:rPr>
          <w:sz w:val="32"/>
          <w:szCs w:val="32"/>
        </w:rPr>
        <w:t xml:space="preserve">Lecturer: Dr. </w:t>
      </w:r>
      <w:proofErr w:type="spellStart"/>
      <w:r>
        <w:rPr>
          <w:sz w:val="32"/>
          <w:szCs w:val="32"/>
        </w:rPr>
        <w:t>Hoang</w:t>
      </w:r>
      <w:proofErr w:type="spellEnd"/>
      <w:r>
        <w:rPr>
          <w:sz w:val="32"/>
          <w:szCs w:val="32"/>
        </w:rPr>
        <w:t xml:space="preserve"> </w:t>
      </w:r>
      <w:r w:rsidR="00987093">
        <w:rPr>
          <w:sz w:val="32"/>
          <w:szCs w:val="32"/>
        </w:rPr>
        <w:t>Dang Nguyen</w:t>
      </w:r>
    </w:p>
    <w:p w14:paraId="00000004" w14:textId="77777777" w:rsidR="00864C71" w:rsidRDefault="00864C71">
      <w:pPr>
        <w:spacing w:line="360" w:lineRule="auto"/>
        <w:jc w:val="both"/>
      </w:pPr>
    </w:p>
    <w:p w14:paraId="00000005" w14:textId="77777777" w:rsidR="00864C71" w:rsidRDefault="00864C71">
      <w:pPr>
        <w:spacing w:line="360" w:lineRule="auto"/>
        <w:jc w:val="both"/>
      </w:pPr>
    </w:p>
    <w:p w14:paraId="00000006" w14:textId="77777777" w:rsidR="00864C71" w:rsidRDefault="00000000">
      <w:pPr>
        <w:spacing w:line="360" w:lineRule="auto"/>
        <w:jc w:val="both"/>
      </w:pPr>
      <w:r>
        <w:br w:type="page"/>
      </w:r>
    </w:p>
    <w:p w14:paraId="00000007" w14:textId="77777777" w:rsidR="00864C71" w:rsidRDefault="00000000">
      <w:pPr>
        <w:spacing w:line="360" w:lineRule="auto"/>
        <w:jc w:val="both"/>
      </w:pPr>
      <w:r>
        <w:lastRenderedPageBreak/>
        <w:t xml:space="preserve">In this essay, Unilever's leading position in the consumer goods industry will be </w:t>
      </w:r>
      <w:proofErr w:type="spellStart"/>
      <w:r>
        <w:t>analysed</w:t>
      </w:r>
      <w:proofErr w:type="spellEnd"/>
      <w:r>
        <w:t xml:space="preserve">. Necessary roles played by </w:t>
      </w:r>
      <w:proofErr w:type="spellStart"/>
      <w:r>
        <w:t>organisational</w:t>
      </w:r>
      <w:proofErr w:type="spellEnd"/>
      <w:r>
        <w:t xml:space="preserve"> structure, </w:t>
      </w:r>
      <w:proofErr w:type="spellStart"/>
      <w:r>
        <w:t>organisational</w:t>
      </w:r>
      <w:proofErr w:type="spellEnd"/>
      <w:r>
        <w:t xml:space="preserve"> culture, and employee motivation for attaining the company's goals is the focal point of this exploration. Unilever was established in 1930 through the merging of Dutch Margarine </w:t>
      </w:r>
      <w:proofErr w:type="spellStart"/>
      <w:r>
        <w:t>Unie</w:t>
      </w:r>
      <w:proofErr w:type="spellEnd"/>
      <w:r>
        <w:t xml:space="preserve"> and British Lever Brothers (Unilever, 2023). Gradually it has taken the pole position in the world of consumer goods with an extensive portfolio that includes food, beverages, home, and personal care products, Unilever possesses significant influence over the experiences and preferences of customers on a global scale (Unilever, 2023). The consumer goods sector is highly dynamic and obtaining adaptability is an utmost priority. Over the decades, Unilever has been successful in adapting properly to the changing dynamics of the consumer goods industry. This company has set it apart in this ever-changing industry by its commitment to sustainability, innovation, and corporate responsibility which is influential to meet the dynamic nature of the customer demand. This analysis sheds light into the organizational structure of Unilever to get a view of how it aligns with theoretical frameworks. In addition, the important roles of the organizational culture and employee motivation help the company achieve its ambitious objectives. Through this analysis, the essential factors behind the persistent success of Unilever in the dynamic consumer goods landscape will be uncovered.                                                                                                          </w:t>
      </w:r>
    </w:p>
    <w:p w14:paraId="00000008" w14:textId="77777777" w:rsidR="00864C71" w:rsidRDefault="00864C71">
      <w:pPr>
        <w:spacing w:line="360" w:lineRule="auto"/>
        <w:jc w:val="both"/>
      </w:pPr>
    </w:p>
    <w:p w14:paraId="00000009" w14:textId="77777777" w:rsidR="00864C71" w:rsidRDefault="00000000">
      <w:pPr>
        <w:spacing w:line="360" w:lineRule="auto"/>
        <w:jc w:val="both"/>
      </w:pPr>
      <w:proofErr w:type="spellStart"/>
      <w:r>
        <w:t>Organisational</w:t>
      </w:r>
      <w:proofErr w:type="spellEnd"/>
      <w:r>
        <w:t xml:space="preserve"> structure means the hierarchy which frames the processes of directing, coordinating and controlling the activities of the </w:t>
      </w:r>
      <w:proofErr w:type="spellStart"/>
      <w:r>
        <w:t>organisation</w:t>
      </w:r>
      <w:proofErr w:type="spellEnd"/>
      <w:r>
        <w:t xml:space="preserve"> to achieve its goals (</w:t>
      </w:r>
      <w:proofErr w:type="spellStart"/>
      <w:r>
        <w:t>Ahmady</w:t>
      </w:r>
      <w:proofErr w:type="spellEnd"/>
      <w:r>
        <w:t xml:space="preserve"> et al., 2016). It depicts how the roles, responsibilities and relationships within the company should be arranged to effectively distribute tasks individuals, department and management. Hierarchy, roles and responsibilities, department and divisions, communication flow and </w:t>
      </w:r>
      <w:proofErr w:type="spellStart"/>
      <w:r>
        <w:t>formalisation</w:t>
      </w:r>
      <w:proofErr w:type="spellEnd"/>
      <w:r>
        <w:t xml:space="preserve"> are some of the main components of </w:t>
      </w:r>
      <w:proofErr w:type="spellStart"/>
      <w:r>
        <w:t>organisational</w:t>
      </w:r>
      <w:proofErr w:type="spellEnd"/>
      <w:r>
        <w:t xml:space="preserve"> structure.</w:t>
      </w:r>
    </w:p>
    <w:p w14:paraId="0000000A" w14:textId="77777777" w:rsidR="00864C71" w:rsidRDefault="00000000">
      <w:pPr>
        <w:spacing w:line="360" w:lineRule="auto"/>
        <w:jc w:val="both"/>
      </w:pPr>
      <w:r>
        <w:t xml:space="preserve">The </w:t>
      </w:r>
      <w:proofErr w:type="spellStart"/>
      <w:r>
        <w:t>organisational</w:t>
      </w:r>
      <w:proofErr w:type="spellEnd"/>
      <w:r>
        <w:t xml:space="preserve"> structure of Unilever is a combination of both the centralized and decentralized elements. A matrix model is followed in the company’s operation which possesses a dual reporting structure where the employees have both functional and divisional managers. At the top of hierarchy, Unilever has a centralized structure (Unilever, 2023). In this level senior management team most often makes all the strategic decisions for ensuring consistency as well as aligning with overall corporate goals. On the contrary, the company is generally decentralized into different business units and geographic regions at the operational level. Every unit has its own power in decision-making, that allows for adaptability to customer preferences as well as in local market conditions. The structure of this matrix often facilitates collaboration and innovation in various functional areas and regions. But this can also </w:t>
      </w:r>
      <w:r>
        <w:lastRenderedPageBreak/>
        <w:t>lead to difficulties in communication and decision-making ability because of the conflicts between functional and divisional interests of the company. Coordination and cooperation are essential in the context of meeting the overall objectives of the organization.</w:t>
      </w:r>
    </w:p>
    <w:p w14:paraId="0000000B" w14:textId="77777777" w:rsidR="00864C71" w:rsidRDefault="00000000">
      <w:pPr>
        <w:spacing w:line="360" w:lineRule="auto"/>
        <w:jc w:val="both"/>
      </w:pPr>
      <w:r>
        <w:t xml:space="preserve">Among the theoretical frameworks </w:t>
      </w:r>
      <w:proofErr w:type="spellStart"/>
      <w:r>
        <w:t>Mintzberg's</w:t>
      </w:r>
      <w:proofErr w:type="spellEnd"/>
      <w:r>
        <w:t xml:space="preserve"> adhocracy configurations aligns most with the Unilever's organizational structure. In this configuration decentralized units often operate in a more organic and flexible manner (Kumar, 2015) r. This is best suited for the fast-moving and dynamic consumer goods sector where Unilever operates. This structure allows Unilever to obtain enough stability at the top level of hierarchy while gaining flexibility and innovation at the operational level.</w:t>
      </w:r>
    </w:p>
    <w:p w14:paraId="0000000C" w14:textId="77777777" w:rsidR="00864C71" w:rsidRDefault="00000000">
      <w:pPr>
        <w:spacing w:line="360" w:lineRule="auto"/>
        <w:jc w:val="both"/>
      </w:pPr>
      <w:r>
        <w:t xml:space="preserve">The Contingency theory helps to explain Unilever's choice of a matrix structure. This theory suggests that the efficient structure of the </w:t>
      </w:r>
      <w:proofErr w:type="spellStart"/>
      <w:r>
        <w:t>organisation</w:t>
      </w:r>
      <w:proofErr w:type="spellEnd"/>
      <w:r>
        <w:t xml:space="preserve"> depends on different types of external and internal factors. The global nature of its operations, diversified portfolio of the products offered as well as the urgency to properly respond to local market conditions facilitate the adoption of a matrix structure for the company. This structure allows Unilever to maintain overall strategic control along with adapting to different contingencies in its various markets.</w:t>
      </w:r>
    </w:p>
    <w:p w14:paraId="0000000D" w14:textId="77777777" w:rsidR="00864C71" w:rsidRDefault="00000000">
      <w:pPr>
        <w:spacing w:line="360" w:lineRule="auto"/>
        <w:jc w:val="both"/>
      </w:pPr>
      <w:r>
        <w:t>The matrix structure at Unilever is associated with the company's goals through providing the needed balance between global coordination as well as local responsiveness. This structure is beneficial for the company for bringing efficiency across different functions and regions along with effectively adapting to diverse needs of the consumers.  The matrix model of Unilever’s operational structure combining the centralized and decentralized elements, is suitable for its global operations in the dynamic consumer goods industry. Communication management and decision-making should be given priority to ensure positive contribution of the structure towards to the company's overall performance (</w:t>
      </w:r>
      <w:proofErr w:type="spellStart"/>
      <w:r>
        <w:t>Raupp</w:t>
      </w:r>
      <w:proofErr w:type="spellEnd"/>
      <w:r>
        <w:t xml:space="preserve"> and </w:t>
      </w:r>
      <w:proofErr w:type="spellStart"/>
      <w:r>
        <w:t>Hoffjann</w:t>
      </w:r>
      <w:proofErr w:type="spellEnd"/>
      <w:r>
        <w:t>, 2012).</w:t>
      </w:r>
    </w:p>
    <w:p w14:paraId="0000000E" w14:textId="77777777" w:rsidR="00864C71" w:rsidRDefault="00864C71">
      <w:pPr>
        <w:spacing w:line="360" w:lineRule="auto"/>
        <w:jc w:val="both"/>
      </w:pPr>
    </w:p>
    <w:p w14:paraId="0000000F" w14:textId="77777777" w:rsidR="00864C71" w:rsidRDefault="00000000">
      <w:pPr>
        <w:spacing w:line="360" w:lineRule="auto"/>
        <w:jc w:val="both"/>
      </w:pPr>
      <w:proofErr w:type="spellStart"/>
      <w:r>
        <w:t>Organisational</w:t>
      </w:r>
      <w:proofErr w:type="spellEnd"/>
      <w:r>
        <w:t xml:space="preserve"> culture means the combination of shared beliefs, values and customs that guides an </w:t>
      </w:r>
      <w:proofErr w:type="spellStart"/>
      <w:r>
        <w:t>organisation</w:t>
      </w:r>
      <w:proofErr w:type="spellEnd"/>
      <w:r>
        <w:t xml:space="preserve"> and its employees to work in cooperation (Marker, 2009). It refers to the collective personality of a company that is influential for interactions of employees, decision making and identity of the </w:t>
      </w:r>
      <w:proofErr w:type="spellStart"/>
      <w:r>
        <w:t>organisation</w:t>
      </w:r>
      <w:proofErr w:type="spellEnd"/>
      <w:r>
        <w:t xml:space="preserve">. Leadership styles, values and beliefs, behaviors, employee engagement are some of the key elements of the </w:t>
      </w:r>
      <w:proofErr w:type="spellStart"/>
      <w:r>
        <w:t>organisational</w:t>
      </w:r>
      <w:proofErr w:type="spellEnd"/>
      <w:r>
        <w:t xml:space="preserve"> culture.</w:t>
      </w:r>
    </w:p>
    <w:p w14:paraId="00000010" w14:textId="77777777" w:rsidR="00864C71" w:rsidRDefault="00000000">
      <w:pPr>
        <w:spacing w:line="360" w:lineRule="auto"/>
        <w:jc w:val="both"/>
      </w:pPr>
      <w:r>
        <w:t xml:space="preserve">The organizational culture of Unilever is a combination of a set of core values and beliefs that are essential as guiding principles for its operations. The company </w:t>
      </w:r>
      <w:proofErr w:type="spellStart"/>
      <w:r>
        <w:t>emphasises</w:t>
      </w:r>
      <w:proofErr w:type="spellEnd"/>
      <w:r>
        <w:t xml:space="preserve"> on sustainability, social responsibility as </w:t>
      </w:r>
      <w:r>
        <w:lastRenderedPageBreak/>
        <w:t>well as the well-being of both people and the planet. Sustainable Living Plan of Unilever showcases its commitment to reduce the impact of environment for improving health and increasing livelihoods (</w:t>
      </w:r>
      <w:proofErr w:type="spellStart"/>
      <w:r>
        <w:t>Siddique</w:t>
      </w:r>
      <w:proofErr w:type="spellEnd"/>
      <w:r>
        <w:t xml:space="preserve">, 2018). The working environment of Unilever fosters a sense of purpose beyond profit along with a collective commitment to making a positive impact on society. Employees are always motivated to align their work with the sustainability goals of the company that creates a shared sense of responsibility. This culture is intended to motivate creativity and resilience within the workforce. There is a challenge to ensuring that all these values transcend into actionable </w:t>
      </w:r>
      <w:proofErr w:type="spellStart"/>
      <w:r>
        <w:t>behaviours</w:t>
      </w:r>
      <w:proofErr w:type="spellEnd"/>
      <w:r>
        <w:t xml:space="preserve">. A purpose-driven culture can be a huge boost for employee motivation along with brand reputation. Any gaps or shortcomings on implementation of this culture can hinder overall performance of the </w:t>
      </w:r>
      <w:proofErr w:type="spellStart"/>
      <w:r>
        <w:t>organisation</w:t>
      </w:r>
      <w:proofErr w:type="spellEnd"/>
      <w:r>
        <w:t>.</w:t>
      </w:r>
    </w:p>
    <w:p w14:paraId="00000011" w14:textId="77777777" w:rsidR="00864C71" w:rsidRDefault="00000000">
      <w:pPr>
        <w:spacing w:line="360" w:lineRule="auto"/>
        <w:jc w:val="both"/>
      </w:pPr>
      <w:r>
        <w:t xml:space="preserve">In the context of Cultural Frameworks, </w:t>
      </w:r>
      <w:proofErr w:type="spellStart"/>
      <w:r>
        <w:t>Schein's</w:t>
      </w:r>
      <w:proofErr w:type="spellEnd"/>
      <w:r>
        <w:t xml:space="preserve"> cultural level can be applied to Unilever. Through the application of this framework, evidence of the company’s sustainability and social responsibility can be found in its official statements and policies (Hogan and Coote, 2014). But the overall success of these values depends upon their integration into the deeper assumptions and beliefs of employees working in the company. Embedding these values at the deepest cultural level of Unilever is a huge challenge for ensuring efficient guidance of daily decisions and actions across all levels of the organization.</w:t>
      </w:r>
    </w:p>
    <w:p w14:paraId="00000012" w14:textId="77777777" w:rsidR="00864C71" w:rsidRDefault="00000000">
      <w:pPr>
        <w:spacing w:line="360" w:lineRule="auto"/>
        <w:jc w:val="both"/>
      </w:pPr>
      <w:r>
        <w:t xml:space="preserve">Applying </w:t>
      </w:r>
      <w:proofErr w:type="spellStart"/>
      <w:r>
        <w:t>Hofstede's</w:t>
      </w:r>
      <w:proofErr w:type="spellEnd"/>
      <w:r>
        <w:t xml:space="preserve"> Cultural Dimensions in the operation of Unilever it is evident that the company's focus on sustainability is associated with a collective and long-term orientation (</w:t>
      </w:r>
      <w:proofErr w:type="spellStart"/>
      <w:r>
        <w:t>Hofstede</w:t>
      </w:r>
      <w:proofErr w:type="spellEnd"/>
      <w:r>
        <w:t xml:space="preserve">, 2009). The collectivist aspect of this framework is reflected in the collaborative approach to achieve the sustainability goals that also involves different stakeholders. In addition, the long-term aligns with Unilever's commitment to endure positive impacts on both society and the environment. The effective implementation of cultural framework at Unilever supports creativity by fostering a sense of purpose among employees. This purpose-driven culture will be a vital cog for increasing employee engagement. Because individuals most often get motivated when they see their work is contributing to the betterment of society. This culture helps the contemporary preference for socially responsible brands, that helps to further establish Unilever's market position. </w:t>
      </w:r>
    </w:p>
    <w:p w14:paraId="00000013" w14:textId="77777777" w:rsidR="00864C71" w:rsidRDefault="00864C71">
      <w:pPr>
        <w:spacing w:line="360" w:lineRule="auto"/>
        <w:jc w:val="both"/>
      </w:pPr>
    </w:p>
    <w:p w14:paraId="00000014" w14:textId="77777777" w:rsidR="00864C71" w:rsidRDefault="00864C71">
      <w:pPr>
        <w:spacing w:line="360" w:lineRule="auto"/>
        <w:jc w:val="both"/>
      </w:pPr>
    </w:p>
    <w:p w14:paraId="00000015" w14:textId="77777777" w:rsidR="00864C71" w:rsidRDefault="00000000">
      <w:pPr>
        <w:spacing w:line="360" w:lineRule="auto"/>
        <w:jc w:val="both"/>
      </w:pPr>
      <w:r>
        <w:t xml:space="preserve">Employee Motivation means both the intrinsic and extrinsic factors that boost the actions of employees for engaging in the work and persisting in their own efforts to ensure that the </w:t>
      </w:r>
      <w:proofErr w:type="spellStart"/>
      <w:r>
        <w:t>organisation</w:t>
      </w:r>
      <w:proofErr w:type="spellEnd"/>
      <w:r>
        <w:t xml:space="preserve"> obtains its desired goal (</w:t>
      </w:r>
      <w:proofErr w:type="spellStart"/>
      <w:r>
        <w:t>Shahzadi</w:t>
      </w:r>
      <w:proofErr w:type="spellEnd"/>
      <w:r>
        <w:t xml:space="preserve"> et al., 2014). In the context of Employee Motivation, Unilever most often adopts a </w:t>
      </w:r>
      <w:r>
        <w:lastRenderedPageBreak/>
        <w:t>comprehensive approach to rewards and recognition. This approach aligns to various motivational theories that boost employee performance. The company recognizes that employees have differentiated needs and motivations, and to keep pace with the situation, it tailors its rewards strategies accordingly.</w:t>
      </w:r>
    </w:p>
    <w:p w14:paraId="00000016" w14:textId="77777777" w:rsidR="00864C71" w:rsidRDefault="00000000">
      <w:pPr>
        <w:spacing w:line="360" w:lineRule="auto"/>
        <w:jc w:val="both"/>
      </w:pPr>
      <w:r>
        <w:t xml:space="preserve">Unilever often meets the basic needs of employees through providing them competitive compensation and benefits by drawing inspiration from Maslow's Hierarchy of Needs. Financial incentives, programs related to health and wellness, and work-life balance initiatives are included in this hierarchy. In addition, the company applies </w:t>
      </w:r>
      <w:proofErr w:type="spellStart"/>
      <w:r>
        <w:t>Herzberg's</w:t>
      </w:r>
      <w:proofErr w:type="spellEnd"/>
      <w:r>
        <w:t xml:space="preserve"> Two-Factor Theory by not only </w:t>
      </w:r>
      <w:proofErr w:type="spellStart"/>
      <w:r>
        <w:t>emphasising</w:t>
      </w:r>
      <w:proofErr w:type="spellEnd"/>
      <w:r>
        <w:t xml:space="preserve"> on hygiene factors like fair compensation but also on motivators that includes opportunities and recognition for both personal and professional growth. Recognition programs of Unilever are aimed at celebrating achievements and milestones that boost a positive work environment along with satisfying employees' higher demands for esteem and self-actualization.</w:t>
      </w:r>
    </w:p>
    <w:p w14:paraId="00000017" w14:textId="77777777" w:rsidR="00864C71" w:rsidRDefault="00000000">
      <w:pPr>
        <w:spacing w:line="360" w:lineRule="auto"/>
        <w:jc w:val="both"/>
      </w:pPr>
      <w:r>
        <w:t xml:space="preserve">Unilever, as a global leader in the consumer goods industry, often strongly focuses on employee training and development (Unilever, 2023). This company </w:t>
      </w:r>
      <w:proofErr w:type="spellStart"/>
      <w:r>
        <w:t>recognises</w:t>
      </w:r>
      <w:proofErr w:type="spellEnd"/>
      <w:r>
        <w:t xml:space="preserve"> the association between skill enhancement and motivation. The company has an allocation for investing in various programs aligning with motivational theories, especially those that focus on the importance of personal and professional growth. Adoption of Maslow's Hierarchy of Needs influences Unilever's training initiatives for addressing the higher-level needs for self-esteem and self-actualization (</w:t>
      </w:r>
      <w:proofErr w:type="spellStart"/>
      <w:r>
        <w:t>Mcleod</w:t>
      </w:r>
      <w:proofErr w:type="spellEnd"/>
      <w:r>
        <w:t xml:space="preserve">, 2007). Employees of this </w:t>
      </w:r>
      <w:proofErr w:type="spellStart"/>
      <w:r>
        <w:t>organisation</w:t>
      </w:r>
      <w:proofErr w:type="spellEnd"/>
      <w:r>
        <w:t xml:space="preserve"> are empowered to gradually develop in their careers by mentorship programs, leadership development, and continuous opportunities of learning. </w:t>
      </w:r>
      <w:proofErr w:type="spellStart"/>
      <w:r>
        <w:t>Herzberg's</w:t>
      </w:r>
      <w:proofErr w:type="spellEnd"/>
      <w:r>
        <w:t xml:space="preserve"> Two-Factor Theory often reflects Unilever's priority on motivators such as challenging assignments, advancement in career and skill development. Through enhancing motivation, it also contributes to job satisfaction and overall employee engagement.</w:t>
      </w:r>
    </w:p>
    <w:p w14:paraId="00000018" w14:textId="77777777" w:rsidR="00864C71" w:rsidRDefault="00864C71">
      <w:pPr>
        <w:spacing w:line="360" w:lineRule="auto"/>
        <w:jc w:val="both"/>
      </w:pPr>
    </w:p>
    <w:p w14:paraId="00000019" w14:textId="77777777" w:rsidR="00864C71" w:rsidRDefault="00000000">
      <w:pPr>
        <w:spacing w:line="360" w:lineRule="auto"/>
        <w:jc w:val="both"/>
      </w:pPr>
      <w:r>
        <w:t xml:space="preserve">Intrinsic Motivation is significant for Unilever to implement different types of practices and programs in these sources.  Sustainable Living Plan initiatives and commitment to social responsibility of the company provides the employees with a sense of purpose to engage beyond their daily tasks. In this way, intrinsic motivation gets associated with meaningful work. Unilever's focus on the sustainability aligns to make the employees feel that their efforts can contribute to a larger societal good. Autonomy is an important intrinsic motivator that helps individuals by giving them enough control and independence in their respective roles. Unilever fosters autonomy through </w:t>
      </w:r>
      <w:proofErr w:type="spellStart"/>
      <w:r>
        <w:t>decentralisation</w:t>
      </w:r>
      <w:proofErr w:type="spellEnd"/>
      <w:r>
        <w:t xml:space="preserve"> of its organizational structure which allows the employees to make decisions at the operational level. As a result, individuals possess a sense </w:t>
      </w:r>
      <w:r>
        <w:lastRenderedPageBreak/>
        <w:t xml:space="preserve">of control and ownership over their work which helps them to boost their further intrinsic motivation. Effective leadership and communication are influential in the context of motivational factors. It helps to build trust and engagement among the employees to get the best out of them for reaching the company’s goals and overcoming the challenges. Leadership is utmost important in Unilever for encouraging the employees and providing them with clear directions to establish a cooperative environment in the </w:t>
      </w:r>
      <w:proofErr w:type="spellStart"/>
      <w:r>
        <w:t>organisation</w:t>
      </w:r>
      <w:proofErr w:type="spellEnd"/>
      <w:r>
        <w:t>.</w:t>
      </w:r>
    </w:p>
    <w:p w14:paraId="0000001A" w14:textId="77777777" w:rsidR="00864C71" w:rsidRDefault="00864C71">
      <w:pPr>
        <w:spacing w:line="360" w:lineRule="auto"/>
        <w:jc w:val="both"/>
      </w:pPr>
    </w:p>
    <w:p w14:paraId="0000001B" w14:textId="77777777" w:rsidR="00864C71" w:rsidRDefault="00000000">
      <w:pPr>
        <w:spacing w:line="360" w:lineRule="auto"/>
        <w:jc w:val="both"/>
      </w:pPr>
      <w:r>
        <w:t xml:space="preserve">In conclusion, the gradual success of Unilever as a global leader in the consumer goods industry is a result of its effective interconnection of </w:t>
      </w:r>
      <w:proofErr w:type="spellStart"/>
      <w:r>
        <w:t>organisational</w:t>
      </w:r>
      <w:proofErr w:type="spellEnd"/>
      <w:r>
        <w:t xml:space="preserve"> culture, structure and employee motivation. The purpose-driven and sustainability-focused culture of the company with the integration of a matrix structure creates an environment for the employees to be the stewards of the company's overarching goals. The sustainable culture of Unilever acts as an influential force for creativity to foster an engaged workforce that is committed to making a positive societal impact. Unilever addresses diverse employee needs by aligning motivational strategies with established theories to ensure a holistic approach to job satisfaction and performance. The company's commitment to persistent improvement is crucial for its feedback-driven mechanisms which allow adaptive changes in organizational elements. Unilever's journey as a model of success and excellence showcases the significance of a balanced and dynamic organizational approach. There are some potential areas for development that include embedding sustainability into the deepest cultural levels. By adapting to the evolving needs of the industry, Unilever is not only poised for persistent success in the dynamic consumer goods landscape but also stands as an idol for </w:t>
      </w:r>
      <w:proofErr w:type="spellStart"/>
      <w:r>
        <w:t>organisations</w:t>
      </w:r>
      <w:proofErr w:type="spellEnd"/>
      <w:r>
        <w:t xml:space="preserve"> aspiring to achieve long lasting impact through efficient, creative, and people-centric practices.</w:t>
      </w:r>
    </w:p>
    <w:p w14:paraId="0000001C" w14:textId="77777777" w:rsidR="00864C71" w:rsidRDefault="00000000">
      <w:pPr>
        <w:spacing w:line="360" w:lineRule="auto"/>
        <w:jc w:val="both"/>
      </w:pPr>
      <w:r>
        <w:br/>
      </w:r>
    </w:p>
    <w:p w14:paraId="0000001D" w14:textId="77777777" w:rsidR="00864C71" w:rsidRDefault="00864C71">
      <w:pPr>
        <w:spacing w:line="360" w:lineRule="auto"/>
        <w:jc w:val="both"/>
      </w:pPr>
    </w:p>
    <w:p w14:paraId="0000001E" w14:textId="77777777" w:rsidR="00864C71" w:rsidRDefault="00864C71">
      <w:pPr>
        <w:spacing w:line="360" w:lineRule="auto"/>
        <w:jc w:val="both"/>
      </w:pPr>
    </w:p>
    <w:p w14:paraId="0000001F" w14:textId="77777777" w:rsidR="00864C71" w:rsidRDefault="00000000">
      <w:pPr>
        <w:spacing w:line="360" w:lineRule="auto"/>
        <w:jc w:val="both"/>
      </w:pPr>
      <w:r>
        <w:br/>
      </w:r>
    </w:p>
    <w:p w14:paraId="00000020" w14:textId="77777777" w:rsidR="00864C71" w:rsidRDefault="00000000">
      <w:pPr>
        <w:spacing w:line="360" w:lineRule="auto"/>
        <w:jc w:val="both"/>
      </w:pPr>
      <w:r>
        <w:br w:type="page"/>
      </w:r>
    </w:p>
    <w:p w14:paraId="00000021" w14:textId="77777777" w:rsidR="00864C71" w:rsidRDefault="00000000">
      <w:pPr>
        <w:spacing w:line="360" w:lineRule="auto"/>
        <w:jc w:val="both"/>
      </w:pPr>
      <w:r>
        <w:lastRenderedPageBreak/>
        <w:t>References</w:t>
      </w:r>
    </w:p>
    <w:p w14:paraId="00000022" w14:textId="77777777" w:rsidR="00864C71" w:rsidRDefault="00000000">
      <w:pPr>
        <w:spacing w:line="360" w:lineRule="auto"/>
        <w:jc w:val="both"/>
      </w:pPr>
      <w:r>
        <w:t xml:space="preserve">Unilever. (2023). Unilever Global: Making sustainable living commonplace | Unilever. [online] Available at: </w:t>
      </w:r>
      <w:hyperlink r:id="rId5">
        <w:r>
          <w:rPr>
            <w:color w:val="0563C1"/>
            <w:u w:val="single"/>
          </w:rPr>
          <w:t>https://www.unilever.com/</w:t>
        </w:r>
      </w:hyperlink>
      <w:r>
        <w:t xml:space="preserve">  </w:t>
      </w:r>
    </w:p>
    <w:p w14:paraId="00000023" w14:textId="77777777" w:rsidR="00864C71" w:rsidRDefault="00000000">
      <w:pPr>
        <w:spacing w:line="360" w:lineRule="auto"/>
        <w:jc w:val="both"/>
      </w:pPr>
      <w:proofErr w:type="spellStart"/>
      <w:r>
        <w:t>Ahmady</w:t>
      </w:r>
      <w:proofErr w:type="spellEnd"/>
      <w:r>
        <w:t xml:space="preserve">, G.A., </w:t>
      </w:r>
      <w:proofErr w:type="spellStart"/>
      <w:r>
        <w:t>Mehrpour</w:t>
      </w:r>
      <w:proofErr w:type="spellEnd"/>
      <w:r>
        <w:t xml:space="preserve">, M. and </w:t>
      </w:r>
      <w:proofErr w:type="spellStart"/>
      <w:r>
        <w:t>Nikooravesh</w:t>
      </w:r>
      <w:proofErr w:type="spellEnd"/>
      <w:r>
        <w:t xml:space="preserve">, A., 2016. Organizational structure. </w:t>
      </w:r>
      <w:proofErr w:type="spellStart"/>
      <w:r>
        <w:t>Procedia-Social</w:t>
      </w:r>
      <w:proofErr w:type="spellEnd"/>
      <w:r>
        <w:t xml:space="preserve"> and Behavioral Sciences, 230, pp.455-462. </w:t>
      </w:r>
    </w:p>
    <w:p w14:paraId="00000024" w14:textId="77777777" w:rsidR="00864C71" w:rsidRDefault="00000000">
      <w:pPr>
        <w:spacing w:line="360" w:lineRule="auto"/>
        <w:jc w:val="both"/>
      </w:pPr>
      <w:r>
        <w:t xml:space="preserve">Kumar, P., 2015. An analytical study on </w:t>
      </w:r>
      <w:proofErr w:type="spellStart"/>
      <w:r>
        <w:t>mintzberg’s</w:t>
      </w:r>
      <w:proofErr w:type="spellEnd"/>
      <w:r>
        <w:t xml:space="preserve"> framework: Managerial roles. International Journal of Research in Management &amp; Business Studies, 2(3), pp.12-19. </w:t>
      </w:r>
    </w:p>
    <w:p w14:paraId="00000025" w14:textId="77777777" w:rsidR="00864C71" w:rsidRDefault="00000000">
      <w:pPr>
        <w:spacing w:line="360" w:lineRule="auto"/>
        <w:jc w:val="both"/>
        <w:rPr>
          <w:rFonts w:ascii="Arial" w:eastAsia="Arial" w:hAnsi="Arial" w:cs="Arial"/>
          <w:color w:val="222222"/>
          <w:sz w:val="19"/>
          <w:szCs w:val="19"/>
        </w:rPr>
      </w:pPr>
      <w:proofErr w:type="spellStart"/>
      <w:r>
        <w:t>Raupp</w:t>
      </w:r>
      <w:proofErr w:type="spellEnd"/>
      <w:r>
        <w:t xml:space="preserve">, J. and </w:t>
      </w:r>
      <w:proofErr w:type="spellStart"/>
      <w:r>
        <w:t>Hoffjann</w:t>
      </w:r>
      <w:proofErr w:type="spellEnd"/>
      <w:r>
        <w:t xml:space="preserve">, O., 2012. Understanding strategy in communication management. Journal of Communication Management, 16(2), pp.146-161. </w:t>
      </w:r>
    </w:p>
    <w:p w14:paraId="00000026" w14:textId="77777777" w:rsidR="00864C71" w:rsidRDefault="00000000">
      <w:pPr>
        <w:spacing w:line="360" w:lineRule="auto"/>
        <w:jc w:val="both"/>
      </w:pPr>
      <w:r>
        <w:t xml:space="preserve">Marker, A., 2009. Organizational culture. Handbook of Improving Performance in the Workplace: Volumes 1‐3, pp.725-744. </w:t>
      </w:r>
    </w:p>
    <w:p w14:paraId="00000027" w14:textId="77777777" w:rsidR="00864C71" w:rsidRDefault="00000000">
      <w:pPr>
        <w:spacing w:line="360" w:lineRule="auto"/>
        <w:jc w:val="both"/>
      </w:pPr>
      <w:proofErr w:type="spellStart"/>
      <w:r>
        <w:t>Siddique</w:t>
      </w:r>
      <w:proofErr w:type="spellEnd"/>
      <w:r>
        <w:t xml:space="preserve">, F.B. and Sultana, I., 2018. Unilever Sustainable Living Plan: A Critical Analysis. </w:t>
      </w:r>
    </w:p>
    <w:p w14:paraId="00000028" w14:textId="77777777" w:rsidR="00864C71" w:rsidRDefault="00000000">
      <w:pPr>
        <w:spacing w:line="360" w:lineRule="auto"/>
        <w:jc w:val="both"/>
      </w:pPr>
      <w:r>
        <w:t xml:space="preserve">Hogan, S.J. and Coote, L.V., 2014. Organizational culture, innovation, and performance: A test of </w:t>
      </w:r>
      <w:proofErr w:type="spellStart"/>
      <w:r>
        <w:t>Schein's</w:t>
      </w:r>
      <w:proofErr w:type="spellEnd"/>
      <w:r>
        <w:t xml:space="preserve"> model. Journal of business research, 67(8), pp.1609-1621. </w:t>
      </w:r>
    </w:p>
    <w:p w14:paraId="00000029" w14:textId="77777777" w:rsidR="00864C71" w:rsidRDefault="00000000">
      <w:pPr>
        <w:spacing w:line="360" w:lineRule="auto"/>
        <w:jc w:val="both"/>
      </w:pPr>
      <w:proofErr w:type="spellStart"/>
      <w:r>
        <w:t>Hofstede</w:t>
      </w:r>
      <w:proofErr w:type="spellEnd"/>
      <w:r>
        <w:t xml:space="preserve">, G., 2009. Geert </w:t>
      </w:r>
      <w:proofErr w:type="spellStart"/>
      <w:r>
        <w:t>Hofstede</w:t>
      </w:r>
      <w:proofErr w:type="spellEnd"/>
      <w:r>
        <w:t xml:space="preserve"> cultural dimensions. </w:t>
      </w:r>
    </w:p>
    <w:p w14:paraId="0000002A" w14:textId="77777777" w:rsidR="00864C71" w:rsidRDefault="00000000">
      <w:pPr>
        <w:spacing w:line="360" w:lineRule="auto"/>
        <w:jc w:val="both"/>
      </w:pPr>
      <w:proofErr w:type="spellStart"/>
      <w:r>
        <w:t>Shahzadi</w:t>
      </w:r>
      <w:proofErr w:type="spellEnd"/>
      <w:r>
        <w:t xml:space="preserve">, I., </w:t>
      </w:r>
      <w:proofErr w:type="spellStart"/>
      <w:r>
        <w:t>Javed</w:t>
      </w:r>
      <w:proofErr w:type="spellEnd"/>
      <w:r>
        <w:t xml:space="preserve">, A., </w:t>
      </w:r>
      <w:proofErr w:type="spellStart"/>
      <w:r>
        <w:t>Pirzada</w:t>
      </w:r>
      <w:proofErr w:type="spellEnd"/>
      <w:r>
        <w:t xml:space="preserve">, S.S., </w:t>
      </w:r>
      <w:proofErr w:type="spellStart"/>
      <w:r>
        <w:t>Nasreen</w:t>
      </w:r>
      <w:proofErr w:type="spellEnd"/>
      <w:r>
        <w:t xml:space="preserve">, S. and </w:t>
      </w:r>
      <w:proofErr w:type="spellStart"/>
      <w:r>
        <w:t>Khanam</w:t>
      </w:r>
      <w:proofErr w:type="spellEnd"/>
      <w:r>
        <w:t xml:space="preserve">, F., 2014. Impact of employee motivation on employee performance. European Journal of Business and Management, 6(23), pp.159-166. </w:t>
      </w:r>
    </w:p>
    <w:p w14:paraId="0000002B" w14:textId="77777777" w:rsidR="00864C71" w:rsidRDefault="00000000">
      <w:pPr>
        <w:spacing w:line="360" w:lineRule="auto"/>
        <w:jc w:val="both"/>
      </w:pPr>
      <w:r>
        <w:t xml:space="preserve">McLeod, S., 2007. Maslow's hierarchy of needs. Simply psychology, 1(1-18). </w:t>
      </w:r>
    </w:p>
    <w:p w14:paraId="0000002C" w14:textId="77777777" w:rsidR="00864C71" w:rsidRDefault="00864C71">
      <w:pPr>
        <w:spacing w:line="360" w:lineRule="auto"/>
        <w:jc w:val="both"/>
      </w:pPr>
    </w:p>
    <w:p w14:paraId="0000002D" w14:textId="77777777" w:rsidR="00864C71" w:rsidRDefault="00864C71">
      <w:pPr>
        <w:spacing w:line="360" w:lineRule="auto"/>
        <w:jc w:val="both"/>
      </w:pPr>
    </w:p>
    <w:p w14:paraId="0000002E" w14:textId="77777777" w:rsidR="00864C71" w:rsidRDefault="00000000">
      <w:pPr>
        <w:spacing w:line="360" w:lineRule="auto"/>
        <w:jc w:val="both"/>
      </w:pPr>
      <w:r>
        <w:t xml:space="preserve">                                                                                                             </w:t>
      </w:r>
    </w:p>
    <w:p w14:paraId="0000002F" w14:textId="77777777" w:rsidR="00864C71" w:rsidRDefault="00864C71">
      <w:pPr>
        <w:spacing w:line="360" w:lineRule="auto"/>
        <w:jc w:val="both"/>
      </w:pPr>
    </w:p>
    <w:p w14:paraId="00000030" w14:textId="77777777" w:rsidR="00864C71" w:rsidRDefault="00864C71">
      <w:pPr>
        <w:spacing w:line="360" w:lineRule="auto"/>
        <w:jc w:val="both"/>
      </w:pPr>
    </w:p>
    <w:sectPr w:rsidR="00864C7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4C71"/>
    <w:rsid w:val="00864C71"/>
    <w:rsid w:val="0092425D"/>
    <w:rsid w:val="00987093"/>
    <w:rsid w:val="00DD64B6"/>
    <w:rsid w:val="00E32CE7"/>
  </w:rsids>
  <m:mathPr>
    <m:mathFont m:val="Cambria Math"/>
    <m:brkBin m:val="before"/>
    <m:brkBinSub m:val="--"/>
    <m:smallFrac m:val="0"/>
    <m:dispDef/>
    <m:lMargin m:val="0"/>
    <m:rMargin m:val="0"/>
    <m:defJc m:val="centerGroup"/>
    <m:wrapIndent m:val="1440"/>
    <m:intLim m:val="subSup"/>
    <m:naryLim m:val="undOvr"/>
  </m:mathPr>
  <w:themeFontLang w:bidi="bn-IN"/>
  <w:clrSchemeMapping w:bg1="light1" w:t1="dark1" w:bg2="light2" w:t2="dark2" w:accent1="accent1" w:accent2="accent2" w:accent3="accent3" w:accent4="accent4" w:accent5="accent5" w:accent6="accent6" w:hyperlink="hyperlink" w:followedHyperlink="followedHyperlink"/>
  <w:decimalSymbol w:val="."/>
  <w:listSeparator w:val=","/>
  <w14:docId w14:val="7AAD28D6"/>
  <w15:docId w15:val="{4D84A7A6-33B1-A244-A4B9-2F6DAA6FF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40" w:after="0"/>
      <w:outlineLvl w:val="2"/>
    </w:pPr>
    <w:rPr>
      <w:color w:val="1F3763"/>
      <w:sz w:val="24"/>
      <w:szCs w:val="24"/>
    </w:rPr>
  </w:style>
  <w:style w:type="paragraph" w:styleId="Heading4">
    <w:name w:val="heading 4"/>
    <w:basedOn w:val="Normal"/>
    <w:next w:val="Normal"/>
    <w:uiPriority w:val="9"/>
    <w:semiHidden/>
    <w:unhideWhenUsed/>
    <w:qFormat/>
    <w:pPr>
      <w:keepNext/>
      <w:keepLines/>
      <w:spacing w:before="40" w:after="0"/>
      <w:outlineLvl w:val="3"/>
    </w:pPr>
    <w:rPr>
      <w:i/>
      <w:color w:val="2F5496"/>
    </w:rPr>
  </w:style>
  <w:style w:type="paragraph" w:styleId="Heading5">
    <w:name w:val="heading 5"/>
    <w:basedOn w:val="Normal"/>
    <w:next w:val="Normal"/>
    <w:uiPriority w:val="9"/>
    <w:semiHidden/>
    <w:unhideWhenUsed/>
    <w:qFormat/>
    <w:pPr>
      <w:keepNext/>
      <w:keepLines/>
      <w:spacing w:before="40" w:after="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pPr>
    <w:rPr>
      <w:sz w:val="56"/>
      <w:szCs w:val="56"/>
    </w:rPr>
  </w:style>
  <w:style w:type="paragraph" w:styleId="Subtitle">
    <w:name w:val="Subtitle"/>
    <w:basedOn w:val="Normal"/>
    <w:next w:val="Normal"/>
    <w:uiPriority w:val="11"/>
    <w:qFormat/>
    <w:rPr>
      <w:color w:val="5A5A5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unilever.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ToYf/6XQNUSKmC55tc91XtH4SA==">CgMxLjA4AHIhMVZrcWdobXhyckhtNVlmaHdWN1pFd0pzTVVYa19OZG9K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2251</Words>
  <Characters>12833</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15054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cnegoita64@gmail.com</cp:lastModifiedBy>
  <cp:revision>5</cp:revision>
  <dcterms:created xsi:type="dcterms:W3CDTF">2023-12-16T17:04:00Z</dcterms:created>
  <dcterms:modified xsi:type="dcterms:W3CDTF">2023-12-18T06:41:00Z</dcterms:modified>
  <cp:category/>
</cp:coreProperties>
</file>