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EBDA95F" w14:textId="77777777" w:rsidR="000573C1" w:rsidRDefault="000573C1" w:rsidP="009C7B2B">
      <w:pPr>
        <w:shd w:val="clear" w:color="auto" w:fill="FFFFFF"/>
        <w:spacing w:line="360" w:lineRule="auto"/>
        <w:jc w:val="center"/>
        <w:rPr>
          <w:rFonts w:cs="Times New Roman"/>
          <w:b/>
          <w:color w:val="373A3C"/>
          <w:u w:val="single"/>
          <w:lang w:val="en-GB"/>
        </w:rPr>
      </w:pPr>
    </w:p>
    <w:p w14:paraId="2FA98FAE" w14:textId="2C347796" w:rsidR="000573C1" w:rsidRDefault="000573C1" w:rsidP="000573C1">
      <w:pPr>
        <w:pStyle w:val="NormalWeb"/>
        <w:spacing w:before="0" w:beforeAutospacing="0" w:after="0" w:afterAutospacing="0"/>
        <w:ind w:left="-180" w:right="-334"/>
      </w:pPr>
      <w:r>
        <w:rPr>
          <w:noProof/>
        </w:rPr>
        <w:drawing>
          <wp:inline distT="0" distB="0" distL="0" distR="0" wp14:anchorId="51F7EF70" wp14:editId="5777DBB4">
            <wp:extent cx="1910080" cy="640080"/>
            <wp:effectExtent l="25400" t="25400" r="20320" b="2032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10080" cy="640080"/>
                    </a:xfrm>
                    <a:prstGeom prst="rect">
                      <a:avLst/>
                    </a:prstGeom>
                    <a:noFill/>
                    <a:ln w="19050" cmpd="sng">
                      <a:solidFill>
                        <a:srgbClr val="000000"/>
                      </a:solidFill>
                      <a:miter lim="800000"/>
                      <a:headEnd/>
                      <a:tailEnd/>
                    </a:ln>
                    <a:effectLst/>
                  </pic:spPr>
                </pic:pic>
              </a:graphicData>
            </a:graphic>
          </wp:inline>
        </w:drawing>
      </w:r>
    </w:p>
    <w:p w14:paraId="16F9CEF8" w14:textId="77777777" w:rsidR="000573C1" w:rsidRDefault="000573C1" w:rsidP="000573C1">
      <w:pPr>
        <w:pStyle w:val="NormalWeb"/>
        <w:spacing w:before="0" w:beforeAutospacing="0" w:after="0" w:afterAutospacing="0"/>
        <w:ind w:left="-180" w:right="-334"/>
      </w:pPr>
    </w:p>
    <w:p w14:paraId="0885C1E2" w14:textId="77777777" w:rsidR="000573C1" w:rsidRDefault="000573C1" w:rsidP="000573C1">
      <w:pPr>
        <w:pStyle w:val="NormalWeb"/>
        <w:spacing w:before="0" w:beforeAutospacing="0" w:after="0" w:afterAutospacing="0"/>
        <w:ind w:left="-180" w:right="-334"/>
      </w:pPr>
    </w:p>
    <w:p w14:paraId="0E6BC103" w14:textId="77777777" w:rsidR="000573C1" w:rsidRDefault="000573C1" w:rsidP="000573C1">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6D8559F" w14:textId="77777777" w:rsidR="000573C1" w:rsidRPr="00230F35" w:rsidRDefault="000573C1" w:rsidP="000573C1">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459A42E" w14:textId="77777777" w:rsidR="000573C1" w:rsidRPr="00230F35" w:rsidRDefault="000573C1" w:rsidP="000573C1">
      <w:pPr>
        <w:rPr>
          <w:rFonts w:ascii="Arial" w:hAnsi="Arial" w:cs="Arial"/>
          <w:sz w:val="28"/>
          <w:szCs w:val="28"/>
          <w:lang w:val="cy-GB"/>
        </w:rPr>
      </w:pPr>
    </w:p>
    <w:p w14:paraId="3DFC565F" w14:textId="77777777" w:rsidR="000573C1" w:rsidRDefault="000573C1" w:rsidP="000573C1">
      <w:pPr>
        <w:pStyle w:val="Heading3"/>
        <w:jc w:val="center"/>
        <w:rPr>
          <w:lang w:val="cy-GB"/>
        </w:rPr>
      </w:pPr>
      <w:r>
        <w:rPr>
          <w:lang w:val="cy-GB"/>
        </w:rPr>
        <w:t>THIS SHEET MUST BE THE FIRST PAGE OF THE ASSIGNMENT YOU ARE SUBMITTING  (DO NOT SEND AS A SEPARATE FILE)</w:t>
      </w:r>
    </w:p>
    <w:p w14:paraId="148A564D" w14:textId="77777777" w:rsidR="000573C1" w:rsidRDefault="000573C1" w:rsidP="000573C1">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0573C1" w:rsidRPr="00230F35" w14:paraId="7B03FAB1" w14:textId="77777777" w:rsidTr="00B00A1F">
        <w:trPr>
          <w:trHeight w:val="614"/>
        </w:trPr>
        <w:tc>
          <w:tcPr>
            <w:tcW w:w="8856" w:type="dxa"/>
            <w:gridSpan w:val="5"/>
          </w:tcPr>
          <w:p w14:paraId="1A1D8F02" w14:textId="77777777" w:rsidR="000573C1" w:rsidRPr="00230F35" w:rsidRDefault="000573C1" w:rsidP="00B00A1F">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0573C1" w:rsidRPr="00230F35" w14:paraId="7948BCD4" w14:textId="77777777" w:rsidTr="00B00A1F">
        <w:trPr>
          <w:trHeight w:val="718"/>
        </w:trPr>
        <w:tc>
          <w:tcPr>
            <w:tcW w:w="8856" w:type="dxa"/>
            <w:gridSpan w:val="5"/>
          </w:tcPr>
          <w:p w14:paraId="62B556A1" w14:textId="77777777" w:rsidR="000573C1" w:rsidRDefault="000573C1" w:rsidP="00B00A1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t>
            </w:r>
            <w:r w:rsidRPr="00197D08">
              <w:rPr>
                <w:rFonts w:ascii="Arial" w:hAnsi="Arial" w:cs="Arial"/>
                <w:b/>
                <w:sz w:val="22"/>
                <w:szCs w:val="22"/>
              </w:rPr>
              <w:t>Selina White</w:t>
            </w:r>
          </w:p>
          <w:p w14:paraId="61C941EB" w14:textId="77777777" w:rsidR="000573C1" w:rsidRPr="00230F35" w:rsidRDefault="000573C1" w:rsidP="00B00A1F">
            <w:pPr>
              <w:pStyle w:val="NormalWeb"/>
              <w:spacing w:before="0" w:beforeAutospacing="0" w:after="0" w:afterAutospacing="0"/>
              <w:ind w:right="34"/>
              <w:rPr>
                <w:rFonts w:ascii="Arial" w:hAnsi="Arial" w:cs="Arial"/>
                <w:sz w:val="22"/>
                <w:szCs w:val="22"/>
              </w:rPr>
            </w:pPr>
          </w:p>
          <w:p w14:paraId="00F2AFA3" w14:textId="77777777" w:rsidR="000573C1" w:rsidRPr="00230F35" w:rsidRDefault="000573C1" w:rsidP="00B00A1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197D08">
              <w:rPr>
                <w:rFonts w:ascii="Arial" w:hAnsi="Arial" w:cs="Arial"/>
                <w:b/>
                <w:sz w:val="22"/>
                <w:szCs w:val="22"/>
              </w:rPr>
              <w:t>1602253@student.uwtsd.ac.uk</w:t>
            </w:r>
          </w:p>
        </w:tc>
      </w:tr>
      <w:tr w:rsidR="000573C1" w:rsidRPr="00230F35" w14:paraId="30EC626A" w14:textId="77777777" w:rsidTr="00B00A1F">
        <w:trPr>
          <w:trHeight w:val="849"/>
        </w:trPr>
        <w:tc>
          <w:tcPr>
            <w:tcW w:w="4788" w:type="dxa"/>
          </w:tcPr>
          <w:p w14:paraId="76810F31" w14:textId="77777777" w:rsidR="000573C1" w:rsidRPr="00230F35" w:rsidRDefault="000573C1" w:rsidP="00B00A1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Pr="00197D08">
              <w:rPr>
                <w:rFonts w:ascii="Arial" w:hAnsi="Arial" w:cs="Arial"/>
                <w:b/>
                <w:sz w:val="22"/>
                <w:szCs w:val="22"/>
              </w:rPr>
              <w:t>AHAN70</w:t>
            </w:r>
            <w:r>
              <w:rPr>
                <w:rFonts w:ascii="Arial" w:hAnsi="Arial" w:cs="Arial"/>
                <w:b/>
                <w:sz w:val="22"/>
                <w:szCs w:val="22"/>
              </w:rPr>
              <w:t>11</w:t>
            </w:r>
          </w:p>
          <w:p w14:paraId="5030D20C" w14:textId="77777777" w:rsidR="000573C1" w:rsidRPr="00230F35" w:rsidRDefault="000573C1" w:rsidP="00B00A1F">
            <w:pPr>
              <w:pStyle w:val="NormalWeb"/>
              <w:spacing w:before="0" w:beforeAutospacing="0" w:after="0" w:afterAutospacing="0"/>
              <w:ind w:right="34"/>
              <w:rPr>
                <w:rFonts w:ascii="Arial" w:hAnsi="Arial" w:cs="Arial"/>
                <w:sz w:val="22"/>
                <w:szCs w:val="22"/>
              </w:rPr>
            </w:pPr>
          </w:p>
          <w:p w14:paraId="7BF6EAF3" w14:textId="77777777" w:rsidR="000573C1" w:rsidRDefault="000573C1" w:rsidP="00B00A1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Pr>
                <w:rFonts w:ascii="Arial" w:hAnsi="Arial" w:cs="Arial"/>
                <w:b/>
                <w:sz w:val="22"/>
                <w:szCs w:val="22"/>
              </w:rPr>
              <w:t>Cosmology Magic and Divination in the Classical World</w:t>
            </w:r>
          </w:p>
          <w:p w14:paraId="4AA06F40" w14:textId="77777777" w:rsidR="000573C1" w:rsidRDefault="000573C1" w:rsidP="00B00A1F">
            <w:pPr>
              <w:pStyle w:val="NormalWeb"/>
              <w:spacing w:before="0" w:beforeAutospacing="0" w:after="0" w:afterAutospacing="0"/>
              <w:ind w:right="34"/>
              <w:rPr>
                <w:rFonts w:ascii="Arial" w:hAnsi="Arial" w:cs="Arial"/>
                <w:sz w:val="22"/>
                <w:szCs w:val="22"/>
              </w:rPr>
            </w:pPr>
          </w:p>
          <w:p w14:paraId="07D8D793" w14:textId="77777777" w:rsidR="000573C1" w:rsidRPr="00230F35" w:rsidRDefault="000573C1" w:rsidP="00B00A1F">
            <w:pPr>
              <w:pStyle w:val="NormalWeb"/>
              <w:spacing w:before="0" w:beforeAutospacing="0" w:after="0" w:afterAutospacing="0"/>
              <w:ind w:right="34"/>
              <w:rPr>
                <w:rFonts w:ascii="Arial" w:hAnsi="Arial" w:cs="Arial"/>
                <w:sz w:val="22"/>
                <w:szCs w:val="22"/>
              </w:rPr>
            </w:pPr>
          </w:p>
        </w:tc>
        <w:tc>
          <w:tcPr>
            <w:tcW w:w="2266" w:type="dxa"/>
            <w:gridSpan w:val="3"/>
          </w:tcPr>
          <w:p w14:paraId="24D2D668" w14:textId="77777777" w:rsidR="000573C1" w:rsidRPr="00230F35" w:rsidRDefault="000573C1" w:rsidP="00B00A1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w:t>
            </w:r>
            <w:r w:rsidRPr="00197D08">
              <w:rPr>
                <w:rFonts w:ascii="Arial" w:hAnsi="Arial" w:cs="Arial"/>
                <w:b/>
                <w:sz w:val="22"/>
                <w:szCs w:val="22"/>
              </w:rPr>
              <w:t>1602253</w:t>
            </w:r>
          </w:p>
        </w:tc>
        <w:tc>
          <w:tcPr>
            <w:tcW w:w="1802" w:type="dxa"/>
          </w:tcPr>
          <w:p w14:paraId="47780981" w14:textId="77777777" w:rsidR="000573C1" w:rsidRPr="00230F35" w:rsidRDefault="000573C1" w:rsidP="00B00A1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3117CC4" w14:textId="77777777" w:rsidR="000573C1" w:rsidRPr="00197D08" w:rsidRDefault="000573C1" w:rsidP="00B00A1F">
            <w:pPr>
              <w:pStyle w:val="NormalWeb"/>
              <w:spacing w:before="0" w:beforeAutospacing="0" w:after="0" w:afterAutospacing="0"/>
              <w:ind w:right="34"/>
              <w:rPr>
                <w:rFonts w:ascii="Arial" w:hAnsi="Arial" w:cs="Arial"/>
                <w:b/>
                <w:sz w:val="22"/>
                <w:szCs w:val="22"/>
              </w:rPr>
            </w:pPr>
            <w:r w:rsidRPr="00197D08">
              <w:rPr>
                <w:rFonts w:ascii="Arial" w:hAnsi="Arial" w:cs="Arial"/>
                <w:b/>
                <w:sz w:val="22"/>
                <w:szCs w:val="22"/>
              </w:rPr>
              <w:t>No</w:t>
            </w:r>
          </w:p>
        </w:tc>
      </w:tr>
      <w:tr w:rsidR="000573C1" w:rsidRPr="00230F35" w14:paraId="08C84326" w14:textId="77777777" w:rsidTr="00B00A1F">
        <w:trPr>
          <w:trHeight w:val="1139"/>
        </w:trPr>
        <w:tc>
          <w:tcPr>
            <w:tcW w:w="8856" w:type="dxa"/>
            <w:gridSpan w:val="5"/>
          </w:tcPr>
          <w:p w14:paraId="778855F8" w14:textId="77777777" w:rsidR="000573C1" w:rsidRPr="00D7432F" w:rsidRDefault="000573C1" w:rsidP="00B00A1F">
            <w:pPr>
              <w:rPr>
                <w:rFonts w:ascii="Arial" w:hAnsi="Arial" w:cs="Arial"/>
                <w:b/>
                <w:sz w:val="22"/>
                <w:szCs w:val="22"/>
                <w:u w:val="single"/>
              </w:rPr>
            </w:pPr>
            <w:r w:rsidRPr="00230F35">
              <w:rPr>
                <w:rFonts w:ascii="Arial" w:hAnsi="Arial" w:cs="Arial"/>
                <w:sz w:val="22"/>
                <w:szCs w:val="22"/>
              </w:rPr>
              <w:t>Assignment title:</w:t>
            </w:r>
            <w:r>
              <w:rPr>
                <w:rFonts w:ascii="Arial" w:hAnsi="Arial" w:cs="Arial"/>
                <w:sz w:val="22"/>
                <w:szCs w:val="22"/>
              </w:rPr>
              <w:t xml:space="preserve"> </w:t>
            </w:r>
            <w:r w:rsidRPr="00D7432F">
              <w:rPr>
                <w:rFonts w:ascii="Arial" w:hAnsi="Arial" w:cs="Arial"/>
                <w:b/>
                <w:sz w:val="22"/>
                <w:szCs w:val="22"/>
              </w:rPr>
              <w:t>An Analysis of the Cosmology, Metaphysics and “World-view” of the Practice of Necromancy and the Oracles of the Dead in Antiquity.</w:t>
            </w:r>
          </w:p>
          <w:p w14:paraId="445706A7" w14:textId="77777777" w:rsidR="000573C1" w:rsidRPr="00D7432F" w:rsidRDefault="000573C1" w:rsidP="00B00A1F">
            <w:pPr>
              <w:rPr>
                <w:rFonts w:ascii="Arial" w:hAnsi="Arial" w:cs="Arial"/>
                <w:b/>
                <w:sz w:val="22"/>
                <w:szCs w:val="22"/>
                <w:u w:val="single"/>
              </w:rPr>
            </w:pPr>
          </w:p>
          <w:p w14:paraId="59A6FC60" w14:textId="77777777" w:rsidR="000573C1" w:rsidRPr="00406439" w:rsidRDefault="000573C1" w:rsidP="00B00A1F">
            <w:pPr>
              <w:rPr>
                <w:rFonts w:ascii="Arial" w:hAnsi="Arial" w:cs="Arial"/>
                <w:b/>
                <w:sz w:val="22"/>
                <w:szCs w:val="22"/>
              </w:rPr>
            </w:pPr>
          </w:p>
          <w:p w14:paraId="762CC231" w14:textId="77777777" w:rsidR="000573C1" w:rsidRPr="00197D08" w:rsidRDefault="000573C1" w:rsidP="00B00A1F">
            <w:pPr>
              <w:pStyle w:val="NormalWeb"/>
              <w:spacing w:before="0" w:beforeAutospacing="0" w:after="0" w:afterAutospacing="0"/>
              <w:ind w:right="34"/>
              <w:rPr>
                <w:rFonts w:ascii="Arial" w:hAnsi="Arial" w:cs="Arial"/>
                <w:b/>
                <w:sz w:val="22"/>
                <w:szCs w:val="22"/>
              </w:rPr>
            </w:pPr>
          </w:p>
          <w:p w14:paraId="2E22D168" w14:textId="77777777" w:rsidR="000573C1" w:rsidRPr="00230F35" w:rsidRDefault="000573C1" w:rsidP="00B00A1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Pr="00C444D8">
              <w:rPr>
                <w:rFonts w:ascii="Arial" w:hAnsi="Arial" w:cs="Arial"/>
                <w:sz w:val="22"/>
                <w:szCs w:val="22"/>
              </w:rPr>
              <w:t>:</w:t>
            </w:r>
            <w:r w:rsidRPr="00C444D8">
              <w:rPr>
                <w:rFonts w:ascii="Arial" w:hAnsi="Arial" w:cs="Arial"/>
                <w:b/>
                <w:sz w:val="22"/>
                <w:szCs w:val="22"/>
              </w:rPr>
              <w:t xml:space="preserve"> </w:t>
            </w:r>
            <w:r>
              <w:rPr>
                <w:rFonts w:ascii="Arial" w:hAnsi="Arial" w:cs="Arial"/>
                <w:b/>
                <w:sz w:val="22"/>
                <w:szCs w:val="22"/>
              </w:rPr>
              <w:t>16</w:t>
            </w:r>
            <w:r w:rsidRPr="00D7432F">
              <w:rPr>
                <w:rFonts w:ascii="Arial" w:hAnsi="Arial" w:cs="Arial"/>
                <w:b/>
                <w:sz w:val="22"/>
                <w:szCs w:val="22"/>
                <w:vertAlign w:val="superscript"/>
              </w:rPr>
              <w:t>th</w:t>
            </w:r>
            <w:r>
              <w:rPr>
                <w:rFonts w:ascii="Arial" w:hAnsi="Arial" w:cs="Arial"/>
                <w:b/>
                <w:sz w:val="22"/>
                <w:szCs w:val="22"/>
              </w:rPr>
              <w:t xml:space="preserve"> July, 2018 23.55</w:t>
            </w:r>
            <w:r w:rsidRPr="00197D08">
              <w:rPr>
                <w:rFonts w:ascii="Arial" w:hAnsi="Arial" w:cs="Arial"/>
                <w:b/>
                <w:sz w:val="22"/>
                <w:szCs w:val="22"/>
              </w:rPr>
              <w:t xml:space="preserve"> GMT</w:t>
            </w:r>
          </w:p>
        </w:tc>
      </w:tr>
      <w:tr w:rsidR="000573C1" w:rsidRPr="00230F35" w14:paraId="67A305E3" w14:textId="77777777" w:rsidTr="00B00A1F">
        <w:trPr>
          <w:trHeight w:val="978"/>
        </w:trPr>
        <w:tc>
          <w:tcPr>
            <w:tcW w:w="8856" w:type="dxa"/>
            <w:gridSpan w:val="5"/>
            <w:tcBorders>
              <w:bottom w:val="single" w:sz="4" w:space="0" w:color="000000"/>
            </w:tcBorders>
          </w:tcPr>
          <w:p w14:paraId="05C4BD69" w14:textId="77777777" w:rsidR="000573C1" w:rsidRPr="00230F35" w:rsidRDefault="000573C1" w:rsidP="00B00A1F">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1"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2"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3"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b/>
                <w:sz w:val="22"/>
                <w:szCs w:val="22"/>
              </w:rPr>
              <w:t xml:space="preserve"> </w:t>
            </w:r>
            <w:r>
              <w:rPr>
                <w:rFonts w:ascii="Arial" w:hAnsi="Arial" w:cs="Arial"/>
                <w:sz w:val="22"/>
                <w:szCs w:val="22"/>
              </w:rPr>
              <w:sym w:font="Wingdings 2" w:char="F052"/>
            </w:r>
            <w:r w:rsidRPr="00230F35">
              <w:rPr>
                <w:rFonts w:ascii="Arial" w:hAnsi="Arial" w:cs="Arial"/>
                <w:sz w:val="22"/>
                <w:szCs w:val="22"/>
              </w:rPr>
              <w:t xml:space="preserve"> </w:t>
            </w:r>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0573C1" w:rsidRPr="00230F35" w14:paraId="6AE9977B" w14:textId="77777777" w:rsidTr="00B00A1F">
        <w:trPr>
          <w:trHeight w:val="978"/>
        </w:trPr>
        <w:tc>
          <w:tcPr>
            <w:tcW w:w="8856" w:type="dxa"/>
            <w:gridSpan w:val="5"/>
            <w:shd w:val="clear" w:color="auto" w:fill="D9D9D9"/>
          </w:tcPr>
          <w:p w14:paraId="7425BDC3" w14:textId="77777777" w:rsidR="000573C1" w:rsidRPr="00230F35" w:rsidRDefault="000573C1" w:rsidP="00B00A1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6EDDC0C" w14:textId="77777777" w:rsidR="000573C1" w:rsidRDefault="000573C1" w:rsidP="00B00A1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Pr="00197D08">
              <w:rPr>
                <w:rFonts w:ascii="Arial" w:hAnsi="Arial" w:cs="Arial"/>
                <w:b/>
                <w:i/>
                <w:sz w:val="22"/>
                <w:szCs w:val="22"/>
              </w:rPr>
              <w:t>Selina White</w:t>
            </w:r>
            <w:r w:rsidRPr="00230F35">
              <w:rPr>
                <w:rFonts w:ascii="Arial" w:hAnsi="Arial" w:cs="Arial"/>
                <w:sz w:val="22"/>
                <w:szCs w:val="22"/>
              </w:rPr>
              <w:t>………………………………………………</w:t>
            </w:r>
          </w:p>
          <w:p w14:paraId="4E1F9C17" w14:textId="77777777" w:rsidR="000573C1" w:rsidRDefault="000573C1" w:rsidP="00B00A1F">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Pr>
                <w:rFonts w:ascii="Calibri" w:hAnsi="Calibri" w:cs="Calibri"/>
                <w:b/>
                <w:sz w:val="44"/>
                <w:szCs w:val="44"/>
              </w:rPr>
              <w:sym w:font="Wingdings 2" w:char="F052"/>
            </w:r>
          </w:p>
          <w:p w14:paraId="2DB3EF21" w14:textId="77777777" w:rsidR="000573C1" w:rsidRPr="00230F35" w:rsidRDefault="000573C1" w:rsidP="00B00A1F">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0573C1" w:rsidRPr="00230F35" w14:paraId="15170B2F" w14:textId="77777777" w:rsidTr="00B00A1F">
        <w:trPr>
          <w:trHeight w:val="3972"/>
        </w:trPr>
        <w:tc>
          <w:tcPr>
            <w:tcW w:w="8856" w:type="dxa"/>
            <w:gridSpan w:val="5"/>
          </w:tcPr>
          <w:p w14:paraId="1E65495D" w14:textId="77777777" w:rsidR="000573C1" w:rsidRDefault="000573C1" w:rsidP="00B00A1F">
            <w:pPr>
              <w:rPr>
                <w:rFonts w:ascii="Arial" w:hAnsi="Arial"/>
                <w:b/>
              </w:rPr>
            </w:pPr>
          </w:p>
          <w:p w14:paraId="2EBC3C0B" w14:textId="77777777" w:rsidR="000573C1" w:rsidRPr="00116CE6" w:rsidRDefault="000573C1" w:rsidP="00B00A1F">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0573C1" w:rsidRPr="00116CE6" w14:paraId="43E23BD0" w14:textId="77777777" w:rsidTr="00B00A1F">
              <w:tc>
                <w:tcPr>
                  <w:tcW w:w="6970" w:type="dxa"/>
                </w:tcPr>
                <w:p w14:paraId="065841E0" w14:textId="77777777" w:rsidR="000573C1" w:rsidRPr="00116CE6" w:rsidRDefault="000573C1" w:rsidP="00B00A1F">
                  <w:pPr>
                    <w:rPr>
                      <w:rFonts w:ascii="Arial" w:hAnsi="Arial"/>
                      <w:sz w:val="20"/>
                      <w:szCs w:val="20"/>
                    </w:rPr>
                  </w:pPr>
                </w:p>
                <w:p w14:paraId="02E3D39E" w14:textId="77777777" w:rsidR="000573C1" w:rsidRPr="00116CE6" w:rsidRDefault="000573C1" w:rsidP="00B00A1F">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793A1270" w14:textId="77777777" w:rsidR="000573C1" w:rsidRPr="00116CE6" w:rsidRDefault="000573C1" w:rsidP="00B00A1F">
                  <w:pPr>
                    <w:rPr>
                      <w:rFonts w:ascii="Arial" w:hAnsi="Arial"/>
                      <w:sz w:val="20"/>
                      <w:szCs w:val="20"/>
                    </w:rPr>
                  </w:pPr>
                </w:p>
              </w:tc>
            </w:tr>
            <w:tr w:rsidR="000573C1" w:rsidRPr="00116CE6" w14:paraId="44F4C770" w14:textId="77777777" w:rsidTr="00B00A1F">
              <w:tc>
                <w:tcPr>
                  <w:tcW w:w="6970" w:type="dxa"/>
                </w:tcPr>
                <w:p w14:paraId="591D8556" w14:textId="77777777" w:rsidR="000573C1" w:rsidRPr="00116CE6" w:rsidRDefault="000573C1" w:rsidP="00B00A1F">
                  <w:pPr>
                    <w:rPr>
                      <w:rFonts w:ascii="Arial" w:hAnsi="Arial"/>
                      <w:sz w:val="20"/>
                      <w:szCs w:val="20"/>
                    </w:rPr>
                  </w:pPr>
                </w:p>
                <w:p w14:paraId="5C9107DC" w14:textId="77777777" w:rsidR="000573C1" w:rsidRPr="00116CE6" w:rsidRDefault="000573C1" w:rsidP="00B00A1F">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42E77809" w14:textId="77777777" w:rsidR="000573C1" w:rsidRPr="00116CE6" w:rsidRDefault="000573C1" w:rsidP="00B00A1F">
                  <w:pPr>
                    <w:rPr>
                      <w:rFonts w:ascii="Arial" w:hAnsi="Arial"/>
                      <w:sz w:val="20"/>
                      <w:szCs w:val="20"/>
                    </w:rPr>
                  </w:pPr>
                </w:p>
              </w:tc>
            </w:tr>
            <w:tr w:rsidR="000573C1" w:rsidRPr="00116CE6" w14:paraId="369D2B7A" w14:textId="77777777" w:rsidTr="00B00A1F">
              <w:tc>
                <w:tcPr>
                  <w:tcW w:w="6970" w:type="dxa"/>
                </w:tcPr>
                <w:p w14:paraId="7D93E92D" w14:textId="77777777" w:rsidR="000573C1" w:rsidRPr="00116CE6" w:rsidRDefault="000573C1" w:rsidP="00B00A1F">
                  <w:pPr>
                    <w:rPr>
                      <w:rFonts w:ascii="Arial" w:hAnsi="Arial"/>
                      <w:sz w:val="20"/>
                      <w:szCs w:val="20"/>
                    </w:rPr>
                  </w:pPr>
                </w:p>
                <w:p w14:paraId="2E656D38" w14:textId="77777777" w:rsidR="000573C1" w:rsidRPr="00116CE6" w:rsidRDefault="000573C1" w:rsidP="00B00A1F">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041BB937" w14:textId="77777777" w:rsidR="000573C1" w:rsidRPr="00116CE6" w:rsidRDefault="000573C1" w:rsidP="00B00A1F">
                  <w:pPr>
                    <w:rPr>
                      <w:rFonts w:ascii="Arial" w:hAnsi="Arial"/>
                      <w:sz w:val="20"/>
                      <w:szCs w:val="20"/>
                    </w:rPr>
                  </w:pPr>
                </w:p>
              </w:tc>
            </w:tr>
            <w:tr w:rsidR="000573C1" w:rsidRPr="00116CE6" w14:paraId="205FFE0E" w14:textId="77777777" w:rsidTr="00B00A1F">
              <w:tc>
                <w:tcPr>
                  <w:tcW w:w="6970" w:type="dxa"/>
                </w:tcPr>
                <w:p w14:paraId="4699BF83" w14:textId="77777777" w:rsidR="000573C1" w:rsidRDefault="000573C1" w:rsidP="00B00A1F">
                  <w:pPr>
                    <w:rPr>
                      <w:rFonts w:ascii="Arial" w:hAnsi="Arial"/>
                      <w:sz w:val="20"/>
                      <w:szCs w:val="20"/>
                    </w:rPr>
                  </w:pPr>
                </w:p>
                <w:p w14:paraId="1354D66A" w14:textId="77777777" w:rsidR="000573C1" w:rsidRPr="00022345" w:rsidRDefault="000573C1" w:rsidP="00B00A1F">
                  <w:pPr>
                    <w:rPr>
                      <w:rFonts w:ascii="Arial" w:hAnsi="Arial"/>
                      <w:b/>
                      <w:sz w:val="20"/>
                      <w:szCs w:val="20"/>
                    </w:rPr>
                  </w:pPr>
                  <w:r w:rsidRPr="00022345">
                    <w:rPr>
                      <w:rFonts w:ascii="Arial" w:hAnsi="Arial"/>
                      <w:b/>
                      <w:sz w:val="20"/>
                      <w:szCs w:val="20"/>
                    </w:rPr>
                    <w:t>Final Mark</w:t>
                  </w:r>
                </w:p>
                <w:p w14:paraId="38B26179" w14:textId="77777777" w:rsidR="000573C1" w:rsidRPr="00116CE6" w:rsidRDefault="000573C1" w:rsidP="00B00A1F">
                  <w:pPr>
                    <w:rPr>
                      <w:rFonts w:ascii="Arial" w:hAnsi="Arial"/>
                      <w:sz w:val="20"/>
                      <w:szCs w:val="20"/>
                    </w:rPr>
                  </w:pPr>
                </w:p>
              </w:tc>
              <w:tc>
                <w:tcPr>
                  <w:tcW w:w="1660" w:type="dxa"/>
                </w:tcPr>
                <w:p w14:paraId="2E5224F1" w14:textId="77777777" w:rsidR="000573C1" w:rsidRPr="00116CE6" w:rsidRDefault="000573C1" w:rsidP="00B00A1F">
                  <w:pPr>
                    <w:rPr>
                      <w:rFonts w:ascii="Arial" w:hAnsi="Arial"/>
                      <w:sz w:val="20"/>
                      <w:szCs w:val="20"/>
                    </w:rPr>
                  </w:pPr>
                </w:p>
              </w:tc>
            </w:tr>
          </w:tbl>
          <w:p w14:paraId="1DA22406" w14:textId="77777777" w:rsidR="000573C1" w:rsidRDefault="000573C1" w:rsidP="00B00A1F">
            <w:pPr>
              <w:pStyle w:val="NormalWeb"/>
              <w:spacing w:before="0" w:beforeAutospacing="0" w:after="0" w:afterAutospacing="0"/>
              <w:ind w:left="142" w:right="34"/>
              <w:rPr>
                <w:rFonts w:ascii="Arial" w:hAnsi="Arial" w:cs="Arial"/>
                <w:b/>
                <w:sz w:val="22"/>
                <w:szCs w:val="22"/>
              </w:rPr>
            </w:pPr>
          </w:p>
          <w:p w14:paraId="704CB1D9" w14:textId="77777777" w:rsidR="000573C1" w:rsidRPr="00230F35" w:rsidRDefault="000573C1" w:rsidP="00B00A1F">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94FD076" w14:textId="77777777" w:rsidR="000573C1" w:rsidRDefault="000573C1" w:rsidP="00B00A1F">
            <w:pPr>
              <w:pStyle w:val="NormalWeb"/>
              <w:spacing w:before="0" w:beforeAutospacing="0" w:after="0" w:afterAutospacing="0"/>
              <w:rPr>
                <w:rFonts w:ascii="Arial" w:hAnsi="Arial" w:cs="Arial"/>
                <w:b/>
                <w:sz w:val="22"/>
                <w:szCs w:val="22"/>
              </w:rPr>
            </w:pPr>
          </w:p>
          <w:p w14:paraId="15FD17CF" w14:textId="77777777" w:rsidR="000573C1" w:rsidRDefault="000573C1" w:rsidP="00B00A1F">
            <w:pPr>
              <w:pStyle w:val="NormalWeb"/>
              <w:spacing w:before="0" w:beforeAutospacing="0" w:after="0" w:afterAutospacing="0"/>
              <w:rPr>
                <w:rFonts w:ascii="Arial" w:hAnsi="Arial" w:cs="Arial"/>
                <w:b/>
                <w:sz w:val="22"/>
                <w:szCs w:val="22"/>
              </w:rPr>
            </w:pPr>
          </w:p>
          <w:p w14:paraId="29872AFB" w14:textId="77777777" w:rsidR="000573C1" w:rsidRDefault="000573C1" w:rsidP="00B00A1F">
            <w:pPr>
              <w:pStyle w:val="NormalWeb"/>
              <w:spacing w:before="0" w:beforeAutospacing="0" w:after="0" w:afterAutospacing="0"/>
              <w:rPr>
                <w:rFonts w:ascii="Arial" w:hAnsi="Arial" w:cs="Arial"/>
                <w:b/>
                <w:sz w:val="22"/>
                <w:szCs w:val="22"/>
              </w:rPr>
            </w:pPr>
          </w:p>
          <w:p w14:paraId="41889D4D" w14:textId="77777777" w:rsidR="000573C1" w:rsidRDefault="000573C1" w:rsidP="00B00A1F">
            <w:pPr>
              <w:pStyle w:val="NormalWeb"/>
              <w:spacing w:before="0" w:beforeAutospacing="0" w:after="0" w:afterAutospacing="0"/>
              <w:rPr>
                <w:rFonts w:ascii="Arial" w:hAnsi="Arial" w:cs="Arial"/>
                <w:b/>
                <w:sz w:val="22"/>
                <w:szCs w:val="22"/>
              </w:rPr>
            </w:pPr>
          </w:p>
          <w:p w14:paraId="31075CB4" w14:textId="77777777" w:rsidR="000573C1" w:rsidRDefault="000573C1" w:rsidP="00B00A1F">
            <w:pPr>
              <w:pStyle w:val="NormalWeb"/>
              <w:spacing w:before="0" w:beforeAutospacing="0" w:after="0" w:afterAutospacing="0"/>
              <w:rPr>
                <w:rFonts w:ascii="Arial" w:hAnsi="Arial" w:cs="Arial"/>
                <w:b/>
                <w:sz w:val="22"/>
                <w:szCs w:val="22"/>
              </w:rPr>
            </w:pPr>
          </w:p>
          <w:p w14:paraId="027C350B" w14:textId="77777777" w:rsidR="000573C1" w:rsidRPr="00230F35" w:rsidRDefault="000573C1" w:rsidP="00B00A1F">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720B9DB1" w14:textId="77777777" w:rsidR="000573C1" w:rsidRDefault="000573C1" w:rsidP="00B00A1F">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2AD8012" w14:textId="77777777" w:rsidR="000573C1" w:rsidRPr="00001C3B" w:rsidRDefault="000573C1" w:rsidP="00B00A1F">
            <w:pPr>
              <w:pStyle w:val="NormalWeb"/>
              <w:rPr>
                <w:rFonts w:ascii="Arial" w:hAnsi="Arial" w:cs="Arial"/>
                <w:sz w:val="22"/>
                <w:szCs w:val="22"/>
              </w:rPr>
            </w:pPr>
          </w:p>
        </w:tc>
      </w:tr>
      <w:tr w:rsidR="000573C1" w:rsidRPr="00230F35" w14:paraId="4C7A3E40" w14:textId="77777777" w:rsidTr="00B00A1F">
        <w:trPr>
          <w:trHeight w:val="492"/>
        </w:trPr>
        <w:tc>
          <w:tcPr>
            <w:tcW w:w="6768" w:type="dxa"/>
            <w:gridSpan w:val="3"/>
          </w:tcPr>
          <w:p w14:paraId="3014B8FB" w14:textId="77777777" w:rsidR="000573C1" w:rsidRPr="00230F35" w:rsidRDefault="000573C1" w:rsidP="00B00A1F">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260943C9" w14:textId="77777777" w:rsidR="000573C1" w:rsidRPr="00230F35" w:rsidRDefault="000573C1" w:rsidP="00B00A1F">
            <w:pPr>
              <w:pStyle w:val="NormalWeb"/>
              <w:spacing w:after="0"/>
              <w:ind w:left="142" w:right="34"/>
              <w:rPr>
                <w:rFonts w:ascii="Arial" w:hAnsi="Arial" w:cs="Arial"/>
                <w:sz w:val="22"/>
                <w:szCs w:val="22"/>
              </w:rPr>
            </w:pPr>
            <w:r w:rsidRPr="00230F35">
              <w:rPr>
                <w:rFonts w:ascii="Arial" w:hAnsi="Arial" w:cs="Arial"/>
                <w:sz w:val="22"/>
                <w:szCs w:val="22"/>
              </w:rPr>
              <w:t>Date:</w:t>
            </w:r>
          </w:p>
        </w:tc>
      </w:tr>
      <w:tr w:rsidR="000573C1" w:rsidRPr="002F467C" w14:paraId="7905A730" w14:textId="77777777" w:rsidTr="00B00A1F">
        <w:tc>
          <w:tcPr>
            <w:tcW w:w="8856" w:type="dxa"/>
            <w:gridSpan w:val="5"/>
          </w:tcPr>
          <w:p w14:paraId="08B2FAFD" w14:textId="77777777" w:rsidR="000573C1" w:rsidRPr="00230F35" w:rsidRDefault="000573C1" w:rsidP="00B00A1F">
            <w:pPr>
              <w:pStyle w:val="NormalWeb"/>
              <w:spacing w:before="0" w:beforeAutospacing="0" w:after="0" w:afterAutospacing="0"/>
              <w:ind w:right="-334"/>
              <w:rPr>
                <w:rFonts w:ascii="Arial" w:hAnsi="Arial" w:cs="Arial"/>
                <w:bCs/>
                <w:i/>
                <w:sz w:val="22"/>
                <w:szCs w:val="22"/>
              </w:rPr>
            </w:pPr>
          </w:p>
          <w:p w14:paraId="5553784D" w14:textId="77777777" w:rsidR="000573C1" w:rsidRPr="00230F35" w:rsidRDefault="000573C1" w:rsidP="00B00A1F">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E3B0B3E" w14:textId="77777777" w:rsidR="000573C1" w:rsidRPr="00230F35" w:rsidRDefault="000573C1" w:rsidP="00B00A1F">
            <w:pPr>
              <w:pStyle w:val="NormalWeb"/>
              <w:spacing w:before="0" w:beforeAutospacing="0" w:after="0" w:afterAutospacing="0"/>
              <w:ind w:right="-334"/>
              <w:rPr>
                <w:rFonts w:ascii="Arial" w:hAnsi="Arial" w:cs="Arial"/>
                <w:b/>
                <w:bCs/>
                <w:sz w:val="22"/>
                <w:szCs w:val="22"/>
              </w:rPr>
            </w:pPr>
          </w:p>
          <w:p w14:paraId="3A2B5198" w14:textId="77777777" w:rsidR="000573C1" w:rsidRPr="00230F35" w:rsidRDefault="000573C1" w:rsidP="00B00A1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2AE608AA" w14:textId="77777777" w:rsidR="000573C1" w:rsidRPr="00230F35" w:rsidRDefault="000573C1" w:rsidP="00B00A1F">
            <w:pPr>
              <w:pStyle w:val="NormalWeb"/>
              <w:spacing w:before="0" w:beforeAutospacing="0" w:after="0" w:afterAutospacing="0"/>
              <w:ind w:right="-334"/>
              <w:rPr>
                <w:rFonts w:ascii="Arial" w:hAnsi="Arial" w:cs="Arial"/>
                <w:bCs/>
                <w:sz w:val="22"/>
                <w:szCs w:val="22"/>
              </w:rPr>
            </w:pPr>
          </w:p>
          <w:p w14:paraId="55E7306E" w14:textId="77777777" w:rsidR="000573C1" w:rsidRPr="00230F35" w:rsidRDefault="000573C1" w:rsidP="00B00A1F">
            <w:pPr>
              <w:pStyle w:val="NormalWeb"/>
              <w:spacing w:before="0" w:beforeAutospacing="0" w:after="0" w:afterAutospacing="0"/>
              <w:ind w:right="-334"/>
              <w:rPr>
                <w:rFonts w:ascii="Arial" w:hAnsi="Arial" w:cs="Arial"/>
                <w:bCs/>
                <w:sz w:val="22"/>
                <w:szCs w:val="22"/>
              </w:rPr>
            </w:pPr>
          </w:p>
          <w:p w14:paraId="2139E187" w14:textId="77777777" w:rsidR="000573C1" w:rsidRPr="00230F35" w:rsidRDefault="000573C1" w:rsidP="00B00A1F">
            <w:pPr>
              <w:pStyle w:val="NormalWeb"/>
              <w:spacing w:before="0" w:beforeAutospacing="0" w:after="0" w:afterAutospacing="0"/>
              <w:ind w:right="-334"/>
              <w:rPr>
                <w:rFonts w:ascii="Arial" w:hAnsi="Arial" w:cs="Arial"/>
                <w:bCs/>
                <w:sz w:val="22"/>
                <w:szCs w:val="22"/>
              </w:rPr>
            </w:pPr>
          </w:p>
          <w:p w14:paraId="448DAB4B" w14:textId="77777777" w:rsidR="000573C1" w:rsidRPr="00230F35" w:rsidRDefault="000573C1" w:rsidP="00B00A1F">
            <w:pPr>
              <w:pStyle w:val="NormalWeb"/>
              <w:spacing w:before="0" w:beforeAutospacing="0" w:after="0" w:afterAutospacing="0"/>
              <w:ind w:right="-334"/>
              <w:rPr>
                <w:rFonts w:ascii="Arial" w:hAnsi="Arial" w:cs="Arial"/>
                <w:bCs/>
                <w:sz w:val="22"/>
                <w:szCs w:val="22"/>
              </w:rPr>
            </w:pPr>
          </w:p>
          <w:p w14:paraId="09F13F61" w14:textId="77777777" w:rsidR="000573C1" w:rsidRPr="00230F35" w:rsidRDefault="000573C1" w:rsidP="00B00A1F">
            <w:pPr>
              <w:pStyle w:val="NormalWeb"/>
              <w:spacing w:before="0" w:beforeAutospacing="0" w:after="0" w:afterAutospacing="0"/>
              <w:ind w:right="-334"/>
              <w:rPr>
                <w:rFonts w:ascii="Arial" w:hAnsi="Arial" w:cs="Arial"/>
                <w:bCs/>
                <w:sz w:val="22"/>
                <w:szCs w:val="22"/>
              </w:rPr>
            </w:pPr>
          </w:p>
          <w:p w14:paraId="07192BA2" w14:textId="77777777" w:rsidR="000573C1" w:rsidRPr="00230F35" w:rsidRDefault="000573C1" w:rsidP="00B00A1F">
            <w:pPr>
              <w:pStyle w:val="NormalWeb"/>
              <w:spacing w:before="0" w:beforeAutospacing="0" w:after="0" w:afterAutospacing="0"/>
              <w:ind w:right="-334"/>
              <w:rPr>
                <w:rFonts w:ascii="Arial" w:hAnsi="Arial" w:cs="Arial"/>
                <w:bCs/>
                <w:sz w:val="22"/>
                <w:szCs w:val="22"/>
              </w:rPr>
            </w:pPr>
          </w:p>
          <w:p w14:paraId="6BAB8C96" w14:textId="77777777" w:rsidR="000573C1" w:rsidRPr="00230F35" w:rsidRDefault="000573C1" w:rsidP="00B00A1F">
            <w:pPr>
              <w:pStyle w:val="NormalWeb"/>
              <w:spacing w:before="0" w:beforeAutospacing="0" w:after="0" w:afterAutospacing="0"/>
              <w:ind w:right="-334"/>
              <w:rPr>
                <w:rFonts w:ascii="Arial" w:hAnsi="Arial" w:cs="Arial"/>
                <w:bCs/>
                <w:sz w:val="22"/>
                <w:szCs w:val="22"/>
              </w:rPr>
            </w:pPr>
          </w:p>
          <w:p w14:paraId="2F3D532D" w14:textId="77777777" w:rsidR="000573C1" w:rsidRPr="00230F35" w:rsidRDefault="000573C1" w:rsidP="00B00A1F">
            <w:pPr>
              <w:pStyle w:val="NormalWeb"/>
              <w:spacing w:before="0" w:beforeAutospacing="0" w:after="0" w:afterAutospacing="0"/>
              <w:ind w:right="-334"/>
              <w:rPr>
                <w:rFonts w:ascii="Arial" w:hAnsi="Arial" w:cs="Arial"/>
                <w:bCs/>
                <w:sz w:val="22"/>
                <w:szCs w:val="22"/>
              </w:rPr>
            </w:pPr>
          </w:p>
          <w:p w14:paraId="5EACA26A" w14:textId="77777777" w:rsidR="000573C1" w:rsidRDefault="000573C1" w:rsidP="00B00A1F">
            <w:pPr>
              <w:pStyle w:val="NormalWeb"/>
              <w:spacing w:before="0" w:beforeAutospacing="0" w:after="0" w:afterAutospacing="0"/>
              <w:ind w:right="-334"/>
              <w:rPr>
                <w:rFonts w:ascii="Arial" w:hAnsi="Arial" w:cs="Arial"/>
                <w:bCs/>
                <w:sz w:val="22"/>
                <w:szCs w:val="22"/>
              </w:rPr>
            </w:pPr>
          </w:p>
          <w:p w14:paraId="1FDF97C6" w14:textId="77777777" w:rsidR="000573C1" w:rsidRPr="00230F35" w:rsidRDefault="000573C1" w:rsidP="00B00A1F">
            <w:pPr>
              <w:pStyle w:val="NormalWeb"/>
              <w:spacing w:before="0" w:beforeAutospacing="0" w:after="0" w:afterAutospacing="0"/>
              <w:ind w:right="-334"/>
              <w:rPr>
                <w:rFonts w:ascii="Arial" w:hAnsi="Arial" w:cs="Arial"/>
                <w:bCs/>
                <w:sz w:val="22"/>
                <w:szCs w:val="22"/>
              </w:rPr>
            </w:pPr>
          </w:p>
          <w:p w14:paraId="5FCE438C" w14:textId="77777777" w:rsidR="000573C1" w:rsidRPr="00230F35" w:rsidRDefault="000573C1" w:rsidP="00B00A1F">
            <w:pPr>
              <w:pStyle w:val="NormalWeb"/>
              <w:spacing w:before="0" w:beforeAutospacing="0" w:after="0" w:afterAutospacing="0"/>
              <w:ind w:right="-334"/>
              <w:rPr>
                <w:rFonts w:ascii="Arial" w:hAnsi="Arial" w:cs="Arial"/>
                <w:bCs/>
                <w:sz w:val="22"/>
                <w:szCs w:val="22"/>
              </w:rPr>
            </w:pPr>
          </w:p>
          <w:p w14:paraId="070229AE" w14:textId="77777777" w:rsidR="000573C1" w:rsidRPr="00230F35" w:rsidRDefault="000573C1" w:rsidP="00B00A1F">
            <w:pPr>
              <w:pStyle w:val="NormalWeb"/>
              <w:spacing w:before="0" w:beforeAutospacing="0" w:after="0" w:afterAutospacing="0"/>
              <w:ind w:right="-334"/>
              <w:rPr>
                <w:rFonts w:ascii="Arial" w:hAnsi="Arial" w:cs="Arial"/>
                <w:bCs/>
                <w:sz w:val="22"/>
                <w:szCs w:val="22"/>
              </w:rPr>
            </w:pPr>
          </w:p>
        </w:tc>
      </w:tr>
      <w:tr w:rsidR="000573C1" w:rsidRPr="002F467C" w14:paraId="1D9E099E" w14:textId="77777777" w:rsidTr="00B00A1F">
        <w:trPr>
          <w:trHeight w:val="720"/>
        </w:trPr>
        <w:tc>
          <w:tcPr>
            <w:tcW w:w="5211" w:type="dxa"/>
            <w:gridSpan w:val="2"/>
          </w:tcPr>
          <w:p w14:paraId="68EBD85E" w14:textId="77777777" w:rsidR="000573C1" w:rsidRPr="00230F35" w:rsidRDefault="000573C1" w:rsidP="00B00A1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3AD878C6" w14:textId="77777777" w:rsidR="000573C1" w:rsidRPr="00230F35" w:rsidRDefault="000573C1" w:rsidP="00B00A1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0573C1" w:rsidRPr="002F467C" w14:paraId="684C4EBA" w14:textId="77777777" w:rsidTr="00B00A1F">
        <w:trPr>
          <w:trHeight w:val="720"/>
        </w:trPr>
        <w:tc>
          <w:tcPr>
            <w:tcW w:w="8856" w:type="dxa"/>
            <w:gridSpan w:val="5"/>
          </w:tcPr>
          <w:p w14:paraId="52E3A307" w14:textId="77777777" w:rsidR="000573C1" w:rsidRPr="00B34964" w:rsidRDefault="000573C1" w:rsidP="00B00A1F">
            <w:pPr>
              <w:rPr>
                <w:rFonts w:ascii="Arial" w:hAnsi="Arial" w:cs="Arial"/>
                <w:b/>
                <w:sz w:val="22"/>
                <w:szCs w:val="22"/>
              </w:rPr>
            </w:pPr>
            <w:r w:rsidRPr="00B34964">
              <w:rPr>
                <w:rFonts w:ascii="Arial" w:hAnsi="Arial" w:cs="Arial"/>
                <w:b/>
                <w:sz w:val="22"/>
                <w:szCs w:val="22"/>
              </w:rPr>
              <w:t>External Examiner’s comments (if relevant)</w:t>
            </w:r>
          </w:p>
          <w:p w14:paraId="01F218F7" w14:textId="77777777" w:rsidR="000573C1" w:rsidRPr="00230F35" w:rsidRDefault="000573C1" w:rsidP="00B00A1F">
            <w:pPr>
              <w:pStyle w:val="NormalWeb"/>
              <w:spacing w:before="0" w:beforeAutospacing="0" w:after="0" w:afterAutospacing="0"/>
              <w:ind w:right="-334"/>
              <w:rPr>
                <w:rFonts w:ascii="Arial" w:hAnsi="Arial" w:cs="Arial"/>
                <w:bCs/>
                <w:sz w:val="22"/>
                <w:szCs w:val="22"/>
              </w:rPr>
            </w:pPr>
          </w:p>
          <w:p w14:paraId="3FB471E7" w14:textId="77777777" w:rsidR="000573C1" w:rsidRPr="00230F35" w:rsidRDefault="000573C1" w:rsidP="00B00A1F">
            <w:pPr>
              <w:pStyle w:val="NormalWeb"/>
              <w:spacing w:before="0" w:beforeAutospacing="0" w:after="0" w:afterAutospacing="0"/>
              <w:ind w:right="-334"/>
              <w:rPr>
                <w:rFonts w:ascii="Arial" w:hAnsi="Arial" w:cs="Arial"/>
                <w:bCs/>
                <w:sz w:val="22"/>
                <w:szCs w:val="22"/>
              </w:rPr>
            </w:pPr>
          </w:p>
          <w:p w14:paraId="08829147" w14:textId="77777777" w:rsidR="000573C1" w:rsidRPr="00230F35" w:rsidRDefault="000573C1" w:rsidP="00B00A1F">
            <w:pPr>
              <w:pStyle w:val="NormalWeb"/>
              <w:spacing w:before="0" w:beforeAutospacing="0" w:after="0" w:afterAutospacing="0"/>
              <w:ind w:right="-334"/>
              <w:rPr>
                <w:rFonts w:ascii="Arial" w:hAnsi="Arial" w:cs="Arial"/>
                <w:bCs/>
                <w:sz w:val="22"/>
                <w:szCs w:val="22"/>
              </w:rPr>
            </w:pPr>
          </w:p>
          <w:p w14:paraId="140BF98F" w14:textId="77777777" w:rsidR="000573C1" w:rsidRPr="00230F35" w:rsidRDefault="000573C1" w:rsidP="00B00A1F">
            <w:pPr>
              <w:pStyle w:val="NormalWeb"/>
              <w:spacing w:before="0" w:beforeAutospacing="0" w:after="0" w:afterAutospacing="0"/>
              <w:ind w:right="-334"/>
              <w:rPr>
                <w:rFonts w:ascii="Arial" w:hAnsi="Arial" w:cs="Arial"/>
                <w:bCs/>
                <w:sz w:val="22"/>
                <w:szCs w:val="22"/>
              </w:rPr>
            </w:pPr>
          </w:p>
          <w:p w14:paraId="2A718F3C" w14:textId="77777777" w:rsidR="000573C1" w:rsidRPr="00230F35" w:rsidRDefault="000573C1" w:rsidP="00B00A1F">
            <w:pPr>
              <w:pStyle w:val="NormalWeb"/>
              <w:spacing w:before="0" w:beforeAutospacing="0" w:after="0" w:afterAutospacing="0"/>
              <w:ind w:right="-334"/>
              <w:rPr>
                <w:rFonts w:ascii="Arial" w:hAnsi="Arial" w:cs="Arial"/>
                <w:bCs/>
                <w:sz w:val="22"/>
                <w:szCs w:val="22"/>
              </w:rPr>
            </w:pPr>
          </w:p>
          <w:p w14:paraId="6190B1AF" w14:textId="77777777" w:rsidR="000573C1" w:rsidRPr="00230F35" w:rsidRDefault="000573C1" w:rsidP="00B00A1F">
            <w:pPr>
              <w:pStyle w:val="NormalWeb"/>
              <w:spacing w:before="0" w:beforeAutospacing="0" w:after="0" w:afterAutospacing="0"/>
              <w:ind w:right="-334"/>
              <w:rPr>
                <w:rFonts w:ascii="Arial" w:hAnsi="Arial" w:cs="Arial"/>
                <w:bCs/>
                <w:sz w:val="22"/>
                <w:szCs w:val="22"/>
              </w:rPr>
            </w:pPr>
          </w:p>
          <w:p w14:paraId="06FD6BF5" w14:textId="77777777" w:rsidR="000573C1" w:rsidRPr="00230F35" w:rsidRDefault="000573C1" w:rsidP="00B00A1F">
            <w:pPr>
              <w:pStyle w:val="NormalWeb"/>
              <w:spacing w:before="0" w:beforeAutospacing="0" w:after="0" w:afterAutospacing="0"/>
              <w:ind w:right="-334"/>
              <w:rPr>
                <w:rFonts w:ascii="Arial" w:hAnsi="Arial" w:cs="Arial"/>
                <w:bCs/>
                <w:sz w:val="22"/>
                <w:szCs w:val="22"/>
              </w:rPr>
            </w:pPr>
          </w:p>
          <w:p w14:paraId="43234043" w14:textId="77777777" w:rsidR="000573C1" w:rsidRPr="00230F35" w:rsidRDefault="000573C1" w:rsidP="00B00A1F">
            <w:pPr>
              <w:pStyle w:val="NormalWeb"/>
              <w:spacing w:before="0" w:beforeAutospacing="0" w:after="0" w:afterAutospacing="0"/>
              <w:ind w:right="-334"/>
              <w:rPr>
                <w:rFonts w:ascii="Arial" w:hAnsi="Arial" w:cs="Arial"/>
                <w:bCs/>
                <w:sz w:val="22"/>
                <w:szCs w:val="22"/>
              </w:rPr>
            </w:pPr>
          </w:p>
          <w:p w14:paraId="3A653543" w14:textId="77777777" w:rsidR="000573C1" w:rsidRDefault="000573C1" w:rsidP="00B00A1F">
            <w:pPr>
              <w:pStyle w:val="NormalWeb"/>
              <w:spacing w:before="0" w:beforeAutospacing="0" w:after="0" w:afterAutospacing="0"/>
              <w:ind w:right="-334"/>
              <w:rPr>
                <w:rFonts w:ascii="Arial" w:hAnsi="Arial" w:cs="Arial"/>
                <w:bCs/>
                <w:sz w:val="22"/>
                <w:szCs w:val="22"/>
              </w:rPr>
            </w:pPr>
          </w:p>
          <w:p w14:paraId="57B92CE5" w14:textId="77777777" w:rsidR="000573C1" w:rsidRPr="00230F35" w:rsidRDefault="000573C1" w:rsidP="00B00A1F">
            <w:pPr>
              <w:pStyle w:val="NormalWeb"/>
              <w:spacing w:before="0" w:beforeAutospacing="0" w:after="0" w:afterAutospacing="0"/>
              <w:ind w:right="-334"/>
              <w:rPr>
                <w:rFonts w:ascii="Arial" w:hAnsi="Arial" w:cs="Arial"/>
                <w:bCs/>
                <w:sz w:val="22"/>
                <w:szCs w:val="22"/>
              </w:rPr>
            </w:pPr>
          </w:p>
          <w:p w14:paraId="75FC3A0F" w14:textId="77777777" w:rsidR="000573C1" w:rsidRPr="00230F35" w:rsidRDefault="000573C1" w:rsidP="00B00A1F">
            <w:pPr>
              <w:pStyle w:val="NormalWeb"/>
              <w:spacing w:before="0" w:beforeAutospacing="0" w:after="0" w:afterAutospacing="0"/>
              <w:ind w:right="-334"/>
              <w:rPr>
                <w:rFonts w:ascii="Arial" w:hAnsi="Arial" w:cs="Arial"/>
                <w:bCs/>
                <w:sz w:val="22"/>
                <w:szCs w:val="22"/>
              </w:rPr>
            </w:pPr>
          </w:p>
        </w:tc>
      </w:tr>
      <w:tr w:rsidR="000573C1" w:rsidRPr="002F467C" w14:paraId="1F7A13F5" w14:textId="77777777" w:rsidTr="00B00A1F">
        <w:trPr>
          <w:trHeight w:val="720"/>
        </w:trPr>
        <w:tc>
          <w:tcPr>
            <w:tcW w:w="5211" w:type="dxa"/>
            <w:gridSpan w:val="2"/>
          </w:tcPr>
          <w:p w14:paraId="52752A62" w14:textId="77777777" w:rsidR="000573C1" w:rsidRPr="00230F35" w:rsidRDefault="000573C1" w:rsidP="00B00A1F">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73E7D242" w14:textId="77777777" w:rsidR="000573C1" w:rsidRPr="00230F35" w:rsidRDefault="000573C1" w:rsidP="00B00A1F">
            <w:pPr>
              <w:rPr>
                <w:rFonts w:ascii="Arial" w:hAnsi="Arial" w:cs="Arial"/>
                <w:sz w:val="22"/>
                <w:szCs w:val="22"/>
              </w:rPr>
            </w:pPr>
            <w:r w:rsidRPr="00230F35">
              <w:rPr>
                <w:rFonts w:ascii="Arial" w:hAnsi="Arial" w:cs="Arial"/>
                <w:sz w:val="22"/>
                <w:szCs w:val="22"/>
              </w:rPr>
              <w:t>Date:</w:t>
            </w:r>
          </w:p>
        </w:tc>
      </w:tr>
    </w:tbl>
    <w:p w14:paraId="295C59B9" w14:textId="77777777" w:rsidR="000573C1" w:rsidRPr="00D67BF8" w:rsidRDefault="000573C1" w:rsidP="000573C1">
      <w:pPr>
        <w:pStyle w:val="NormalWeb"/>
        <w:spacing w:before="0" w:beforeAutospacing="0" w:after="0" w:afterAutospacing="0"/>
        <w:ind w:right="-334"/>
        <w:rPr>
          <w:rFonts w:ascii="Trebuchet MS" w:hAnsi="Trebuchet MS" w:cs="Tahoma"/>
          <w:bCs/>
        </w:rPr>
      </w:pPr>
    </w:p>
    <w:p w14:paraId="1D174AF3" w14:textId="77777777" w:rsidR="000573C1" w:rsidRDefault="000573C1" w:rsidP="009C7B2B">
      <w:pPr>
        <w:shd w:val="clear" w:color="auto" w:fill="FFFFFF"/>
        <w:spacing w:line="360" w:lineRule="auto"/>
        <w:jc w:val="center"/>
        <w:rPr>
          <w:rFonts w:cs="Times New Roman"/>
          <w:b/>
          <w:color w:val="373A3C"/>
          <w:u w:val="single"/>
          <w:lang w:val="en-GB"/>
        </w:rPr>
      </w:pPr>
    </w:p>
    <w:p w14:paraId="0F741EA6" w14:textId="1717B2D2" w:rsidR="00117047" w:rsidRDefault="00117047" w:rsidP="000573C1">
      <w:pPr>
        <w:shd w:val="clear" w:color="auto" w:fill="FFFFFF"/>
        <w:spacing w:line="360" w:lineRule="auto"/>
        <w:jc w:val="center"/>
        <w:rPr>
          <w:rFonts w:cs="Times New Roman"/>
          <w:b/>
          <w:color w:val="373A3C"/>
          <w:u w:val="single"/>
          <w:lang w:val="en-GB"/>
        </w:rPr>
      </w:pPr>
      <w:r w:rsidRPr="00117047">
        <w:rPr>
          <w:rFonts w:cs="Times New Roman"/>
          <w:b/>
          <w:color w:val="373A3C"/>
          <w:u w:val="single"/>
          <w:lang w:val="en-GB"/>
        </w:rPr>
        <w:t>An Analysis of the Cosmology, Metaphysics and “World-view” of </w:t>
      </w:r>
      <w:r>
        <w:rPr>
          <w:rFonts w:cs="Times New Roman"/>
          <w:b/>
          <w:color w:val="373A3C"/>
          <w:u w:val="single"/>
          <w:lang w:val="en-GB"/>
        </w:rPr>
        <w:t xml:space="preserve">the Practice of </w:t>
      </w:r>
      <w:r w:rsidRPr="00117047">
        <w:rPr>
          <w:rFonts w:cs="Times New Roman"/>
          <w:b/>
          <w:color w:val="373A3C"/>
          <w:u w:val="single"/>
          <w:lang w:val="en-GB"/>
        </w:rPr>
        <w:t xml:space="preserve">Necromancy and </w:t>
      </w:r>
      <w:r>
        <w:rPr>
          <w:rFonts w:cs="Times New Roman"/>
          <w:b/>
          <w:color w:val="373A3C"/>
          <w:u w:val="single"/>
          <w:lang w:val="en-GB"/>
        </w:rPr>
        <w:t xml:space="preserve">the </w:t>
      </w:r>
      <w:r w:rsidRPr="00117047">
        <w:rPr>
          <w:rFonts w:cs="Times New Roman"/>
          <w:b/>
          <w:color w:val="373A3C"/>
          <w:u w:val="single"/>
          <w:lang w:val="en-GB"/>
        </w:rPr>
        <w:t>Oracles of the Dead</w:t>
      </w:r>
      <w:r w:rsidR="00801FF2">
        <w:rPr>
          <w:rFonts w:cs="Times New Roman"/>
          <w:b/>
          <w:color w:val="373A3C"/>
          <w:u w:val="single"/>
          <w:lang w:val="en-GB"/>
        </w:rPr>
        <w:t xml:space="preserve"> in Antiquity</w:t>
      </w:r>
      <w:r w:rsidRPr="00117047">
        <w:rPr>
          <w:rFonts w:cs="Times New Roman"/>
          <w:b/>
          <w:color w:val="373A3C"/>
          <w:u w:val="single"/>
          <w:lang w:val="en-GB"/>
        </w:rPr>
        <w:t>.</w:t>
      </w:r>
    </w:p>
    <w:p w14:paraId="73DC7E3F" w14:textId="77777777" w:rsidR="000573C1" w:rsidRDefault="000573C1" w:rsidP="000573C1">
      <w:pPr>
        <w:shd w:val="clear" w:color="auto" w:fill="FFFFFF"/>
        <w:spacing w:line="360" w:lineRule="auto"/>
        <w:jc w:val="center"/>
        <w:rPr>
          <w:rFonts w:cs="Times New Roman"/>
          <w:b/>
          <w:color w:val="373A3C"/>
          <w:u w:val="single"/>
          <w:lang w:val="en-GB"/>
        </w:rPr>
      </w:pPr>
      <w:bookmarkStart w:id="4" w:name="_GoBack"/>
      <w:bookmarkEnd w:id="4"/>
    </w:p>
    <w:p w14:paraId="0A7EA7D6" w14:textId="79B44A98" w:rsidR="008E750A" w:rsidRDefault="008E750A" w:rsidP="009C7B2B">
      <w:pPr>
        <w:shd w:val="clear" w:color="auto" w:fill="FFFFFF"/>
        <w:spacing w:line="360" w:lineRule="auto"/>
        <w:jc w:val="both"/>
        <w:rPr>
          <w:rFonts w:cs="Times New Roman"/>
          <w:b/>
          <w:color w:val="373A3C"/>
          <w:lang w:val="en-GB"/>
        </w:rPr>
      </w:pPr>
      <w:r w:rsidRPr="008E750A">
        <w:rPr>
          <w:rFonts w:cs="Times New Roman"/>
          <w:b/>
          <w:color w:val="373A3C"/>
          <w:lang w:val="en-GB"/>
        </w:rPr>
        <w:t>Introduction</w:t>
      </w:r>
    </w:p>
    <w:p w14:paraId="072F8D49" w14:textId="5EBD34AB" w:rsidR="004E1964" w:rsidRDefault="008E750A" w:rsidP="009C7B2B">
      <w:pPr>
        <w:shd w:val="clear" w:color="auto" w:fill="FFFFFF"/>
        <w:spacing w:line="360" w:lineRule="auto"/>
        <w:jc w:val="both"/>
        <w:rPr>
          <w:rFonts w:cs="Times New Roman"/>
          <w:color w:val="373A3C"/>
          <w:lang w:val="en-GB"/>
        </w:rPr>
      </w:pPr>
      <w:r w:rsidRPr="008E750A">
        <w:rPr>
          <w:rFonts w:cs="Times New Roman"/>
          <w:color w:val="373A3C"/>
          <w:lang w:val="en-GB"/>
        </w:rPr>
        <w:t xml:space="preserve">The aim of this paper is to analyse the </w:t>
      </w:r>
      <w:r w:rsidR="005257F2">
        <w:rPr>
          <w:rFonts w:cs="Times New Roman"/>
          <w:color w:val="373A3C"/>
          <w:lang w:val="en-GB"/>
        </w:rPr>
        <w:t xml:space="preserve">underlying </w:t>
      </w:r>
      <w:r w:rsidRPr="008E750A">
        <w:rPr>
          <w:rFonts w:cs="Times New Roman"/>
          <w:color w:val="373A3C"/>
          <w:lang w:val="en-GB"/>
        </w:rPr>
        <w:t xml:space="preserve">cosmology, metaphysics </w:t>
      </w:r>
      <w:r w:rsidR="00E840E2">
        <w:rPr>
          <w:rFonts w:cs="Times New Roman"/>
          <w:color w:val="373A3C"/>
          <w:lang w:val="en-GB"/>
        </w:rPr>
        <w:t>and “w</w:t>
      </w:r>
      <w:r w:rsidR="00E840E2" w:rsidRPr="00E840E2">
        <w:rPr>
          <w:rFonts w:cs="Times New Roman"/>
          <w:color w:val="373A3C"/>
          <w:lang w:val="en-GB"/>
        </w:rPr>
        <w:t>orld-view” of </w:t>
      </w:r>
      <w:r w:rsidR="00E840E2">
        <w:rPr>
          <w:rFonts w:cs="Times New Roman"/>
          <w:color w:val="373A3C"/>
          <w:lang w:val="en-GB"/>
        </w:rPr>
        <w:t>the p</w:t>
      </w:r>
      <w:r w:rsidR="00E840E2" w:rsidRPr="00E840E2">
        <w:rPr>
          <w:rFonts w:cs="Times New Roman"/>
          <w:color w:val="373A3C"/>
          <w:lang w:val="en-GB"/>
        </w:rPr>
        <w:t xml:space="preserve">ractice of </w:t>
      </w:r>
      <w:r w:rsidR="00E840E2">
        <w:rPr>
          <w:rFonts w:cs="Times New Roman"/>
          <w:color w:val="373A3C"/>
          <w:lang w:val="en-GB"/>
        </w:rPr>
        <w:t>n</w:t>
      </w:r>
      <w:r w:rsidR="00057326">
        <w:rPr>
          <w:rFonts w:cs="Times New Roman"/>
          <w:color w:val="373A3C"/>
          <w:lang w:val="en-GB"/>
        </w:rPr>
        <w:t>ecromancy and the oracles of the d</w:t>
      </w:r>
      <w:r w:rsidR="00E840E2" w:rsidRPr="00E840E2">
        <w:rPr>
          <w:rFonts w:cs="Times New Roman"/>
          <w:color w:val="373A3C"/>
          <w:lang w:val="en-GB"/>
        </w:rPr>
        <w:t>ead</w:t>
      </w:r>
      <w:r w:rsidR="00E840E2">
        <w:rPr>
          <w:rFonts w:cs="Times New Roman"/>
          <w:color w:val="373A3C"/>
          <w:lang w:val="en-GB"/>
        </w:rPr>
        <w:t xml:space="preserve"> in a</w:t>
      </w:r>
      <w:r w:rsidR="00E840E2" w:rsidRPr="00E840E2">
        <w:rPr>
          <w:rFonts w:cs="Times New Roman"/>
          <w:color w:val="373A3C"/>
          <w:lang w:val="en-GB"/>
        </w:rPr>
        <w:t>ntiquity</w:t>
      </w:r>
      <w:r w:rsidR="00E840E2">
        <w:rPr>
          <w:rFonts w:cs="Times New Roman"/>
          <w:color w:val="373A3C"/>
          <w:lang w:val="en-GB"/>
        </w:rPr>
        <w:t xml:space="preserve"> </w:t>
      </w:r>
      <w:r w:rsidR="005257F2">
        <w:rPr>
          <w:rFonts w:cs="Times New Roman"/>
          <w:color w:val="373A3C"/>
          <w:lang w:val="en-GB"/>
        </w:rPr>
        <w:t>to discover wha</w:t>
      </w:r>
      <w:r w:rsidR="005257F2">
        <w:rPr>
          <w:rFonts w:cs="Times New Roman"/>
        </w:rPr>
        <w:t xml:space="preserve">t </w:t>
      </w:r>
      <w:r w:rsidR="00F6159D">
        <w:rPr>
          <w:rFonts w:cs="Times New Roman"/>
        </w:rPr>
        <w:t>such practices</w:t>
      </w:r>
      <w:r w:rsidR="005257F2">
        <w:rPr>
          <w:rFonts w:cs="Times New Roman"/>
        </w:rPr>
        <w:t xml:space="preserve"> reveal about </w:t>
      </w:r>
      <w:r w:rsidR="00F6159D">
        <w:rPr>
          <w:rFonts w:cs="Times New Roman"/>
        </w:rPr>
        <w:t xml:space="preserve">the </w:t>
      </w:r>
      <w:r w:rsidR="00F6159D">
        <w:rPr>
          <w:rFonts w:cs="Times New Roman"/>
          <w:color w:val="373A3C"/>
        </w:rPr>
        <w:t xml:space="preserve">concepts of </w:t>
      </w:r>
      <w:r w:rsidR="005257F2" w:rsidRPr="005257F2">
        <w:rPr>
          <w:rFonts w:cs="Times New Roman"/>
          <w:color w:val="373A3C"/>
        </w:rPr>
        <w:t>death, the afterlife and/or ghosts</w:t>
      </w:r>
      <w:r w:rsidR="00F6159D">
        <w:rPr>
          <w:rFonts w:cs="Times New Roman"/>
          <w:color w:val="373A3C"/>
        </w:rPr>
        <w:t xml:space="preserve"> as conceived by the ancient Greeks and Romans of </w:t>
      </w:r>
      <w:r w:rsidR="0063683E">
        <w:rPr>
          <w:rFonts w:cs="Times New Roman"/>
          <w:color w:val="373A3C"/>
        </w:rPr>
        <w:t>antiquity</w:t>
      </w:r>
      <w:r w:rsidR="00F6159D">
        <w:rPr>
          <w:rFonts w:cs="Times New Roman"/>
          <w:color w:val="373A3C"/>
        </w:rPr>
        <w:t xml:space="preserve">. </w:t>
      </w:r>
      <w:r w:rsidR="00057326">
        <w:rPr>
          <w:rFonts w:cs="Times New Roman"/>
          <w:color w:val="373A3C"/>
        </w:rPr>
        <w:t xml:space="preserve">Through themes illustrating certain features </w:t>
      </w:r>
      <w:r w:rsidR="005C47AE">
        <w:rPr>
          <w:rFonts w:cs="Times New Roman"/>
          <w:color w:val="373A3C"/>
        </w:rPr>
        <w:t xml:space="preserve">of necromancy, namely </w:t>
      </w:r>
      <w:r w:rsidR="00057326">
        <w:rPr>
          <w:rFonts w:cs="Times New Roman"/>
          <w:color w:val="373A3C"/>
        </w:rPr>
        <w:t>the relationship betwee</w:t>
      </w:r>
      <w:r w:rsidR="00656153">
        <w:rPr>
          <w:rFonts w:cs="Times New Roman"/>
          <w:color w:val="373A3C"/>
        </w:rPr>
        <w:t>n living and dead and the places, practices and</w:t>
      </w:r>
      <w:r w:rsidR="00057326">
        <w:rPr>
          <w:rFonts w:cs="Times New Roman"/>
          <w:color w:val="373A3C"/>
        </w:rPr>
        <w:t xml:space="preserve"> practitioners of necromancy</w:t>
      </w:r>
      <w:r w:rsidR="00656153">
        <w:rPr>
          <w:rFonts w:cs="Times New Roman"/>
          <w:color w:val="373A3C"/>
        </w:rPr>
        <w:t xml:space="preserve">, </w:t>
      </w:r>
      <w:r w:rsidR="00057326">
        <w:rPr>
          <w:rFonts w:cs="Times New Roman"/>
          <w:color w:val="373A3C"/>
        </w:rPr>
        <w:t xml:space="preserve">I will </w:t>
      </w:r>
      <w:r w:rsidR="00037FA9">
        <w:rPr>
          <w:rFonts w:cs="Times New Roman"/>
          <w:color w:val="373A3C"/>
          <w:lang w:val="en-GB"/>
        </w:rPr>
        <w:t xml:space="preserve">identify the cosmology, metaphysics and </w:t>
      </w:r>
      <w:r w:rsidR="004E1964">
        <w:rPr>
          <w:rFonts w:cs="Times New Roman"/>
          <w:color w:val="373A3C"/>
          <w:lang w:val="en-GB"/>
        </w:rPr>
        <w:t>worldview contained therein</w:t>
      </w:r>
      <w:r w:rsidR="005C47AE">
        <w:rPr>
          <w:rFonts w:cs="Times New Roman"/>
          <w:color w:val="373A3C"/>
          <w:lang w:val="en-GB"/>
        </w:rPr>
        <w:t>.</w:t>
      </w:r>
    </w:p>
    <w:p w14:paraId="7E251D30" w14:textId="77777777" w:rsidR="00A903F2" w:rsidRPr="00C66B9C" w:rsidRDefault="00A903F2" w:rsidP="009C7B2B">
      <w:pPr>
        <w:shd w:val="clear" w:color="auto" w:fill="FFFFFF"/>
        <w:spacing w:line="360" w:lineRule="auto"/>
        <w:jc w:val="both"/>
        <w:rPr>
          <w:rFonts w:cs="Times New Roman"/>
          <w:color w:val="373A3C"/>
        </w:rPr>
      </w:pPr>
    </w:p>
    <w:p w14:paraId="271297C2" w14:textId="73038EC2" w:rsidR="008E750A" w:rsidRPr="008E750A" w:rsidRDefault="008E750A" w:rsidP="009C7B2B">
      <w:pPr>
        <w:shd w:val="clear" w:color="auto" w:fill="FFFFFF"/>
        <w:spacing w:line="360" w:lineRule="auto"/>
        <w:jc w:val="both"/>
        <w:rPr>
          <w:rFonts w:cs="Times New Roman"/>
          <w:b/>
          <w:color w:val="373A3C"/>
          <w:lang w:val="en-GB"/>
        </w:rPr>
      </w:pPr>
      <w:r>
        <w:rPr>
          <w:rFonts w:cs="Times New Roman"/>
          <w:b/>
          <w:color w:val="373A3C"/>
          <w:lang w:val="en-GB"/>
        </w:rPr>
        <w:t>Definitions</w:t>
      </w:r>
      <w:r w:rsidR="00864D5D">
        <w:rPr>
          <w:rFonts w:cs="Times New Roman"/>
          <w:b/>
          <w:color w:val="373A3C"/>
          <w:lang w:val="en-GB"/>
        </w:rPr>
        <w:t xml:space="preserve"> and Context</w:t>
      </w:r>
    </w:p>
    <w:p w14:paraId="34C0E6F4" w14:textId="7A708C46" w:rsidR="00C41331" w:rsidRPr="00265DC8" w:rsidRDefault="00395CCF" w:rsidP="009C7B2B">
      <w:pPr>
        <w:shd w:val="clear" w:color="auto" w:fill="FFFFFF"/>
        <w:spacing w:line="360" w:lineRule="auto"/>
        <w:jc w:val="both"/>
        <w:rPr>
          <w:rFonts w:cs="Times New Roman"/>
          <w:color w:val="373A3C"/>
        </w:rPr>
      </w:pPr>
      <w:r>
        <w:rPr>
          <w:rFonts w:cs="Times New Roman"/>
          <w:color w:val="373A3C"/>
        </w:rPr>
        <w:t xml:space="preserve">Before delving into an examination of the </w:t>
      </w:r>
      <w:r w:rsidR="004E1964">
        <w:rPr>
          <w:rFonts w:cs="Times New Roman"/>
          <w:color w:val="373A3C"/>
        </w:rPr>
        <w:t xml:space="preserve">cosmological and </w:t>
      </w:r>
      <w:r w:rsidR="004E1964" w:rsidRPr="004E1964">
        <w:rPr>
          <w:rFonts w:cs="Times New Roman"/>
          <w:color w:val="373A3C"/>
        </w:rPr>
        <w:t>metaphysical foundation</w:t>
      </w:r>
      <w:r w:rsidR="005135BE">
        <w:rPr>
          <w:rFonts w:cs="Times New Roman"/>
          <w:color w:val="373A3C"/>
        </w:rPr>
        <w:t>s</w:t>
      </w:r>
      <w:r w:rsidR="004E1964" w:rsidRPr="004E1964">
        <w:rPr>
          <w:rFonts w:cs="Times New Roman"/>
          <w:color w:val="373A3C"/>
        </w:rPr>
        <w:t xml:space="preserve"> of necromancy</w:t>
      </w:r>
      <w:r w:rsidR="004E1964">
        <w:rPr>
          <w:rFonts w:cs="Times New Roman"/>
          <w:color w:val="373A3C"/>
        </w:rPr>
        <w:t xml:space="preserve"> </w:t>
      </w:r>
      <w:r>
        <w:rPr>
          <w:rFonts w:cs="Times New Roman"/>
          <w:color w:val="373A3C"/>
        </w:rPr>
        <w:t xml:space="preserve">and the oracles of the dead in antiquity, </w:t>
      </w:r>
      <w:r w:rsidR="00E3588B">
        <w:rPr>
          <w:rFonts w:cs="Times New Roman"/>
          <w:color w:val="373A3C"/>
        </w:rPr>
        <w:t>a</w:t>
      </w:r>
      <w:r>
        <w:rPr>
          <w:rFonts w:cs="Times New Roman"/>
          <w:color w:val="373A3C"/>
        </w:rPr>
        <w:t xml:space="preserve"> definition of </w:t>
      </w:r>
      <w:r w:rsidR="00864D5D">
        <w:rPr>
          <w:rFonts w:cs="Times New Roman"/>
          <w:color w:val="373A3C"/>
        </w:rPr>
        <w:t xml:space="preserve">certain core terms is </w:t>
      </w:r>
      <w:r w:rsidR="00A85AD5">
        <w:rPr>
          <w:rFonts w:cs="Times New Roman"/>
          <w:color w:val="373A3C"/>
        </w:rPr>
        <w:t>necessary</w:t>
      </w:r>
      <w:r w:rsidR="00864D5D">
        <w:rPr>
          <w:rFonts w:cs="Times New Roman"/>
          <w:color w:val="373A3C"/>
        </w:rPr>
        <w:t>, as well as a p</w:t>
      </w:r>
      <w:r w:rsidR="007A712E">
        <w:rPr>
          <w:rFonts w:cs="Times New Roman"/>
          <w:color w:val="373A3C"/>
        </w:rPr>
        <w:t>lacing of the practice of necromancy in its historical and anthropological context.</w:t>
      </w:r>
      <w:r w:rsidR="00265DC8">
        <w:rPr>
          <w:rFonts w:cs="Times New Roman"/>
          <w:color w:val="373A3C"/>
        </w:rPr>
        <w:t xml:space="preserve"> </w:t>
      </w:r>
      <w:r w:rsidR="00113250">
        <w:rPr>
          <w:rFonts w:cs="Times New Roman"/>
          <w:color w:val="373A3C"/>
        </w:rPr>
        <w:t xml:space="preserve">Julia Kindt </w:t>
      </w:r>
      <w:r w:rsidR="002C5016">
        <w:rPr>
          <w:rFonts w:cs="Times New Roman"/>
          <w:color w:val="373A3C"/>
        </w:rPr>
        <w:t>aptly defines necromancy</w:t>
      </w:r>
      <w:r w:rsidR="004E1964">
        <w:rPr>
          <w:rFonts w:cs="Times New Roman"/>
          <w:color w:val="373A3C"/>
        </w:rPr>
        <w:t xml:space="preserve"> itself</w:t>
      </w:r>
      <w:r w:rsidR="002C5016">
        <w:rPr>
          <w:rFonts w:cs="Times New Roman"/>
          <w:color w:val="373A3C"/>
        </w:rPr>
        <w:t xml:space="preserve"> as </w:t>
      </w:r>
      <w:r w:rsidR="00113250">
        <w:rPr>
          <w:rFonts w:cs="Times New Roman"/>
          <w:color w:val="373A3C"/>
        </w:rPr>
        <w:t>‘</w:t>
      </w:r>
      <w:r w:rsidR="002C5016">
        <w:rPr>
          <w:rFonts w:cs="Times New Roman"/>
          <w:color w:val="373A3C"/>
        </w:rPr>
        <w:t xml:space="preserve">[…] </w:t>
      </w:r>
      <w:r w:rsidR="00113250" w:rsidRPr="00113250">
        <w:rPr>
          <w:rFonts w:cs="Times New Roman"/>
          <w:color w:val="373A3C"/>
        </w:rPr>
        <w:t>a major form of divination through which ancient Greeks and Romans sought </w:t>
      </w:r>
      <w:r w:rsidR="002C5016">
        <w:rPr>
          <w:rFonts w:cs="Times New Roman"/>
          <w:color w:val="373A3C"/>
        </w:rPr>
        <w:t>knowledge.’</w:t>
      </w:r>
      <w:r w:rsidR="002C5016">
        <w:rPr>
          <w:rStyle w:val="FootnoteReference"/>
          <w:rFonts w:cs="Times New Roman"/>
          <w:color w:val="373A3C"/>
        </w:rPr>
        <w:footnoteReference w:id="1"/>
      </w:r>
      <w:r w:rsidR="002C5016">
        <w:rPr>
          <w:rFonts w:cs="Times New Roman"/>
          <w:color w:val="373A3C"/>
        </w:rPr>
        <w:t xml:space="preserve"> </w:t>
      </w:r>
      <w:r w:rsidR="006F7833">
        <w:rPr>
          <w:rFonts w:cs="Times New Roman"/>
          <w:color w:val="373A3C"/>
          <w:lang w:val="en-GB"/>
        </w:rPr>
        <w:t xml:space="preserve">According to Bremmer, ‘[…] there are at least four emic Greek or Roman terms which are all subsumed under our etic term “necromancy”, namely Greek </w:t>
      </w:r>
      <w:r w:rsidR="006F7833" w:rsidRPr="006F7833">
        <w:rPr>
          <w:rFonts w:cs="Times New Roman"/>
          <w:i/>
          <w:color w:val="373A3C"/>
          <w:lang w:val="en-GB"/>
        </w:rPr>
        <w:t>psychagôgia</w:t>
      </w:r>
      <w:r w:rsidR="006F7833">
        <w:rPr>
          <w:rFonts w:cs="Times New Roman"/>
          <w:color w:val="373A3C"/>
          <w:lang w:val="en-GB"/>
        </w:rPr>
        <w:t xml:space="preserve">, </w:t>
      </w:r>
      <w:r w:rsidR="006F7833" w:rsidRPr="006F7833">
        <w:rPr>
          <w:rFonts w:cs="Times New Roman"/>
          <w:i/>
          <w:color w:val="373A3C"/>
          <w:lang w:val="en-GB"/>
        </w:rPr>
        <w:t>nekromanteia</w:t>
      </w:r>
      <w:r w:rsidR="006F7833">
        <w:rPr>
          <w:rFonts w:cs="Times New Roman"/>
          <w:color w:val="373A3C"/>
          <w:lang w:val="en-GB"/>
        </w:rPr>
        <w:t xml:space="preserve">, </w:t>
      </w:r>
      <w:r w:rsidR="006F7833" w:rsidRPr="006F7833">
        <w:rPr>
          <w:rFonts w:cs="Times New Roman"/>
          <w:i/>
          <w:color w:val="373A3C"/>
          <w:lang w:val="en-GB"/>
        </w:rPr>
        <w:t>nekyomanteia</w:t>
      </w:r>
      <w:r w:rsidR="006F7833">
        <w:rPr>
          <w:rFonts w:cs="Times New Roman"/>
          <w:color w:val="373A3C"/>
          <w:lang w:val="en-GB"/>
        </w:rPr>
        <w:t xml:space="preserve"> and Latin </w:t>
      </w:r>
      <w:r w:rsidR="006F7833" w:rsidRPr="006F7833">
        <w:rPr>
          <w:rFonts w:cs="Times New Roman"/>
          <w:i/>
          <w:color w:val="373A3C"/>
          <w:lang w:val="en-GB"/>
        </w:rPr>
        <w:t>necyomanteia</w:t>
      </w:r>
      <w:r w:rsidR="006F7833">
        <w:rPr>
          <w:rFonts w:cs="Times New Roman"/>
          <w:color w:val="373A3C"/>
          <w:lang w:val="en-GB"/>
        </w:rPr>
        <w:t xml:space="preserve"> and </w:t>
      </w:r>
      <w:r w:rsidR="006F7833" w:rsidRPr="006F7833">
        <w:rPr>
          <w:rFonts w:cs="Times New Roman"/>
          <w:i/>
          <w:color w:val="373A3C"/>
          <w:lang w:val="en-GB"/>
        </w:rPr>
        <w:t>sciomanteia</w:t>
      </w:r>
      <w:r w:rsidR="006F7833">
        <w:rPr>
          <w:rFonts w:cs="Times New Roman"/>
          <w:color w:val="373A3C"/>
          <w:lang w:val="en-GB"/>
        </w:rPr>
        <w:t>.’</w:t>
      </w:r>
      <w:r w:rsidR="006F7833">
        <w:rPr>
          <w:rStyle w:val="FootnoteReference"/>
          <w:rFonts w:cs="Times New Roman"/>
          <w:color w:val="373A3C"/>
          <w:lang w:val="en-GB"/>
        </w:rPr>
        <w:footnoteReference w:id="2"/>
      </w:r>
      <w:r w:rsidR="006F7833">
        <w:rPr>
          <w:rFonts w:cs="Times New Roman"/>
          <w:color w:val="373A3C"/>
          <w:lang w:val="en-GB"/>
        </w:rPr>
        <w:t xml:space="preserve"> </w:t>
      </w:r>
      <w:r w:rsidR="00FC73B9">
        <w:rPr>
          <w:rFonts w:cs="Times New Roman"/>
          <w:color w:val="373A3C"/>
          <w:lang w:val="en-GB"/>
        </w:rPr>
        <w:t>Bremmer</w:t>
      </w:r>
      <w:r w:rsidR="007E282C">
        <w:rPr>
          <w:rFonts w:cs="Times New Roman"/>
          <w:color w:val="373A3C"/>
          <w:lang w:val="en-GB"/>
        </w:rPr>
        <w:t xml:space="preserve"> goes on to state that each of these terms has its own history, with only two of the terms – the Greek </w:t>
      </w:r>
      <w:r w:rsidR="007E282C" w:rsidRPr="006F7833">
        <w:rPr>
          <w:rFonts w:cs="Times New Roman"/>
          <w:i/>
          <w:color w:val="373A3C"/>
          <w:lang w:val="en-GB"/>
        </w:rPr>
        <w:t>psychagôgia</w:t>
      </w:r>
      <w:r w:rsidR="007E282C">
        <w:rPr>
          <w:rFonts w:cs="Times New Roman"/>
          <w:color w:val="373A3C"/>
          <w:lang w:val="en-GB"/>
        </w:rPr>
        <w:t xml:space="preserve"> and </w:t>
      </w:r>
      <w:r w:rsidR="007E282C" w:rsidRPr="006F7833">
        <w:rPr>
          <w:rFonts w:cs="Times New Roman"/>
          <w:i/>
          <w:color w:val="373A3C"/>
          <w:lang w:val="en-GB"/>
        </w:rPr>
        <w:t>nekromanteia</w:t>
      </w:r>
      <w:r w:rsidR="007E282C">
        <w:rPr>
          <w:rFonts w:cs="Times New Roman"/>
          <w:i/>
          <w:color w:val="373A3C"/>
          <w:lang w:val="en-GB"/>
        </w:rPr>
        <w:t xml:space="preserve"> </w:t>
      </w:r>
      <w:r w:rsidR="007E282C">
        <w:rPr>
          <w:rFonts w:cs="Times New Roman"/>
          <w:color w:val="373A3C"/>
          <w:lang w:val="en-GB"/>
        </w:rPr>
        <w:t>– predating Christianity.</w:t>
      </w:r>
      <w:r w:rsidR="007E282C">
        <w:rPr>
          <w:rStyle w:val="FootnoteReference"/>
          <w:rFonts w:cs="Times New Roman"/>
          <w:color w:val="373A3C"/>
          <w:lang w:val="en-GB"/>
        </w:rPr>
        <w:footnoteReference w:id="3"/>
      </w:r>
      <w:r w:rsidR="007E282C">
        <w:rPr>
          <w:rFonts w:cs="Times New Roman"/>
          <w:color w:val="373A3C"/>
          <w:lang w:val="en-GB"/>
        </w:rPr>
        <w:t xml:space="preserve"> </w:t>
      </w:r>
      <w:r w:rsidR="00113F0E">
        <w:rPr>
          <w:rFonts w:cs="Times New Roman"/>
          <w:color w:val="373A3C"/>
          <w:lang w:val="en-GB"/>
        </w:rPr>
        <w:t>According to Ogden, t</w:t>
      </w:r>
      <w:r w:rsidR="004E1964">
        <w:rPr>
          <w:rFonts w:cs="Times New Roman"/>
          <w:color w:val="373A3C"/>
          <w:lang w:val="en-GB"/>
        </w:rPr>
        <w:t xml:space="preserve">he term </w:t>
      </w:r>
      <w:r w:rsidR="00B9139F" w:rsidRPr="006F7833">
        <w:rPr>
          <w:rFonts w:cs="Times New Roman"/>
          <w:i/>
          <w:color w:val="373A3C"/>
          <w:lang w:val="en-GB"/>
        </w:rPr>
        <w:t>nekromanteia</w:t>
      </w:r>
      <w:r w:rsidR="00113F0E">
        <w:rPr>
          <w:rFonts w:ascii="Helvetica" w:hAnsi="Helvetica" w:cs="Times New Roman"/>
          <w:sz w:val="36"/>
          <w:szCs w:val="36"/>
        </w:rPr>
        <w:t xml:space="preserve"> </w:t>
      </w:r>
      <w:r w:rsidR="00113F0E">
        <w:rPr>
          <w:rFonts w:cs="Times New Roman"/>
        </w:rPr>
        <w:t>refers to the oracle</w:t>
      </w:r>
      <w:r w:rsidR="004E1964">
        <w:rPr>
          <w:rFonts w:cs="Times New Roman"/>
        </w:rPr>
        <w:t xml:space="preserve"> of the dead,</w:t>
      </w:r>
      <w:r w:rsidR="00113F0E">
        <w:rPr>
          <w:rFonts w:cs="Times New Roman"/>
          <w:color w:val="373A3C"/>
          <w:lang w:val="en-GB"/>
        </w:rPr>
        <w:t xml:space="preserve"> </w:t>
      </w:r>
      <w:r w:rsidR="00113F0E">
        <w:rPr>
          <w:rFonts w:cs="Times New Roman"/>
          <w:color w:val="272727"/>
        </w:rPr>
        <w:t xml:space="preserve">‘[…] </w:t>
      </w:r>
      <w:r w:rsidR="00113F0E" w:rsidRPr="0098496F">
        <w:rPr>
          <w:rFonts w:cs="Times New Roman"/>
          <w:color w:val="272727"/>
        </w:rPr>
        <w:t xml:space="preserve">a place specifically dedicated to the performance of </w:t>
      </w:r>
      <w:r w:rsidR="00113F0E">
        <w:rPr>
          <w:rFonts w:cs="Times New Roman"/>
          <w:color w:val="272727"/>
        </w:rPr>
        <w:t>necromancy […].’</w:t>
      </w:r>
      <w:r w:rsidR="00113F0E">
        <w:rPr>
          <w:rStyle w:val="FootnoteReference"/>
          <w:rFonts w:cs="Times New Roman"/>
          <w:color w:val="272727"/>
        </w:rPr>
        <w:footnoteReference w:id="4"/>
      </w:r>
      <w:r w:rsidR="00265DC8">
        <w:rPr>
          <w:rFonts w:cs="Times New Roman"/>
          <w:color w:val="373A3C"/>
        </w:rPr>
        <w:t xml:space="preserve"> </w:t>
      </w:r>
      <w:r w:rsidR="00374E91">
        <w:rPr>
          <w:lang w:val="en-IE"/>
        </w:rPr>
        <w:t xml:space="preserve">From an </w:t>
      </w:r>
      <w:r w:rsidR="00C41331">
        <w:rPr>
          <w:lang w:val="en-IE"/>
        </w:rPr>
        <w:t>anthropocentric v</w:t>
      </w:r>
      <w:r w:rsidR="00374E91">
        <w:rPr>
          <w:lang w:val="en-IE"/>
        </w:rPr>
        <w:t xml:space="preserve">iewpoint, </w:t>
      </w:r>
      <w:r w:rsidR="00E0047C">
        <w:rPr>
          <w:lang w:val="en-IE"/>
        </w:rPr>
        <w:t xml:space="preserve">the term </w:t>
      </w:r>
      <w:r w:rsidR="00C41331">
        <w:rPr>
          <w:lang w:val="en-IE"/>
        </w:rPr>
        <w:t xml:space="preserve">cosmology is defined by </w:t>
      </w:r>
      <w:r w:rsidR="00C41331">
        <w:t xml:space="preserve">Campion as </w:t>
      </w:r>
      <w:r w:rsidR="00C41331" w:rsidRPr="009C333E">
        <w:t xml:space="preserve">‘a worldview, according to which people and societies locate themselves within the </w:t>
      </w:r>
      <w:r w:rsidR="00C41331" w:rsidRPr="0086064A">
        <w:t>cosmos</w:t>
      </w:r>
      <w:r w:rsidR="00C41331" w:rsidRPr="009C333E">
        <w:t xml:space="preserve"> and engage with it</w:t>
      </w:r>
      <w:r w:rsidR="00C41331">
        <w:t>.</w:t>
      </w:r>
      <w:r w:rsidR="00C41331" w:rsidRPr="009C333E">
        <w:t>’</w:t>
      </w:r>
      <w:r w:rsidR="00C41331" w:rsidRPr="009C333E">
        <w:rPr>
          <w:rStyle w:val="FootnoteReference"/>
        </w:rPr>
        <w:footnoteReference w:id="5"/>
      </w:r>
      <w:r w:rsidR="00374E91">
        <w:rPr>
          <w:lang w:val="en-IE"/>
        </w:rPr>
        <w:t xml:space="preserve"> </w:t>
      </w:r>
      <w:r w:rsidR="00C41331">
        <w:rPr>
          <w:lang w:val="en-IE"/>
        </w:rPr>
        <w:t>Ellen Abrams and Joel Primack</w:t>
      </w:r>
      <w:r w:rsidR="00C41331">
        <w:rPr>
          <w:rFonts w:eastAsia="Times New Roman"/>
        </w:rPr>
        <w:t xml:space="preserve"> </w:t>
      </w:r>
      <w:r w:rsidR="00DC38FE">
        <w:rPr>
          <w:rFonts w:eastAsia="Times New Roman"/>
        </w:rPr>
        <w:t xml:space="preserve">state that </w:t>
      </w:r>
      <w:r w:rsidR="00C41331">
        <w:rPr>
          <w:rFonts w:eastAsia="Times New Roman"/>
        </w:rPr>
        <w:t>‘[e]</w:t>
      </w:r>
      <w:r w:rsidR="00C41331" w:rsidRPr="00B61779">
        <w:rPr>
          <w:rFonts w:eastAsia="Times New Roman"/>
        </w:rPr>
        <w:t xml:space="preserve">very traditional culture known to anthropology has had a cosmology—a story of </w:t>
      </w:r>
      <w:r w:rsidR="00C41331" w:rsidRPr="007825DE">
        <w:rPr>
          <w:rFonts w:eastAsia="Times New Roman"/>
        </w:rPr>
        <w:t>how the world began and continues, how humans came to exist, and what the gods expect of us. Cosmology made sense of the ordinary world by defining a larger context and grounding people’s sense of reality, their identity, and their codes of behavior in that grand scheme.’</w:t>
      </w:r>
      <w:r w:rsidR="00C41331" w:rsidRPr="007825DE">
        <w:rPr>
          <w:rStyle w:val="FootnoteReference"/>
          <w:rFonts w:eastAsia="Times New Roman"/>
        </w:rPr>
        <w:footnoteReference w:id="6"/>
      </w:r>
      <w:r w:rsidR="00C41331" w:rsidRPr="007825DE">
        <w:rPr>
          <w:lang w:val="en-IE"/>
        </w:rPr>
        <w:t xml:space="preserve"> </w:t>
      </w:r>
    </w:p>
    <w:p w14:paraId="183498A2" w14:textId="77777777" w:rsidR="00C41331" w:rsidRDefault="00C41331" w:rsidP="009C7B2B">
      <w:pPr>
        <w:shd w:val="clear" w:color="auto" w:fill="FFFFFF"/>
        <w:spacing w:line="360" w:lineRule="auto"/>
        <w:jc w:val="both"/>
        <w:rPr>
          <w:rFonts w:cs="Times New Roman"/>
          <w:color w:val="373A3C"/>
          <w:lang w:val="en-GB"/>
        </w:rPr>
      </w:pPr>
    </w:p>
    <w:p w14:paraId="0E7D791B" w14:textId="5886D68E" w:rsidR="0055163D" w:rsidRPr="0055163D" w:rsidRDefault="001E144E" w:rsidP="009C7B2B">
      <w:pPr>
        <w:spacing w:line="360" w:lineRule="auto"/>
        <w:jc w:val="both"/>
        <w:rPr>
          <w:rFonts w:cs="Times New Roman"/>
          <w:i/>
          <w:color w:val="373A3C"/>
          <w:lang w:val="en-GB"/>
        </w:rPr>
      </w:pPr>
      <w:r>
        <w:rPr>
          <w:rFonts w:eastAsia="Times New Roman" w:cs="Times New Roman"/>
        </w:rPr>
        <w:t>As regards the origins and historical context of the practice of necromancy, Bremmer states that ‘[n]</w:t>
      </w:r>
      <w:r w:rsidRPr="004C3C94">
        <w:rPr>
          <w:rFonts w:eastAsia="Times New Roman" w:cs="Times New Roman"/>
        </w:rPr>
        <w:t xml:space="preserve">ecromancy was widely practised in the ancient Near East </w:t>
      </w:r>
      <w:r>
        <w:rPr>
          <w:rFonts w:eastAsia="Times New Roman" w:cs="Times New Roman"/>
        </w:rPr>
        <w:t>[…].’</w:t>
      </w:r>
      <w:r>
        <w:rPr>
          <w:rStyle w:val="FootnoteReference"/>
          <w:rFonts w:eastAsia="Times New Roman" w:cs="Times New Roman"/>
        </w:rPr>
        <w:footnoteReference w:id="7"/>
      </w:r>
      <w:r>
        <w:rPr>
          <w:rFonts w:eastAsia="Times New Roman" w:cs="Times New Roman"/>
        </w:rPr>
        <w:t xml:space="preserve"> The Greek geographer, </w:t>
      </w:r>
      <w:r>
        <w:rPr>
          <w:rFonts w:cs="Times New Roman"/>
          <w:color w:val="373A3C"/>
        </w:rPr>
        <w:t>Strabo (c. 63 BCE – 23 CE), associates the practice of necromancy predominantly with Persia: ‘</w:t>
      </w:r>
      <w:r w:rsidRPr="00666F10">
        <w:rPr>
          <w:rFonts w:cs="Times New Roman"/>
          <w:color w:val="373A3C"/>
        </w:rPr>
        <w:t>and, among the Persians, the Magi and the necromancers, as also the dish-diviners and wat</w:t>
      </w:r>
      <w:r>
        <w:rPr>
          <w:rFonts w:cs="Times New Roman"/>
          <w:color w:val="373A3C"/>
        </w:rPr>
        <w:t>er-diviners, as they are called […]</w:t>
      </w:r>
      <w:r w:rsidRPr="00666F10">
        <w:rPr>
          <w:rFonts w:cs="Times New Roman"/>
          <w:color w:val="373A3C"/>
        </w:rPr>
        <w:t>.</w:t>
      </w:r>
      <w:r>
        <w:rPr>
          <w:rFonts w:cs="Times New Roman"/>
          <w:color w:val="373A3C"/>
        </w:rPr>
        <w:t>’</w:t>
      </w:r>
      <w:r>
        <w:rPr>
          <w:rStyle w:val="FootnoteReference"/>
          <w:rFonts w:cs="Times New Roman"/>
          <w:color w:val="373A3C"/>
        </w:rPr>
        <w:footnoteReference w:id="8"/>
      </w:r>
      <w:r>
        <w:rPr>
          <w:rFonts w:eastAsia="Times New Roman" w:cs="Times New Roman"/>
        </w:rPr>
        <w:t xml:space="preserve"> A </w:t>
      </w:r>
      <w:r>
        <w:rPr>
          <w:rFonts w:cs="Times New Roman"/>
          <w:color w:val="373A3C"/>
        </w:rPr>
        <w:t xml:space="preserve">Babylonian connection to necromancy was identified by the Roman poet, Lucian (c. 39 CE – 65 CE): ‘[…] </w:t>
      </w:r>
      <w:r w:rsidRPr="002C3D72">
        <w:rPr>
          <w:rFonts w:cs="Times New Roman"/>
          <w:color w:val="373A3C"/>
        </w:rPr>
        <w:t>I resolved to go to Babylon and address myself to one of the Magi, the disciples and successors of Zoroaster, as I had heard that with certain charms and ceremonials they could open the gates of Hades, taking down in safety anyone they wo</w:t>
      </w:r>
      <w:r>
        <w:rPr>
          <w:rFonts w:cs="Times New Roman"/>
          <w:color w:val="373A3C"/>
        </w:rPr>
        <w:t>uld and guiding him back again.’</w:t>
      </w:r>
      <w:r>
        <w:rPr>
          <w:rStyle w:val="FootnoteReference"/>
          <w:rFonts w:cs="Times New Roman"/>
          <w:color w:val="373A3C"/>
        </w:rPr>
        <w:footnoteReference w:id="9"/>
      </w:r>
      <w:r>
        <w:rPr>
          <w:rFonts w:cs="Times New Roman"/>
          <w:color w:val="373A3C"/>
        </w:rPr>
        <w:t xml:space="preserve"> </w:t>
      </w:r>
      <w:r w:rsidR="00EA5F15">
        <w:rPr>
          <w:rFonts w:cs="Times New Roman"/>
          <w:color w:val="373A3C"/>
        </w:rPr>
        <w:t xml:space="preserve">By the early </w:t>
      </w:r>
      <w:r>
        <w:rPr>
          <w:rFonts w:cs="Times New Roman"/>
          <w:color w:val="373A3C"/>
        </w:rPr>
        <w:t xml:space="preserve">Christian period, </w:t>
      </w:r>
      <w:r>
        <w:rPr>
          <w:rFonts w:cs="Times New Roman"/>
        </w:rPr>
        <w:t>the death penalty was imposed on anyone caught and conv</w:t>
      </w:r>
      <w:r w:rsidR="00EA5F15">
        <w:rPr>
          <w:rFonts w:cs="Times New Roman"/>
        </w:rPr>
        <w:t>icted of practicing necromancy, with the well-known heretic Simon Magus admitting guilt to the charge of necromancy.</w:t>
      </w:r>
      <w:r w:rsidR="00EA5F15">
        <w:rPr>
          <w:rStyle w:val="FootnoteReference"/>
          <w:rFonts w:cs="Times New Roman"/>
        </w:rPr>
        <w:footnoteReference w:id="10"/>
      </w:r>
      <w:r w:rsidR="008412DD">
        <w:rPr>
          <w:rFonts w:cs="Times New Roman"/>
        </w:rPr>
        <w:t xml:space="preserve"> </w:t>
      </w:r>
      <w:r w:rsidR="00950562">
        <w:rPr>
          <w:rFonts w:cs="Times New Roman"/>
          <w:color w:val="373A3C"/>
        </w:rPr>
        <w:t>The</w:t>
      </w:r>
      <w:r w:rsidR="008412DD">
        <w:rPr>
          <w:rFonts w:cs="Times New Roman"/>
          <w:color w:val="373A3C"/>
        </w:rPr>
        <w:t xml:space="preserve"> </w:t>
      </w:r>
      <w:r w:rsidR="008412DD" w:rsidRPr="008412DD">
        <w:rPr>
          <w:rFonts w:cs="Times New Roman"/>
          <w:i/>
          <w:color w:val="373A3C"/>
        </w:rPr>
        <w:t xml:space="preserve">Book of Deuteronomy </w:t>
      </w:r>
      <w:r w:rsidR="008412DD">
        <w:rPr>
          <w:rFonts w:cs="Times New Roman"/>
          <w:color w:val="373A3C"/>
        </w:rPr>
        <w:t>in the Bible</w:t>
      </w:r>
      <w:r w:rsidR="00950562">
        <w:rPr>
          <w:rFonts w:cs="Times New Roman"/>
          <w:color w:val="373A3C"/>
        </w:rPr>
        <w:t xml:space="preserve"> warns</w:t>
      </w:r>
      <w:r w:rsidR="00DC38FE">
        <w:rPr>
          <w:rFonts w:cs="Times New Roman"/>
          <w:color w:val="373A3C"/>
        </w:rPr>
        <w:t>:</w:t>
      </w:r>
      <w:r w:rsidR="00950562">
        <w:rPr>
          <w:rFonts w:cs="Times New Roman"/>
          <w:color w:val="373A3C"/>
        </w:rPr>
        <w:t xml:space="preserve"> ‘</w:t>
      </w:r>
      <w:r w:rsidR="00950562" w:rsidRPr="00950562">
        <w:rPr>
          <w:rFonts w:cs="Times New Roman"/>
          <w:color w:val="373A3C"/>
        </w:rPr>
        <w:t xml:space="preserve">do not learn to imitate the detestable ways </w:t>
      </w:r>
      <w:r w:rsidR="00950562">
        <w:rPr>
          <w:rFonts w:cs="Times New Roman"/>
          <w:color w:val="373A3C"/>
        </w:rPr>
        <w:t>[…]</w:t>
      </w:r>
      <w:r w:rsidR="00950562" w:rsidRPr="00950562">
        <w:rPr>
          <w:rFonts w:cs="Times New Roman"/>
          <w:color w:val="373A3C"/>
        </w:rPr>
        <w:t xml:space="preserve"> Let no one be found among you who </w:t>
      </w:r>
      <w:r w:rsidR="00950562">
        <w:rPr>
          <w:rFonts w:cs="Times New Roman"/>
          <w:color w:val="373A3C"/>
        </w:rPr>
        <w:t>[…]</w:t>
      </w:r>
      <w:r w:rsidR="00950562" w:rsidRPr="00950562">
        <w:rPr>
          <w:rFonts w:cs="Times New Roman"/>
          <w:color w:val="373A3C"/>
        </w:rPr>
        <w:t xml:space="preserve"> who is a medium or spiritist or who consults the dead. Anyone who does these things is detestable to the Lord; because of these same detestable practices </w:t>
      </w:r>
      <w:r w:rsidR="00950562">
        <w:rPr>
          <w:rFonts w:cs="Times New Roman"/>
          <w:color w:val="373A3C"/>
        </w:rPr>
        <w:t>[…].</w:t>
      </w:r>
      <w:r>
        <w:rPr>
          <w:rFonts w:cs="Times New Roman"/>
          <w:color w:val="373A3C"/>
        </w:rPr>
        <w:t>’</w:t>
      </w:r>
      <w:r w:rsidR="00950562">
        <w:rPr>
          <w:rStyle w:val="FootnoteReference"/>
          <w:rFonts w:cs="Times New Roman"/>
          <w:color w:val="373A3C"/>
        </w:rPr>
        <w:footnoteReference w:id="11"/>
      </w:r>
      <w:r>
        <w:rPr>
          <w:rFonts w:cs="Times New Roman"/>
          <w:color w:val="373A3C"/>
        </w:rPr>
        <w:t xml:space="preserve"> </w:t>
      </w:r>
      <w:r w:rsidR="0055163D">
        <w:rPr>
          <w:rFonts w:cs="Times New Roman"/>
          <w:i/>
          <w:color w:val="373A3C"/>
          <w:lang w:val="en-GB"/>
        </w:rPr>
        <w:t xml:space="preserve"> </w:t>
      </w:r>
      <w:r w:rsidR="0055163D">
        <w:rPr>
          <w:rFonts w:cs="Times New Roman"/>
          <w:color w:val="373A3C"/>
          <w:lang w:val="en-GB"/>
        </w:rPr>
        <w:t>Concerning the anthropological context of necromancy, whether it falls under the remit of religion or magic</w:t>
      </w:r>
      <w:r w:rsidR="0055163D">
        <w:rPr>
          <w:rFonts w:cs="Times New Roman"/>
          <w:lang w:val="en-GB"/>
        </w:rPr>
        <w:t>, I would argue that there is no clear-cut distinction and that necromancy borders both magic and religion –</w:t>
      </w:r>
      <w:r w:rsidR="0055163D" w:rsidRPr="009E360A">
        <w:rPr>
          <w:rFonts w:cs="Times New Roman"/>
          <w:lang w:val="en-GB"/>
        </w:rPr>
        <w:t xml:space="preserve"> </w:t>
      </w:r>
      <w:r w:rsidR="0055163D">
        <w:rPr>
          <w:rFonts w:cs="Times New Roman"/>
          <w:lang w:val="en-GB"/>
        </w:rPr>
        <w:t xml:space="preserve">it is a </w:t>
      </w:r>
      <w:r w:rsidR="0055163D" w:rsidRPr="009E360A">
        <w:rPr>
          <w:rFonts w:cs="Times New Roman"/>
          <w:lang w:val="en-GB"/>
        </w:rPr>
        <w:t xml:space="preserve">religious </w:t>
      </w:r>
      <w:r w:rsidR="0055163D">
        <w:rPr>
          <w:rFonts w:cs="Times New Roman"/>
          <w:lang w:val="en-GB"/>
        </w:rPr>
        <w:t xml:space="preserve">practice </w:t>
      </w:r>
      <w:r w:rsidR="0055163D" w:rsidRPr="009E360A">
        <w:rPr>
          <w:rFonts w:cs="Times New Roman"/>
          <w:lang w:val="en-GB"/>
        </w:rPr>
        <w:t>in controlling</w:t>
      </w:r>
      <w:r w:rsidR="0055163D">
        <w:rPr>
          <w:rFonts w:cs="Times New Roman"/>
          <w:lang w:val="en-GB"/>
        </w:rPr>
        <w:t>/manipulating</w:t>
      </w:r>
      <w:r w:rsidR="0055163D" w:rsidRPr="009E360A">
        <w:rPr>
          <w:rFonts w:cs="Times New Roman"/>
          <w:lang w:val="en-GB"/>
        </w:rPr>
        <w:t xml:space="preserve"> the dead</w:t>
      </w:r>
      <w:r w:rsidR="0055163D">
        <w:rPr>
          <w:rFonts w:cs="Times New Roman"/>
          <w:lang w:val="en-GB"/>
        </w:rPr>
        <w:t xml:space="preserve"> via re-animation</w:t>
      </w:r>
      <w:r w:rsidR="0055163D" w:rsidRPr="009E360A">
        <w:rPr>
          <w:rFonts w:cs="Times New Roman"/>
          <w:lang w:val="en-GB"/>
        </w:rPr>
        <w:t xml:space="preserve">, </w:t>
      </w:r>
      <w:r w:rsidR="0055163D">
        <w:rPr>
          <w:rFonts w:cs="Times New Roman"/>
          <w:lang w:val="en-GB"/>
        </w:rPr>
        <w:t xml:space="preserve">and it is a </w:t>
      </w:r>
      <w:r w:rsidR="0055163D" w:rsidRPr="009E360A">
        <w:rPr>
          <w:rFonts w:cs="Times New Roman"/>
          <w:lang w:val="en-GB"/>
        </w:rPr>
        <w:t>m</w:t>
      </w:r>
      <w:r w:rsidR="0055163D">
        <w:rPr>
          <w:rFonts w:cs="Times New Roman"/>
          <w:lang w:val="en-GB"/>
        </w:rPr>
        <w:t xml:space="preserve">agical practice in supplicating the dead via evocation. </w:t>
      </w:r>
    </w:p>
    <w:p w14:paraId="6290D9CA" w14:textId="77777777" w:rsidR="009C7B2B" w:rsidRDefault="009C7B2B" w:rsidP="009C7B2B">
      <w:pPr>
        <w:shd w:val="clear" w:color="auto" w:fill="FFFFFF"/>
        <w:spacing w:line="360" w:lineRule="auto"/>
        <w:jc w:val="both"/>
        <w:rPr>
          <w:rFonts w:cs="Times New Roman"/>
          <w:color w:val="373A3C"/>
        </w:rPr>
      </w:pPr>
    </w:p>
    <w:p w14:paraId="4596B401" w14:textId="50ADF073" w:rsidR="0046123B" w:rsidRDefault="001E144E" w:rsidP="009C7B2B">
      <w:pPr>
        <w:shd w:val="clear" w:color="auto" w:fill="FFFFFF"/>
        <w:spacing w:line="360" w:lineRule="auto"/>
        <w:jc w:val="both"/>
        <w:rPr>
          <w:rFonts w:cs="Times New Roman"/>
          <w:color w:val="373A3C"/>
          <w:lang w:val="en-GB"/>
        </w:rPr>
      </w:pPr>
      <w:r>
        <w:rPr>
          <w:rFonts w:cs="Times New Roman"/>
          <w:color w:val="373A3C"/>
        </w:rPr>
        <w:t>Physical evidence of the actual practice of necromancy is rare, and so the primary evidence for Greek and Roman</w:t>
      </w:r>
      <w:r w:rsidRPr="002D184F">
        <w:rPr>
          <w:rFonts w:cs="Times New Roman"/>
          <w:color w:val="373A3C"/>
        </w:rPr>
        <w:t xml:space="preserve"> necromancy </w:t>
      </w:r>
      <w:r>
        <w:rPr>
          <w:rFonts w:cs="Times New Roman"/>
          <w:color w:val="373A3C"/>
        </w:rPr>
        <w:t>that survives today has</w:t>
      </w:r>
      <w:r w:rsidRPr="002D184F">
        <w:rPr>
          <w:rFonts w:cs="Times New Roman"/>
          <w:color w:val="373A3C"/>
        </w:rPr>
        <w:t xml:space="preserve"> been </w:t>
      </w:r>
      <w:r>
        <w:rPr>
          <w:rFonts w:cs="Times New Roman"/>
          <w:color w:val="373A3C"/>
        </w:rPr>
        <w:t>accounted for in Greek and Roman literature, with t</w:t>
      </w:r>
      <w:r w:rsidRPr="00864D5D">
        <w:rPr>
          <w:rFonts w:cs="Times New Roman"/>
          <w:color w:val="373A3C"/>
        </w:rPr>
        <w:t>he oldest such account</w:t>
      </w:r>
      <w:r>
        <w:rPr>
          <w:rFonts w:cs="Times New Roman"/>
          <w:color w:val="373A3C"/>
        </w:rPr>
        <w:t xml:space="preserve"> coming </w:t>
      </w:r>
      <w:r w:rsidRPr="00864D5D">
        <w:rPr>
          <w:rFonts w:cs="Times New Roman"/>
          <w:color w:val="373A3C"/>
        </w:rPr>
        <w:t>from Homer’</w:t>
      </w:r>
      <w:r>
        <w:rPr>
          <w:rFonts w:cs="Times New Roman"/>
          <w:color w:val="373A3C"/>
        </w:rPr>
        <w:t xml:space="preserve">s </w:t>
      </w:r>
      <w:r w:rsidRPr="00055AA1">
        <w:rPr>
          <w:rFonts w:cs="Times New Roman"/>
          <w:i/>
          <w:color w:val="373A3C"/>
        </w:rPr>
        <w:t>Odyssey</w:t>
      </w:r>
      <w:r>
        <w:rPr>
          <w:rFonts w:cs="Times New Roman"/>
          <w:color w:val="373A3C"/>
        </w:rPr>
        <w:t>.</w:t>
      </w:r>
      <w:r>
        <w:rPr>
          <w:rStyle w:val="FootnoteReference"/>
          <w:rFonts w:cs="Times New Roman"/>
          <w:color w:val="373A3C"/>
        </w:rPr>
        <w:footnoteReference w:id="12"/>
      </w:r>
      <w:r>
        <w:rPr>
          <w:rFonts w:cs="Times New Roman"/>
          <w:color w:val="373A3C"/>
        </w:rPr>
        <w:t xml:space="preserve"> </w:t>
      </w:r>
      <w:r w:rsidR="00D1665A">
        <w:rPr>
          <w:lang w:val="en-IE"/>
        </w:rPr>
        <w:t xml:space="preserve">Satires also alluded to necromancers, particularly </w:t>
      </w:r>
      <w:r w:rsidR="0046123B">
        <w:rPr>
          <w:lang w:val="en-IE"/>
        </w:rPr>
        <w:t>the poetic satire of the Roman poet,</w:t>
      </w:r>
      <w:r w:rsidR="0046123B" w:rsidRPr="00571BF7">
        <w:rPr>
          <w:rFonts w:ascii="Times" w:eastAsia="Times New Roman" w:hAnsi="Times"/>
          <w:b/>
          <w:bCs/>
          <w:color w:val="000000"/>
          <w:sz w:val="27"/>
          <w:szCs w:val="27"/>
          <w:shd w:val="clear" w:color="auto" w:fill="FFFFFF"/>
        </w:rPr>
        <w:t xml:space="preserve"> </w:t>
      </w:r>
      <w:r w:rsidR="0046123B" w:rsidRPr="00571BF7">
        <w:rPr>
          <w:rFonts w:eastAsia="Times New Roman" w:cs="Times New Roman"/>
          <w:bCs/>
          <w:color w:val="000000"/>
          <w:shd w:val="clear" w:color="auto" w:fill="FFFFFF"/>
        </w:rPr>
        <w:t>Horace</w:t>
      </w:r>
      <w:r w:rsidR="0046123B">
        <w:rPr>
          <w:rFonts w:eastAsia="Times New Roman" w:cs="Times New Roman"/>
          <w:bCs/>
          <w:color w:val="000000"/>
          <w:shd w:val="clear" w:color="auto" w:fill="FFFFFF"/>
        </w:rPr>
        <w:t xml:space="preserve"> (c. 65 BCE – 8 BCE):</w:t>
      </w:r>
      <w:r w:rsidR="0046123B">
        <w:t xml:space="preserve"> ‘[…] </w:t>
      </w:r>
      <w:r w:rsidR="0046123B" w:rsidRPr="00453705">
        <w:t>though both the thieves and wild beasts accustomed to infest this place, do not occasion me so much care and trouble, as do [these hags], that turn people's minds by their inca</w:t>
      </w:r>
      <w:r w:rsidR="0046123B">
        <w:t>ntations and drugs. These I can</w:t>
      </w:r>
      <w:r w:rsidR="0046123B" w:rsidRPr="00453705">
        <w:t>not by any means destroy nor hinder, but that they will gather bones and noxious herbs, as soon as the fleeting moon</w:t>
      </w:r>
      <w:r w:rsidR="0046123B">
        <w:rPr>
          <w:vertAlign w:val="superscript"/>
        </w:rPr>
        <w:t xml:space="preserve"> </w:t>
      </w:r>
      <w:r w:rsidR="0046123B" w:rsidRPr="00453705">
        <w:t>has shown her beauteous face.</w:t>
      </w:r>
      <w:r w:rsidR="0046123B">
        <w:t>’</w:t>
      </w:r>
      <w:r w:rsidR="0046123B">
        <w:rPr>
          <w:rStyle w:val="FootnoteReference"/>
        </w:rPr>
        <w:footnoteReference w:id="13"/>
      </w:r>
      <w:r w:rsidR="0046123B">
        <w:t xml:space="preserve"> </w:t>
      </w:r>
    </w:p>
    <w:p w14:paraId="6BFDE413" w14:textId="77777777" w:rsidR="00BA6FA3" w:rsidRPr="00DC38FE" w:rsidRDefault="00BA6FA3" w:rsidP="009C7B2B">
      <w:pPr>
        <w:spacing w:line="360" w:lineRule="auto"/>
        <w:jc w:val="both"/>
        <w:rPr>
          <w:color w:val="FF0000"/>
          <w:lang w:val="en-IE"/>
        </w:rPr>
      </w:pPr>
    </w:p>
    <w:p w14:paraId="64EE6F42" w14:textId="77777777" w:rsidR="00BA6FA3" w:rsidRDefault="00BA6FA3" w:rsidP="009C7B2B">
      <w:pPr>
        <w:shd w:val="clear" w:color="auto" w:fill="FFFFFF"/>
        <w:spacing w:after="100" w:afterAutospacing="1" w:line="360" w:lineRule="auto"/>
        <w:jc w:val="both"/>
        <w:rPr>
          <w:rFonts w:cs="Times New Roman"/>
          <w:b/>
          <w:color w:val="373A3C"/>
        </w:rPr>
      </w:pPr>
      <w:r>
        <w:rPr>
          <w:rFonts w:cs="Times New Roman"/>
          <w:b/>
          <w:color w:val="373A3C"/>
        </w:rPr>
        <w:t>The Nature of the Relationship between the Living and the Dead</w:t>
      </w:r>
    </w:p>
    <w:p w14:paraId="06BDEEE5" w14:textId="2EA9D377" w:rsidR="00EF5C94" w:rsidRDefault="00785CFF" w:rsidP="009C7B2B">
      <w:pPr>
        <w:shd w:val="clear" w:color="auto" w:fill="FFFFFF"/>
        <w:spacing w:after="100" w:afterAutospacing="1" w:line="360" w:lineRule="auto"/>
        <w:jc w:val="both"/>
        <w:rPr>
          <w:rFonts w:cs="Times New Roman"/>
          <w:color w:val="FF0000"/>
        </w:rPr>
      </w:pPr>
      <w:r>
        <w:rPr>
          <w:rFonts w:cs="Times New Roman"/>
          <w:color w:val="373A3C"/>
        </w:rPr>
        <w:t>According to Johnston, ‘every person in ancient Greece was concerned […] to keep relations between the living and the dead in good order […].’</w:t>
      </w:r>
      <w:r>
        <w:rPr>
          <w:rStyle w:val="FootnoteReference"/>
          <w:rFonts w:cs="Times New Roman"/>
          <w:color w:val="373A3C"/>
        </w:rPr>
        <w:footnoteReference w:id="14"/>
      </w:r>
      <w:r w:rsidR="00BA6FA3">
        <w:rPr>
          <w:rFonts w:cs="Times New Roman"/>
          <w:color w:val="373A3C"/>
        </w:rPr>
        <w:t xml:space="preserve"> The </w:t>
      </w:r>
      <w:r w:rsidR="000378AC">
        <w:rPr>
          <w:rFonts w:cs="Times New Roman"/>
          <w:color w:val="373A3C"/>
        </w:rPr>
        <w:t>primary</w:t>
      </w:r>
      <w:r w:rsidR="00BA6FA3">
        <w:rPr>
          <w:rFonts w:cs="Times New Roman"/>
          <w:color w:val="373A3C"/>
        </w:rPr>
        <w:t xml:space="preserve"> </w:t>
      </w:r>
      <w:r w:rsidR="00EF5C94">
        <w:rPr>
          <w:rFonts w:cs="Times New Roman"/>
          <w:color w:val="373A3C"/>
        </w:rPr>
        <w:t>method used by which to engage in such meaningful and positive relationships</w:t>
      </w:r>
      <w:r w:rsidR="002547CA">
        <w:rPr>
          <w:rFonts w:cs="Times New Roman"/>
          <w:color w:val="373A3C"/>
        </w:rPr>
        <w:t xml:space="preserve"> was active communication</w:t>
      </w:r>
      <w:r w:rsidR="000378AC">
        <w:rPr>
          <w:rFonts w:cs="Times New Roman"/>
          <w:color w:val="373A3C"/>
        </w:rPr>
        <w:t xml:space="preserve"> between both sides</w:t>
      </w:r>
      <w:r w:rsidR="002547CA">
        <w:rPr>
          <w:rFonts w:cs="Times New Roman"/>
          <w:color w:val="373A3C"/>
        </w:rPr>
        <w:t>. The</w:t>
      </w:r>
      <w:r w:rsidR="00EF5C94">
        <w:rPr>
          <w:rFonts w:cs="Times New Roman"/>
          <w:color w:val="373A3C"/>
        </w:rPr>
        <w:t xml:space="preserve"> main rationale or underlying framework for such communication was </w:t>
      </w:r>
      <w:r w:rsidR="002547CA">
        <w:rPr>
          <w:rFonts w:cs="Times New Roman"/>
          <w:color w:val="373A3C"/>
        </w:rPr>
        <w:t>the belief that the</w:t>
      </w:r>
      <w:r w:rsidR="000378AC">
        <w:rPr>
          <w:rFonts w:cs="Times New Roman"/>
          <w:color w:val="373A3C"/>
        </w:rPr>
        <w:t xml:space="preserve"> dead, belonging to the world of spirit, were somehow thought have access to universal knowledge, a type of knowledge that surpasses the mundane, worldly knowledge of humanity. </w:t>
      </w:r>
      <w:r w:rsidR="00EF5C94">
        <w:rPr>
          <w:rFonts w:cs="Times New Roman"/>
          <w:color w:val="373A3C"/>
        </w:rPr>
        <w:t xml:space="preserve">According to Ogden, </w:t>
      </w:r>
      <w:r w:rsidR="00EF5C94" w:rsidRPr="00113250">
        <w:rPr>
          <w:rFonts w:cs="Times New Roman"/>
          <w:color w:val="373A3C"/>
        </w:rPr>
        <w:t>the</w:t>
      </w:r>
      <w:r w:rsidR="00EF5C94">
        <w:rPr>
          <w:rFonts w:cs="Times New Roman"/>
          <w:color w:val="373A3C"/>
        </w:rPr>
        <w:t xml:space="preserve"> question of why the dead were believed to possess </w:t>
      </w:r>
      <w:r w:rsidR="000378AC">
        <w:rPr>
          <w:rFonts w:cs="Times New Roman"/>
          <w:color w:val="373A3C"/>
        </w:rPr>
        <w:t xml:space="preserve">such </w:t>
      </w:r>
      <w:r w:rsidR="00EF5C94">
        <w:rPr>
          <w:rFonts w:cs="Times New Roman"/>
          <w:color w:val="373A3C"/>
        </w:rPr>
        <w:t xml:space="preserve">wisdom is </w:t>
      </w:r>
      <w:r w:rsidR="00362053">
        <w:rPr>
          <w:rFonts w:cs="Times New Roman"/>
          <w:color w:val="373A3C"/>
        </w:rPr>
        <w:t xml:space="preserve">indeed </w:t>
      </w:r>
      <w:r w:rsidR="00EF5C94">
        <w:rPr>
          <w:rFonts w:cs="Times New Roman"/>
          <w:color w:val="373A3C"/>
        </w:rPr>
        <w:t xml:space="preserve">‘the </w:t>
      </w:r>
      <w:r w:rsidR="00EF5C94" w:rsidRPr="00113250">
        <w:rPr>
          <w:rFonts w:cs="Times New Roman"/>
          <w:color w:val="373A3C"/>
        </w:rPr>
        <w:t>sixty-four-thousand-dollar</w:t>
      </w:r>
      <w:r w:rsidR="00EF5C94">
        <w:rPr>
          <w:rFonts w:cs="Times New Roman"/>
          <w:color w:val="373A3C"/>
        </w:rPr>
        <w:t xml:space="preserve"> question of ancient necromancy.’</w:t>
      </w:r>
      <w:r w:rsidR="00EF5C94">
        <w:rPr>
          <w:rStyle w:val="FootnoteReference"/>
          <w:rFonts w:cs="Times New Roman"/>
          <w:color w:val="373A3C"/>
        </w:rPr>
        <w:footnoteReference w:id="15"/>
      </w:r>
      <w:r w:rsidR="00EF5C94" w:rsidRPr="00113250">
        <w:rPr>
          <w:rFonts w:cs="Times New Roman"/>
          <w:color w:val="373A3C"/>
        </w:rPr>
        <w:t xml:space="preserve"> </w:t>
      </w:r>
      <w:r w:rsidR="00EF5C94">
        <w:rPr>
          <w:rFonts w:cs="Times New Roman"/>
          <w:color w:val="373A3C"/>
        </w:rPr>
        <w:t>Strabo refers to prophets being knowledgeable both in life and indeed in death: ‘[…]</w:t>
      </w:r>
      <w:r w:rsidR="00EF5C94" w:rsidRPr="00347C40">
        <w:rPr>
          <w:rFonts w:cs="Times New Roman"/>
          <w:color w:val="373A3C"/>
        </w:rPr>
        <w:t xml:space="preserve"> the prophets too were held in so much honour that they were deemed worthy to be kings, on the ground that they promulgated to us ordinances and amendments from the gods, not only when they were aliv</w:t>
      </w:r>
      <w:r w:rsidR="00EF5C94">
        <w:rPr>
          <w:rFonts w:cs="Times New Roman"/>
          <w:color w:val="373A3C"/>
        </w:rPr>
        <w:t>e, but also when they were dead […].’</w:t>
      </w:r>
      <w:r w:rsidR="00EF5C94">
        <w:rPr>
          <w:rStyle w:val="FootnoteReference"/>
          <w:rFonts w:cs="Times New Roman"/>
          <w:color w:val="373A3C"/>
        </w:rPr>
        <w:footnoteReference w:id="16"/>
      </w:r>
      <w:r w:rsidR="00EF5C94">
        <w:rPr>
          <w:rFonts w:cs="Times New Roman"/>
          <w:color w:val="373A3C"/>
        </w:rPr>
        <w:t xml:space="preserve"> </w:t>
      </w:r>
      <w:r w:rsidR="000378AC">
        <w:rPr>
          <w:rFonts w:cs="Times New Roman"/>
          <w:color w:val="373A3C"/>
        </w:rPr>
        <w:t>This passage</w:t>
      </w:r>
      <w:r w:rsidR="00EF5C94">
        <w:rPr>
          <w:rFonts w:cs="Times New Roman"/>
          <w:color w:val="373A3C"/>
        </w:rPr>
        <w:t xml:space="preserve"> app</w:t>
      </w:r>
      <w:r w:rsidR="000378AC">
        <w:rPr>
          <w:rFonts w:cs="Times New Roman"/>
          <w:color w:val="373A3C"/>
        </w:rPr>
        <w:t xml:space="preserve">ears </w:t>
      </w:r>
      <w:r w:rsidR="00EF5C94">
        <w:rPr>
          <w:rFonts w:cs="Times New Roman"/>
          <w:color w:val="373A3C"/>
        </w:rPr>
        <w:t xml:space="preserve">to confer knowledge upon the dead. However, in Lucan’s, </w:t>
      </w:r>
      <w:r w:rsidR="00EF5C94" w:rsidRPr="00D84F3E">
        <w:rPr>
          <w:rFonts w:cs="Times New Roman"/>
          <w:i/>
          <w:color w:val="373A3C"/>
        </w:rPr>
        <w:t>Pharsalia</w:t>
      </w:r>
      <w:r w:rsidR="00EF5C94">
        <w:rPr>
          <w:rFonts w:cs="Times New Roman"/>
          <w:color w:val="373A3C"/>
        </w:rPr>
        <w:t>, there is reference to Erictho, the Thessalian necromantic witch uttering a spell conferring knowledge upon the re-animated corpse to answer what was asked of it: ‘</w:t>
      </w:r>
      <w:r w:rsidR="00EF5C94" w:rsidRPr="00B439FD">
        <w:rPr>
          <w:rFonts w:cs="Times New Roman"/>
          <w:color w:val="373A3C"/>
        </w:rPr>
        <w:t>Thus spake sh</w:t>
      </w:r>
      <w:r w:rsidR="00EF5C94">
        <w:rPr>
          <w:rFonts w:cs="Times New Roman"/>
          <w:color w:val="373A3C"/>
        </w:rPr>
        <w:t>e, and her words by mystic force gave him his answer […].’</w:t>
      </w:r>
      <w:r w:rsidR="00EF5C94">
        <w:rPr>
          <w:rStyle w:val="FootnoteReference"/>
          <w:rFonts w:cs="Times New Roman"/>
          <w:color w:val="373A3C"/>
        </w:rPr>
        <w:footnoteReference w:id="17"/>
      </w:r>
      <w:r w:rsidR="00EF5C94">
        <w:rPr>
          <w:rFonts w:cs="Times New Roman"/>
          <w:color w:val="373A3C"/>
        </w:rPr>
        <w:t xml:space="preserve"> Ogden states that such spell ‘seems an implicit denial that the dead were possessed of any wisdom as such […].’</w:t>
      </w:r>
      <w:r w:rsidR="00EF5C94">
        <w:rPr>
          <w:rStyle w:val="FootnoteReference"/>
          <w:rFonts w:cs="Times New Roman"/>
          <w:color w:val="373A3C"/>
        </w:rPr>
        <w:footnoteReference w:id="18"/>
      </w:r>
      <w:r w:rsidR="00EF5C94">
        <w:rPr>
          <w:rFonts w:cs="Times New Roman"/>
          <w:color w:val="373A3C"/>
        </w:rPr>
        <w:t xml:space="preserve"> This suggests that perhaps knowledge was not inherent in the dead but instilled by the necromancer themselves.</w:t>
      </w:r>
      <w:r w:rsidR="000378AC">
        <w:rPr>
          <w:rFonts w:cs="Times New Roman"/>
          <w:color w:val="373A3C"/>
        </w:rPr>
        <w:t xml:space="preserve"> </w:t>
      </w:r>
      <w:r w:rsidR="00EF5C94">
        <w:rPr>
          <w:rFonts w:cs="Times New Roman"/>
          <w:color w:val="373A3C"/>
        </w:rPr>
        <w:t xml:space="preserve">There are also references in Homer’s </w:t>
      </w:r>
      <w:r w:rsidR="00EF5C94" w:rsidRPr="000378AC">
        <w:rPr>
          <w:rFonts w:cs="Times New Roman"/>
          <w:i/>
          <w:color w:val="373A3C"/>
        </w:rPr>
        <w:t>Odyssey</w:t>
      </w:r>
      <w:r w:rsidR="00EF5C94">
        <w:rPr>
          <w:rFonts w:cs="Times New Roman"/>
          <w:color w:val="373A3C"/>
        </w:rPr>
        <w:t xml:space="preserve"> to the fact that not all the dead are knowledgeable. Circe the witch describes the ghost of Tiresias as the only ghost possessing knowledge: ‘For to him alone did Persephone grant retention of his wits even after death. But the other dead just flit about as shadows.’</w:t>
      </w:r>
      <w:r w:rsidR="00EF5C94">
        <w:rPr>
          <w:rStyle w:val="FootnoteReference"/>
          <w:rFonts w:cs="Times New Roman"/>
          <w:color w:val="373A3C"/>
        </w:rPr>
        <w:footnoteReference w:id="19"/>
      </w:r>
      <w:r w:rsidR="00EF5C94">
        <w:rPr>
          <w:rFonts w:cs="Times New Roman"/>
          <w:color w:val="373A3C"/>
        </w:rPr>
        <w:t xml:space="preserve"> She also refers to all other ghosts as ‘[…] the powerless folk of the dead […].’</w:t>
      </w:r>
      <w:r w:rsidR="00EF5C94">
        <w:rPr>
          <w:rStyle w:val="FootnoteReference"/>
          <w:rFonts w:cs="Times New Roman"/>
          <w:color w:val="373A3C"/>
        </w:rPr>
        <w:footnoteReference w:id="20"/>
      </w:r>
      <w:r w:rsidR="006F614D">
        <w:rPr>
          <w:rFonts w:cs="Times New Roman"/>
          <w:color w:val="373A3C"/>
        </w:rPr>
        <w:t xml:space="preserve"> </w:t>
      </w:r>
      <w:r w:rsidR="00EF5C94">
        <w:rPr>
          <w:rFonts w:cs="Times New Roman"/>
          <w:color w:val="373A3C"/>
        </w:rPr>
        <w:t xml:space="preserve">There are also instances </w:t>
      </w:r>
      <w:r w:rsidR="00362053">
        <w:rPr>
          <w:rFonts w:cs="Times New Roman"/>
          <w:color w:val="373A3C"/>
        </w:rPr>
        <w:t xml:space="preserve">in the literature </w:t>
      </w:r>
      <w:r w:rsidR="00EF5C94">
        <w:rPr>
          <w:rFonts w:cs="Times New Roman"/>
          <w:color w:val="373A3C"/>
        </w:rPr>
        <w:t xml:space="preserve">of testing the dead, both regarding the actual corpse for suitability in the necromantic process and regarding the </w:t>
      </w:r>
      <w:r w:rsidR="00362053">
        <w:rPr>
          <w:rFonts w:cs="Times New Roman"/>
          <w:color w:val="373A3C"/>
        </w:rPr>
        <w:t>quality of the knowledge the dead</w:t>
      </w:r>
      <w:r w:rsidR="00EF5C94">
        <w:rPr>
          <w:rFonts w:cs="Times New Roman"/>
          <w:color w:val="373A3C"/>
        </w:rPr>
        <w:t xml:space="preserve"> convey to the </w:t>
      </w:r>
      <w:r w:rsidR="00362053">
        <w:rPr>
          <w:rFonts w:cs="Times New Roman"/>
          <w:color w:val="373A3C"/>
        </w:rPr>
        <w:t xml:space="preserve">enquirer. </w:t>
      </w:r>
      <w:r w:rsidR="00EF5C94">
        <w:rPr>
          <w:rFonts w:cs="Times New Roman"/>
          <w:color w:val="373A3C"/>
        </w:rPr>
        <w:t xml:space="preserve">In Lucan’s </w:t>
      </w:r>
      <w:r w:rsidR="00EF5C94" w:rsidRPr="00812E69">
        <w:rPr>
          <w:rFonts w:cs="Times New Roman"/>
          <w:i/>
          <w:color w:val="373A3C"/>
        </w:rPr>
        <w:t>Pharsalia</w:t>
      </w:r>
      <w:r w:rsidR="00EF5C94">
        <w:rPr>
          <w:rFonts w:cs="Times New Roman"/>
          <w:color w:val="373A3C"/>
        </w:rPr>
        <w:t>, we see Erictho ‘testing the innards’ of a corpse and eventually choosing ‘one with its throat cut […].’</w:t>
      </w:r>
      <w:r w:rsidR="00EF5C94">
        <w:rPr>
          <w:rStyle w:val="FootnoteReference"/>
          <w:rFonts w:cs="Times New Roman"/>
          <w:color w:val="373A3C"/>
        </w:rPr>
        <w:footnoteReference w:id="21"/>
      </w:r>
      <w:r w:rsidR="00D33D7F">
        <w:rPr>
          <w:rFonts w:cs="Times New Roman"/>
          <w:color w:val="373A3C"/>
        </w:rPr>
        <w:t xml:space="preserve"> </w:t>
      </w:r>
      <w:r w:rsidR="00EF5C94">
        <w:rPr>
          <w:rFonts w:cs="Times New Roman"/>
          <w:color w:val="373A3C"/>
        </w:rPr>
        <w:t xml:space="preserve">In Herodotus’ account of Periander’s use of the Acheron oracle to contact this recently deceased wife Melissa, the ghost of Melissa ‘[…] </w:t>
      </w:r>
      <w:r w:rsidR="00EF5C94" w:rsidRPr="006275D3">
        <w:rPr>
          <w:rFonts w:cs="Times New Roman"/>
          <w:color w:val="373A3C"/>
        </w:rPr>
        <w:t xml:space="preserve">as evidence for her husband that she spoke the truth, </w:t>
      </w:r>
      <w:r w:rsidR="00EF5C94">
        <w:rPr>
          <w:rFonts w:cs="Times New Roman"/>
          <w:color w:val="373A3C"/>
        </w:rPr>
        <w:t xml:space="preserve">[…] </w:t>
      </w:r>
      <w:r w:rsidR="00EF5C94" w:rsidRPr="006275D3">
        <w:rPr>
          <w:rFonts w:cs="Times New Roman"/>
          <w:color w:val="373A3C"/>
        </w:rPr>
        <w:t>added that Periander had put his loaves into a cold oven.</w:t>
      </w:r>
      <w:r w:rsidR="00EF5C94">
        <w:rPr>
          <w:rFonts w:cs="Times New Roman"/>
          <w:color w:val="373A3C"/>
        </w:rPr>
        <w:t>’</w:t>
      </w:r>
      <w:r w:rsidR="00EF5C94">
        <w:rPr>
          <w:rStyle w:val="FootnoteReference"/>
          <w:rFonts w:cs="Times New Roman"/>
          <w:color w:val="373A3C"/>
        </w:rPr>
        <w:footnoteReference w:id="22"/>
      </w:r>
      <w:r w:rsidR="00EF5C94" w:rsidRPr="006275D3">
        <w:rPr>
          <w:rFonts w:cs="Times New Roman"/>
          <w:color w:val="373A3C"/>
        </w:rPr>
        <w:t xml:space="preserve"> </w:t>
      </w:r>
      <w:r w:rsidR="00EF5C94">
        <w:rPr>
          <w:rFonts w:cs="Times New Roman"/>
          <w:color w:val="373A3C"/>
        </w:rPr>
        <w:t xml:space="preserve">This </w:t>
      </w:r>
      <w:r w:rsidR="00D33D7F">
        <w:rPr>
          <w:rFonts w:cs="Times New Roman"/>
          <w:color w:val="373A3C"/>
        </w:rPr>
        <w:t xml:space="preserve">alluded to </w:t>
      </w:r>
      <w:r w:rsidR="00EF5C94">
        <w:rPr>
          <w:rFonts w:cs="Times New Roman"/>
          <w:color w:val="373A3C"/>
        </w:rPr>
        <w:t xml:space="preserve">Periander having performed sexual intercourse </w:t>
      </w:r>
      <w:r w:rsidR="004E5FDE">
        <w:rPr>
          <w:rFonts w:cs="Times New Roman"/>
          <w:color w:val="373A3C"/>
        </w:rPr>
        <w:t>on</w:t>
      </w:r>
      <w:r w:rsidR="00EF5C94">
        <w:rPr>
          <w:rFonts w:cs="Times New Roman"/>
          <w:color w:val="373A3C"/>
        </w:rPr>
        <w:t xml:space="preserve"> Melissa’s </w:t>
      </w:r>
      <w:r w:rsidR="00D33D7F">
        <w:rPr>
          <w:rFonts w:cs="Times New Roman"/>
          <w:color w:val="373A3C"/>
        </w:rPr>
        <w:t>corpse</w:t>
      </w:r>
      <w:r w:rsidR="00EF5C94">
        <w:rPr>
          <w:rFonts w:cs="Times New Roman"/>
          <w:color w:val="373A3C"/>
        </w:rPr>
        <w:t xml:space="preserve"> and thereby verifying her communication as true. </w:t>
      </w:r>
      <w:r w:rsidR="004E5FDE">
        <w:rPr>
          <w:rFonts w:cs="Times New Roman"/>
          <w:color w:val="373A3C"/>
        </w:rPr>
        <w:t xml:space="preserve">Therefore, despite the </w:t>
      </w:r>
      <w:r w:rsidR="00647974">
        <w:rPr>
          <w:rFonts w:cs="Times New Roman"/>
          <w:color w:val="373A3C"/>
        </w:rPr>
        <w:t xml:space="preserve">outlook that the dead were somewhat ‘alive’ with knowledge, the metaphysical </w:t>
      </w:r>
      <w:r w:rsidR="008E2073">
        <w:rPr>
          <w:rFonts w:cs="Times New Roman"/>
          <w:color w:val="373A3C"/>
        </w:rPr>
        <w:t>constructs of the time require to</w:t>
      </w:r>
      <w:r w:rsidR="00647974">
        <w:rPr>
          <w:rFonts w:cs="Times New Roman"/>
          <w:color w:val="373A3C"/>
        </w:rPr>
        <w:t xml:space="preserve"> be tested rationally </w:t>
      </w:r>
      <w:r w:rsidR="008E2073">
        <w:rPr>
          <w:rFonts w:cs="Times New Roman"/>
          <w:color w:val="373A3C"/>
        </w:rPr>
        <w:t>by the people engaging in the practice of necromancy.</w:t>
      </w:r>
    </w:p>
    <w:p w14:paraId="31789E1E" w14:textId="4422431D" w:rsidR="00CB5660" w:rsidRPr="008E2073" w:rsidRDefault="00EF5C94" w:rsidP="009C7B2B">
      <w:pPr>
        <w:shd w:val="clear" w:color="auto" w:fill="FFFFFF"/>
        <w:spacing w:line="360" w:lineRule="auto"/>
        <w:ind w:right="-52"/>
        <w:jc w:val="both"/>
        <w:rPr>
          <w:rFonts w:cs="Times New Roman"/>
          <w:color w:val="373A3C"/>
        </w:rPr>
      </w:pPr>
      <w:r>
        <w:rPr>
          <w:rFonts w:cs="Times New Roman"/>
          <w:color w:val="373A3C"/>
        </w:rPr>
        <w:t xml:space="preserve">According to Johnston, the ghosts of those who died by violence or those whose bodies did not receive proper funerary or burial rites, were the best kind of ghosts to </w:t>
      </w:r>
      <w:r w:rsidR="006F614D">
        <w:rPr>
          <w:rFonts w:cs="Times New Roman"/>
          <w:color w:val="373A3C"/>
        </w:rPr>
        <w:t>use</w:t>
      </w:r>
      <w:r w:rsidR="00494021">
        <w:rPr>
          <w:rFonts w:cs="Times New Roman"/>
          <w:color w:val="373A3C"/>
        </w:rPr>
        <w:t xml:space="preserve"> for necromancy.</w:t>
      </w:r>
      <w:r w:rsidR="00494021">
        <w:rPr>
          <w:rStyle w:val="FootnoteReference"/>
          <w:rFonts w:cs="Times New Roman"/>
          <w:color w:val="373A3C"/>
        </w:rPr>
        <w:footnoteReference w:id="23"/>
      </w:r>
      <w:r w:rsidR="00494021">
        <w:rPr>
          <w:rFonts w:cs="Times New Roman"/>
          <w:color w:val="373A3C"/>
        </w:rPr>
        <w:t xml:space="preserve"> </w:t>
      </w:r>
      <w:r>
        <w:rPr>
          <w:rFonts w:cs="Times New Roman"/>
        </w:rPr>
        <w:t xml:space="preserve">In Lucan’s </w:t>
      </w:r>
      <w:r w:rsidRPr="00EF1284">
        <w:rPr>
          <w:rFonts w:cs="Times New Roman"/>
          <w:i/>
        </w:rPr>
        <w:t>Pharsalia</w:t>
      </w:r>
      <w:r>
        <w:rPr>
          <w:rFonts w:cs="Times New Roman"/>
        </w:rPr>
        <w:t>, we are presented with a strong image of Erictho, the witch, searching for ‘a corpse only recently dead [and] wander[ing] amid the bodies of the dead soldiers, cast forth without a burial.’</w:t>
      </w:r>
      <w:r>
        <w:rPr>
          <w:rStyle w:val="FootnoteReference"/>
          <w:rFonts w:cs="Times New Roman"/>
        </w:rPr>
        <w:footnoteReference w:id="24"/>
      </w:r>
      <w:r>
        <w:rPr>
          <w:rFonts w:cs="Times New Roman"/>
        </w:rPr>
        <w:t xml:space="preserve"> In her invocation to the gods, Erictho emphasises that she does ‘[…] not ask for a soul lying hidden in the cave of Tartarus and long accustomed to the dark, but one that is only just now abandoning the light and coming down. He still hesitates at the edge of the abyss […].’</w:t>
      </w:r>
      <w:r>
        <w:rPr>
          <w:rStyle w:val="FootnoteReference"/>
          <w:rFonts w:cs="Times New Roman"/>
        </w:rPr>
        <w:footnoteReference w:id="25"/>
      </w:r>
      <w:r w:rsidR="006F614D">
        <w:rPr>
          <w:rFonts w:cs="Times New Roman"/>
        </w:rPr>
        <w:t xml:space="preserve"> Theses passages suggest that the metaphysical underpinnings of necromancy comprise a fine line between life and death, with both states perhaps being two sides of the same coin. </w:t>
      </w:r>
      <w:r w:rsidR="002A56DB">
        <w:rPr>
          <w:rFonts w:cs="Times New Roman"/>
          <w:color w:val="373A3C"/>
        </w:rPr>
        <w:t>It</w:t>
      </w:r>
      <w:r w:rsidR="006F614D">
        <w:rPr>
          <w:rFonts w:cs="Times New Roman"/>
          <w:color w:val="373A3C"/>
        </w:rPr>
        <w:t xml:space="preserve"> also</w:t>
      </w:r>
      <w:r w:rsidR="002A56DB">
        <w:rPr>
          <w:rFonts w:cs="Times New Roman"/>
          <w:color w:val="373A3C"/>
        </w:rPr>
        <w:t xml:space="preserve"> appears </w:t>
      </w:r>
      <w:r w:rsidR="006F614D">
        <w:rPr>
          <w:rFonts w:cs="Times New Roman"/>
          <w:color w:val="373A3C"/>
        </w:rPr>
        <w:t xml:space="preserve">from these passages </w:t>
      </w:r>
      <w:r w:rsidR="002A56DB">
        <w:rPr>
          <w:rFonts w:cs="Times New Roman"/>
          <w:color w:val="373A3C"/>
        </w:rPr>
        <w:t xml:space="preserve">that there exists a </w:t>
      </w:r>
      <w:r w:rsidR="006F614D">
        <w:rPr>
          <w:rFonts w:cs="Times New Roman"/>
          <w:color w:val="373A3C"/>
        </w:rPr>
        <w:t>cosmological</w:t>
      </w:r>
      <w:r w:rsidR="002A56DB">
        <w:rPr>
          <w:rFonts w:cs="Times New Roman"/>
          <w:color w:val="373A3C"/>
        </w:rPr>
        <w:t xml:space="preserve"> understanding in antiquity that </w:t>
      </w:r>
      <w:r w:rsidR="006F614D">
        <w:rPr>
          <w:rFonts w:cs="Times New Roman"/>
          <w:color w:val="373A3C"/>
        </w:rPr>
        <w:t>t</w:t>
      </w:r>
      <w:r w:rsidR="002A56DB">
        <w:rPr>
          <w:rFonts w:cs="Times New Roman"/>
          <w:color w:val="373A3C"/>
        </w:rPr>
        <w:t>he dead are not able to travel to their afterlife in the Underworld until their corpses ha</w:t>
      </w:r>
      <w:r w:rsidR="006F614D">
        <w:rPr>
          <w:rFonts w:cs="Times New Roman"/>
          <w:color w:val="373A3C"/>
        </w:rPr>
        <w:t xml:space="preserve">d </w:t>
      </w:r>
      <w:r w:rsidR="002A56DB">
        <w:rPr>
          <w:rFonts w:cs="Times New Roman"/>
          <w:color w:val="373A3C"/>
        </w:rPr>
        <w:t xml:space="preserve">been properly buried with all the appropriate funerary rites. There is an express reference to this in Heliodorus’ account of the necromancy of the witch of Bessa in </w:t>
      </w:r>
      <w:r w:rsidR="002A56DB" w:rsidRPr="0053001C">
        <w:rPr>
          <w:rFonts w:cs="Times New Roman"/>
          <w:bCs/>
          <w:i/>
          <w:iCs/>
        </w:rPr>
        <w:t>The Æthiopica</w:t>
      </w:r>
      <w:r w:rsidR="002A56DB">
        <w:rPr>
          <w:rFonts w:cs="Times New Roman"/>
          <w:bCs/>
          <w:i/>
          <w:iCs/>
        </w:rPr>
        <w:t xml:space="preserve"> </w:t>
      </w:r>
      <w:r w:rsidR="002A56DB">
        <w:rPr>
          <w:rFonts w:cs="Times New Roman"/>
          <w:bCs/>
          <w:iCs/>
        </w:rPr>
        <w:t>which is uttered directly from the dead person</w:t>
      </w:r>
      <w:r w:rsidR="002A56DB" w:rsidRPr="005C7F61">
        <w:rPr>
          <w:rFonts w:cs="Times New Roman"/>
          <w:bCs/>
          <w:iCs/>
        </w:rPr>
        <w:t xml:space="preserve">: </w:t>
      </w:r>
      <w:r w:rsidR="005C7F61">
        <w:rPr>
          <w:rFonts w:cs="Times New Roman"/>
          <w:bCs/>
          <w:iCs/>
        </w:rPr>
        <w:t>‘You do not care about my burial rites, and you prevent me from mixing with the other souls. You only care about yourself.’</w:t>
      </w:r>
      <w:r w:rsidR="005C7F61">
        <w:rPr>
          <w:rStyle w:val="FootnoteReference"/>
          <w:rFonts w:cs="Times New Roman"/>
          <w:bCs/>
          <w:iCs/>
        </w:rPr>
        <w:footnoteReference w:id="26"/>
      </w:r>
      <w:r w:rsidR="005C7F61">
        <w:rPr>
          <w:rFonts w:cs="Times New Roman"/>
          <w:bCs/>
          <w:iCs/>
        </w:rPr>
        <w:t xml:space="preserve"> </w:t>
      </w:r>
      <w:r w:rsidR="00AC381F">
        <w:rPr>
          <w:rFonts w:cs="Times New Roman"/>
          <w:bCs/>
          <w:iCs/>
        </w:rPr>
        <w:t>Also, f</w:t>
      </w:r>
      <w:r w:rsidR="005C7F61">
        <w:rPr>
          <w:rFonts w:cs="Times New Roman"/>
          <w:bCs/>
          <w:iCs/>
        </w:rPr>
        <w:t>rom this passage, we get a sense of how the dead perceive</w:t>
      </w:r>
      <w:r w:rsidR="006F614D">
        <w:rPr>
          <w:rFonts w:cs="Times New Roman"/>
          <w:bCs/>
          <w:iCs/>
        </w:rPr>
        <w:t>d</w:t>
      </w:r>
      <w:r w:rsidR="005C7F61">
        <w:rPr>
          <w:rFonts w:cs="Times New Roman"/>
          <w:bCs/>
          <w:iCs/>
        </w:rPr>
        <w:t xml:space="preserve"> humanity – as selfish and only caring for th</w:t>
      </w:r>
      <w:r w:rsidR="006F614D">
        <w:rPr>
          <w:rFonts w:cs="Times New Roman"/>
          <w:bCs/>
          <w:iCs/>
        </w:rPr>
        <w:t xml:space="preserve">eir own needs in contacting </w:t>
      </w:r>
      <w:r w:rsidR="00DC6E30">
        <w:rPr>
          <w:rFonts w:cs="Times New Roman"/>
          <w:bCs/>
          <w:iCs/>
        </w:rPr>
        <w:t>them</w:t>
      </w:r>
      <w:r w:rsidR="005C7F61">
        <w:rPr>
          <w:rFonts w:cs="Times New Roman"/>
          <w:bCs/>
          <w:iCs/>
        </w:rPr>
        <w:t xml:space="preserve">. </w:t>
      </w:r>
      <w:r w:rsidR="00AC381F">
        <w:rPr>
          <w:rFonts w:cs="Times New Roman"/>
          <w:bCs/>
          <w:iCs/>
        </w:rPr>
        <w:t xml:space="preserve">In Homer’s </w:t>
      </w:r>
      <w:r w:rsidR="00AC381F" w:rsidRPr="00AC381F">
        <w:rPr>
          <w:rFonts w:cs="Times New Roman"/>
          <w:bCs/>
          <w:i/>
          <w:iCs/>
        </w:rPr>
        <w:t>Odyssey</w:t>
      </w:r>
      <w:r w:rsidR="00AC381F">
        <w:rPr>
          <w:rFonts w:cs="Times New Roman"/>
          <w:bCs/>
          <w:iCs/>
        </w:rPr>
        <w:t xml:space="preserve">, </w:t>
      </w:r>
      <w:r w:rsidR="00DE2A1E">
        <w:rPr>
          <w:rFonts w:cs="Times New Roman"/>
          <w:bCs/>
          <w:iCs/>
        </w:rPr>
        <w:t xml:space="preserve">the first ghost that </w:t>
      </w:r>
      <w:r w:rsidR="00DC6E30">
        <w:rPr>
          <w:rFonts w:cs="Times New Roman"/>
          <w:bCs/>
          <w:iCs/>
        </w:rPr>
        <w:t>appears to</w:t>
      </w:r>
      <w:r w:rsidR="00DE2A1E">
        <w:rPr>
          <w:rFonts w:cs="Times New Roman"/>
          <w:bCs/>
          <w:iCs/>
        </w:rPr>
        <w:t xml:space="preserve"> Odysseus </w:t>
      </w:r>
      <w:r w:rsidR="00DC6E30">
        <w:rPr>
          <w:rFonts w:cs="Times New Roman"/>
          <w:bCs/>
          <w:iCs/>
        </w:rPr>
        <w:t>is</w:t>
      </w:r>
      <w:r w:rsidR="00DE2A1E">
        <w:rPr>
          <w:rFonts w:cs="Times New Roman"/>
          <w:bCs/>
          <w:iCs/>
        </w:rPr>
        <w:t xml:space="preserve"> his comrade</w:t>
      </w:r>
      <w:r w:rsidR="00DC6E30">
        <w:rPr>
          <w:rFonts w:cs="Times New Roman"/>
          <w:bCs/>
          <w:iCs/>
        </w:rPr>
        <w:t>,</w:t>
      </w:r>
      <w:r w:rsidR="00DE2A1E">
        <w:rPr>
          <w:rFonts w:cs="Times New Roman"/>
          <w:bCs/>
          <w:iCs/>
        </w:rPr>
        <w:t xml:space="preserve"> Elpenor, </w:t>
      </w:r>
      <w:r w:rsidR="00DC6E30">
        <w:rPr>
          <w:rFonts w:cs="Times New Roman"/>
          <w:bCs/>
          <w:iCs/>
        </w:rPr>
        <w:t>‘</w:t>
      </w:r>
      <w:r w:rsidR="00DE2A1E">
        <w:rPr>
          <w:rFonts w:cs="Times New Roman"/>
          <w:bCs/>
          <w:iCs/>
        </w:rPr>
        <w:t>for he had not yet been buried under the earth of the broad roads.’</w:t>
      </w:r>
      <w:r w:rsidR="00DE2A1E">
        <w:rPr>
          <w:rStyle w:val="FootnoteReference"/>
          <w:rFonts w:cs="Times New Roman"/>
          <w:bCs/>
          <w:iCs/>
        </w:rPr>
        <w:footnoteReference w:id="27"/>
      </w:r>
      <w:r w:rsidR="00DE2A1E">
        <w:rPr>
          <w:rFonts w:cs="Times New Roman"/>
          <w:bCs/>
          <w:iCs/>
        </w:rPr>
        <w:t xml:space="preserve"> </w:t>
      </w:r>
      <w:r w:rsidR="00D736E1">
        <w:rPr>
          <w:rFonts w:cs="Times New Roman"/>
          <w:bCs/>
          <w:iCs/>
        </w:rPr>
        <w:t xml:space="preserve">The ghost of </w:t>
      </w:r>
      <w:r w:rsidR="00DE2A1E">
        <w:rPr>
          <w:rFonts w:cs="Times New Roman"/>
          <w:bCs/>
          <w:iCs/>
        </w:rPr>
        <w:t>Elpenor</w:t>
      </w:r>
      <w:r w:rsidR="00D736E1">
        <w:rPr>
          <w:rFonts w:cs="Times New Roman"/>
          <w:bCs/>
          <w:iCs/>
        </w:rPr>
        <w:t xml:space="preserve"> even makes a request of Odysseus </w:t>
      </w:r>
      <w:r w:rsidR="00DC6E30">
        <w:rPr>
          <w:rFonts w:cs="Times New Roman"/>
          <w:bCs/>
          <w:iCs/>
        </w:rPr>
        <w:t>regarding</w:t>
      </w:r>
      <w:r w:rsidR="00D736E1">
        <w:rPr>
          <w:rFonts w:cs="Times New Roman"/>
          <w:bCs/>
          <w:iCs/>
        </w:rPr>
        <w:t xml:space="preserve"> his corpse: ‘when you return, do not leave me unwept and unburied […].’</w:t>
      </w:r>
      <w:r w:rsidR="009C7B2B">
        <w:rPr>
          <w:rFonts w:cs="Times New Roman"/>
          <w:bCs/>
          <w:iCs/>
        </w:rPr>
        <w:t xml:space="preserve"> </w:t>
      </w:r>
      <w:r w:rsidR="00DC6E30">
        <w:rPr>
          <w:rFonts w:cs="Times New Roman"/>
          <w:color w:val="373A3C"/>
        </w:rPr>
        <w:t>In Herodotus’ account of Periander’s use of the Acheron oracle to contact this recently deceased wife Melissa</w:t>
      </w:r>
      <w:r w:rsidR="00CB5660">
        <w:rPr>
          <w:rFonts w:cs="Times New Roman"/>
          <w:color w:val="373A3C"/>
        </w:rPr>
        <w:t xml:space="preserve"> about the location of a deposit of money</w:t>
      </w:r>
      <w:r w:rsidR="00DC6E30">
        <w:rPr>
          <w:rFonts w:cs="Times New Roman"/>
          <w:color w:val="373A3C"/>
        </w:rPr>
        <w:t>, the ghost of Melissa</w:t>
      </w:r>
      <w:r w:rsidR="00CB5660" w:rsidRPr="00CB5660">
        <w:rPr>
          <w:rFonts w:ascii="Georgia" w:eastAsia="Times New Roman" w:hAnsi="Georgia" w:cs="Times New Roman"/>
          <w:color w:val="000000"/>
          <w:sz w:val="27"/>
          <w:szCs w:val="27"/>
        </w:rPr>
        <w:t xml:space="preserve"> </w:t>
      </w:r>
      <w:r w:rsidR="00CB5660">
        <w:rPr>
          <w:rFonts w:cs="Times New Roman"/>
          <w:color w:val="373A3C"/>
        </w:rPr>
        <w:t>‘[…]</w:t>
      </w:r>
      <w:r w:rsidR="00CB5660" w:rsidRPr="00CB5660">
        <w:rPr>
          <w:rFonts w:cs="Times New Roman"/>
          <w:color w:val="373A3C"/>
        </w:rPr>
        <w:t xml:space="preserve"> said that she would tell him nothing, nor reveal where the deposit lay, for she was cold and naked. The garments, she said, with which Periander had buried with her had never been burnt, and were of no use to her.</w:t>
      </w:r>
      <w:r w:rsidR="00CB5660">
        <w:rPr>
          <w:rFonts w:cs="Times New Roman"/>
          <w:color w:val="373A3C"/>
        </w:rPr>
        <w:t>’</w:t>
      </w:r>
      <w:r w:rsidR="00CB5660" w:rsidRPr="00CB5660">
        <w:rPr>
          <w:rFonts w:cs="Times New Roman"/>
          <w:color w:val="373A3C"/>
        </w:rPr>
        <w:t> </w:t>
      </w:r>
      <w:r w:rsidR="00CB5660">
        <w:rPr>
          <w:rFonts w:cs="Times New Roman"/>
          <w:color w:val="373A3C"/>
        </w:rPr>
        <w:t xml:space="preserve">Here we see another </w:t>
      </w:r>
      <w:r w:rsidR="00132BC1">
        <w:rPr>
          <w:rFonts w:cs="Times New Roman"/>
          <w:color w:val="373A3C"/>
        </w:rPr>
        <w:t>request</w:t>
      </w:r>
      <w:r w:rsidR="00CB5660">
        <w:rPr>
          <w:rFonts w:cs="Times New Roman"/>
          <w:color w:val="373A3C"/>
        </w:rPr>
        <w:t xml:space="preserve"> for </w:t>
      </w:r>
      <w:r w:rsidR="00132BC1">
        <w:rPr>
          <w:rFonts w:cs="Times New Roman"/>
          <w:color w:val="373A3C"/>
        </w:rPr>
        <w:t>a more adequate burial or funerary rite, this time involving the burning of the corpse.</w:t>
      </w:r>
      <w:r w:rsidR="00252A86">
        <w:rPr>
          <w:rFonts w:cs="Times New Roman"/>
          <w:color w:val="373A3C"/>
        </w:rPr>
        <w:t xml:space="preserve"> The importance of the burial</w:t>
      </w:r>
      <w:r w:rsidR="009C7B2B">
        <w:rPr>
          <w:rFonts w:cs="Times New Roman"/>
          <w:color w:val="373A3C"/>
        </w:rPr>
        <w:t>, also by fire,</w:t>
      </w:r>
      <w:r w:rsidR="00252A86">
        <w:rPr>
          <w:rFonts w:cs="Times New Roman"/>
          <w:color w:val="373A3C"/>
        </w:rPr>
        <w:t xml:space="preserve"> is illustrated in Lucan’s </w:t>
      </w:r>
      <w:r w:rsidR="00252A86" w:rsidRPr="00252A86">
        <w:rPr>
          <w:rFonts w:cs="Times New Roman"/>
          <w:i/>
          <w:color w:val="373A3C"/>
        </w:rPr>
        <w:t>Pharsalia</w:t>
      </w:r>
      <w:r w:rsidR="00252A86">
        <w:rPr>
          <w:rFonts w:cs="Times New Roman"/>
          <w:color w:val="373A3C"/>
        </w:rPr>
        <w:t xml:space="preserve"> where Erictho the witch promises that she will give the corpse it’s proper burial: ‘[s]uch is the pyre on while I will burn your limbs, such the wood with which I will burn you […].’</w:t>
      </w:r>
      <w:r w:rsidR="00252A86">
        <w:rPr>
          <w:rStyle w:val="FootnoteReference"/>
          <w:rFonts w:cs="Times New Roman"/>
          <w:color w:val="373A3C"/>
        </w:rPr>
        <w:footnoteReference w:id="28"/>
      </w:r>
    </w:p>
    <w:p w14:paraId="5CAD00D8" w14:textId="77777777" w:rsidR="00E025EC" w:rsidRDefault="00E025EC" w:rsidP="009C7B2B">
      <w:pPr>
        <w:shd w:val="clear" w:color="auto" w:fill="FFFFFF"/>
        <w:spacing w:line="360" w:lineRule="auto"/>
        <w:ind w:right="-52"/>
        <w:jc w:val="both"/>
        <w:rPr>
          <w:rFonts w:cs="Times New Roman"/>
          <w:i/>
          <w:color w:val="373A3C"/>
          <w:u w:val="single"/>
        </w:rPr>
      </w:pPr>
    </w:p>
    <w:p w14:paraId="05934A9D" w14:textId="620FCCC3" w:rsidR="00420C68" w:rsidRDefault="009A44F0" w:rsidP="009C7B2B">
      <w:pPr>
        <w:shd w:val="clear" w:color="auto" w:fill="FFFFFF"/>
        <w:spacing w:line="360" w:lineRule="auto"/>
        <w:ind w:right="-52"/>
        <w:jc w:val="both"/>
        <w:rPr>
          <w:rFonts w:cs="Times New Roman"/>
          <w:color w:val="373A3C"/>
        </w:rPr>
      </w:pPr>
      <w:r>
        <w:rPr>
          <w:rFonts w:cs="Times New Roman"/>
          <w:color w:val="373A3C"/>
        </w:rPr>
        <w:t xml:space="preserve">Despite </w:t>
      </w:r>
      <w:r w:rsidR="006F614D">
        <w:rPr>
          <w:rFonts w:cs="Times New Roman"/>
          <w:color w:val="373A3C"/>
        </w:rPr>
        <w:t>conversations with deceased wives and comrades</w:t>
      </w:r>
      <w:r>
        <w:rPr>
          <w:rFonts w:cs="Times New Roman"/>
          <w:color w:val="373A3C"/>
        </w:rPr>
        <w:t xml:space="preserve">, Johnston states that </w:t>
      </w:r>
      <w:r w:rsidR="00C2691B">
        <w:rPr>
          <w:rFonts w:cs="Times New Roman"/>
          <w:color w:val="373A3C"/>
        </w:rPr>
        <w:t>‘[…] the dead were a source of both potential benefit and potential harm to humans; one had to take precautions to ensure that they worked on your behalf, rather than against you.’</w:t>
      </w:r>
      <w:r w:rsidR="00C2691B">
        <w:rPr>
          <w:rStyle w:val="FootnoteReference"/>
          <w:rFonts w:cs="Times New Roman"/>
          <w:color w:val="373A3C"/>
        </w:rPr>
        <w:footnoteReference w:id="29"/>
      </w:r>
      <w:r w:rsidR="00C2691B">
        <w:rPr>
          <w:rFonts w:cs="Times New Roman"/>
          <w:color w:val="373A3C"/>
        </w:rPr>
        <w:t xml:space="preserve"> There is evidence in Lucan’s </w:t>
      </w:r>
      <w:r w:rsidR="00C2691B" w:rsidRPr="00C2691B">
        <w:rPr>
          <w:rFonts w:cs="Times New Roman"/>
          <w:i/>
          <w:color w:val="373A3C"/>
        </w:rPr>
        <w:t>Pharsalia</w:t>
      </w:r>
      <w:r w:rsidR="00C2691B">
        <w:rPr>
          <w:rFonts w:cs="Times New Roman"/>
          <w:color w:val="373A3C"/>
        </w:rPr>
        <w:t xml:space="preserve"> that necromancy is a serious act not to be taken lightly and that a certain level of </w:t>
      </w:r>
      <w:r w:rsidR="00785CFF">
        <w:rPr>
          <w:rFonts w:cs="Times New Roman"/>
          <w:color w:val="373A3C"/>
        </w:rPr>
        <w:t>bravery</w:t>
      </w:r>
      <w:r w:rsidR="00DF3192">
        <w:rPr>
          <w:rFonts w:cs="Times New Roman"/>
          <w:color w:val="373A3C"/>
        </w:rPr>
        <w:t xml:space="preserve"> and courage</w:t>
      </w:r>
      <w:r w:rsidR="00785CFF">
        <w:rPr>
          <w:rFonts w:cs="Times New Roman"/>
          <w:color w:val="373A3C"/>
        </w:rPr>
        <w:t xml:space="preserve"> </w:t>
      </w:r>
      <w:r w:rsidR="00C2691B">
        <w:rPr>
          <w:rFonts w:cs="Times New Roman"/>
          <w:color w:val="373A3C"/>
        </w:rPr>
        <w:t xml:space="preserve">is required to undertake it, and perhaps even to survive it: </w:t>
      </w:r>
      <w:r w:rsidR="00785CFF">
        <w:rPr>
          <w:rFonts w:cs="Times New Roman"/>
          <w:color w:val="373A3C"/>
        </w:rPr>
        <w:t>‘</w:t>
      </w:r>
      <w:r w:rsidR="00FE282E">
        <w:rPr>
          <w:rFonts w:cs="Times New Roman"/>
          <w:color w:val="373A3C"/>
        </w:rPr>
        <w:t>But whoever is brave enough to seek the truth from the shades and approach the oracles of hard death deserves to depart in certainty.’</w:t>
      </w:r>
      <w:r w:rsidR="00FE282E">
        <w:rPr>
          <w:rStyle w:val="FootnoteReference"/>
          <w:rFonts w:cs="Times New Roman"/>
          <w:color w:val="373A3C"/>
        </w:rPr>
        <w:footnoteReference w:id="30"/>
      </w:r>
      <w:r w:rsidR="006D26ED" w:rsidRPr="006D26ED">
        <w:rPr>
          <w:rFonts w:cs="Times New Roman"/>
          <w:color w:val="373A3C"/>
        </w:rPr>
        <w:t xml:space="preserve"> </w:t>
      </w:r>
      <w:r w:rsidR="004F7794">
        <w:rPr>
          <w:rFonts w:cs="Times New Roman"/>
          <w:color w:val="373A3C"/>
        </w:rPr>
        <w:t xml:space="preserve">Protective measures are </w:t>
      </w:r>
      <w:r w:rsidR="003A4D25">
        <w:rPr>
          <w:rFonts w:cs="Times New Roman"/>
          <w:color w:val="373A3C"/>
        </w:rPr>
        <w:t xml:space="preserve">put in place when working with the dead. </w:t>
      </w:r>
      <w:r w:rsidR="006D26ED">
        <w:rPr>
          <w:rFonts w:cs="Times New Roman"/>
          <w:color w:val="373A3C"/>
        </w:rPr>
        <w:t xml:space="preserve">In Lucian’s </w:t>
      </w:r>
      <w:r w:rsidR="006D26ED" w:rsidRPr="006D26ED">
        <w:rPr>
          <w:rFonts w:cs="Times New Roman"/>
          <w:i/>
          <w:color w:val="373A3C"/>
        </w:rPr>
        <w:t>Menippus</w:t>
      </w:r>
      <w:r w:rsidR="006D26ED">
        <w:rPr>
          <w:rFonts w:cs="Times New Roman"/>
          <w:color w:val="373A3C"/>
        </w:rPr>
        <w:t>, the Chaldean mage guiding Menippus ‘</w:t>
      </w:r>
      <w:r w:rsidR="00EB426F" w:rsidRPr="00EB426F">
        <w:rPr>
          <w:rFonts w:cs="Times New Roman"/>
          <w:color w:val="373A3C"/>
        </w:rPr>
        <w:t xml:space="preserve">becharmed </w:t>
      </w:r>
      <w:r w:rsidR="00EB426F">
        <w:rPr>
          <w:rFonts w:cs="Times New Roman"/>
          <w:color w:val="373A3C"/>
        </w:rPr>
        <w:t>[him]</w:t>
      </w:r>
      <w:r w:rsidR="00EB426F" w:rsidRPr="00EB426F">
        <w:rPr>
          <w:rFonts w:cs="Times New Roman"/>
          <w:color w:val="373A3C"/>
        </w:rPr>
        <w:t xml:space="preserve"> from head</w:t>
      </w:r>
      <w:r w:rsidR="00EB426F">
        <w:rPr>
          <w:rFonts w:cs="Times New Roman"/>
          <w:color w:val="373A3C"/>
        </w:rPr>
        <w:t xml:space="preserve"> to foot and walked all about [him], that [he]</w:t>
      </w:r>
      <w:r w:rsidR="00EB426F" w:rsidRPr="00EB426F">
        <w:rPr>
          <w:rFonts w:cs="Times New Roman"/>
          <w:color w:val="373A3C"/>
        </w:rPr>
        <w:t xml:space="preserve"> might not be harmed by the phantoms</w:t>
      </w:r>
      <w:r w:rsidR="00EB426F">
        <w:rPr>
          <w:rFonts w:cs="Times New Roman"/>
          <w:color w:val="373A3C"/>
        </w:rPr>
        <w:t>.</w:t>
      </w:r>
      <w:r w:rsidR="006D26ED">
        <w:rPr>
          <w:rFonts w:cs="Times New Roman"/>
          <w:color w:val="373A3C"/>
        </w:rPr>
        <w:t>’</w:t>
      </w:r>
      <w:r w:rsidR="006D26ED">
        <w:rPr>
          <w:rStyle w:val="FootnoteReference"/>
          <w:rFonts w:cs="Times New Roman"/>
          <w:color w:val="373A3C"/>
        </w:rPr>
        <w:footnoteReference w:id="31"/>
      </w:r>
      <w:r w:rsidR="00484754">
        <w:rPr>
          <w:rFonts w:cs="Times New Roman"/>
          <w:color w:val="373A3C"/>
        </w:rPr>
        <w:t xml:space="preserve"> </w:t>
      </w:r>
      <w:r w:rsidR="003A4D25">
        <w:rPr>
          <w:rFonts w:cs="Times New Roman"/>
          <w:color w:val="373A3C"/>
        </w:rPr>
        <w:t xml:space="preserve">In </w:t>
      </w:r>
      <w:r w:rsidR="00916F6A">
        <w:rPr>
          <w:rFonts w:cs="Times New Roman"/>
          <w:color w:val="373A3C"/>
        </w:rPr>
        <w:t xml:space="preserve">a spell involving necromancy in the </w:t>
      </w:r>
      <w:r w:rsidR="00BE6D77" w:rsidRPr="00BE6D77">
        <w:rPr>
          <w:rFonts w:cs="Times New Roman"/>
          <w:i/>
          <w:color w:val="373A3C"/>
        </w:rPr>
        <w:t>Greek Magical Papyri</w:t>
      </w:r>
      <w:r w:rsidR="00DF7576">
        <w:rPr>
          <w:rFonts w:cs="Times New Roman"/>
          <w:i/>
          <w:color w:val="373A3C"/>
        </w:rPr>
        <w:t xml:space="preserve">, </w:t>
      </w:r>
      <w:r w:rsidR="00AA3D4B">
        <w:rPr>
          <w:rFonts w:cs="Times New Roman"/>
          <w:color w:val="373A3C"/>
        </w:rPr>
        <w:t xml:space="preserve">we are blatantly told </w:t>
      </w:r>
      <w:r w:rsidR="00916F6A">
        <w:rPr>
          <w:rFonts w:cs="Times New Roman"/>
          <w:color w:val="373A3C"/>
        </w:rPr>
        <w:t>to ‘</w:t>
      </w:r>
      <w:r w:rsidR="00052A59">
        <w:rPr>
          <w:rFonts w:cs="Times New Roman"/>
          <w:color w:val="373A3C"/>
        </w:rPr>
        <w:t>[…] guard yourself with whatever protection you want.’</w:t>
      </w:r>
      <w:r w:rsidR="00052A59">
        <w:rPr>
          <w:rStyle w:val="FootnoteReference"/>
          <w:rFonts w:cs="Times New Roman"/>
          <w:color w:val="373A3C"/>
        </w:rPr>
        <w:footnoteReference w:id="32"/>
      </w:r>
      <w:r w:rsidR="00052A59">
        <w:rPr>
          <w:rFonts w:cs="Times New Roman"/>
          <w:color w:val="373A3C"/>
        </w:rPr>
        <w:t xml:space="preserve"> </w:t>
      </w:r>
      <w:r w:rsidR="00C90EA2">
        <w:rPr>
          <w:rFonts w:cs="Times New Roman"/>
          <w:color w:val="373A3C"/>
        </w:rPr>
        <w:t xml:space="preserve">In this regard, Ogden comments that </w:t>
      </w:r>
      <w:r w:rsidR="00AA3D4B">
        <w:rPr>
          <w:rFonts w:cs="Times New Roman"/>
          <w:color w:val="373A3C"/>
        </w:rPr>
        <w:t>‘[a] protective phylactery was advisable, not least because contact with the dead was inherently dangerous.’</w:t>
      </w:r>
      <w:r w:rsidR="00AA3D4B">
        <w:rPr>
          <w:rStyle w:val="FootnoteReference"/>
          <w:rFonts w:cs="Times New Roman"/>
          <w:color w:val="373A3C"/>
        </w:rPr>
        <w:footnoteReference w:id="33"/>
      </w:r>
      <w:r w:rsidR="00AA3D4B">
        <w:rPr>
          <w:rFonts w:cs="Times New Roman"/>
          <w:color w:val="373A3C"/>
        </w:rPr>
        <w:t xml:space="preserve"> </w:t>
      </w:r>
      <w:r w:rsidR="002806C8">
        <w:rPr>
          <w:rFonts w:cs="Times New Roman"/>
          <w:color w:val="373A3C"/>
        </w:rPr>
        <w:t xml:space="preserve">These measures are put in place </w:t>
      </w:r>
      <w:r w:rsidR="00C90EA2">
        <w:rPr>
          <w:rFonts w:cs="Times New Roman"/>
          <w:color w:val="373A3C"/>
        </w:rPr>
        <w:t xml:space="preserve">for just that reason. </w:t>
      </w:r>
      <w:r w:rsidR="001C0E3E">
        <w:rPr>
          <w:rFonts w:cs="Times New Roman"/>
          <w:color w:val="373A3C"/>
        </w:rPr>
        <w:t>Plutarch illustrates a particularly hostile</w:t>
      </w:r>
      <w:r w:rsidR="00C90EA2">
        <w:rPr>
          <w:rFonts w:cs="Times New Roman"/>
          <w:color w:val="373A3C"/>
        </w:rPr>
        <w:t xml:space="preserve"> necromantic</w:t>
      </w:r>
      <w:r w:rsidR="001C0E3E">
        <w:rPr>
          <w:rFonts w:cs="Times New Roman"/>
          <w:color w:val="373A3C"/>
        </w:rPr>
        <w:t xml:space="preserve"> </w:t>
      </w:r>
      <w:r w:rsidR="00C90EA2">
        <w:rPr>
          <w:rFonts w:cs="Times New Roman"/>
          <w:color w:val="373A3C"/>
        </w:rPr>
        <w:t>encounter</w:t>
      </w:r>
      <w:r w:rsidR="00A65F43">
        <w:rPr>
          <w:rFonts w:cs="Times New Roman"/>
          <w:color w:val="373A3C"/>
        </w:rPr>
        <w:t xml:space="preserve"> </w:t>
      </w:r>
      <w:r w:rsidR="00B92427">
        <w:rPr>
          <w:rFonts w:cs="Times New Roman"/>
          <w:color w:val="373A3C"/>
        </w:rPr>
        <w:t>where Cimon</w:t>
      </w:r>
      <w:r w:rsidR="00330067">
        <w:rPr>
          <w:rFonts w:cs="Times New Roman"/>
          <w:color w:val="373A3C"/>
        </w:rPr>
        <w:t>, ‘</w:t>
      </w:r>
      <w:r w:rsidR="00330067" w:rsidRPr="00330067">
        <w:rPr>
          <w:rFonts w:cs="Times New Roman"/>
          <w:color w:val="373A3C"/>
        </w:rPr>
        <w:t xml:space="preserve">still harassed by the phantom, </w:t>
      </w:r>
      <w:r w:rsidR="00330067">
        <w:rPr>
          <w:rFonts w:cs="Times New Roman"/>
          <w:color w:val="373A3C"/>
        </w:rPr>
        <w:t xml:space="preserve">[…] </w:t>
      </w:r>
      <w:r w:rsidR="00330067" w:rsidRPr="00330067">
        <w:rPr>
          <w:rFonts w:cs="Times New Roman"/>
          <w:color w:val="373A3C"/>
        </w:rPr>
        <w:t>had recourse to the ghost-oracle of Heracleia, and summoning up the spirit of Cleonicé, besought her to forgo her wrath. She came into his presence and said that he would soon cease from his troubles on coming to Sparta, thus darkly intimating, as it seems, his impending death.</w:t>
      </w:r>
      <w:r w:rsidR="00330067">
        <w:rPr>
          <w:rFonts w:cs="Times New Roman"/>
          <w:color w:val="373A3C"/>
        </w:rPr>
        <w:t>’</w:t>
      </w:r>
      <w:r w:rsidR="00330067">
        <w:rPr>
          <w:rStyle w:val="FootnoteReference"/>
          <w:rFonts w:cs="Times New Roman"/>
          <w:color w:val="373A3C"/>
        </w:rPr>
        <w:footnoteReference w:id="34"/>
      </w:r>
      <w:r w:rsidR="00330067">
        <w:rPr>
          <w:rFonts w:cs="Times New Roman"/>
          <w:color w:val="373A3C"/>
        </w:rPr>
        <w:t xml:space="preserve"> In this scene, we are given to understand the dead as being capable of trickery and deceit and taking a vengeful approach towards humanity. </w:t>
      </w:r>
      <w:r w:rsidR="00A65F43">
        <w:rPr>
          <w:rFonts w:cs="Times New Roman"/>
          <w:color w:val="373A3C"/>
        </w:rPr>
        <w:t>Therefore, it is likely that the frame of mind behind the practice of necromancy viewed the dead as a real and viable threat that needed to be appeased</w:t>
      </w:r>
      <w:r w:rsidR="00AA3D4B">
        <w:rPr>
          <w:rFonts w:cs="Times New Roman"/>
          <w:color w:val="373A3C"/>
        </w:rPr>
        <w:t xml:space="preserve"> and/or protected from</w:t>
      </w:r>
      <w:r w:rsidR="00A65F43">
        <w:rPr>
          <w:rFonts w:cs="Times New Roman"/>
          <w:color w:val="373A3C"/>
        </w:rPr>
        <w:t xml:space="preserve"> in order to avoid </w:t>
      </w:r>
      <w:r w:rsidR="00AA3D4B">
        <w:rPr>
          <w:rFonts w:cs="Times New Roman"/>
          <w:color w:val="373A3C"/>
        </w:rPr>
        <w:t xml:space="preserve">any resultant troublesome behavior from the dead. </w:t>
      </w:r>
    </w:p>
    <w:p w14:paraId="1F2F717D" w14:textId="77777777" w:rsidR="00A65F43" w:rsidRDefault="00A65F43" w:rsidP="009C7B2B">
      <w:pPr>
        <w:shd w:val="clear" w:color="auto" w:fill="FFFFFF"/>
        <w:spacing w:line="360" w:lineRule="auto"/>
        <w:ind w:right="-52"/>
        <w:jc w:val="both"/>
        <w:rPr>
          <w:rFonts w:cs="Times New Roman"/>
          <w:color w:val="373A3C"/>
        </w:rPr>
      </w:pPr>
    </w:p>
    <w:p w14:paraId="5D2F4F45" w14:textId="48AED7E4" w:rsidR="00A65F43" w:rsidRDefault="00A65F43" w:rsidP="009C7B2B">
      <w:pPr>
        <w:shd w:val="clear" w:color="auto" w:fill="FFFFFF"/>
        <w:spacing w:line="360" w:lineRule="auto"/>
        <w:ind w:right="-52"/>
        <w:jc w:val="both"/>
        <w:rPr>
          <w:rFonts w:cs="Times New Roman"/>
          <w:color w:val="373A3C"/>
        </w:rPr>
      </w:pPr>
      <w:r>
        <w:rPr>
          <w:rFonts w:cs="Times New Roman"/>
          <w:color w:val="373A3C"/>
        </w:rPr>
        <w:t xml:space="preserve">Equally, as Johnston stated above, the dead can also be benefic in nature and can be roused </w:t>
      </w:r>
      <w:r w:rsidR="00F3479F">
        <w:rPr>
          <w:rFonts w:cs="Times New Roman"/>
          <w:color w:val="373A3C"/>
        </w:rPr>
        <w:t xml:space="preserve">in </w:t>
      </w:r>
      <w:r>
        <w:rPr>
          <w:rFonts w:cs="Times New Roman"/>
          <w:color w:val="373A3C"/>
        </w:rPr>
        <w:t xml:space="preserve">assistance to the living. This is often on a </w:t>
      </w:r>
      <w:r w:rsidRPr="00F3479F">
        <w:rPr>
          <w:rFonts w:cs="Times New Roman"/>
          <w:i/>
          <w:color w:val="373A3C"/>
        </w:rPr>
        <w:t>quid pro quo</w:t>
      </w:r>
      <w:r>
        <w:rPr>
          <w:rFonts w:cs="Times New Roman"/>
          <w:color w:val="373A3C"/>
        </w:rPr>
        <w:t xml:space="preserve"> basis – the living will have a specific request for the dead, </w:t>
      </w:r>
      <w:r w:rsidRPr="00F3479F">
        <w:rPr>
          <w:rFonts w:cs="Times New Roman"/>
          <w:i/>
          <w:color w:val="373A3C"/>
        </w:rPr>
        <w:t>e.g.</w:t>
      </w:r>
      <w:r>
        <w:rPr>
          <w:rFonts w:cs="Times New Roman"/>
          <w:color w:val="373A3C"/>
        </w:rPr>
        <w:t xml:space="preserve"> the conveying of knowledge, prophesy, or even curses or ill-wishes, </w:t>
      </w:r>
      <w:r w:rsidR="00FC251E">
        <w:rPr>
          <w:rFonts w:cs="Times New Roman"/>
          <w:color w:val="373A3C"/>
        </w:rPr>
        <w:t xml:space="preserve">and the dead will require something in return for the carrying out of any such request. </w:t>
      </w:r>
    </w:p>
    <w:p w14:paraId="5AFA5CED" w14:textId="769D1B9E" w:rsidR="00A65F43" w:rsidRPr="00520A6D" w:rsidRDefault="00CF2E64" w:rsidP="009C7B2B">
      <w:pPr>
        <w:shd w:val="clear" w:color="auto" w:fill="FFFFFF"/>
        <w:spacing w:after="100" w:afterAutospacing="1" w:line="360" w:lineRule="auto"/>
        <w:jc w:val="both"/>
        <w:rPr>
          <w:rFonts w:cs="Times New Roman"/>
          <w:color w:val="373A3C"/>
          <w:u w:val="single"/>
        </w:rPr>
      </w:pPr>
      <w:r>
        <w:rPr>
          <w:rFonts w:cs="Times New Roman"/>
          <w:color w:val="373A3C"/>
        </w:rPr>
        <w:t>In most cases, the ghost or corpse is ‘in consternation at being brought back into the world.’</w:t>
      </w:r>
      <w:r>
        <w:rPr>
          <w:rStyle w:val="FootnoteReference"/>
          <w:rFonts w:cs="Times New Roman"/>
          <w:color w:val="373A3C"/>
        </w:rPr>
        <w:footnoteReference w:id="35"/>
      </w:r>
      <w:r>
        <w:rPr>
          <w:rFonts w:cs="Times New Roman"/>
          <w:color w:val="373A3C"/>
        </w:rPr>
        <w:t xml:space="preserve"> </w:t>
      </w:r>
      <w:r w:rsidR="002024C4">
        <w:rPr>
          <w:rFonts w:cs="Times New Roman"/>
          <w:color w:val="373A3C"/>
        </w:rPr>
        <w:t xml:space="preserve"> One of the most superior gifts that the necromancer can give to the dead in return for their assistance is an immunity from being evoked or re-animated again. In Lucan’s </w:t>
      </w:r>
      <w:r w:rsidR="002024C4" w:rsidRPr="00F3479F">
        <w:rPr>
          <w:rFonts w:cs="Times New Roman"/>
          <w:i/>
          <w:color w:val="373A3C"/>
        </w:rPr>
        <w:t>Pharsalia</w:t>
      </w:r>
      <w:r w:rsidR="002024C4">
        <w:rPr>
          <w:rFonts w:cs="Times New Roman"/>
          <w:color w:val="373A3C"/>
        </w:rPr>
        <w:t>, Erictho promises to the re-animated corpse that: ‘[…] I shall render you immune from the Thessalian crafts for as long as the world exists. [….] Let your second life be as valuable as this to you: neither words nor herbs will dare to break your sleep […].’</w:t>
      </w:r>
      <w:r w:rsidR="002024C4">
        <w:rPr>
          <w:rStyle w:val="FootnoteReference"/>
          <w:rFonts w:cs="Times New Roman"/>
          <w:color w:val="373A3C"/>
        </w:rPr>
        <w:footnoteReference w:id="36"/>
      </w:r>
      <w:r w:rsidR="002024C4">
        <w:rPr>
          <w:rFonts w:cs="Times New Roman"/>
          <w:color w:val="373A3C"/>
        </w:rPr>
        <w:t xml:space="preserve"> </w:t>
      </w:r>
      <w:r w:rsidR="00111F09">
        <w:rPr>
          <w:rFonts w:cs="Times New Roman"/>
          <w:color w:val="373A3C"/>
        </w:rPr>
        <w:t xml:space="preserve"> </w:t>
      </w:r>
      <w:r w:rsidR="002024C4">
        <w:rPr>
          <w:rFonts w:cs="Times New Roman"/>
          <w:color w:val="373A3C"/>
        </w:rPr>
        <w:t xml:space="preserve">However, </w:t>
      </w:r>
      <w:r w:rsidR="00C703C9">
        <w:rPr>
          <w:rFonts w:cs="Times New Roman"/>
          <w:color w:val="373A3C"/>
        </w:rPr>
        <w:t xml:space="preserve">according to </w:t>
      </w:r>
      <w:r w:rsidR="002024C4">
        <w:rPr>
          <w:rFonts w:cs="Times New Roman"/>
          <w:color w:val="373A3C"/>
        </w:rPr>
        <w:t>Johnson</w:t>
      </w:r>
      <w:r w:rsidR="00C703C9">
        <w:rPr>
          <w:rFonts w:cs="Times New Roman"/>
          <w:color w:val="373A3C"/>
        </w:rPr>
        <w:t>, such spells ‘try to bribe the ghosts to cooperate by promising that if they do, they will never be called up to serve the living again.’</w:t>
      </w:r>
      <w:r w:rsidR="00C703C9">
        <w:rPr>
          <w:rStyle w:val="FootnoteReference"/>
          <w:rFonts w:cs="Times New Roman"/>
          <w:color w:val="373A3C"/>
        </w:rPr>
        <w:footnoteReference w:id="37"/>
      </w:r>
      <w:r w:rsidR="00C703C9">
        <w:rPr>
          <w:rFonts w:cs="Times New Roman"/>
          <w:color w:val="373A3C"/>
        </w:rPr>
        <w:t xml:space="preserve"> There is a suggestion therefore that perhaps such a promise of all-time immunity and untouchability from magic may be beyond the power of the necromancer and just a ploy used </w:t>
      </w:r>
      <w:r w:rsidR="00F3479F">
        <w:rPr>
          <w:rFonts w:cs="Times New Roman"/>
          <w:color w:val="373A3C"/>
        </w:rPr>
        <w:t xml:space="preserve">by the human </w:t>
      </w:r>
      <w:r w:rsidR="00C703C9">
        <w:rPr>
          <w:rFonts w:cs="Times New Roman"/>
          <w:color w:val="373A3C"/>
        </w:rPr>
        <w:t xml:space="preserve">to gain the assistance of </w:t>
      </w:r>
      <w:r w:rsidR="00C703C9" w:rsidRPr="00520A6D">
        <w:rPr>
          <w:rFonts w:cs="Times New Roman"/>
          <w:color w:val="373A3C"/>
        </w:rPr>
        <w:t>the dead.</w:t>
      </w:r>
    </w:p>
    <w:p w14:paraId="7A078D88" w14:textId="3EFDA357" w:rsidR="00076558" w:rsidRPr="00BA6FA3" w:rsidRDefault="0030191E" w:rsidP="009C7B2B">
      <w:pPr>
        <w:shd w:val="clear" w:color="auto" w:fill="FFFFFF"/>
        <w:spacing w:after="100" w:afterAutospacing="1" w:line="360" w:lineRule="auto"/>
        <w:jc w:val="both"/>
        <w:rPr>
          <w:rFonts w:cs="Times New Roman"/>
          <w:b/>
          <w:color w:val="373A3C"/>
        </w:rPr>
      </w:pPr>
      <w:r w:rsidRPr="00BA6FA3">
        <w:rPr>
          <w:rFonts w:cs="Times New Roman"/>
          <w:b/>
          <w:color w:val="373A3C"/>
        </w:rPr>
        <w:t>The</w:t>
      </w:r>
      <w:r w:rsidR="005135BE" w:rsidRPr="00BA6FA3">
        <w:rPr>
          <w:rFonts w:cs="Times New Roman"/>
          <w:b/>
          <w:color w:val="373A3C"/>
        </w:rPr>
        <w:t xml:space="preserve"> </w:t>
      </w:r>
      <w:r w:rsidR="008018E5">
        <w:rPr>
          <w:rFonts w:cs="Times New Roman"/>
          <w:b/>
          <w:color w:val="373A3C"/>
        </w:rPr>
        <w:t xml:space="preserve">Places and </w:t>
      </w:r>
      <w:r w:rsidR="005135BE" w:rsidRPr="00BA6FA3">
        <w:rPr>
          <w:rFonts w:cs="Times New Roman"/>
          <w:b/>
          <w:color w:val="373A3C"/>
        </w:rPr>
        <w:t>P</w:t>
      </w:r>
      <w:r w:rsidRPr="00BA6FA3">
        <w:rPr>
          <w:rFonts w:cs="Times New Roman"/>
          <w:b/>
          <w:color w:val="373A3C"/>
        </w:rPr>
        <w:t xml:space="preserve">rocedures </w:t>
      </w:r>
      <w:r w:rsidR="008018E5">
        <w:rPr>
          <w:rFonts w:cs="Times New Roman"/>
          <w:b/>
          <w:color w:val="373A3C"/>
        </w:rPr>
        <w:t xml:space="preserve">of </w:t>
      </w:r>
      <w:r w:rsidRPr="00BA6FA3">
        <w:rPr>
          <w:rFonts w:cs="Times New Roman"/>
          <w:b/>
          <w:color w:val="373A3C"/>
        </w:rPr>
        <w:t>Necromancy</w:t>
      </w:r>
    </w:p>
    <w:p w14:paraId="35683F26" w14:textId="06DE173A" w:rsidR="008018E5" w:rsidRDefault="008018E5" w:rsidP="009C7B2B">
      <w:pPr>
        <w:spacing w:line="360" w:lineRule="auto"/>
        <w:jc w:val="both"/>
        <w:rPr>
          <w:rFonts w:cs="Times New Roman"/>
        </w:rPr>
      </w:pPr>
      <w:r>
        <w:rPr>
          <w:rFonts w:cs="Times New Roman"/>
        </w:rPr>
        <w:t xml:space="preserve">Christa Agnes </w:t>
      </w:r>
      <w:r w:rsidRPr="000701A1">
        <w:rPr>
          <w:rFonts w:cs="Times New Roman"/>
        </w:rPr>
        <w:t>Tuczay states that ‘[i[n Greece and Rome, evocation of the dead took place especially</w:t>
      </w:r>
      <w:r>
        <w:rPr>
          <w:rFonts w:cs="Times New Roman"/>
        </w:rPr>
        <w:t xml:space="preserve"> </w:t>
      </w:r>
      <w:r w:rsidRPr="000701A1">
        <w:rPr>
          <w:rFonts w:cs="Times New Roman"/>
        </w:rPr>
        <w:t>in caverns, in volcanic regions and near rivers and lakes which,</w:t>
      </w:r>
      <w:r>
        <w:rPr>
          <w:rFonts w:cs="Times New Roman"/>
        </w:rPr>
        <w:t xml:space="preserve"> </w:t>
      </w:r>
      <w:r w:rsidRPr="000701A1">
        <w:rPr>
          <w:rFonts w:cs="Times New Roman"/>
        </w:rPr>
        <w:t>according to the common opinion, were the boundaries with the</w:t>
      </w:r>
      <w:r>
        <w:rPr>
          <w:rFonts w:cs="Times New Roman"/>
        </w:rPr>
        <w:t xml:space="preserve"> </w:t>
      </w:r>
      <w:r w:rsidRPr="000701A1">
        <w:rPr>
          <w:rFonts w:cs="Times New Roman"/>
        </w:rPr>
        <w:t>otherworld.</w:t>
      </w:r>
      <w:r>
        <w:rPr>
          <w:rFonts w:cs="Times New Roman"/>
        </w:rPr>
        <w:t>’</w:t>
      </w:r>
      <w:r>
        <w:rPr>
          <w:rStyle w:val="FootnoteReference"/>
          <w:rFonts w:cs="Times New Roman"/>
        </w:rPr>
        <w:footnoteReference w:id="38"/>
      </w:r>
      <w:r>
        <w:rPr>
          <w:rFonts w:cs="Times New Roman"/>
        </w:rPr>
        <w:t xml:space="preserve"> </w:t>
      </w:r>
      <w:r w:rsidRPr="001259CB">
        <w:t>According to Ogden, ‘[t]he conceptual home of necromancy in the ancient Greek world was probably the tomb.’</w:t>
      </w:r>
      <w:r w:rsidRPr="001259CB">
        <w:rPr>
          <w:vertAlign w:val="superscript"/>
        </w:rPr>
        <w:footnoteReference w:id="39"/>
      </w:r>
      <w:r>
        <w:t xml:space="preserve"> Therefore, many of the places where necromancy took place mirrored the dead’s resting place or mirrored an </w:t>
      </w:r>
      <w:r>
        <w:rPr>
          <w:lang w:val="en-IE"/>
        </w:rPr>
        <w:t xml:space="preserve">entry to the underworld where they resided, </w:t>
      </w:r>
      <w:r w:rsidRPr="00133B2C">
        <w:rPr>
          <w:i/>
          <w:lang w:val="en-IE"/>
        </w:rPr>
        <w:t xml:space="preserve">e.g. </w:t>
      </w:r>
      <w:r>
        <w:rPr>
          <w:lang w:val="en-IE"/>
        </w:rPr>
        <w:t xml:space="preserve">tombs, battlefields, dreaming incubation chambers, caves, and areas beside water. Lucan in </w:t>
      </w:r>
      <w:r w:rsidRPr="001C45F2">
        <w:rPr>
          <w:i/>
          <w:lang w:val="en-IE"/>
        </w:rPr>
        <w:t>Pharsalia</w:t>
      </w:r>
      <w:r>
        <w:rPr>
          <w:lang w:val="en-IE"/>
        </w:rPr>
        <w:t xml:space="preserve"> describes ‘sightless caverns […] yews, never raising their tops to the sky, impenetrable to the Sun […] protracted night […] the dismal boundary between the hidden world and our own.’</w:t>
      </w:r>
      <w:r>
        <w:rPr>
          <w:rStyle w:val="FootnoteReference"/>
          <w:lang w:val="en-IE"/>
        </w:rPr>
        <w:footnoteReference w:id="40"/>
      </w:r>
      <w:r>
        <w:rPr>
          <w:lang w:val="en-IE"/>
        </w:rPr>
        <w:t xml:space="preserve"> </w:t>
      </w:r>
      <w:r>
        <w:rPr>
          <w:rFonts w:cs="Times New Roman"/>
          <w:color w:val="373A3C"/>
        </w:rPr>
        <w:t xml:space="preserve">There also existed dedicated sanctuaries or temples, often associated with a deity, which were used </w:t>
      </w:r>
      <w:r>
        <w:t xml:space="preserve">in particular as sites of consultation with the dead, the most prominent being </w:t>
      </w:r>
      <w:r w:rsidRPr="00113250">
        <w:t>the Heracleia Pontica and Tainaron oracles, the Acheron oracle, and the Eve</w:t>
      </w:r>
      <w:r>
        <w:t>rnus Oracle.</w:t>
      </w:r>
      <w:r>
        <w:rPr>
          <w:rStyle w:val="FootnoteReference"/>
        </w:rPr>
        <w:footnoteReference w:id="41"/>
      </w:r>
      <w:r>
        <w:t xml:space="preserve"> Much of these involved the use of dream incubation techniques, such as those described by Plutarch.</w:t>
      </w:r>
      <w:r>
        <w:rPr>
          <w:rStyle w:val="FootnoteReference"/>
        </w:rPr>
        <w:footnoteReference w:id="42"/>
      </w:r>
      <w:r>
        <w:t xml:space="preserve"> </w:t>
      </w:r>
      <w:r w:rsidR="00F3479F">
        <w:t>The cosmological view supporting</w:t>
      </w:r>
      <w:r w:rsidR="00317870">
        <w:t xml:space="preserve"> the practice of necromancy in such places seems to be that one emulate or mirror the dead – to dig one’s grave in a place associated with dead, to symbolically sleep like the dead </w:t>
      </w:r>
      <w:r>
        <w:t xml:space="preserve">to converse with </w:t>
      </w:r>
      <w:r w:rsidR="00317870">
        <w:t xml:space="preserve">them, even to dress like the dead to become one with them: </w:t>
      </w:r>
      <w:r w:rsidR="00317870">
        <w:rPr>
          <w:rFonts w:cs="Times New Roman"/>
        </w:rPr>
        <w:t>‘</w:t>
      </w:r>
      <w:r w:rsidR="00317870" w:rsidRPr="00BB706C">
        <w:rPr>
          <w:rFonts w:cs="Times New Roman"/>
        </w:rPr>
        <w:t>Since they had been before us in going down to Hades alive, he thought that if he should make me look like them, I might easily slip by the frontier-guard of Aeacus and go in unhindered as something of an old acquaintance; for thanks to my costume they would speed me along on my journey just as they do in the plays.</w:t>
      </w:r>
      <w:r w:rsidR="00317870">
        <w:rPr>
          <w:rFonts w:cs="Times New Roman"/>
        </w:rPr>
        <w:t>’</w:t>
      </w:r>
      <w:r w:rsidR="00317870">
        <w:rPr>
          <w:rStyle w:val="FootnoteReference"/>
          <w:rFonts w:cs="Times New Roman"/>
        </w:rPr>
        <w:footnoteReference w:id="43"/>
      </w:r>
    </w:p>
    <w:p w14:paraId="112DC851" w14:textId="77777777" w:rsidR="00317870" w:rsidRPr="00317870" w:rsidRDefault="00317870" w:rsidP="009C7B2B">
      <w:pPr>
        <w:spacing w:line="360" w:lineRule="auto"/>
        <w:jc w:val="both"/>
        <w:rPr>
          <w:rFonts w:cs="Times New Roman"/>
        </w:rPr>
      </w:pPr>
    </w:p>
    <w:p w14:paraId="7B4B60A1" w14:textId="06F01E1F" w:rsidR="008018E5" w:rsidRPr="001277A8" w:rsidRDefault="008018E5" w:rsidP="009C7B2B">
      <w:pPr>
        <w:shd w:val="clear" w:color="auto" w:fill="FFFFFF"/>
        <w:spacing w:after="100" w:afterAutospacing="1" w:line="360" w:lineRule="auto"/>
        <w:jc w:val="both"/>
      </w:pPr>
      <w:r>
        <w:t>Strabo tells us about the location of the Avernus oracle of the dead as well as it’s means of access via the right propitiations: ‘Those those who had sacrificed in advance and propitiated the underworld powers sailed into it. There were priests to guide one through the process, who managed the place under contract.’</w:t>
      </w:r>
      <w:r>
        <w:rPr>
          <w:rStyle w:val="FootnoteReference"/>
        </w:rPr>
        <w:footnoteReference w:id="44"/>
      </w:r>
      <w:r>
        <w:t xml:space="preserve"> </w:t>
      </w:r>
      <w:r>
        <w:rPr>
          <w:rFonts w:cs="Times New Roman"/>
          <w:color w:val="373A3C"/>
        </w:rPr>
        <w:t xml:space="preserve">Like any places of significance, it appears that the oracles of the dead </w:t>
      </w:r>
      <w:r w:rsidR="00656C1B">
        <w:rPr>
          <w:rFonts w:cs="Times New Roman"/>
          <w:color w:val="373A3C"/>
        </w:rPr>
        <w:t>possessed</w:t>
      </w:r>
      <w:r>
        <w:rPr>
          <w:rFonts w:cs="Times New Roman"/>
          <w:color w:val="373A3C"/>
        </w:rPr>
        <w:t xml:space="preserve"> guardians-priests. Homer describes these guardians as ‘the Cimmerian men, buried in mist and cloud. Never does the shining sun look upon them with its rays […].’</w:t>
      </w:r>
      <w:r>
        <w:rPr>
          <w:rStyle w:val="FootnoteReference"/>
          <w:rFonts w:cs="Times New Roman"/>
          <w:color w:val="373A3C"/>
        </w:rPr>
        <w:footnoteReference w:id="45"/>
      </w:r>
      <w:r>
        <w:rPr>
          <w:rFonts w:cs="Times New Roman"/>
          <w:color w:val="373A3C"/>
        </w:rPr>
        <w:t xml:space="preserve"> Strabo give further detail about these guardians - they ‘live in underground houses […] visit each other through tunnels […] receive strangers visiting the oracle, which is situated a long way under the earth.’</w:t>
      </w:r>
      <w:r>
        <w:rPr>
          <w:rStyle w:val="FootnoteReference"/>
          <w:rFonts w:cs="Times New Roman"/>
          <w:color w:val="373A3C"/>
        </w:rPr>
        <w:footnoteReference w:id="46"/>
      </w:r>
      <w:r>
        <w:t xml:space="preserve"> </w:t>
      </w:r>
      <w:r w:rsidR="00656C1B">
        <w:t xml:space="preserve">It appears that certain sense of mythic narrative has developed in relation to these places, however, the worldview surrounding them manifests from an attitude of reverence and respect for the </w:t>
      </w:r>
      <w:r>
        <w:t>holiness</w:t>
      </w:r>
      <w:r w:rsidR="00656C1B">
        <w:t xml:space="preserve"> and magic</w:t>
      </w:r>
      <w:r>
        <w:t xml:space="preserve"> </w:t>
      </w:r>
      <w:r w:rsidR="00656C1B">
        <w:t xml:space="preserve">contained therein. </w:t>
      </w:r>
    </w:p>
    <w:p w14:paraId="0C7B5F1F" w14:textId="42CDE733" w:rsidR="000436B0" w:rsidRDefault="000436B0" w:rsidP="009C7B2B">
      <w:pPr>
        <w:shd w:val="clear" w:color="auto" w:fill="FFFFFF"/>
        <w:spacing w:after="100" w:afterAutospacing="1" w:line="360" w:lineRule="auto"/>
        <w:jc w:val="both"/>
        <w:rPr>
          <w:rFonts w:cs="Times New Roman"/>
          <w:color w:val="FF0000"/>
        </w:rPr>
      </w:pPr>
      <w:r>
        <w:rPr>
          <w:rFonts w:cs="Times New Roman"/>
          <w:color w:val="373A3C"/>
        </w:rPr>
        <w:t xml:space="preserve">Numerous techniques and procedures are illustrated </w:t>
      </w:r>
      <w:r w:rsidR="0030191E">
        <w:rPr>
          <w:rFonts w:cs="Times New Roman"/>
          <w:color w:val="373A3C"/>
        </w:rPr>
        <w:t>throughout</w:t>
      </w:r>
      <w:r>
        <w:rPr>
          <w:rFonts w:cs="Times New Roman"/>
          <w:color w:val="373A3C"/>
        </w:rPr>
        <w:t xml:space="preserve"> </w:t>
      </w:r>
      <w:r w:rsidR="00DF1E8B">
        <w:rPr>
          <w:rFonts w:cs="Times New Roman"/>
          <w:color w:val="373A3C"/>
        </w:rPr>
        <w:t>the</w:t>
      </w:r>
      <w:r>
        <w:rPr>
          <w:rFonts w:cs="Times New Roman"/>
          <w:color w:val="373A3C"/>
        </w:rPr>
        <w:t xml:space="preserve"> literature for the practice of evocation and re-animation of the dead. </w:t>
      </w:r>
      <w:r w:rsidRPr="000A6369">
        <w:rPr>
          <w:rFonts w:cs="Times New Roman"/>
          <w:color w:val="373A3C"/>
        </w:rPr>
        <w:t xml:space="preserve">Homer describes </w:t>
      </w:r>
      <w:r>
        <w:rPr>
          <w:rFonts w:cs="Times New Roman"/>
          <w:color w:val="373A3C"/>
        </w:rPr>
        <w:t>a journey by water, the d</w:t>
      </w:r>
      <w:r w:rsidRPr="000A6369">
        <w:rPr>
          <w:rFonts w:cs="Times New Roman"/>
          <w:color w:val="373A3C"/>
        </w:rPr>
        <w:t>igging of</w:t>
      </w:r>
      <w:r>
        <w:rPr>
          <w:rFonts w:cs="Times New Roman"/>
          <w:color w:val="373A3C"/>
        </w:rPr>
        <w:t xml:space="preserve"> a</w:t>
      </w:r>
      <w:r w:rsidRPr="000A6369">
        <w:rPr>
          <w:rFonts w:cs="Times New Roman"/>
          <w:color w:val="373A3C"/>
        </w:rPr>
        <w:t xml:space="preserve"> pit, </w:t>
      </w:r>
      <w:r>
        <w:rPr>
          <w:rFonts w:cs="Times New Roman"/>
          <w:color w:val="373A3C"/>
        </w:rPr>
        <w:t xml:space="preserve">libations, offerings, sacrifices, prayer, </w:t>
      </w:r>
      <w:r w:rsidR="0030191E">
        <w:rPr>
          <w:rFonts w:cs="Times New Roman"/>
          <w:color w:val="373A3C"/>
        </w:rPr>
        <w:t xml:space="preserve">and </w:t>
      </w:r>
      <w:r>
        <w:rPr>
          <w:rFonts w:cs="Times New Roman"/>
          <w:color w:val="373A3C"/>
        </w:rPr>
        <w:t xml:space="preserve">the </w:t>
      </w:r>
      <w:r w:rsidRPr="000A6369">
        <w:rPr>
          <w:rFonts w:cs="Times New Roman"/>
          <w:color w:val="373A3C"/>
        </w:rPr>
        <w:t xml:space="preserve">use of </w:t>
      </w:r>
      <w:r>
        <w:rPr>
          <w:rFonts w:cs="Times New Roman"/>
          <w:color w:val="373A3C"/>
        </w:rPr>
        <w:t>a sword.</w:t>
      </w:r>
      <w:r>
        <w:rPr>
          <w:rStyle w:val="FootnoteReference"/>
          <w:rFonts w:cs="Times New Roman"/>
          <w:color w:val="373A3C"/>
        </w:rPr>
        <w:footnoteReference w:id="47"/>
      </w:r>
      <w:r>
        <w:rPr>
          <w:rFonts w:cs="Times New Roman"/>
          <w:color w:val="373A3C"/>
        </w:rPr>
        <w:t xml:space="preserve"> </w:t>
      </w:r>
      <w:r>
        <w:rPr>
          <w:rFonts w:cs="Times New Roman"/>
        </w:rPr>
        <w:t xml:space="preserve">Purification techniques, often by way of the moon, are also </w:t>
      </w:r>
      <w:r w:rsidR="00DA0137">
        <w:rPr>
          <w:rFonts w:cs="Times New Roman"/>
        </w:rPr>
        <w:t>featured -</w:t>
      </w:r>
      <w:r>
        <w:rPr>
          <w:rFonts w:cs="Times New Roman"/>
        </w:rPr>
        <w:t xml:space="preserve"> Lucian’s </w:t>
      </w:r>
      <w:r w:rsidRPr="0030191E">
        <w:rPr>
          <w:rFonts w:cs="Times New Roman"/>
          <w:i/>
        </w:rPr>
        <w:t xml:space="preserve">Menippus </w:t>
      </w:r>
      <w:r>
        <w:rPr>
          <w:rFonts w:cs="Times New Roman"/>
        </w:rPr>
        <w:t>describes such purification rites: ‘</w:t>
      </w:r>
      <w:r w:rsidRPr="007A75D9">
        <w:rPr>
          <w:rFonts w:cs="Times New Roman"/>
        </w:rPr>
        <w:t xml:space="preserve">So the man took me in charge, and first of all, for twenty-nine days, beginning with the new moon, he took me down to the Euphrates in the early morning, toward sunrise, and bathed me; after which he would make a long address which I could not follow very well, </w:t>
      </w:r>
      <w:r w:rsidR="00DA0137">
        <w:rPr>
          <w:rFonts w:cs="Times New Roman"/>
        </w:rPr>
        <w:t>[…]</w:t>
      </w:r>
      <w:r w:rsidRPr="007A75D9">
        <w:rPr>
          <w:rFonts w:cs="Times New Roman"/>
        </w:rPr>
        <w:t xml:space="preserve"> he spoke rapidly and indistinctly</w:t>
      </w:r>
      <w:r w:rsidR="00DA0137">
        <w:rPr>
          <w:rFonts w:cs="Times New Roman"/>
        </w:rPr>
        <w:t xml:space="preserve"> […]</w:t>
      </w:r>
      <w:r w:rsidRPr="007A75D9">
        <w:rPr>
          <w:rFonts w:cs="Times New Roman"/>
        </w:rPr>
        <w:t xml:space="preserve"> he was invoking certain spirits. </w:t>
      </w:r>
      <w:r w:rsidR="00DA0137">
        <w:rPr>
          <w:rFonts w:cs="Times New Roman"/>
        </w:rPr>
        <w:t>[…]</w:t>
      </w:r>
      <w:r w:rsidRPr="007A75D9">
        <w:rPr>
          <w:rFonts w:cs="Times New Roman"/>
        </w:rPr>
        <w:t xml:space="preserve"> after the incantation he would spit in my face thrice and then go back again without looking at anyone whom he met. We ate nuts, drank milk, mead, and the water of the Choaspes, and slept out of doors on the grass.</w:t>
      </w:r>
      <w:r>
        <w:rPr>
          <w:rFonts w:cs="Times New Roman"/>
        </w:rPr>
        <w:t>’</w:t>
      </w:r>
      <w:r>
        <w:rPr>
          <w:rStyle w:val="FootnoteReference"/>
          <w:rFonts w:cs="Times New Roman"/>
        </w:rPr>
        <w:footnoteReference w:id="48"/>
      </w:r>
      <w:r>
        <w:rPr>
          <w:rFonts w:cs="Times New Roman"/>
        </w:rPr>
        <w:t xml:space="preserve"> Purificat</w:t>
      </w:r>
      <w:r w:rsidR="008E2073">
        <w:rPr>
          <w:rFonts w:cs="Times New Roman"/>
        </w:rPr>
        <w:t>ion and attunement with nature seems to</w:t>
      </w:r>
      <w:r w:rsidR="00345C47">
        <w:rPr>
          <w:rFonts w:cs="Times New Roman"/>
        </w:rPr>
        <w:t xml:space="preserve"> illustrate a holistic worldview - </w:t>
      </w:r>
      <w:r>
        <w:rPr>
          <w:rFonts w:cs="Times New Roman"/>
        </w:rPr>
        <w:t>after all</w:t>
      </w:r>
      <w:r w:rsidR="00345C47">
        <w:rPr>
          <w:rFonts w:cs="Times New Roman"/>
        </w:rPr>
        <w:t>,</w:t>
      </w:r>
      <w:r>
        <w:rPr>
          <w:rFonts w:cs="Times New Roman"/>
        </w:rPr>
        <w:t xml:space="preserve"> our body, including that of a corpse, is made from organic m</w:t>
      </w:r>
      <w:r>
        <w:rPr>
          <w:rFonts w:cs="Times New Roman"/>
          <w:color w:val="373A3C"/>
        </w:rPr>
        <w:t>atter.</w:t>
      </w:r>
      <w:r w:rsidR="005B43DB">
        <w:rPr>
          <w:rFonts w:cs="Times New Roman"/>
          <w:color w:val="373A3C"/>
        </w:rPr>
        <w:t xml:space="preserve"> </w:t>
      </w:r>
    </w:p>
    <w:p w14:paraId="7CAD6461" w14:textId="22F0E649" w:rsidR="008018E5" w:rsidRPr="008018E5" w:rsidRDefault="008018E5" w:rsidP="009C7B2B">
      <w:pPr>
        <w:shd w:val="clear" w:color="auto" w:fill="FFFFFF"/>
        <w:spacing w:after="100" w:afterAutospacing="1" w:line="360" w:lineRule="auto"/>
        <w:jc w:val="both"/>
        <w:rPr>
          <w:rFonts w:cs="Times New Roman"/>
          <w:b/>
        </w:rPr>
      </w:pPr>
      <w:r w:rsidRPr="008018E5">
        <w:rPr>
          <w:rFonts w:cs="Times New Roman"/>
          <w:b/>
        </w:rPr>
        <w:t>The Practitioners of Necromancy</w:t>
      </w:r>
    </w:p>
    <w:p w14:paraId="519CA8DA" w14:textId="17887392" w:rsidR="00EA68A7" w:rsidRDefault="00641AA0" w:rsidP="009C7B2B">
      <w:pPr>
        <w:shd w:val="clear" w:color="auto" w:fill="FFFFFF"/>
        <w:spacing w:after="100" w:afterAutospacing="1" w:line="360" w:lineRule="auto"/>
        <w:jc w:val="both"/>
        <w:rPr>
          <w:rFonts w:cs="Times New Roman"/>
          <w:color w:val="373A3C"/>
        </w:rPr>
      </w:pPr>
      <w:r>
        <w:rPr>
          <w:rFonts w:cs="Times New Roman"/>
          <w:color w:val="373A3C"/>
        </w:rPr>
        <w:t xml:space="preserve">There is also literary evidence for </w:t>
      </w:r>
      <w:r w:rsidR="0030191E">
        <w:rPr>
          <w:rFonts w:cs="Times New Roman"/>
          <w:color w:val="373A3C"/>
        </w:rPr>
        <w:t xml:space="preserve">specific </w:t>
      </w:r>
      <w:r>
        <w:rPr>
          <w:rFonts w:cs="Times New Roman"/>
          <w:color w:val="373A3C"/>
        </w:rPr>
        <w:t xml:space="preserve">practitioners who involve themselves in the practice of necromancy. In Lucan’s </w:t>
      </w:r>
      <w:r w:rsidRPr="009124FE">
        <w:rPr>
          <w:rFonts w:cs="Times New Roman"/>
          <w:i/>
          <w:color w:val="373A3C"/>
        </w:rPr>
        <w:t>Pharsalia</w:t>
      </w:r>
      <w:r>
        <w:rPr>
          <w:rFonts w:cs="Times New Roman"/>
          <w:color w:val="373A3C"/>
        </w:rPr>
        <w:t xml:space="preserve">, Pompey the </w:t>
      </w:r>
      <w:r w:rsidR="00DA0137">
        <w:rPr>
          <w:rFonts w:cs="Times New Roman"/>
          <w:color w:val="373A3C"/>
        </w:rPr>
        <w:t xml:space="preserve">enquirer </w:t>
      </w:r>
      <w:r>
        <w:rPr>
          <w:rFonts w:cs="Times New Roman"/>
          <w:color w:val="373A3C"/>
        </w:rPr>
        <w:t>glorifies Erictho, the Thessalian necromantic witch, for her ability ‘to reveal fates to people and to derail the future [and] to press the truth from the ghosts.’</w:t>
      </w:r>
      <w:r>
        <w:rPr>
          <w:rStyle w:val="FootnoteReference"/>
          <w:rFonts w:cs="Times New Roman"/>
          <w:color w:val="373A3C"/>
        </w:rPr>
        <w:footnoteReference w:id="49"/>
      </w:r>
      <w:r>
        <w:rPr>
          <w:rFonts w:cs="Times New Roman"/>
          <w:color w:val="373A3C"/>
        </w:rPr>
        <w:t xml:space="preserve"> Such practitioners also incorporate the use of </w:t>
      </w:r>
      <w:r w:rsidRPr="007D23CD">
        <w:rPr>
          <w:rFonts w:cs="Times New Roman"/>
          <w:i/>
          <w:color w:val="373A3C"/>
        </w:rPr>
        <w:t>voces magicae</w:t>
      </w:r>
      <w:r>
        <w:rPr>
          <w:rFonts w:cs="Times New Roman"/>
          <w:i/>
          <w:color w:val="373A3C"/>
        </w:rPr>
        <w:t xml:space="preserve"> </w:t>
      </w:r>
      <w:r>
        <w:rPr>
          <w:rFonts w:cs="Times New Roman"/>
          <w:color w:val="373A3C"/>
        </w:rPr>
        <w:t xml:space="preserve">or the pronouncing of ‘a set of utterances’ which often threaten the dead with </w:t>
      </w:r>
      <w:r w:rsidR="0030191E">
        <w:rPr>
          <w:rFonts w:cs="Times New Roman"/>
          <w:color w:val="373A3C"/>
        </w:rPr>
        <w:t xml:space="preserve">the wrath of </w:t>
      </w:r>
      <w:r>
        <w:rPr>
          <w:rFonts w:cs="Times New Roman"/>
          <w:color w:val="373A3C"/>
        </w:rPr>
        <w:t xml:space="preserve">various deities and spirits if they do not listen and/or obey, as in Lucan’s </w:t>
      </w:r>
      <w:r w:rsidRPr="0030191E">
        <w:rPr>
          <w:rFonts w:cs="Times New Roman"/>
          <w:i/>
          <w:color w:val="373A3C"/>
        </w:rPr>
        <w:t>Pharsalia</w:t>
      </w:r>
      <w:r>
        <w:rPr>
          <w:rFonts w:cs="Times New Roman"/>
          <w:color w:val="373A3C"/>
        </w:rPr>
        <w:t>.</w:t>
      </w:r>
      <w:r>
        <w:rPr>
          <w:rStyle w:val="FootnoteReference"/>
          <w:rFonts w:cs="Times New Roman"/>
          <w:color w:val="373A3C"/>
        </w:rPr>
        <w:footnoteReference w:id="50"/>
      </w:r>
      <w:r>
        <w:rPr>
          <w:rFonts w:cs="Times New Roman"/>
          <w:color w:val="373A3C"/>
        </w:rPr>
        <w:t xml:space="preserve"> </w:t>
      </w:r>
      <w:r w:rsidR="0030191E">
        <w:rPr>
          <w:rFonts w:cs="Times New Roman"/>
          <w:color w:val="373A3C"/>
        </w:rPr>
        <w:t>Of importance in this regard is the use of the goddess Hecate who, according to Johnston is the mistress of the dead and who there has a ‘close relationship to ghosts.’</w:t>
      </w:r>
      <w:r w:rsidR="0030191E">
        <w:rPr>
          <w:rStyle w:val="FootnoteReference"/>
          <w:rFonts w:cs="Times New Roman"/>
          <w:color w:val="373A3C"/>
        </w:rPr>
        <w:footnoteReference w:id="51"/>
      </w:r>
      <w:r w:rsidR="00DF7576">
        <w:rPr>
          <w:rFonts w:cs="Times New Roman"/>
          <w:color w:val="373A3C"/>
        </w:rPr>
        <w:t xml:space="preserve"> </w:t>
      </w:r>
      <w:r w:rsidR="005B43DB">
        <w:rPr>
          <w:rFonts w:cs="Times New Roman"/>
          <w:color w:val="373A3C"/>
        </w:rPr>
        <w:t>Johnston also argues that the necromantic p</w:t>
      </w:r>
      <w:r>
        <w:rPr>
          <w:rFonts w:cs="Times New Roman"/>
          <w:color w:val="373A3C"/>
        </w:rPr>
        <w:t xml:space="preserve">ractitioners </w:t>
      </w:r>
      <w:r w:rsidR="005B43DB">
        <w:rPr>
          <w:rFonts w:cs="Times New Roman"/>
          <w:color w:val="373A3C"/>
        </w:rPr>
        <w:t>were ‘often associated with races of people who were considered foreign […].</w:t>
      </w:r>
      <w:r w:rsidR="005B43DB">
        <w:rPr>
          <w:rStyle w:val="FootnoteReference"/>
          <w:rFonts w:cs="Times New Roman"/>
          <w:color w:val="373A3C"/>
        </w:rPr>
        <w:footnoteReference w:id="52"/>
      </w:r>
      <w:r w:rsidR="005B43DB">
        <w:rPr>
          <w:rFonts w:cs="Times New Roman"/>
          <w:color w:val="373A3C"/>
        </w:rPr>
        <w:t xml:space="preserve"> It is likely that such practitioners were specialist</w:t>
      </w:r>
      <w:r w:rsidR="00DA0137">
        <w:rPr>
          <w:rFonts w:cs="Times New Roman"/>
          <w:color w:val="373A3C"/>
        </w:rPr>
        <w:t>s</w:t>
      </w:r>
      <w:r w:rsidR="005B43DB">
        <w:rPr>
          <w:rFonts w:cs="Times New Roman"/>
          <w:color w:val="373A3C"/>
        </w:rPr>
        <w:t xml:space="preserve"> that were trained in another country, given the origins of necromancy posited earlier in this paper.  </w:t>
      </w:r>
      <w:r w:rsidR="003D2D6B">
        <w:rPr>
          <w:rFonts w:cs="Times New Roman"/>
          <w:color w:val="373A3C"/>
        </w:rPr>
        <w:t xml:space="preserve">While the trappings of necromantic rites, </w:t>
      </w:r>
      <w:r w:rsidR="003D2D6B" w:rsidRPr="003D2D6B">
        <w:rPr>
          <w:rFonts w:cs="Times New Roman"/>
          <w:i/>
          <w:color w:val="373A3C"/>
        </w:rPr>
        <w:t xml:space="preserve">i.e. </w:t>
      </w:r>
      <w:r w:rsidR="003D2D6B">
        <w:rPr>
          <w:rFonts w:cs="Times New Roman"/>
          <w:color w:val="373A3C"/>
        </w:rPr>
        <w:t xml:space="preserve">pit digging, libations, offerings, and the use of herbs and invocations, </w:t>
      </w:r>
      <w:r w:rsidR="003D2D6B" w:rsidRPr="003D2D6B">
        <w:rPr>
          <w:rFonts w:cs="Times New Roman"/>
          <w:i/>
          <w:color w:val="373A3C"/>
        </w:rPr>
        <w:t>etc.</w:t>
      </w:r>
      <w:r w:rsidR="003D2D6B">
        <w:rPr>
          <w:rFonts w:cs="Times New Roman"/>
          <w:color w:val="373A3C"/>
        </w:rPr>
        <w:t xml:space="preserve">, </w:t>
      </w:r>
      <w:r w:rsidR="00133B2C">
        <w:rPr>
          <w:rFonts w:cs="Times New Roman"/>
          <w:color w:val="373A3C"/>
        </w:rPr>
        <w:t>may</w:t>
      </w:r>
      <w:r w:rsidR="003D2D6B">
        <w:rPr>
          <w:rFonts w:cs="Times New Roman"/>
          <w:color w:val="373A3C"/>
        </w:rPr>
        <w:t xml:space="preserve"> accessible to and achievable by most people, the very existence of such specialist practitioners of necromancy suggest that this was an activity that was viewed as particularly complex, requiring a suitably large amount of skill, experience and knowled</w:t>
      </w:r>
      <w:r w:rsidR="00133B2C">
        <w:rPr>
          <w:rFonts w:cs="Times New Roman"/>
          <w:color w:val="373A3C"/>
        </w:rPr>
        <w:t xml:space="preserve">ge of magic and the afterlife. </w:t>
      </w:r>
    </w:p>
    <w:p w14:paraId="3BB9D771" w14:textId="6554C711" w:rsidR="00DA0137" w:rsidRDefault="00DA0137" w:rsidP="009C7B2B">
      <w:pPr>
        <w:spacing w:line="360" w:lineRule="auto"/>
        <w:jc w:val="both"/>
        <w:rPr>
          <w:rFonts w:cs="Times New Roman"/>
          <w:color w:val="373A3C"/>
          <w:lang w:val="en-GB"/>
        </w:rPr>
      </w:pPr>
      <w:r>
        <w:rPr>
          <w:rFonts w:cs="Times New Roman"/>
          <w:color w:val="373A3C"/>
          <w:lang w:val="en-GB"/>
        </w:rPr>
        <w:t>Not only is the practice of necromancy engaged in by professionals, but there also appears to be a requirement for its techniques and practices to be kept secret from the profane.</w:t>
      </w:r>
      <w:r>
        <w:rPr>
          <w:rFonts w:cs="Times New Roman"/>
          <w:color w:val="373A3C"/>
          <w:lang w:val="en-GB"/>
        </w:rPr>
        <w:t xml:space="preserve"> </w:t>
      </w:r>
      <w:r>
        <w:rPr>
          <w:rFonts w:cs="Times New Roman"/>
          <w:color w:val="373A3C"/>
          <w:lang w:val="en-GB"/>
        </w:rPr>
        <w:t xml:space="preserve">In Lucian’s </w:t>
      </w:r>
      <w:r w:rsidRPr="00A72D99">
        <w:rPr>
          <w:rFonts w:cs="Times New Roman"/>
          <w:i/>
          <w:color w:val="373A3C"/>
          <w:lang w:val="en-GB"/>
        </w:rPr>
        <w:t>Menippus</w:t>
      </w:r>
      <w:r>
        <w:rPr>
          <w:rFonts w:cs="Times New Roman"/>
          <w:color w:val="373A3C"/>
          <w:lang w:val="en-GB"/>
        </w:rPr>
        <w:t xml:space="preserve">, Menippus is speaking with a friend but he halts his words abruptly when the topic of necromancy arises in conversation: </w:t>
      </w:r>
    </w:p>
    <w:p w14:paraId="638AED7B" w14:textId="77777777" w:rsidR="00DA0137" w:rsidRPr="00E07F65" w:rsidRDefault="00DA0137" w:rsidP="009C7B2B">
      <w:pPr>
        <w:spacing w:line="360" w:lineRule="auto"/>
        <w:ind w:left="720"/>
        <w:jc w:val="both"/>
        <w:rPr>
          <w:rFonts w:cs="Times New Roman"/>
        </w:rPr>
      </w:pPr>
      <w:r>
        <w:rPr>
          <w:rFonts w:cs="Times New Roman"/>
        </w:rPr>
        <w:t>‘M</w:t>
      </w:r>
      <w:r w:rsidRPr="00E07F65">
        <w:rPr>
          <w:rFonts w:cs="Times New Roman"/>
        </w:rPr>
        <w:t>enippus</w:t>
      </w:r>
      <w:r>
        <w:rPr>
          <w:rFonts w:cs="Times New Roman"/>
        </w:rPr>
        <w:t xml:space="preserve">: </w:t>
      </w:r>
      <w:r w:rsidRPr="00E07F65">
        <w:rPr>
          <w:rFonts w:cs="Times New Roman"/>
        </w:rPr>
        <w:t>Yes, by Zeus, a great deal; but it is not right to publish it broadcast and expose their secrets. Someone might indict me for impiety in the court of Rhadamanthus.</w:t>
      </w:r>
    </w:p>
    <w:p w14:paraId="63C562F2" w14:textId="77777777" w:rsidR="00DA0137" w:rsidRPr="00E07F65" w:rsidRDefault="00DA0137" w:rsidP="009C7B2B">
      <w:pPr>
        <w:spacing w:line="360" w:lineRule="auto"/>
        <w:ind w:left="720"/>
        <w:jc w:val="both"/>
        <w:rPr>
          <w:rFonts w:cs="Times New Roman"/>
        </w:rPr>
      </w:pPr>
      <w:r>
        <w:rPr>
          <w:rFonts w:cs="Times New Roman"/>
        </w:rPr>
        <w:t>F</w:t>
      </w:r>
      <w:r w:rsidRPr="00E07F65">
        <w:rPr>
          <w:rFonts w:cs="Times New Roman"/>
        </w:rPr>
        <w:t>riend</w:t>
      </w:r>
      <w:r>
        <w:rPr>
          <w:rFonts w:cs="Times New Roman"/>
        </w:rPr>
        <w:t xml:space="preserve">: </w:t>
      </w:r>
      <w:r w:rsidRPr="00E07F65">
        <w:rPr>
          <w:rFonts w:cs="Times New Roman"/>
        </w:rPr>
        <w:t>Oh, no, Menippus! In Heaven’s name don’t withhold your story from a friend! You will be telling a man who knows how to keep his mouth shut, and who, moreover, has been initiated into the mysteries.</w:t>
      </w:r>
      <w:r>
        <w:rPr>
          <w:rStyle w:val="FootnoteReference"/>
          <w:rFonts w:cs="Times New Roman"/>
        </w:rPr>
        <w:footnoteReference w:id="53"/>
      </w:r>
      <w:r>
        <w:rPr>
          <w:rFonts w:cs="Times New Roman"/>
        </w:rPr>
        <w:t xml:space="preserve"> </w:t>
      </w:r>
    </w:p>
    <w:p w14:paraId="0C1A500D" w14:textId="18295E15" w:rsidR="00161739" w:rsidRDefault="008C08A3" w:rsidP="009C7B2B">
      <w:pPr>
        <w:spacing w:line="360" w:lineRule="auto"/>
        <w:jc w:val="both"/>
        <w:rPr>
          <w:rFonts w:cs="Times New Roman"/>
        </w:rPr>
      </w:pPr>
      <w:r>
        <w:rPr>
          <w:rFonts w:cs="Times New Roman"/>
        </w:rPr>
        <w:t>Similarly, i</w:t>
      </w:r>
      <w:r w:rsidR="0053001C">
        <w:rPr>
          <w:rFonts w:cs="Times New Roman"/>
        </w:rPr>
        <w:t xml:space="preserve">n </w:t>
      </w:r>
      <w:r w:rsidR="004302EE">
        <w:rPr>
          <w:rFonts w:cs="Times New Roman"/>
        </w:rPr>
        <w:t>Heliodorus</w:t>
      </w:r>
      <w:r w:rsidR="0053001C">
        <w:rPr>
          <w:rFonts w:cs="Times New Roman"/>
        </w:rPr>
        <w:t xml:space="preserve">’ </w:t>
      </w:r>
      <w:r w:rsidR="0053001C" w:rsidRPr="0053001C">
        <w:rPr>
          <w:rFonts w:cs="Times New Roman"/>
          <w:bCs/>
          <w:i/>
          <w:iCs/>
        </w:rPr>
        <w:t>The Æthiopica</w:t>
      </w:r>
      <w:r w:rsidR="0053001C">
        <w:rPr>
          <w:rFonts w:cs="Times New Roman"/>
        </w:rPr>
        <w:t xml:space="preserve">, the re-animated corpse of a dead son condemns his mother, the Egyptian witch of Bessa, for having practiced necromancy and re-animated him within open view of others: </w:t>
      </w:r>
      <w:r w:rsidR="004302EE">
        <w:rPr>
          <w:rFonts w:cs="Times New Roman"/>
        </w:rPr>
        <w:t>‘</w:t>
      </w:r>
      <w:r w:rsidR="008018E5">
        <w:rPr>
          <w:rFonts w:cs="Times New Roman"/>
        </w:rPr>
        <w:t>[…]</w:t>
      </w:r>
      <w:r w:rsidR="004302EE">
        <w:rPr>
          <w:rFonts w:cs="Times New Roman"/>
        </w:rPr>
        <w:t xml:space="preserve"> you did not even take care to perform these mysteries on your own, secret as they are, and guard them with silence and darkness. Rather, here you are, dancing out the fortunes of the dead before such witnesses.’</w:t>
      </w:r>
      <w:r w:rsidR="004302EE">
        <w:rPr>
          <w:rStyle w:val="FootnoteReference"/>
          <w:rFonts w:cs="Times New Roman"/>
        </w:rPr>
        <w:footnoteReference w:id="54"/>
      </w:r>
      <w:r>
        <w:rPr>
          <w:rFonts w:cs="Times New Roman"/>
        </w:rPr>
        <w:t xml:space="preserve"> </w:t>
      </w:r>
      <w:r w:rsidR="00E0047C">
        <w:rPr>
          <w:rFonts w:cs="Times New Roman"/>
        </w:rPr>
        <w:t xml:space="preserve">According to </w:t>
      </w:r>
      <w:r w:rsidR="00E0047C">
        <w:rPr>
          <w:rFonts w:cs="Times New Roman"/>
        </w:rPr>
        <w:t xml:space="preserve">Lucian’s </w:t>
      </w:r>
      <w:r w:rsidR="00E0047C">
        <w:rPr>
          <w:rFonts w:cs="Times New Roman"/>
        </w:rPr>
        <w:t>Menippus, the Chaldean mage</w:t>
      </w:r>
      <w:r w:rsidR="00E0047C" w:rsidRPr="00BB706C">
        <w:rPr>
          <w:rFonts w:cs="Times New Roman"/>
        </w:rPr>
        <w:t xml:space="preserve"> </w:t>
      </w:r>
      <w:r w:rsidR="00E0047C">
        <w:rPr>
          <w:rFonts w:cs="Times New Roman"/>
        </w:rPr>
        <w:t xml:space="preserve">‘[…] </w:t>
      </w:r>
      <w:r w:rsidR="00E0047C" w:rsidRPr="00BB706C">
        <w:rPr>
          <w:rFonts w:cs="Times New Roman"/>
        </w:rPr>
        <w:t>urged me, if anyone should ask my name, not to say Menippus, but Heracles or Odysseus or Orpheus.</w:t>
      </w:r>
      <w:r w:rsidR="00E0047C">
        <w:rPr>
          <w:rFonts w:cs="Times New Roman"/>
        </w:rPr>
        <w:t>’</w:t>
      </w:r>
      <w:r w:rsidR="00E0047C">
        <w:rPr>
          <w:rStyle w:val="FootnoteReference"/>
          <w:rFonts w:cs="Times New Roman"/>
        </w:rPr>
        <w:footnoteReference w:id="55"/>
      </w:r>
      <w:r w:rsidR="00E0047C">
        <w:rPr>
          <w:rFonts w:cs="Times New Roman"/>
        </w:rPr>
        <w:t xml:space="preserve"> </w:t>
      </w:r>
      <w:r w:rsidR="0053001C">
        <w:rPr>
          <w:rFonts w:cs="Times New Roman"/>
        </w:rPr>
        <w:t>Ogden states that ‘[t]he rites of necromancy are here repeatedly assimilated to underworld mysteries that must not be revealed</w:t>
      </w:r>
      <w:r w:rsidR="008018E5">
        <w:rPr>
          <w:rFonts w:cs="Times New Roman"/>
        </w:rPr>
        <w:t>.’</w:t>
      </w:r>
      <w:r w:rsidR="008018E5">
        <w:rPr>
          <w:rStyle w:val="FootnoteReference"/>
          <w:rFonts w:cs="Times New Roman"/>
        </w:rPr>
        <w:footnoteReference w:id="56"/>
      </w:r>
      <w:r w:rsidR="008018E5">
        <w:rPr>
          <w:rFonts w:cs="Times New Roman"/>
        </w:rPr>
        <w:t xml:space="preserve"> </w:t>
      </w:r>
      <w:r w:rsidR="001277A8">
        <w:rPr>
          <w:rFonts w:cs="Times New Roman"/>
        </w:rPr>
        <w:t>Therefore, it could be argued that</w:t>
      </w:r>
      <w:r w:rsidR="00162BCA">
        <w:rPr>
          <w:rFonts w:cs="Times New Roman"/>
        </w:rPr>
        <w:t xml:space="preserve"> t</w:t>
      </w:r>
      <w:r>
        <w:rPr>
          <w:rFonts w:cs="Times New Roman"/>
        </w:rPr>
        <w:t xml:space="preserve">hese passages suggest that the attitude towards necromancy </w:t>
      </w:r>
      <w:r w:rsidR="00162BCA">
        <w:rPr>
          <w:rFonts w:cs="Times New Roman"/>
        </w:rPr>
        <w:t xml:space="preserve">in antiquity </w:t>
      </w:r>
      <w:r>
        <w:rPr>
          <w:rFonts w:cs="Times New Roman"/>
        </w:rPr>
        <w:t xml:space="preserve">was </w:t>
      </w:r>
      <w:r w:rsidR="001277A8">
        <w:rPr>
          <w:rFonts w:cs="Times New Roman"/>
        </w:rPr>
        <w:t>as</w:t>
      </w:r>
      <w:r>
        <w:rPr>
          <w:rFonts w:cs="Times New Roman"/>
        </w:rPr>
        <w:t xml:space="preserve"> an initiatory art, practiced only by tho</w:t>
      </w:r>
      <w:r w:rsidR="00317870">
        <w:rPr>
          <w:rFonts w:cs="Times New Roman"/>
        </w:rPr>
        <w:t xml:space="preserve">se initiated into its mysteries. </w:t>
      </w:r>
      <w:r w:rsidR="001277A8">
        <w:rPr>
          <w:rFonts w:cs="Times New Roman"/>
        </w:rPr>
        <w:t>In this sense,</w:t>
      </w:r>
      <w:r w:rsidR="00161739">
        <w:rPr>
          <w:rFonts w:cs="Times New Roman"/>
        </w:rPr>
        <w:t xml:space="preserve"> the necromancer </w:t>
      </w:r>
      <w:r w:rsidR="001277A8">
        <w:rPr>
          <w:rFonts w:cs="Times New Roman"/>
        </w:rPr>
        <w:t>is not just</w:t>
      </w:r>
      <w:r w:rsidR="00161739">
        <w:rPr>
          <w:rFonts w:cs="Times New Roman"/>
        </w:rPr>
        <w:t xml:space="preserve"> an </w:t>
      </w:r>
      <w:r w:rsidR="008F5385">
        <w:rPr>
          <w:rFonts w:cs="Times New Roman"/>
        </w:rPr>
        <w:t>e</w:t>
      </w:r>
      <w:r w:rsidR="001277A8">
        <w:rPr>
          <w:rFonts w:cs="Times New Roman"/>
        </w:rPr>
        <w:t>voker of the dead and</w:t>
      </w:r>
      <w:r w:rsidR="008F5385">
        <w:rPr>
          <w:rFonts w:cs="Times New Roman"/>
        </w:rPr>
        <w:t xml:space="preserve"> invoker of </w:t>
      </w:r>
      <w:r w:rsidR="00161739">
        <w:rPr>
          <w:rFonts w:cs="Times New Roman"/>
        </w:rPr>
        <w:t>the deities associated with the dea</w:t>
      </w:r>
      <w:r w:rsidR="008F5385">
        <w:rPr>
          <w:rFonts w:cs="Times New Roman"/>
        </w:rPr>
        <w:t>d, but</w:t>
      </w:r>
      <w:r w:rsidR="00161739">
        <w:rPr>
          <w:rFonts w:cs="Times New Roman"/>
        </w:rPr>
        <w:t xml:space="preserve"> also</w:t>
      </w:r>
      <w:r w:rsidR="008F5385">
        <w:rPr>
          <w:rFonts w:cs="Times New Roman"/>
        </w:rPr>
        <w:t xml:space="preserve"> </w:t>
      </w:r>
      <w:r w:rsidR="00161739">
        <w:rPr>
          <w:rFonts w:cs="Times New Roman"/>
        </w:rPr>
        <w:t xml:space="preserve">an initiator into the mysteries of the </w:t>
      </w:r>
      <w:r w:rsidR="008F5385">
        <w:rPr>
          <w:rFonts w:cs="Times New Roman"/>
        </w:rPr>
        <w:t>Underworld.</w:t>
      </w:r>
    </w:p>
    <w:p w14:paraId="62D3D1CA" w14:textId="77777777" w:rsidR="004A0DE0" w:rsidRDefault="004A0DE0" w:rsidP="009C7B2B">
      <w:pPr>
        <w:spacing w:line="360" w:lineRule="auto"/>
        <w:jc w:val="both"/>
        <w:rPr>
          <w:rFonts w:cs="Times New Roman"/>
        </w:rPr>
      </w:pPr>
    </w:p>
    <w:p w14:paraId="32DAFF00" w14:textId="77777777" w:rsidR="00DA0137" w:rsidRPr="00395CCF" w:rsidRDefault="00DA0137" w:rsidP="009C7B2B">
      <w:pPr>
        <w:spacing w:line="360" w:lineRule="auto"/>
        <w:jc w:val="both"/>
        <w:rPr>
          <w:rFonts w:cs="Times New Roman"/>
          <w:b/>
        </w:rPr>
      </w:pPr>
      <w:r w:rsidRPr="00395CCF">
        <w:rPr>
          <w:rFonts w:cs="Times New Roman"/>
          <w:b/>
        </w:rPr>
        <w:t>Conclusion</w:t>
      </w:r>
    </w:p>
    <w:p w14:paraId="33E9F9CA" w14:textId="66F95B9F" w:rsidR="00DA0137" w:rsidRDefault="00DA0137" w:rsidP="009C7B2B">
      <w:pPr>
        <w:spacing w:line="360" w:lineRule="auto"/>
        <w:jc w:val="both"/>
        <w:rPr>
          <w:rFonts w:cs="Times New Roman"/>
          <w:color w:val="373A3C"/>
          <w:lang w:val="en-GB"/>
        </w:rPr>
      </w:pPr>
      <w:r>
        <w:rPr>
          <w:rFonts w:cs="Times New Roman"/>
          <w:color w:val="373A3C"/>
          <w:lang w:val="en-GB"/>
        </w:rPr>
        <w:t>The purpose of this paper was to conduct an analysis of</w:t>
      </w:r>
      <w:r w:rsidRPr="008E750A">
        <w:rPr>
          <w:rFonts w:cs="Times New Roman"/>
          <w:color w:val="373A3C"/>
          <w:lang w:val="en-GB"/>
        </w:rPr>
        <w:t xml:space="preserve"> </w:t>
      </w:r>
      <w:r w:rsidR="00037FA9">
        <w:rPr>
          <w:rFonts w:cs="Times New Roman"/>
          <w:color w:val="373A3C"/>
          <w:lang w:val="en-GB"/>
        </w:rPr>
        <w:t xml:space="preserve">the cosmology, metaphysics and world-view </w:t>
      </w:r>
      <w:r w:rsidRPr="008E750A">
        <w:rPr>
          <w:rFonts w:cs="Times New Roman"/>
          <w:color w:val="373A3C"/>
          <w:lang w:val="en-GB"/>
        </w:rPr>
        <w:t>of the practice of necromancy and the</w:t>
      </w:r>
      <w:r>
        <w:rPr>
          <w:rFonts w:cs="Times New Roman"/>
          <w:color w:val="373A3C"/>
          <w:lang w:val="en-GB"/>
        </w:rPr>
        <w:t xml:space="preserve"> use of oracles of the d</w:t>
      </w:r>
      <w:r w:rsidRPr="008E750A">
        <w:rPr>
          <w:rFonts w:cs="Times New Roman"/>
          <w:color w:val="373A3C"/>
          <w:lang w:val="en-GB"/>
        </w:rPr>
        <w:t>ead in antiquity.</w:t>
      </w:r>
      <w:r>
        <w:rPr>
          <w:rFonts w:cs="Times New Roman"/>
          <w:color w:val="373A3C"/>
          <w:lang w:val="en-GB"/>
        </w:rPr>
        <w:t xml:space="preserve"> Based </w:t>
      </w:r>
      <w:r w:rsidR="00037FA9">
        <w:rPr>
          <w:rFonts w:cs="Times New Roman"/>
          <w:color w:val="373A3C"/>
          <w:lang w:val="en-GB"/>
        </w:rPr>
        <w:t>up</w:t>
      </w:r>
      <w:r>
        <w:rPr>
          <w:rFonts w:cs="Times New Roman"/>
          <w:color w:val="373A3C"/>
          <w:lang w:val="en-GB"/>
        </w:rPr>
        <w:t xml:space="preserve">on the </w:t>
      </w:r>
      <w:r w:rsidR="00345C47">
        <w:rPr>
          <w:rFonts w:cs="Times New Roman"/>
          <w:color w:val="373A3C"/>
          <w:lang w:val="en-GB"/>
        </w:rPr>
        <w:t>themes traversed in this paper,</w:t>
      </w:r>
      <w:r>
        <w:rPr>
          <w:rFonts w:cs="Times New Roman"/>
          <w:color w:val="373A3C"/>
          <w:lang w:val="en-GB"/>
        </w:rPr>
        <w:t xml:space="preserve"> necromancy was a practice that was </w:t>
      </w:r>
      <w:r w:rsidR="00345C47">
        <w:rPr>
          <w:rFonts w:cs="Times New Roman"/>
          <w:color w:val="373A3C"/>
          <w:lang w:val="en-GB"/>
        </w:rPr>
        <w:t xml:space="preserve">generally respected and revered in antiquity. It was also </w:t>
      </w:r>
      <w:r>
        <w:rPr>
          <w:rFonts w:cs="Times New Roman"/>
          <w:color w:val="373A3C"/>
          <w:lang w:val="en-GB"/>
        </w:rPr>
        <w:t>complex</w:t>
      </w:r>
      <w:r w:rsidR="00345C47">
        <w:rPr>
          <w:rFonts w:cs="Times New Roman"/>
          <w:color w:val="373A3C"/>
          <w:lang w:val="en-GB"/>
        </w:rPr>
        <w:t xml:space="preserve"> practice, perhaps even initiatory in nature. Overall, it illustrates a worldview and cosmology that is holistic, magical and interconnected.</w:t>
      </w:r>
    </w:p>
    <w:p w14:paraId="30B9F665" w14:textId="77777777" w:rsidR="00DA0137" w:rsidRDefault="00DA0137" w:rsidP="009C7B2B">
      <w:pPr>
        <w:spacing w:line="360" w:lineRule="auto"/>
        <w:jc w:val="both"/>
        <w:rPr>
          <w:rFonts w:cs="Times New Roman"/>
        </w:rPr>
      </w:pPr>
    </w:p>
    <w:p w14:paraId="06906C45" w14:textId="77777777" w:rsidR="000573C1" w:rsidRPr="005447EF" w:rsidRDefault="000573C1" w:rsidP="000573C1">
      <w:pPr>
        <w:rPr>
          <w:b/>
        </w:rPr>
      </w:pPr>
      <w:r w:rsidRPr="005447EF">
        <w:rPr>
          <w:b/>
        </w:rPr>
        <w:t>Bibliography:</w:t>
      </w:r>
    </w:p>
    <w:p w14:paraId="6D9646B1" w14:textId="77777777" w:rsidR="000573C1" w:rsidRDefault="000573C1" w:rsidP="000573C1"/>
    <w:p w14:paraId="3922D3E9" w14:textId="77777777" w:rsidR="000573C1" w:rsidRPr="00BF4A1A" w:rsidRDefault="000573C1" w:rsidP="000573C1">
      <w:pPr>
        <w:rPr>
          <w:u w:val="single"/>
          <w:lang w:val="en-IE"/>
        </w:rPr>
      </w:pPr>
      <w:r w:rsidRPr="00BF4A1A">
        <w:rPr>
          <w:u w:val="single"/>
          <w:lang w:val="en-IE"/>
        </w:rPr>
        <w:t>Primary sources:</w:t>
      </w:r>
    </w:p>
    <w:p w14:paraId="082862CC" w14:textId="77777777" w:rsidR="000573C1" w:rsidRDefault="000573C1" w:rsidP="000573C1">
      <w:pPr>
        <w:rPr>
          <w:lang w:val="en-IE"/>
        </w:rPr>
      </w:pPr>
    </w:p>
    <w:p w14:paraId="1062D4B9" w14:textId="77777777" w:rsidR="000573C1" w:rsidRDefault="000573C1" w:rsidP="000573C1">
      <w:pPr>
        <w:rPr>
          <w:rFonts w:cs="Times New Roman"/>
        </w:rPr>
      </w:pPr>
      <w:r w:rsidRPr="00BF4A1A">
        <w:rPr>
          <w:rFonts w:cs="Times New Roman"/>
        </w:rPr>
        <w:t xml:space="preserve">Herodotus, </w:t>
      </w:r>
      <w:r w:rsidRPr="00BF4A1A">
        <w:rPr>
          <w:rFonts w:cs="Times New Roman"/>
          <w:i/>
        </w:rPr>
        <w:t>The Histories</w:t>
      </w:r>
      <w:r w:rsidRPr="00BF4A1A">
        <w:rPr>
          <w:rFonts w:cs="Times New Roman"/>
        </w:rPr>
        <w:t xml:space="preserve">, trans. by A. D. Godley. (Cambridge: Harvard University Press, 1920), 5.92G: </w:t>
      </w:r>
      <w:hyperlink r:id="rId9" w:history="1">
        <w:r w:rsidRPr="00BF4A1A">
          <w:rPr>
            <w:rStyle w:val="Hyperlink"/>
            <w:rFonts w:cs="Times New Roman"/>
          </w:rPr>
          <w:t>http://www.perseus.tufts.edu/hopper/text?doc=Perseus%3Atext%3A1999.01.0126%3Abook%3D5%3Achapter%3D92G</w:t>
        </w:r>
      </w:hyperlink>
      <w:r w:rsidRPr="00BF4A1A">
        <w:rPr>
          <w:rFonts w:cs="Times New Roman"/>
        </w:rPr>
        <w:t xml:space="preserve"> accessed on July 15</w:t>
      </w:r>
      <w:r w:rsidRPr="00BF4A1A">
        <w:rPr>
          <w:rFonts w:cs="Times New Roman"/>
          <w:vertAlign w:val="superscript"/>
        </w:rPr>
        <w:t>th</w:t>
      </w:r>
      <w:r w:rsidRPr="00BF4A1A">
        <w:rPr>
          <w:rFonts w:cs="Times New Roman"/>
        </w:rPr>
        <w:t xml:space="preserve"> 2018.</w:t>
      </w:r>
    </w:p>
    <w:p w14:paraId="3A8781EB" w14:textId="77777777" w:rsidR="000573C1" w:rsidRDefault="000573C1" w:rsidP="000573C1"/>
    <w:p w14:paraId="7B8FDD7F" w14:textId="77777777" w:rsidR="000573C1" w:rsidRPr="003019CE" w:rsidRDefault="000573C1" w:rsidP="000573C1">
      <w:pPr>
        <w:rPr>
          <w:rFonts w:cs="Times New Roman"/>
          <w:b/>
          <w:bCs/>
        </w:rPr>
      </w:pPr>
      <w:r w:rsidRPr="003019CE">
        <w:rPr>
          <w:rFonts w:cs="Times New Roman"/>
        </w:rPr>
        <w:t>Horace,</w:t>
      </w:r>
      <w:r w:rsidRPr="003019CE">
        <w:rPr>
          <w:rFonts w:cs="Times New Roman"/>
          <w:b/>
          <w:bCs/>
          <w:i/>
          <w:iCs/>
        </w:rPr>
        <w:t xml:space="preserve"> </w:t>
      </w:r>
      <w:r w:rsidRPr="003019CE">
        <w:rPr>
          <w:rFonts w:cs="Times New Roman"/>
          <w:bCs/>
          <w:iCs/>
        </w:rPr>
        <w:t>‘</w:t>
      </w:r>
      <w:r w:rsidRPr="003019CE">
        <w:rPr>
          <w:rFonts w:cs="Times New Roman"/>
          <w:bCs/>
        </w:rPr>
        <w:t xml:space="preserve">Priapus complains that the Esquilian mount is infested with the incantations of sorceresses’ (I.8) in </w:t>
      </w:r>
      <w:r w:rsidRPr="003019CE">
        <w:rPr>
          <w:rFonts w:cs="Times New Roman"/>
          <w:bCs/>
          <w:i/>
        </w:rPr>
        <w:t>The Works of Horace</w:t>
      </w:r>
      <w:r w:rsidRPr="003019CE">
        <w:rPr>
          <w:rFonts w:cs="Times New Roman"/>
          <w:bCs/>
        </w:rPr>
        <w:t xml:space="preserve">, trans. by C. Smart, Theodore Alois Buckley. (New York: Harper &amp; Brothers, 1863): </w:t>
      </w:r>
      <w:hyperlink r:id="rId10" w:history="1">
        <w:r w:rsidRPr="003019CE">
          <w:rPr>
            <w:rStyle w:val="Hyperlink"/>
            <w:rFonts w:cs="Times New Roman"/>
          </w:rPr>
          <w:t>http://www.perseus.tufts.edu/hopper/text?doc=Perseus%3Atext%3A1999.02.0063%3Abook%3D1%3Apoem%3D8</w:t>
        </w:r>
      </w:hyperlink>
      <w:r w:rsidRPr="003019CE">
        <w:rPr>
          <w:rFonts w:cs="Times New Roman"/>
        </w:rPr>
        <w:t xml:space="preserve"> accessed 15</w:t>
      </w:r>
      <w:r w:rsidRPr="003019CE">
        <w:rPr>
          <w:rFonts w:cs="Times New Roman"/>
          <w:vertAlign w:val="superscript"/>
        </w:rPr>
        <w:t>th</w:t>
      </w:r>
      <w:r w:rsidRPr="003019CE">
        <w:rPr>
          <w:rFonts w:cs="Times New Roman"/>
        </w:rPr>
        <w:t xml:space="preserve"> July, 2018.</w:t>
      </w:r>
    </w:p>
    <w:p w14:paraId="59315C21" w14:textId="77777777" w:rsidR="000573C1" w:rsidRDefault="000573C1" w:rsidP="000573C1">
      <w:pPr>
        <w:rPr>
          <w:rFonts w:cs="Times New Roman"/>
        </w:rPr>
      </w:pPr>
    </w:p>
    <w:p w14:paraId="55A835BA" w14:textId="77777777" w:rsidR="000573C1" w:rsidRDefault="000573C1" w:rsidP="000573C1">
      <w:pPr>
        <w:rPr>
          <w:rFonts w:cs="Times New Roman"/>
        </w:rPr>
      </w:pPr>
      <w:r w:rsidRPr="00BF4A1A">
        <w:rPr>
          <w:rFonts w:cs="Times New Roman"/>
        </w:rPr>
        <w:t xml:space="preserve">Lucan, </w:t>
      </w:r>
      <w:r w:rsidRPr="00BF4A1A">
        <w:rPr>
          <w:rFonts w:cs="Times New Roman"/>
          <w:i/>
        </w:rPr>
        <w:t>Pharsalia</w:t>
      </w:r>
      <w:r w:rsidRPr="00BF4A1A">
        <w:rPr>
          <w:rFonts w:cs="Times New Roman"/>
        </w:rPr>
        <w:t xml:space="preserve">, trans. by Sir Edward Ridley (London: Longmans, Green, and Co., 1905), 6.750: </w:t>
      </w:r>
      <w:hyperlink r:id="rId11" w:history="1">
        <w:r w:rsidRPr="00BF4A1A">
          <w:rPr>
            <w:rStyle w:val="Hyperlink"/>
            <w:rFonts w:cs="Times New Roman"/>
          </w:rPr>
          <w:t>http://www.perseus.tufts.edu/hopper/text?doc=Perseus%3Atext%3A1999.02.0134%3Abook%3D6%3Acard%3D750</w:t>
        </w:r>
      </w:hyperlink>
      <w:r w:rsidRPr="00BF4A1A">
        <w:rPr>
          <w:rFonts w:cs="Times New Roman"/>
        </w:rPr>
        <w:t xml:space="preserve"> accessed on 15</w:t>
      </w:r>
      <w:r w:rsidRPr="00BF4A1A">
        <w:rPr>
          <w:rFonts w:cs="Times New Roman"/>
          <w:vertAlign w:val="superscript"/>
        </w:rPr>
        <w:t>th</w:t>
      </w:r>
      <w:r w:rsidRPr="00BF4A1A">
        <w:rPr>
          <w:rFonts w:cs="Times New Roman"/>
        </w:rPr>
        <w:t xml:space="preserve"> July, 2018.</w:t>
      </w:r>
    </w:p>
    <w:p w14:paraId="3122154F" w14:textId="77777777" w:rsidR="000573C1" w:rsidRDefault="000573C1" w:rsidP="000573C1">
      <w:r w:rsidRPr="00BF4A1A">
        <w:t>Lucian, </w:t>
      </w:r>
      <w:r w:rsidRPr="00BF4A1A">
        <w:rPr>
          <w:i/>
        </w:rPr>
        <w:t>Menippus, or The Descent into Hades</w:t>
      </w:r>
      <w:r w:rsidRPr="00BF4A1A">
        <w:t>, trans. by A.M. Harmon, LCL 162: 82-83, p. 83. Lucian Vol. IV January 1925.</w:t>
      </w:r>
    </w:p>
    <w:p w14:paraId="03985164" w14:textId="77777777" w:rsidR="000573C1" w:rsidRDefault="000573C1" w:rsidP="000573C1">
      <w:pPr>
        <w:rPr>
          <w:rFonts w:cs="Times New Roman"/>
        </w:rPr>
      </w:pPr>
    </w:p>
    <w:p w14:paraId="05772D11" w14:textId="77777777" w:rsidR="000573C1" w:rsidRDefault="000573C1" w:rsidP="000573C1">
      <w:r w:rsidRPr="00BF4A1A">
        <w:rPr>
          <w:lang w:val="en-IE"/>
        </w:rPr>
        <w:t xml:space="preserve">Strabo, </w:t>
      </w:r>
      <w:r w:rsidRPr="00BF4A1A">
        <w:rPr>
          <w:i/>
          <w:lang w:val="en-IE"/>
        </w:rPr>
        <w:t>Geographica</w:t>
      </w:r>
      <w:r w:rsidRPr="00BF4A1A">
        <w:rPr>
          <w:lang w:val="en-IE"/>
        </w:rPr>
        <w:t xml:space="preserve">, </w:t>
      </w:r>
      <w:r w:rsidRPr="00BF4A1A">
        <w:t>LCL 241: 288-289 Book XVI, ii., section 39.</w:t>
      </w:r>
    </w:p>
    <w:p w14:paraId="4808A072" w14:textId="77777777" w:rsidR="000573C1" w:rsidRDefault="000573C1" w:rsidP="000573C1">
      <w:pPr>
        <w:rPr>
          <w:rFonts w:cs="Times New Roman"/>
        </w:rPr>
      </w:pPr>
    </w:p>
    <w:p w14:paraId="0E0002E5" w14:textId="77777777" w:rsidR="000573C1" w:rsidRPr="00BF4A1A" w:rsidRDefault="000573C1" w:rsidP="000573C1">
      <w:pPr>
        <w:rPr>
          <w:rFonts w:cs="Times New Roman"/>
        </w:rPr>
      </w:pPr>
    </w:p>
    <w:p w14:paraId="317BB7A0" w14:textId="77777777" w:rsidR="000573C1" w:rsidRPr="00BF4A1A" w:rsidRDefault="000573C1" w:rsidP="000573C1">
      <w:pPr>
        <w:rPr>
          <w:u w:val="single"/>
          <w:lang w:val="en-IE"/>
        </w:rPr>
      </w:pPr>
      <w:r w:rsidRPr="00BF4A1A">
        <w:rPr>
          <w:u w:val="single"/>
        </w:rPr>
        <w:t>Secondary sources:</w:t>
      </w:r>
    </w:p>
    <w:p w14:paraId="724043F2" w14:textId="77777777" w:rsidR="000573C1" w:rsidRDefault="000573C1" w:rsidP="000573C1">
      <w:pPr>
        <w:rPr>
          <w:lang w:val="en-IE"/>
        </w:rPr>
      </w:pPr>
    </w:p>
    <w:p w14:paraId="267B9E6A" w14:textId="77777777" w:rsidR="000573C1" w:rsidRPr="00BF4A1A" w:rsidRDefault="000573C1" w:rsidP="000573C1">
      <w:r w:rsidRPr="00BF4A1A">
        <w:t>Abrams,</w:t>
      </w:r>
      <w:r w:rsidRPr="00DC6A85">
        <w:t xml:space="preserve"> </w:t>
      </w:r>
      <w:r w:rsidRPr="00BF4A1A">
        <w:t>Nancy Ellen</w:t>
      </w:r>
      <w:r>
        <w:t xml:space="preserve">, </w:t>
      </w:r>
      <w:r w:rsidRPr="00BF4A1A">
        <w:t xml:space="preserve"> Joel R. Primack, ‘Cosmology and 21st-Century Culture’, </w:t>
      </w:r>
      <w:r w:rsidRPr="00BF4A1A">
        <w:rPr>
          <w:i/>
        </w:rPr>
        <w:t>Science</w:t>
      </w:r>
      <w:r w:rsidRPr="00BF4A1A">
        <w:t xml:space="preserve"> 293 (5536), 1769-1770, p. 1769.</w:t>
      </w:r>
    </w:p>
    <w:p w14:paraId="6F7919F4" w14:textId="77777777" w:rsidR="000573C1" w:rsidRDefault="000573C1" w:rsidP="000573C1"/>
    <w:p w14:paraId="13E5907E" w14:textId="77777777" w:rsidR="000573C1" w:rsidRPr="00DC6A85" w:rsidRDefault="000573C1" w:rsidP="000573C1">
      <w:r w:rsidRPr="00DC6A85">
        <w:t xml:space="preserve">Betz, Hans Dieter, </w:t>
      </w:r>
      <w:r w:rsidRPr="00DC6A85">
        <w:rPr>
          <w:i/>
          <w:iCs/>
        </w:rPr>
        <w:t>The Greek Magical Papyri in Translation, including the Demotic Spells</w:t>
      </w:r>
      <w:r w:rsidRPr="00DC6A85">
        <w:t xml:space="preserve">, </w:t>
      </w:r>
      <w:r>
        <w:t>2</w:t>
      </w:r>
      <w:r w:rsidRPr="00DC6A85">
        <w:rPr>
          <w:vertAlign w:val="superscript"/>
        </w:rPr>
        <w:t>nd</w:t>
      </w:r>
      <w:r>
        <w:t xml:space="preserve"> Ed., (</w:t>
      </w:r>
      <w:r w:rsidRPr="00DC6A85">
        <w:t>Chicago:</w:t>
      </w:r>
      <w:r>
        <w:t xml:space="preserve"> Chicago University Press, 1996).</w:t>
      </w:r>
    </w:p>
    <w:p w14:paraId="68E4E625" w14:textId="77777777" w:rsidR="000573C1" w:rsidRDefault="000573C1" w:rsidP="000573C1">
      <w:pPr>
        <w:rPr>
          <w:lang w:val="en-IE"/>
        </w:rPr>
      </w:pPr>
    </w:p>
    <w:p w14:paraId="305E185F" w14:textId="77777777" w:rsidR="000573C1" w:rsidRPr="00F5271E" w:rsidRDefault="000573C1" w:rsidP="000573C1">
      <w:r>
        <w:rPr>
          <w:lang w:val="en-IE"/>
        </w:rPr>
        <w:t xml:space="preserve">Bremmer, Jan N., ‘Ancient Necromancy and Modern Spiritualism’, in </w:t>
      </w:r>
      <w:r w:rsidRPr="00BE521D">
        <w:rPr>
          <w:bCs/>
          <w:i/>
        </w:rPr>
        <w:t>The Rise And Fall Of The Afterlife: The 1995 Read-Tuckwell Lectures at the University of Bristol</w:t>
      </w:r>
      <w:r w:rsidRPr="00BE521D">
        <w:rPr>
          <w:bCs/>
        </w:rPr>
        <w:t>, ed. by</w:t>
      </w:r>
      <w:r>
        <w:rPr>
          <w:bCs/>
        </w:rPr>
        <w:t xml:space="preserve"> Jan N. Bremmer (London &amp; New York: Routledge, 2002).</w:t>
      </w:r>
    </w:p>
    <w:p w14:paraId="24D9C2D0" w14:textId="77777777" w:rsidR="000573C1" w:rsidRDefault="000573C1" w:rsidP="000573C1"/>
    <w:p w14:paraId="51137848" w14:textId="77777777" w:rsidR="000573C1" w:rsidRDefault="000573C1" w:rsidP="000573C1">
      <w:r>
        <w:t xml:space="preserve">Bremmer, Jan. N., ‘Ancient Necromancy: Fact or Fiction?’, in </w:t>
      </w:r>
      <w:r w:rsidRPr="008B03F8">
        <w:rPr>
          <w:i/>
        </w:rPr>
        <w:t>Mantic Perspectives: Oracles, Prophesy and Performance</w:t>
      </w:r>
      <w:r>
        <w:t>, ed. by Krzysztof Bielaswki (</w:t>
      </w:r>
      <w:r w:rsidRPr="00CC3090">
        <w:t>Ośrodek Praktyk Teatralnych "Gardzienice", 2015</w:t>
      </w:r>
      <w:r>
        <w:t>).</w:t>
      </w:r>
    </w:p>
    <w:p w14:paraId="72FA505F" w14:textId="77777777" w:rsidR="000573C1" w:rsidRDefault="000573C1" w:rsidP="000573C1">
      <w:pPr>
        <w:rPr>
          <w:lang w:val="en-IE"/>
        </w:rPr>
      </w:pPr>
    </w:p>
    <w:p w14:paraId="07EA5423" w14:textId="77777777" w:rsidR="000573C1" w:rsidRDefault="000573C1" w:rsidP="000573C1">
      <w:r w:rsidRPr="00BF4A1A">
        <w:t xml:space="preserve">Campion, </w:t>
      </w:r>
      <w:r>
        <w:t xml:space="preserve">Nicholas, </w:t>
      </w:r>
      <w:r w:rsidRPr="00BF4A1A">
        <w:t xml:space="preserve">‘Cosmos / Cosmologies’, </w:t>
      </w:r>
      <w:r w:rsidRPr="00BF4A1A">
        <w:rPr>
          <w:i/>
        </w:rPr>
        <w:t>Vocabulary for the Study of Religion,</w:t>
      </w:r>
      <w:r w:rsidRPr="00BF4A1A">
        <w:t xml:space="preserve"> ed. by Robert A. Segal and Kocku von Stuckrad</w:t>
      </w:r>
      <w:r w:rsidRPr="00BF4A1A">
        <w:rPr>
          <w:i/>
        </w:rPr>
        <w:t xml:space="preserve"> </w:t>
      </w:r>
      <w:r w:rsidRPr="00BF4A1A">
        <w:t>(Leiden: Brill, 2015), p.359.</w:t>
      </w:r>
    </w:p>
    <w:p w14:paraId="43AA6D80" w14:textId="77777777" w:rsidR="000573C1" w:rsidRPr="00BA725E" w:rsidRDefault="000573C1" w:rsidP="000573C1">
      <w:pPr>
        <w:rPr>
          <w:lang w:val="en-IE"/>
        </w:rPr>
      </w:pPr>
    </w:p>
    <w:p w14:paraId="7C379679" w14:textId="77777777" w:rsidR="000573C1" w:rsidRDefault="000573C1" w:rsidP="000573C1">
      <w:r>
        <w:t xml:space="preserve">Johnston, Sarah Iles, ‘Magic and the Dead in Classical Greece’, in John. Petropoulos J. C. B Petropoulos, </w:t>
      </w:r>
      <w:r>
        <w:rPr>
          <w:i/>
        </w:rPr>
        <w:t>Greek Magic: Ancient, Medieval, and M</w:t>
      </w:r>
      <w:r w:rsidRPr="005447EF">
        <w:rPr>
          <w:i/>
        </w:rPr>
        <w:t>odern</w:t>
      </w:r>
      <w:r>
        <w:t xml:space="preserve"> (Milton Park, Abingdon, OX &amp; New York: Routledge, 2008).</w:t>
      </w:r>
    </w:p>
    <w:p w14:paraId="7B948B07" w14:textId="77777777" w:rsidR="000573C1" w:rsidRDefault="000573C1" w:rsidP="000573C1">
      <w:pPr>
        <w:rPr>
          <w:lang w:val="en-IE"/>
        </w:rPr>
      </w:pPr>
    </w:p>
    <w:p w14:paraId="69CDCCD7" w14:textId="77777777" w:rsidR="000573C1" w:rsidRPr="00BA725E" w:rsidRDefault="000573C1" w:rsidP="000573C1">
      <w:r w:rsidRPr="00BA725E">
        <w:rPr>
          <w:lang w:val="en-IE"/>
        </w:rPr>
        <w:t xml:space="preserve">Kindt, Julia, ‘Review of </w:t>
      </w:r>
      <w:r w:rsidRPr="00BA725E">
        <w:t xml:space="preserve">Greek and Roman Necromancy by Daniel Ogden’, </w:t>
      </w:r>
      <w:r w:rsidRPr="00BA725E">
        <w:rPr>
          <w:i/>
        </w:rPr>
        <w:t>The International History Review</w:t>
      </w:r>
      <w:r w:rsidRPr="00BA725E">
        <w:t>, Vol. 25, No. 2 (June, 2003), pp. 383-384.</w:t>
      </w:r>
    </w:p>
    <w:p w14:paraId="173854FC" w14:textId="77777777" w:rsidR="000573C1" w:rsidRDefault="000573C1" w:rsidP="000573C1"/>
    <w:p w14:paraId="67210B34" w14:textId="77777777" w:rsidR="000573C1" w:rsidRPr="00BA725E" w:rsidRDefault="000573C1" w:rsidP="000573C1">
      <w:r w:rsidRPr="00BA725E">
        <w:t xml:space="preserve">Kraeling, Carl H., ‘Was Jesus Accused of Necromancy?’, </w:t>
      </w:r>
      <w:r w:rsidRPr="00BA725E">
        <w:rPr>
          <w:i/>
        </w:rPr>
        <w:t>Journal of Biblical Literature</w:t>
      </w:r>
      <w:r w:rsidRPr="00BA725E">
        <w:t>, Vol. 59, No. 2 (Jun., 1940), pp. 147-157, p. 156.</w:t>
      </w:r>
    </w:p>
    <w:p w14:paraId="79B7CAEA" w14:textId="77777777" w:rsidR="000573C1" w:rsidRDefault="000573C1" w:rsidP="000573C1"/>
    <w:p w14:paraId="1AF06AF8" w14:textId="77777777" w:rsidR="000573C1" w:rsidRPr="00E735E3" w:rsidRDefault="000573C1" w:rsidP="000573C1">
      <w:r>
        <w:t xml:space="preserve">Ogden, Daniel, </w:t>
      </w:r>
      <w:r w:rsidRPr="005447EF">
        <w:rPr>
          <w:i/>
        </w:rPr>
        <w:t>Greek and Roman Necromancy</w:t>
      </w:r>
      <w:r>
        <w:t xml:space="preserve"> (</w:t>
      </w:r>
      <w:r w:rsidRPr="00E735E3">
        <w:t>Princeton: Princeton University Press, 2001</w:t>
      </w:r>
      <w:r>
        <w:t>)</w:t>
      </w:r>
      <w:r w:rsidRPr="00E735E3">
        <w:t>. </w:t>
      </w:r>
    </w:p>
    <w:p w14:paraId="14447E98" w14:textId="77777777" w:rsidR="000573C1" w:rsidRDefault="000573C1" w:rsidP="000573C1"/>
    <w:p w14:paraId="22B9402C" w14:textId="77777777" w:rsidR="000573C1" w:rsidRDefault="000573C1" w:rsidP="000573C1">
      <w:r>
        <w:t>Ogden, Daniel</w:t>
      </w:r>
      <w:r w:rsidRPr="002B39BF">
        <w:t>, </w:t>
      </w:r>
      <w:r w:rsidRPr="002B39BF">
        <w:rPr>
          <w:i/>
          <w:iCs/>
        </w:rPr>
        <w:t>Magic, Witchcraft and Ghosts in the Greek and Roman Worlds: A Sourcebook</w:t>
      </w:r>
      <w:r w:rsidRPr="002B39BF">
        <w:t xml:space="preserve">, </w:t>
      </w:r>
      <w:r>
        <w:t>(</w:t>
      </w:r>
      <w:r w:rsidRPr="002B39BF">
        <w:t>Oxford: Oxford University Press, 2002</w:t>
      </w:r>
      <w:r>
        <w:t>)</w:t>
      </w:r>
      <w:r w:rsidRPr="002B39BF">
        <w:t>.</w:t>
      </w:r>
    </w:p>
    <w:p w14:paraId="37DF9F3E" w14:textId="77777777" w:rsidR="000573C1" w:rsidRDefault="000573C1" w:rsidP="000573C1"/>
    <w:p w14:paraId="18ECDD66" w14:textId="77777777" w:rsidR="000573C1" w:rsidRPr="000461C0" w:rsidRDefault="000573C1" w:rsidP="000573C1">
      <w:pPr>
        <w:rPr>
          <w:rFonts w:cs="Times New Roman"/>
          <w:color w:val="323333"/>
        </w:rPr>
      </w:pPr>
      <w:r w:rsidRPr="00CD62B7">
        <w:rPr>
          <w:rFonts w:ascii="Times" w:hAnsi="Times" w:cs="Times New Roman"/>
          <w:color w:val="1E1E1E"/>
        </w:rPr>
        <w:t xml:space="preserve">Ogden, Daniel, </w:t>
      </w:r>
      <w:r>
        <w:rPr>
          <w:rFonts w:ascii="Times" w:hAnsi="Times" w:cs="Times New Roman"/>
          <w:color w:val="1E1E1E"/>
        </w:rPr>
        <w:t>‘</w:t>
      </w:r>
      <w:r w:rsidRPr="00CD62B7">
        <w:rPr>
          <w:rFonts w:ascii="Times" w:hAnsi="Times" w:cs="Times New Roman"/>
          <w:color w:val="1E1E1E"/>
        </w:rPr>
        <w:t xml:space="preserve">The Ancient </w:t>
      </w:r>
      <w:r w:rsidRPr="00CD62B7">
        <w:rPr>
          <w:rFonts w:ascii="Times" w:hAnsi="Times" w:cs="Times New Roman"/>
          <w:color w:val="323333"/>
        </w:rPr>
        <w:t xml:space="preserve">Greek </w:t>
      </w:r>
      <w:r w:rsidRPr="00CD62B7">
        <w:rPr>
          <w:rFonts w:ascii="Times" w:hAnsi="Times" w:cs="Times New Roman"/>
          <w:color w:val="1E1E1E"/>
        </w:rPr>
        <w:t>Orackles of the Dead</w:t>
      </w:r>
      <w:r>
        <w:rPr>
          <w:rFonts w:ascii="Times" w:hAnsi="Times" w:cs="Times New Roman"/>
          <w:color w:val="1E1E1E"/>
        </w:rPr>
        <w:t>’,</w:t>
      </w:r>
      <w:r w:rsidRPr="00CD62B7">
        <w:rPr>
          <w:rFonts w:ascii="Helvetica" w:hAnsi="Helvetica" w:cs="Times New Roman"/>
          <w:color w:val="323333"/>
        </w:rPr>
        <w:t xml:space="preserve"> </w:t>
      </w:r>
      <w:r w:rsidRPr="005035F8">
        <w:rPr>
          <w:rFonts w:cs="Times New Roman"/>
          <w:i/>
          <w:color w:val="323333"/>
        </w:rPr>
        <w:t>Acta Classica</w:t>
      </w:r>
      <w:r w:rsidRPr="000461C0">
        <w:rPr>
          <w:rFonts w:cs="Times New Roman"/>
          <w:color w:val="323333"/>
        </w:rPr>
        <w:t xml:space="preserve"> XLIV (2001) </w:t>
      </w:r>
      <w:r>
        <w:rPr>
          <w:rFonts w:cs="Times New Roman"/>
          <w:color w:val="323333"/>
        </w:rPr>
        <w:t xml:space="preserve">pp. </w:t>
      </w:r>
      <w:r w:rsidRPr="000461C0">
        <w:rPr>
          <w:rFonts w:cs="Times New Roman"/>
          <w:color w:val="1E1E1E"/>
        </w:rPr>
        <w:t>167-195</w:t>
      </w:r>
      <w:r>
        <w:rPr>
          <w:rFonts w:cs="Times New Roman"/>
          <w:color w:val="1E1E1E"/>
        </w:rPr>
        <w:t>.</w:t>
      </w:r>
    </w:p>
    <w:p w14:paraId="51F65DA8" w14:textId="77777777" w:rsidR="000573C1" w:rsidRDefault="000573C1" w:rsidP="000573C1"/>
    <w:p w14:paraId="7373DA6F" w14:textId="77777777" w:rsidR="000573C1" w:rsidRPr="006E3A30" w:rsidRDefault="000573C1" w:rsidP="000573C1">
      <w:pPr>
        <w:pStyle w:val="NormalWeb"/>
        <w:shd w:val="clear" w:color="auto" w:fill="FFFFFF"/>
        <w:spacing w:before="0" w:beforeAutospacing="0" w:after="0" w:afterAutospacing="0" w:line="330" w:lineRule="atLeast"/>
        <w:rPr>
          <w:color w:val="333333"/>
        </w:rPr>
      </w:pPr>
      <w:r w:rsidRPr="006E3A30">
        <w:rPr>
          <w:color w:val="333333"/>
        </w:rPr>
        <w:t xml:space="preserve">Tuczay, Christa Agnes, </w:t>
      </w:r>
      <w:r w:rsidRPr="006E3A30">
        <w:rPr>
          <w:bCs/>
          <w:color w:val="333333"/>
        </w:rPr>
        <w:t>Necromancy from Antiquity to Medieval and Modern Times</w:t>
      </w:r>
      <w:r w:rsidRPr="006E3A30">
        <w:rPr>
          <w:color w:val="333333"/>
        </w:rPr>
        <w:t xml:space="preserve">, </w:t>
      </w:r>
      <w:r w:rsidRPr="006E3A30">
        <w:rPr>
          <w:rStyle w:val="Emphasis"/>
          <w:color w:val="333333"/>
        </w:rPr>
        <w:t>The Ritual Year, Vol.10: Magic in Rituals and Rituals in Magic</w:t>
      </w:r>
      <w:r w:rsidRPr="006E3A30">
        <w:rPr>
          <w:color w:val="333333"/>
        </w:rPr>
        <w:t xml:space="preserve">, ed. by Tatiana Minniyakhmetova and Kamila Velkoborská (2015), pp. </w:t>
      </w:r>
      <w:r>
        <w:rPr>
          <w:color w:val="333333"/>
        </w:rPr>
        <w:t>275-285.</w:t>
      </w:r>
    </w:p>
    <w:p w14:paraId="3E8FBD73" w14:textId="77777777" w:rsidR="000573C1" w:rsidRDefault="000573C1" w:rsidP="000573C1">
      <w:pPr>
        <w:rPr>
          <w:bCs/>
        </w:rPr>
      </w:pPr>
    </w:p>
    <w:p w14:paraId="2B63B8A0" w14:textId="77777777" w:rsidR="000573C1" w:rsidRDefault="000573C1" w:rsidP="000573C1"/>
    <w:p w14:paraId="2BAE8F6B" w14:textId="77777777" w:rsidR="000573C1" w:rsidRDefault="000573C1" w:rsidP="000573C1"/>
    <w:p w14:paraId="62C0C5AC" w14:textId="77777777" w:rsidR="000573C1" w:rsidRPr="00F768F4" w:rsidRDefault="000573C1" w:rsidP="000573C1">
      <w:r w:rsidRPr="00F768F4">
        <w:t> </w:t>
      </w:r>
    </w:p>
    <w:p w14:paraId="186C5478" w14:textId="77777777" w:rsidR="000573C1" w:rsidRPr="00014E59" w:rsidRDefault="000573C1" w:rsidP="000573C1"/>
    <w:p w14:paraId="0EF1322C" w14:textId="77777777" w:rsidR="000573C1" w:rsidRPr="00014E59" w:rsidRDefault="000573C1" w:rsidP="000573C1"/>
    <w:p w14:paraId="561E8CC3" w14:textId="77777777" w:rsidR="000573C1" w:rsidRDefault="000573C1" w:rsidP="000573C1">
      <w:pPr>
        <w:pStyle w:val="NormalWeb"/>
        <w:shd w:val="clear" w:color="auto" w:fill="FFFFFF"/>
        <w:spacing w:before="0" w:beforeAutospacing="0" w:after="0" w:afterAutospacing="0" w:line="330" w:lineRule="atLeast"/>
        <w:rPr>
          <w:rStyle w:val="Strong"/>
          <w:rFonts w:ascii="Arial" w:hAnsi="Arial" w:cs="Arial"/>
          <w:color w:val="333333"/>
          <w:sz w:val="21"/>
          <w:szCs w:val="21"/>
        </w:rPr>
      </w:pPr>
    </w:p>
    <w:p w14:paraId="6D0AF951" w14:textId="77777777" w:rsidR="000573C1" w:rsidRDefault="000573C1" w:rsidP="000573C1"/>
    <w:p w14:paraId="692E5E0D" w14:textId="77777777" w:rsidR="00DA0137" w:rsidRDefault="00DA0137" w:rsidP="009C7B2B">
      <w:pPr>
        <w:spacing w:line="360" w:lineRule="auto"/>
        <w:jc w:val="both"/>
        <w:rPr>
          <w:rFonts w:cs="Times New Roman"/>
        </w:rPr>
      </w:pPr>
    </w:p>
    <w:sectPr w:rsidR="00DA0137" w:rsidSect="00E318BC">
      <w:headerReference w:type="even" r:id="rId12"/>
      <w:head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C9228CA" w14:textId="77777777" w:rsidR="0060560D" w:rsidRDefault="0060560D" w:rsidP="00117047">
      <w:r>
        <w:separator/>
      </w:r>
    </w:p>
  </w:endnote>
  <w:endnote w:type="continuationSeparator" w:id="0">
    <w:p w14:paraId="30049779" w14:textId="77777777" w:rsidR="0060560D" w:rsidRDefault="0060560D" w:rsidP="001170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Tahoma">
    <w:panose1 w:val="020B0604030504040204"/>
    <w:charset w:val="00"/>
    <w:family w:val="auto"/>
    <w:pitch w:val="variable"/>
    <w:sig w:usb0="E1002EFF" w:usb1="C000605B" w:usb2="00000029" w:usb3="00000000" w:csb0="000101FF" w:csb1="00000000"/>
  </w:font>
  <w:font w:name="SimSun">
    <w:panose1 w:val="02010600030101010101"/>
    <w:charset w:val="86"/>
    <w:family w:val="auto"/>
    <w:pitch w:val="variable"/>
    <w:sig w:usb0="00000003" w:usb1="288F0000" w:usb2="00000016" w:usb3="00000000" w:csb0="00040001"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Trebuchet MS">
    <w:panose1 w:val="020B0603020202020204"/>
    <w:charset w:val="00"/>
    <w:family w:val="auto"/>
    <w:pitch w:val="variable"/>
    <w:sig w:usb0="00000287" w:usb1="00000000" w:usb2="00000000" w:usb3="00000000" w:csb0="0000009F" w:csb1="00000000"/>
  </w:font>
  <w:font w:name="Wingdings 2">
    <w:panose1 w:val="05020102010507070707"/>
    <w:charset w:val="02"/>
    <w:family w:val="auto"/>
    <w:pitch w:val="variable"/>
    <w:sig w:usb0="00000000" w:usb1="10000000" w:usb2="00000000" w:usb3="00000000" w:csb0="80000000" w:csb1="00000000"/>
  </w:font>
  <w:font w:name="Helvetica">
    <w:panose1 w:val="00000000000000000000"/>
    <w:charset w:val="00"/>
    <w:family w:val="auto"/>
    <w:pitch w:val="variable"/>
    <w:sig w:usb0="E00002FF" w:usb1="5000785B" w:usb2="00000000" w:usb3="00000000" w:csb0="0000019F" w:csb1="00000000"/>
  </w:font>
  <w:font w:name="Georgia">
    <w:panose1 w:val="02040502050405020303"/>
    <w:charset w:val="00"/>
    <w:family w:val="auto"/>
    <w:pitch w:val="variable"/>
    <w:sig w:usb0="00000287" w:usb1="00000000" w:usb2="00000000" w:usb3="00000000" w:csb0="0000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03D64F6" w14:textId="77777777" w:rsidR="0060560D" w:rsidRDefault="0060560D" w:rsidP="00117047">
      <w:r>
        <w:separator/>
      </w:r>
    </w:p>
  </w:footnote>
  <w:footnote w:type="continuationSeparator" w:id="0">
    <w:p w14:paraId="70101710" w14:textId="77777777" w:rsidR="0060560D" w:rsidRDefault="0060560D" w:rsidP="00117047">
      <w:r>
        <w:continuationSeparator/>
      </w:r>
    </w:p>
  </w:footnote>
  <w:footnote w:id="1">
    <w:p w14:paraId="0F1E162E" w14:textId="111D6B1F" w:rsidR="002C5016" w:rsidRPr="0056225E" w:rsidRDefault="002C5016">
      <w:pPr>
        <w:pStyle w:val="FootnoteText"/>
      </w:pPr>
      <w:r>
        <w:rPr>
          <w:rStyle w:val="FootnoteReference"/>
        </w:rPr>
        <w:footnoteRef/>
      </w:r>
      <w:r>
        <w:t xml:space="preserve"> </w:t>
      </w:r>
      <w:r w:rsidR="0056225E" w:rsidRPr="0056225E">
        <w:rPr>
          <w:sz w:val="20"/>
          <w:szCs w:val="20"/>
          <w:lang w:val="en-IE"/>
        </w:rPr>
        <w:t xml:space="preserve">Julia Kindt, ‘Review of </w:t>
      </w:r>
      <w:r w:rsidR="0056225E" w:rsidRPr="0056225E">
        <w:rPr>
          <w:sz w:val="20"/>
          <w:szCs w:val="20"/>
        </w:rPr>
        <w:t xml:space="preserve">Greek and Roman Necromancy by Daniel Ogden’, </w:t>
      </w:r>
      <w:r w:rsidR="0056225E" w:rsidRPr="0056225E">
        <w:rPr>
          <w:i/>
          <w:sz w:val="20"/>
          <w:szCs w:val="20"/>
        </w:rPr>
        <w:t>The International History Review</w:t>
      </w:r>
      <w:r w:rsidR="00004531">
        <w:rPr>
          <w:sz w:val="20"/>
          <w:szCs w:val="20"/>
        </w:rPr>
        <w:t>, Vol. 25, No. 2 (June</w:t>
      </w:r>
      <w:r w:rsidR="0056225E" w:rsidRPr="0056225E">
        <w:rPr>
          <w:sz w:val="20"/>
          <w:szCs w:val="20"/>
        </w:rPr>
        <w:t>, 2003), pp. 383-384,</w:t>
      </w:r>
      <w:r w:rsidR="0056225E" w:rsidRPr="00004531">
        <w:rPr>
          <w:sz w:val="20"/>
          <w:szCs w:val="20"/>
        </w:rPr>
        <w:t xml:space="preserve"> p. </w:t>
      </w:r>
      <w:r w:rsidR="00004531" w:rsidRPr="00004531">
        <w:rPr>
          <w:sz w:val="20"/>
          <w:szCs w:val="20"/>
        </w:rPr>
        <w:t>383.</w:t>
      </w:r>
    </w:p>
  </w:footnote>
  <w:footnote w:id="2">
    <w:p w14:paraId="3245DD64" w14:textId="2F623BEC" w:rsidR="006F7833" w:rsidRPr="0056225E" w:rsidRDefault="006F7833" w:rsidP="0056225E">
      <w:r>
        <w:rPr>
          <w:rStyle w:val="FootnoteReference"/>
        </w:rPr>
        <w:footnoteRef/>
      </w:r>
      <w:r>
        <w:t xml:space="preserve"> </w:t>
      </w:r>
      <w:r w:rsidR="0056225E" w:rsidRPr="0056225E">
        <w:rPr>
          <w:sz w:val="20"/>
          <w:szCs w:val="20"/>
        </w:rPr>
        <w:t xml:space="preserve">Jan N. </w:t>
      </w:r>
      <w:r w:rsidR="0056225E" w:rsidRPr="0056225E">
        <w:rPr>
          <w:sz w:val="20"/>
          <w:szCs w:val="20"/>
        </w:rPr>
        <w:t xml:space="preserve">Bremmer, ‘Ancient Necromancy: Fact or Fiction?’, in </w:t>
      </w:r>
      <w:r w:rsidR="0056225E" w:rsidRPr="0056225E">
        <w:rPr>
          <w:i/>
          <w:sz w:val="20"/>
          <w:szCs w:val="20"/>
        </w:rPr>
        <w:t>Mantic Perspectives: Oracles, Prophesy and Performance</w:t>
      </w:r>
      <w:r w:rsidR="0056225E" w:rsidRPr="0056225E">
        <w:rPr>
          <w:sz w:val="20"/>
          <w:szCs w:val="20"/>
        </w:rPr>
        <w:t>, ed. by Krzysztof Bielaswki (Ośrodek Praktyk Teatralnych "Gardzienice", 2015</w:t>
      </w:r>
      <w:r w:rsidR="0056225E" w:rsidRPr="0056225E">
        <w:rPr>
          <w:sz w:val="20"/>
          <w:szCs w:val="20"/>
        </w:rPr>
        <w:t xml:space="preserve">), </w:t>
      </w:r>
      <w:r w:rsidRPr="0056225E">
        <w:rPr>
          <w:sz w:val="20"/>
          <w:szCs w:val="20"/>
          <w:lang w:val="en-IE"/>
        </w:rPr>
        <w:t>p. 121.</w:t>
      </w:r>
      <w:r>
        <w:rPr>
          <w:lang w:val="en-IE"/>
        </w:rPr>
        <w:t xml:space="preserve"> </w:t>
      </w:r>
    </w:p>
  </w:footnote>
  <w:footnote w:id="3">
    <w:p w14:paraId="63AFCA2B" w14:textId="56031152" w:rsidR="007E282C" w:rsidRPr="0056225E" w:rsidRDefault="007E282C" w:rsidP="0056225E">
      <w:r>
        <w:rPr>
          <w:rStyle w:val="FootnoteReference"/>
        </w:rPr>
        <w:footnoteRef/>
      </w:r>
      <w:r>
        <w:t xml:space="preserve"> </w:t>
      </w:r>
      <w:r w:rsidR="0056225E" w:rsidRPr="0056225E">
        <w:rPr>
          <w:sz w:val="20"/>
          <w:szCs w:val="20"/>
        </w:rPr>
        <w:t xml:space="preserve">Jan N. Bremmer, ‘Ancient Necromancy: Fact or Fiction?’, in </w:t>
      </w:r>
      <w:r w:rsidR="0056225E" w:rsidRPr="0056225E">
        <w:rPr>
          <w:i/>
          <w:sz w:val="20"/>
          <w:szCs w:val="20"/>
        </w:rPr>
        <w:t>Mantic Perspectives: Oracles, Prophesy and Performance</w:t>
      </w:r>
      <w:r w:rsidR="0056225E" w:rsidRPr="0056225E">
        <w:rPr>
          <w:sz w:val="20"/>
          <w:szCs w:val="20"/>
        </w:rPr>
        <w:t>, ed. by Krzysztof Bielaswki (Ośrodek Praktyk Teatralnych "Gardzienice", 2015</w:t>
      </w:r>
      <w:r w:rsidR="0056225E" w:rsidRPr="0056225E">
        <w:rPr>
          <w:sz w:val="20"/>
          <w:szCs w:val="20"/>
        </w:rPr>
        <w:t xml:space="preserve">), </w:t>
      </w:r>
      <w:r w:rsidRPr="0056225E">
        <w:rPr>
          <w:sz w:val="20"/>
          <w:szCs w:val="20"/>
          <w:lang w:val="en-IE"/>
        </w:rPr>
        <w:t>p. 121.</w:t>
      </w:r>
    </w:p>
  </w:footnote>
  <w:footnote w:id="4">
    <w:p w14:paraId="42DAD6EA" w14:textId="01312E42" w:rsidR="00113F0E" w:rsidRPr="00BA69F5" w:rsidRDefault="00113F0E" w:rsidP="00113F0E">
      <w:pPr>
        <w:pStyle w:val="FootnoteText"/>
        <w:rPr>
          <w:sz w:val="20"/>
          <w:szCs w:val="20"/>
        </w:rPr>
      </w:pPr>
      <w:r>
        <w:rPr>
          <w:rStyle w:val="FootnoteReference"/>
        </w:rPr>
        <w:footnoteRef/>
      </w:r>
      <w:r>
        <w:t xml:space="preserve"> </w:t>
      </w:r>
      <w:r w:rsidR="00004531" w:rsidRPr="00004531">
        <w:rPr>
          <w:sz w:val="20"/>
          <w:szCs w:val="20"/>
        </w:rPr>
        <w:t xml:space="preserve">Daniel </w:t>
      </w:r>
      <w:r w:rsidRPr="002E23F4">
        <w:rPr>
          <w:sz w:val="20"/>
          <w:szCs w:val="20"/>
          <w:lang w:val="en-IE"/>
        </w:rPr>
        <w:t xml:space="preserve">Ogden, </w:t>
      </w:r>
      <w:r w:rsidR="00BA69F5">
        <w:rPr>
          <w:sz w:val="20"/>
          <w:szCs w:val="20"/>
          <w:lang w:val="en-IE"/>
        </w:rPr>
        <w:t>‘</w:t>
      </w:r>
      <w:r w:rsidRPr="00BA69F5">
        <w:rPr>
          <w:sz w:val="20"/>
          <w:szCs w:val="20"/>
        </w:rPr>
        <w:t>The Ancient Greek Orackles of the Dead</w:t>
      </w:r>
      <w:r w:rsidR="00BA69F5">
        <w:rPr>
          <w:sz w:val="20"/>
          <w:szCs w:val="20"/>
        </w:rPr>
        <w:t>’</w:t>
      </w:r>
      <w:r w:rsidRPr="00113F0E">
        <w:rPr>
          <w:sz w:val="20"/>
          <w:szCs w:val="20"/>
        </w:rPr>
        <w:t>,</w:t>
      </w:r>
      <w:r w:rsidR="00BA69F5" w:rsidRPr="00BA69F5">
        <w:rPr>
          <w:rFonts w:cs="Times New Roman"/>
          <w:i/>
          <w:color w:val="323333"/>
        </w:rPr>
        <w:t xml:space="preserve"> </w:t>
      </w:r>
      <w:r w:rsidR="00BA69F5" w:rsidRPr="00BA69F5">
        <w:rPr>
          <w:i/>
          <w:sz w:val="20"/>
          <w:szCs w:val="20"/>
        </w:rPr>
        <w:t>Acta Classica</w:t>
      </w:r>
      <w:r w:rsidR="00BA69F5" w:rsidRPr="00BA69F5">
        <w:rPr>
          <w:sz w:val="20"/>
          <w:szCs w:val="20"/>
        </w:rPr>
        <w:t xml:space="preserve"> XLIV (2001) pp. 167-195</w:t>
      </w:r>
      <w:r w:rsidR="00BA69F5">
        <w:rPr>
          <w:sz w:val="20"/>
          <w:szCs w:val="20"/>
        </w:rPr>
        <w:t xml:space="preserve">, </w:t>
      </w:r>
      <w:r w:rsidRPr="00113F0E">
        <w:rPr>
          <w:sz w:val="20"/>
          <w:szCs w:val="20"/>
          <w:lang w:val="en-IE"/>
        </w:rPr>
        <w:t>p. 168.</w:t>
      </w:r>
    </w:p>
  </w:footnote>
  <w:footnote w:id="5">
    <w:p w14:paraId="192F5CEE" w14:textId="77777777" w:rsidR="00C41331" w:rsidRPr="0074717E" w:rsidRDefault="00C41331" w:rsidP="00C41331">
      <w:pPr>
        <w:spacing w:line="276" w:lineRule="auto"/>
        <w:rPr>
          <w:sz w:val="20"/>
          <w:szCs w:val="20"/>
        </w:rPr>
      </w:pPr>
      <w:r w:rsidRPr="009C333E">
        <w:rPr>
          <w:rStyle w:val="FootnoteReference"/>
          <w:sz w:val="20"/>
          <w:szCs w:val="20"/>
        </w:rPr>
        <w:footnoteRef/>
      </w:r>
      <w:r w:rsidRPr="009C333E">
        <w:rPr>
          <w:sz w:val="20"/>
          <w:szCs w:val="20"/>
        </w:rPr>
        <w:t xml:space="preserve"> Nicholas Campion, ‘Cosmos / Cosmologies’, </w:t>
      </w:r>
      <w:r w:rsidRPr="009C333E">
        <w:rPr>
          <w:i/>
          <w:sz w:val="20"/>
          <w:szCs w:val="20"/>
        </w:rPr>
        <w:t>Vocabulary for the Study of Religion,</w:t>
      </w:r>
      <w:r w:rsidRPr="009C333E">
        <w:rPr>
          <w:sz w:val="20"/>
          <w:szCs w:val="20"/>
        </w:rPr>
        <w:t xml:space="preserve"> ed. by </w:t>
      </w:r>
      <w:r>
        <w:rPr>
          <w:sz w:val="20"/>
          <w:szCs w:val="20"/>
        </w:rPr>
        <w:t>Robert A. Segal and Kocku v</w:t>
      </w:r>
      <w:r w:rsidRPr="009C333E">
        <w:rPr>
          <w:sz w:val="20"/>
          <w:szCs w:val="20"/>
        </w:rPr>
        <w:t>on Stuckrad</w:t>
      </w:r>
      <w:r w:rsidRPr="009C333E">
        <w:rPr>
          <w:i/>
          <w:sz w:val="20"/>
          <w:szCs w:val="20"/>
        </w:rPr>
        <w:t xml:space="preserve"> </w:t>
      </w:r>
      <w:r w:rsidRPr="009C333E">
        <w:rPr>
          <w:sz w:val="20"/>
          <w:szCs w:val="20"/>
        </w:rPr>
        <w:t xml:space="preserve">(Leiden: Brill, 2015), p.359. </w:t>
      </w:r>
    </w:p>
  </w:footnote>
  <w:footnote w:id="6">
    <w:p w14:paraId="490CDC25" w14:textId="77777777" w:rsidR="00C41331" w:rsidRPr="00333E41" w:rsidRDefault="00C41331" w:rsidP="00C41331">
      <w:pPr>
        <w:rPr>
          <w:rFonts w:eastAsia="Times New Roman"/>
        </w:rPr>
      </w:pPr>
      <w:r>
        <w:rPr>
          <w:rStyle w:val="FootnoteReference"/>
        </w:rPr>
        <w:footnoteRef/>
      </w:r>
      <w:r>
        <w:t xml:space="preserve"> </w:t>
      </w:r>
      <w:r w:rsidRPr="00333E41">
        <w:rPr>
          <w:rFonts w:eastAsia="Times New Roman"/>
          <w:sz w:val="20"/>
          <w:szCs w:val="20"/>
        </w:rPr>
        <w:t xml:space="preserve">Nancy Ellen Abrams, Joel R. Primack, ‘Cosmology and 21st-Century Culture’, </w:t>
      </w:r>
      <w:r w:rsidRPr="00333E41">
        <w:rPr>
          <w:rFonts w:eastAsia="Times New Roman"/>
          <w:i/>
          <w:sz w:val="20"/>
          <w:szCs w:val="20"/>
        </w:rPr>
        <w:t>Science</w:t>
      </w:r>
      <w:r w:rsidRPr="00333E41">
        <w:rPr>
          <w:rFonts w:eastAsia="Times New Roman"/>
          <w:sz w:val="20"/>
          <w:szCs w:val="20"/>
        </w:rPr>
        <w:t xml:space="preserve"> 293 (5536), 1769-1770</w:t>
      </w:r>
      <w:r>
        <w:rPr>
          <w:rFonts w:eastAsia="Times New Roman"/>
          <w:sz w:val="20"/>
          <w:szCs w:val="20"/>
        </w:rPr>
        <w:t xml:space="preserve">, </w:t>
      </w:r>
      <w:r w:rsidRPr="00333E41">
        <w:rPr>
          <w:rFonts w:eastAsia="Times New Roman"/>
          <w:sz w:val="20"/>
          <w:szCs w:val="20"/>
        </w:rPr>
        <w:t>p. 1769.</w:t>
      </w:r>
    </w:p>
  </w:footnote>
  <w:footnote w:id="7">
    <w:p w14:paraId="7A415514" w14:textId="6DE119E3" w:rsidR="001E144E" w:rsidRPr="00BE521D" w:rsidRDefault="001E144E" w:rsidP="001E144E">
      <w:pPr>
        <w:pStyle w:val="FootnoteText"/>
        <w:rPr>
          <w:b/>
          <w:bCs/>
        </w:rPr>
      </w:pPr>
      <w:r>
        <w:rPr>
          <w:rStyle w:val="FootnoteReference"/>
        </w:rPr>
        <w:footnoteRef/>
      </w:r>
      <w:r>
        <w:t xml:space="preserve"> </w:t>
      </w:r>
      <w:r w:rsidRPr="00285F46">
        <w:rPr>
          <w:sz w:val="20"/>
          <w:szCs w:val="20"/>
        </w:rPr>
        <w:t xml:space="preserve">Jan N. </w:t>
      </w:r>
      <w:r w:rsidRPr="00285F46">
        <w:rPr>
          <w:sz w:val="20"/>
          <w:szCs w:val="20"/>
          <w:lang w:val="en-IE"/>
        </w:rPr>
        <w:t xml:space="preserve">Bremmer, ‘Ancient Necromancy and Modern Spiritualism’, in </w:t>
      </w:r>
      <w:r w:rsidR="00004531">
        <w:rPr>
          <w:bCs/>
          <w:i/>
          <w:sz w:val="20"/>
          <w:szCs w:val="20"/>
        </w:rPr>
        <w:t>The Rise and Fall of t</w:t>
      </w:r>
      <w:r w:rsidRPr="00285F46">
        <w:rPr>
          <w:bCs/>
          <w:i/>
          <w:sz w:val="20"/>
          <w:szCs w:val="20"/>
        </w:rPr>
        <w:t>he Afterlife: The 1995 Read-Tuckwell Lectures at the University of Bristol</w:t>
      </w:r>
      <w:r w:rsidRPr="00285F46">
        <w:rPr>
          <w:bCs/>
          <w:sz w:val="20"/>
          <w:szCs w:val="20"/>
        </w:rPr>
        <w:t>, ed. by (London &amp; New York: Routledge, 2002),</w:t>
      </w:r>
      <w:r w:rsidRPr="00285F46">
        <w:rPr>
          <w:b/>
          <w:bCs/>
          <w:sz w:val="20"/>
          <w:szCs w:val="20"/>
        </w:rPr>
        <w:t xml:space="preserve"> </w:t>
      </w:r>
      <w:r w:rsidRPr="00285F46">
        <w:rPr>
          <w:sz w:val="20"/>
          <w:szCs w:val="20"/>
          <w:lang w:val="en-IE"/>
        </w:rPr>
        <w:t>p. 73.</w:t>
      </w:r>
    </w:p>
  </w:footnote>
  <w:footnote w:id="8">
    <w:p w14:paraId="3769CAD1" w14:textId="77777777" w:rsidR="001E144E" w:rsidRPr="00666F10" w:rsidRDefault="001E144E" w:rsidP="001E144E">
      <w:pPr>
        <w:pStyle w:val="FootnoteText"/>
        <w:rPr>
          <w:lang w:val="en-IE"/>
        </w:rPr>
      </w:pPr>
      <w:r>
        <w:rPr>
          <w:rStyle w:val="FootnoteReference"/>
        </w:rPr>
        <w:footnoteRef/>
      </w:r>
      <w:r>
        <w:t xml:space="preserve"> </w:t>
      </w:r>
      <w:r w:rsidRPr="000D2EAF">
        <w:rPr>
          <w:sz w:val="20"/>
          <w:szCs w:val="20"/>
          <w:lang w:val="en-IE"/>
        </w:rPr>
        <w:t xml:space="preserve">Strabo, </w:t>
      </w:r>
      <w:r w:rsidRPr="00004531">
        <w:rPr>
          <w:i/>
          <w:sz w:val="20"/>
          <w:szCs w:val="20"/>
          <w:lang w:val="en-IE"/>
        </w:rPr>
        <w:t>Geographica</w:t>
      </w:r>
      <w:r w:rsidRPr="000D2EAF">
        <w:rPr>
          <w:sz w:val="20"/>
          <w:szCs w:val="20"/>
          <w:lang w:val="en-IE"/>
        </w:rPr>
        <w:t xml:space="preserve">, </w:t>
      </w:r>
      <w:r w:rsidRPr="000D2EAF">
        <w:rPr>
          <w:sz w:val="20"/>
          <w:szCs w:val="20"/>
        </w:rPr>
        <w:t>LCL 241: 288-289 Book XVI, ii., section 39.</w:t>
      </w:r>
    </w:p>
  </w:footnote>
  <w:footnote w:id="9">
    <w:p w14:paraId="709672CA" w14:textId="64DE9A87" w:rsidR="001E144E" w:rsidRPr="002C3D72" w:rsidRDefault="001E144E" w:rsidP="001E144E">
      <w:pPr>
        <w:pStyle w:val="FootnoteText"/>
        <w:rPr>
          <w:lang w:val="en-IE"/>
        </w:rPr>
      </w:pPr>
      <w:r>
        <w:rPr>
          <w:rStyle w:val="FootnoteReference"/>
        </w:rPr>
        <w:footnoteRef/>
      </w:r>
      <w:r>
        <w:t xml:space="preserve"> </w:t>
      </w:r>
      <w:r w:rsidRPr="00E07F65">
        <w:rPr>
          <w:sz w:val="20"/>
          <w:szCs w:val="20"/>
        </w:rPr>
        <w:t>Lucian, </w:t>
      </w:r>
      <w:r w:rsidRPr="00E07F65">
        <w:rPr>
          <w:i/>
          <w:sz w:val="20"/>
          <w:szCs w:val="20"/>
        </w:rPr>
        <w:t>Menippus, or The Descent into Hades</w:t>
      </w:r>
      <w:r w:rsidRPr="00E07F65">
        <w:rPr>
          <w:sz w:val="20"/>
          <w:szCs w:val="20"/>
        </w:rPr>
        <w:t xml:space="preserve">, </w:t>
      </w:r>
      <w:r w:rsidR="00004531">
        <w:rPr>
          <w:sz w:val="20"/>
          <w:szCs w:val="20"/>
        </w:rPr>
        <w:t xml:space="preserve">in </w:t>
      </w:r>
      <w:r w:rsidR="00004531" w:rsidRPr="00004531">
        <w:rPr>
          <w:i/>
          <w:sz w:val="20"/>
          <w:szCs w:val="20"/>
        </w:rPr>
        <w:t>Lucian Vol. IV</w:t>
      </w:r>
      <w:r w:rsidR="00004531">
        <w:rPr>
          <w:sz w:val="20"/>
          <w:szCs w:val="20"/>
        </w:rPr>
        <w:t xml:space="preserve"> </w:t>
      </w:r>
      <w:r w:rsidRPr="00E07F65">
        <w:rPr>
          <w:sz w:val="20"/>
          <w:szCs w:val="20"/>
        </w:rPr>
        <w:t>trans. by A.M. Harmon</w:t>
      </w:r>
      <w:r w:rsidR="00004531">
        <w:rPr>
          <w:sz w:val="20"/>
          <w:szCs w:val="20"/>
        </w:rPr>
        <w:t xml:space="preserve"> (Jan.,1925)</w:t>
      </w:r>
      <w:r w:rsidRPr="00E07F65">
        <w:rPr>
          <w:sz w:val="20"/>
          <w:szCs w:val="20"/>
        </w:rPr>
        <w:t>, LCL 162</w:t>
      </w:r>
      <w:r>
        <w:rPr>
          <w:sz w:val="20"/>
          <w:szCs w:val="20"/>
        </w:rPr>
        <w:t>: 82-83, p. 83</w:t>
      </w:r>
      <w:r w:rsidRPr="00E07F65">
        <w:rPr>
          <w:sz w:val="20"/>
          <w:szCs w:val="20"/>
        </w:rPr>
        <w:t xml:space="preserve">. </w:t>
      </w:r>
    </w:p>
  </w:footnote>
  <w:footnote w:id="10">
    <w:p w14:paraId="165F79B8" w14:textId="77777777" w:rsidR="00EA5F15" w:rsidRPr="00EA5F15" w:rsidRDefault="00EA5F15" w:rsidP="00EA5F15">
      <w:pPr>
        <w:pStyle w:val="FootnoteText"/>
      </w:pPr>
      <w:r>
        <w:rPr>
          <w:rStyle w:val="FootnoteReference"/>
        </w:rPr>
        <w:footnoteRef/>
      </w:r>
      <w:r>
        <w:t xml:space="preserve"> </w:t>
      </w:r>
      <w:r w:rsidRPr="00EA5F15">
        <w:rPr>
          <w:sz w:val="20"/>
          <w:szCs w:val="20"/>
        </w:rPr>
        <w:t xml:space="preserve">Carl H. Kraeling, ‘Was Jesus Accused of Necromancy?’, </w:t>
      </w:r>
      <w:r w:rsidRPr="00EA5F15">
        <w:rPr>
          <w:i/>
          <w:sz w:val="20"/>
          <w:szCs w:val="20"/>
        </w:rPr>
        <w:t>Journal of Biblical Literature</w:t>
      </w:r>
      <w:r w:rsidRPr="00EA5F15">
        <w:rPr>
          <w:sz w:val="20"/>
          <w:szCs w:val="20"/>
        </w:rPr>
        <w:t>, Vol. 59, No. 2 (Jun., 1940), pp. 147-157, p. 156.</w:t>
      </w:r>
    </w:p>
  </w:footnote>
  <w:footnote w:id="11">
    <w:p w14:paraId="665CFA20" w14:textId="2DBD5177" w:rsidR="00950562" w:rsidRPr="00950562" w:rsidRDefault="00950562">
      <w:pPr>
        <w:pStyle w:val="FootnoteText"/>
        <w:rPr>
          <w:lang w:val="en-IE"/>
        </w:rPr>
      </w:pPr>
      <w:r>
        <w:rPr>
          <w:rStyle w:val="FootnoteReference"/>
        </w:rPr>
        <w:footnoteRef/>
      </w:r>
      <w:r>
        <w:t xml:space="preserve"> </w:t>
      </w:r>
      <w:r w:rsidRPr="00950562">
        <w:rPr>
          <w:rFonts w:cs="Times New Roman"/>
          <w:color w:val="373A3C"/>
          <w:sz w:val="20"/>
          <w:szCs w:val="20"/>
        </w:rPr>
        <w:t xml:space="preserve">Deuteronomy 18: 9–12, New International Version, </w:t>
      </w:r>
      <w:hyperlink r:id="rId1" w:history="1">
        <w:r w:rsidRPr="00950562">
          <w:rPr>
            <w:rStyle w:val="Hyperlink"/>
            <w:rFonts w:cs="Times New Roman"/>
            <w:sz w:val="20"/>
            <w:szCs w:val="20"/>
          </w:rPr>
          <w:t>https://www.biblegateway.com/passage/?search=Deuteronomy+18%3A9-12&amp;version=NIV</w:t>
        </w:r>
      </w:hyperlink>
      <w:r w:rsidRPr="00950562">
        <w:rPr>
          <w:rFonts w:cs="Times New Roman"/>
          <w:color w:val="373A3C"/>
          <w:sz w:val="20"/>
          <w:szCs w:val="20"/>
        </w:rPr>
        <w:t xml:space="preserve"> accessed on 15</w:t>
      </w:r>
      <w:r w:rsidRPr="00950562">
        <w:rPr>
          <w:rFonts w:cs="Times New Roman"/>
          <w:color w:val="373A3C"/>
          <w:sz w:val="20"/>
          <w:szCs w:val="20"/>
          <w:vertAlign w:val="superscript"/>
        </w:rPr>
        <w:t>th</w:t>
      </w:r>
      <w:r w:rsidRPr="00950562">
        <w:rPr>
          <w:rFonts w:cs="Times New Roman"/>
          <w:color w:val="373A3C"/>
          <w:sz w:val="20"/>
          <w:szCs w:val="20"/>
        </w:rPr>
        <w:t xml:space="preserve"> July, 2018.</w:t>
      </w:r>
      <w:r>
        <w:rPr>
          <w:rFonts w:cs="Times New Roman"/>
          <w:color w:val="373A3C"/>
        </w:rPr>
        <w:t xml:space="preserve"> </w:t>
      </w:r>
    </w:p>
  </w:footnote>
  <w:footnote w:id="12">
    <w:p w14:paraId="56BE986E" w14:textId="2E21F25E" w:rsidR="001E144E" w:rsidRPr="00A903F2" w:rsidRDefault="001E144E" w:rsidP="001E144E">
      <w:pPr>
        <w:pStyle w:val="FootnoteText"/>
        <w:rPr>
          <w:lang w:val="en-IE"/>
        </w:rPr>
      </w:pPr>
      <w:r>
        <w:rPr>
          <w:rStyle w:val="FootnoteReference"/>
        </w:rPr>
        <w:footnoteRef/>
      </w:r>
      <w:r>
        <w:t xml:space="preserve"> </w:t>
      </w:r>
      <w:r w:rsidR="00820DFA" w:rsidRPr="004A6D6E">
        <w:rPr>
          <w:sz w:val="20"/>
          <w:szCs w:val="20"/>
          <w:lang w:val="en-IE"/>
        </w:rPr>
        <w:t xml:space="preserve">Homer, </w:t>
      </w:r>
      <w:r w:rsidR="00820DFA" w:rsidRPr="00004531">
        <w:rPr>
          <w:i/>
          <w:sz w:val="20"/>
          <w:szCs w:val="20"/>
          <w:lang w:val="en-IE"/>
        </w:rPr>
        <w:t>Odyssey</w:t>
      </w:r>
      <w:r w:rsidR="00820DFA" w:rsidRPr="004A6D6E">
        <w:rPr>
          <w:sz w:val="20"/>
          <w:szCs w:val="20"/>
          <w:lang w:val="en-IE"/>
        </w:rPr>
        <w:t>,</w:t>
      </w:r>
      <w:r w:rsidR="00820DFA">
        <w:rPr>
          <w:sz w:val="20"/>
          <w:szCs w:val="20"/>
          <w:lang w:val="en-IE"/>
        </w:rPr>
        <w:t xml:space="preserve"> </w:t>
      </w:r>
      <w:r w:rsidRPr="008615FC">
        <w:rPr>
          <w:sz w:val="20"/>
          <w:szCs w:val="20"/>
          <w:lang w:val="en-IE"/>
        </w:rPr>
        <w:t>10.488-540, 11.13-149</w:t>
      </w:r>
      <w:r w:rsidR="00820DFA">
        <w:rPr>
          <w:sz w:val="20"/>
          <w:szCs w:val="20"/>
          <w:lang w:val="en-IE"/>
        </w:rPr>
        <w:t xml:space="preserve"> in</w:t>
      </w:r>
      <w:r w:rsidR="00820DFA" w:rsidRPr="00820DFA">
        <w:rPr>
          <w:sz w:val="20"/>
          <w:szCs w:val="20"/>
        </w:rPr>
        <w:t xml:space="preserve"> </w:t>
      </w:r>
      <w:r w:rsidR="00820DFA" w:rsidRPr="009C7B2B">
        <w:rPr>
          <w:sz w:val="20"/>
          <w:szCs w:val="20"/>
        </w:rPr>
        <w:t xml:space="preserve">Daniel </w:t>
      </w:r>
      <w:r w:rsidR="00820DFA" w:rsidRPr="00785CFF">
        <w:rPr>
          <w:sz w:val="20"/>
          <w:szCs w:val="20"/>
          <w:lang w:val="en-IE"/>
        </w:rPr>
        <w:t xml:space="preserve">Ogden, </w:t>
      </w:r>
      <w:r w:rsidR="00820DFA" w:rsidRPr="00004531">
        <w:rPr>
          <w:i/>
          <w:iCs/>
          <w:sz w:val="20"/>
          <w:szCs w:val="20"/>
        </w:rPr>
        <w:t>Magic, Witchcraft and Ghosts in the Greek and Roman Worlds: A Sourcebook</w:t>
      </w:r>
      <w:r w:rsidR="00820DFA" w:rsidRPr="00004531">
        <w:rPr>
          <w:sz w:val="20"/>
          <w:szCs w:val="20"/>
        </w:rPr>
        <w:t>, (Oxford: Oxford University Press, 2002)</w:t>
      </w:r>
      <w:r w:rsidR="00820DFA">
        <w:rPr>
          <w:sz w:val="20"/>
          <w:szCs w:val="20"/>
        </w:rPr>
        <w:t>.</w:t>
      </w:r>
    </w:p>
  </w:footnote>
  <w:footnote w:id="13">
    <w:p w14:paraId="591C145D" w14:textId="77777777" w:rsidR="0046123B" w:rsidRPr="00D45D90" w:rsidRDefault="0046123B" w:rsidP="0046123B">
      <w:pPr>
        <w:pStyle w:val="FootnoteText"/>
        <w:rPr>
          <w:b/>
          <w:bCs/>
        </w:rPr>
      </w:pPr>
      <w:r>
        <w:rPr>
          <w:rStyle w:val="FootnoteReference"/>
        </w:rPr>
        <w:footnoteRef/>
      </w:r>
      <w:r>
        <w:t xml:space="preserve"> </w:t>
      </w:r>
      <w:r w:rsidRPr="00D45D90">
        <w:rPr>
          <w:sz w:val="20"/>
          <w:szCs w:val="20"/>
        </w:rPr>
        <w:t>Horace,</w:t>
      </w:r>
      <w:r w:rsidRPr="00D45D90">
        <w:rPr>
          <w:rFonts w:ascii="Georgia" w:eastAsia="Times New Roman" w:hAnsi="Georgia" w:cs="Times New Roman"/>
          <w:b/>
          <w:bCs/>
          <w:i/>
          <w:iCs/>
          <w:color w:val="000000"/>
          <w:sz w:val="20"/>
          <w:szCs w:val="20"/>
        </w:rPr>
        <w:t xml:space="preserve"> </w:t>
      </w:r>
      <w:r>
        <w:rPr>
          <w:rFonts w:eastAsia="Times New Roman" w:cs="Times New Roman"/>
          <w:bCs/>
          <w:iCs/>
          <w:color w:val="000000"/>
          <w:sz w:val="20"/>
          <w:szCs w:val="20"/>
        </w:rPr>
        <w:t>‘</w:t>
      </w:r>
      <w:r w:rsidRPr="00D45D90">
        <w:rPr>
          <w:bCs/>
          <w:sz w:val="20"/>
          <w:szCs w:val="20"/>
        </w:rPr>
        <w:t>Priapus complains that the Esquilian mount is infested with the incantations of sorceresses</w:t>
      </w:r>
      <w:r>
        <w:rPr>
          <w:bCs/>
          <w:sz w:val="20"/>
          <w:szCs w:val="20"/>
        </w:rPr>
        <w:t>’</w:t>
      </w:r>
      <w:r w:rsidRPr="00D45D90">
        <w:rPr>
          <w:bCs/>
          <w:sz w:val="20"/>
          <w:szCs w:val="20"/>
        </w:rPr>
        <w:t xml:space="preserve"> (I.8)</w:t>
      </w:r>
      <w:r>
        <w:rPr>
          <w:bCs/>
          <w:sz w:val="20"/>
          <w:szCs w:val="20"/>
        </w:rPr>
        <w:t xml:space="preserve"> in </w:t>
      </w:r>
      <w:r w:rsidRPr="00D45D90">
        <w:rPr>
          <w:bCs/>
          <w:i/>
          <w:sz w:val="20"/>
          <w:szCs w:val="20"/>
        </w:rPr>
        <w:t>The Works of Horace</w:t>
      </w:r>
      <w:r w:rsidRPr="00D45D90">
        <w:rPr>
          <w:bCs/>
          <w:sz w:val="20"/>
          <w:szCs w:val="20"/>
        </w:rPr>
        <w:t xml:space="preserve">, trans. by C. Smart, Theodore Alois Buckley. (New York: Harper &amp; Brothers, 1863): </w:t>
      </w:r>
      <w:hyperlink r:id="rId2" w:history="1">
        <w:r w:rsidRPr="00D45D90">
          <w:rPr>
            <w:rStyle w:val="Hyperlink"/>
            <w:sz w:val="20"/>
            <w:szCs w:val="20"/>
          </w:rPr>
          <w:t>http://www.perseus.tufts.edu/hopper/text?doc=Perseus%3Atext%3A1999.02.0063%3Abook%3D1%3Apoem%3D8</w:t>
        </w:r>
      </w:hyperlink>
      <w:r w:rsidRPr="00D45D90">
        <w:rPr>
          <w:sz w:val="20"/>
          <w:szCs w:val="20"/>
        </w:rPr>
        <w:t xml:space="preserve"> accessed 15</w:t>
      </w:r>
      <w:r w:rsidRPr="00D45D90">
        <w:rPr>
          <w:sz w:val="20"/>
          <w:szCs w:val="20"/>
          <w:vertAlign w:val="superscript"/>
        </w:rPr>
        <w:t>th</w:t>
      </w:r>
      <w:r w:rsidRPr="00D45D90">
        <w:rPr>
          <w:sz w:val="20"/>
          <w:szCs w:val="20"/>
        </w:rPr>
        <w:t xml:space="preserve"> July, 2018.</w:t>
      </w:r>
    </w:p>
  </w:footnote>
  <w:footnote w:id="14">
    <w:p w14:paraId="2985065E" w14:textId="19CB4AAF" w:rsidR="00785CFF" w:rsidRPr="009C7B2B" w:rsidRDefault="00785CFF">
      <w:pPr>
        <w:pStyle w:val="FootnoteText"/>
        <w:rPr>
          <w:sz w:val="20"/>
          <w:szCs w:val="20"/>
        </w:rPr>
      </w:pPr>
      <w:r>
        <w:rPr>
          <w:rStyle w:val="FootnoteReference"/>
        </w:rPr>
        <w:footnoteRef/>
      </w:r>
      <w:r>
        <w:t xml:space="preserve"> </w:t>
      </w:r>
      <w:r w:rsidRPr="00785CFF">
        <w:rPr>
          <w:sz w:val="20"/>
          <w:szCs w:val="20"/>
          <w:lang w:val="en-IE"/>
        </w:rPr>
        <w:t xml:space="preserve">Sarah Iles Johnston, </w:t>
      </w:r>
      <w:r w:rsidR="009C7B2B" w:rsidRPr="009C7B2B">
        <w:rPr>
          <w:sz w:val="20"/>
          <w:szCs w:val="20"/>
        </w:rPr>
        <w:t xml:space="preserve">‘Magic and the Dead in Classical Greece’, in John. Petropoulos J. C. B Petropoulos, </w:t>
      </w:r>
      <w:r w:rsidR="009C7B2B" w:rsidRPr="009C7B2B">
        <w:rPr>
          <w:i/>
          <w:sz w:val="20"/>
          <w:szCs w:val="20"/>
        </w:rPr>
        <w:t>Greek Magic: Ancient, Medieval, and Modern</w:t>
      </w:r>
      <w:r w:rsidR="009C7B2B" w:rsidRPr="009C7B2B">
        <w:rPr>
          <w:sz w:val="20"/>
          <w:szCs w:val="20"/>
        </w:rPr>
        <w:t xml:space="preserve"> (Milton Park, Abingdon, OX &amp; New York: Routledge, 2008</w:t>
      </w:r>
      <w:r w:rsidR="009C7B2B">
        <w:rPr>
          <w:sz w:val="20"/>
          <w:szCs w:val="20"/>
        </w:rPr>
        <w:t>)</w:t>
      </w:r>
      <w:r w:rsidRPr="00785CFF">
        <w:rPr>
          <w:sz w:val="20"/>
          <w:szCs w:val="20"/>
          <w:lang w:val="en-IE"/>
        </w:rPr>
        <w:t>, p. 13.</w:t>
      </w:r>
    </w:p>
  </w:footnote>
  <w:footnote w:id="15">
    <w:p w14:paraId="30F084EB" w14:textId="0F6CCF74" w:rsidR="00EF5C94" w:rsidRPr="00404F1B" w:rsidRDefault="00EF5C94" w:rsidP="00EF5C94">
      <w:pPr>
        <w:pStyle w:val="FootnoteText"/>
        <w:rPr>
          <w:lang w:val="en-IE"/>
        </w:rPr>
      </w:pPr>
      <w:r>
        <w:rPr>
          <w:rStyle w:val="FootnoteReference"/>
        </w:rPr>
        <w:footnoteRef/>
      </w:r>
      <w:r>
        <w:t xml:space="preserve"> </w:t>
      </w:r>
      <w:r w:rsidR="009C7B2B" w:rsidRPr="009C7B2B">
        <w:rPr>
          <w:sz w:val="20"/>
          <w:szCs w:val="20"/>
        </w:rPr>
        <w:t xml:space="preserve">Daniel </w:t>
      </w:r>
      <w:r w:rsidRPr="00404F1B">
        <w:rPr>
          <w:sz w:val="20"/>
          <w:szCs w:val="20"/>
          <w:lang w:val="en-IE"/>
        </w:rPr>
        <w:t xml:space="preserve">Ogden, </w:t>
      </w:r>
      <w:r w:rsidRPr="009C7B2B">
        <w:rPr>
          <w:i/>
          <w:sz w:val="20"/>
          <w:szCs w:val="20"/>
          <w:lang w:val="en-IE"/>
        </w:rPr>
        <w:t>Greek and Roman Necromancy</w:t>
      </w:r>
      <w:r w:rsidR="009C7B2B">
        <w:rPr>
          <w:i/>
          <w:sz w:val="20"/>
          <w:szCs w:val="20"/>
          <w:lang w:val="en-IE"/>
        </w:rPr>
        <w:t xml:space="preserve"> </w:t>
      </w:r>
      <w:r w:rsidR="009C7B2B" w:rsidRPr="009C7B2B">
        <w:rPr>
          <w:sz w:val="20"/>
          <w:szCs w:val="20"/>
          <w:lang w:val="en-IE"/>
        </w:rPr>
        <w:t>(Princeton: Princeton University Press, 2001)</w:t>
      </w:r>
      <w:r w:rsidRPr="009C7B2B">
        <w:rPr>
          <w:sz w:val="20"/>
          <w:szCs w:val="20"/>
          <w:lang w:val="en-IE"/>
        </w:rPr>
        <w:t>,</w:t>
      </w:r>
      <w:r w:rsidRPr="00404F1B">
        <w:rPr>
          <w:sz w:val="20"/>
          <w:szCs w:val="20"/>
          <w:lang w:val="en-IE"/>
        </w:rPr>
        <w:t xml:space="preserve"> p. 219.</w:t>
      </w:r>
    </w:p>
  </w:footnote>
  <w:footnote w:id="16">
    <w:p w14:paraId="13E78DA2" w14:textId="77777777" w:rsidR="00EF5C94" w:rsidRPr="00666F10" w:rsidRDefault="00EF5C94" w:rsidP="00EF5C94">
      <w:pPr>
        <w:pStyle w:val="FootnoteText"/>
      </w:pPr>
      <w:r>
        <w:rPr>
          <w:rStyle w:val="FootnoteReference"/>
        </w:rPr>
        <w:footnoteRef/>
      </w:r>
      <w:r>
        <w:t xml:space="preserve"> </w:t>
      </w:r>
      <w:r w:rsidRPr="00B64214">
        <w:rPr>
          <w:sz w:val="20"/>
          <w:szCs w:val="20"/>
          <w:lang w:val="en-IE"/>
        </w:rPr>
        <w:t xml:space="preserve">Strabo, </w:t>
      </w:r>
      <w:r w:rsidRPr="00785CFF">
        <w:rPr>
          <w:i/>
          <w:sz w:val="20"/>
          <w:szCs w:val="20"/>
          <w:lang w:val="en-IE"/>
        </w:rPr>
        <w:t>Geographica</w:t>
      </w:r>
      <w:r w:rsidRPr="00B64214">
        <w:rPr>
          <w:sz w:val="20"/>
          <w:szCs w:val="20"/>
          <w:lang w:val="en-IE"/>
        </w:rPr>
        <w:t xml:space="preserve">, </w:t>
      </w:r>
      <w:r w:rsidRPr="00B64214">
        <w:rPr>
          <w:sz w:val="20"/>
          <w:szCs w:val="20"/>
        </w:rPr>
        <w:t>LCL 241: 288-289 Book XVI, ii., section 39.</w:t>
      </w:r>
    </w:p>
  </w:footnote>
  <w:footnote w:id="17">
    <w:p w14:paraId="35314BAE" w14:textId="77777777" w:rsidR="00EF5C94" w:rsidRPr="00B439FD" w:rsidRDefault="00EF5C94" w:rsidP="00EF5C94">
      <w:pPr>
        <w:pStyle w:val="FootnoteText"/>
        <w:rPr>
          <w:lang w:val="en-IE"/>
        </w:rPr>
      </w:pPr>
      <w:r>
        <w:rPr>
          <w:rStyle w:val="FootnoteReference"/>
        </w:rPr>
        <w:footnoteRef/>
      </w:r>
      <w:r>
        <w:rPr>
          <w:sz w:val="20"/>
          <w:szCs w:val="20"/>
        </w:rPr>
        <w:t xml:space="preserve"> Lucan, </w:t>
      </w:r>
      <w:r w:rsidRPr="009C7B2B">
        <w:rPr>
          <w:i/>
          <w:sz w:val="20"/>
          <w:szCs w:val="20"/>
        </w:rPr>
        <w:t>Pharsalia</w:t>
      </w:r>
      <w:r>
        <w:rPr>
          <w:sz w:val="20"/>
          <w:szCs w:val="20"/>
        </w:rPr>
        <w:t xml:space="preserve">, trans. by Sir Edward Ridley (London: Longmans, Green, and Co., 1905), 6.750: </w:t>
      </w:r>
      <w:hyperlink r:id="rId3" w:history="1">
        <w:r w:rsidRPr="00B17EA9">
          <w:rPr>
            <w:rStyle w:val="Hyperlink"/>
            <w:sz w:val="20"/>
            <w:szCs w:val="20"/>
          </w:rPr>
          <w:t>http://www.perseus.tufts.edu/hopper/text?doc=Perseus%3Atext%3A1999.02.0134%3Abook%3D6%3Acard%3D750</w:t>
        </w:r>
      </w:hyperlink>
      <w:r>
        <w:rPr>
          <w:sz w:val="20"/>
          <w:szCs w:val="20"/>
        </w:rPr>
        <w:t xml:space="preserve"> accessed on 15</w:t>
      </w:r>
      <w:r w:rsidRPr="00B439FD">
        <w:rPr>
          <w:sz w:val="20"/>
          <w:szCs w:val="20"/>
          <w:vertAlign w:val="superscript"/>
        </w:rPr>
        <w:t>th</w:t>
      </w:r>
      <w:r>
        <w:rPr>
          <w:sz w:val="20"/>
          <w:szCs w:val="20"/>
        </w:rPr>
        <w:t xml:space="preserve"> July, 2018.</w:t>
      </w:r>
    </w:p>
  </w:footnote>
  <w:footnote w:id="18">
    <w:p w14:paraId="3F312528" w14:textId="5C5F55CD" w:rsidR="00EF5C94" w:rsidRPr="00785CFF" w:rsidRDefault="00EF5C94" w:rsidP="00EF5C94">
      <w:pPr>
        <w:pStyle w:val="FootnoteText"/>
        <w:rPr>
          <w:lang w:val="en-IE"/>
        </w:rPr>
      </w:pPr>
      <w:r>
        <w:rPr>
          <w:rStyle w:val="FootnoteReference"/>
        </w:rPr>
        <w:footnoteRef/>
      </w:r>
      <w:r>
        <w:t xml:space="preserve"> </w:t>
      </w:r>
      <w:r w:rsidR="009C7B2B" w:rsidRPr="009C7B2B">
        <w:rPr>
          <w:sz w:val="20"/>
          <w:szCs w:val="20"/>
        </w:rPr>
        <w:t xml:space="preserve">Daniel </w:t>
      </w:r>
      <w:r w:rsidRPr="00785CFF">
        <w:rPr>
          <w:sz w:val="20"/>
          <w:szCs w:val="20"/>
          <w:lang w:val="en-IE"/>
        </w:rPr>
        <w:t xml:space="preserve">Ogden, </w:t>
      </w:r>
      <w:r w:rsidR="00004531" w:rsidRPr="00004531">
        <w:rPr>
          <w:i/>
          <w:iCs/>
          <w:sz w:val="20"/>
          <w:szCs w:val="20"/>
        </w:rPr>
        <w:t>Magic, Witchcraft and Ghosts in the Greek and Roman Worlds: A Sourcebook</w:t>
      </w:r>
      <w:r w:rsidR="00004531" w:rsidRPr="00004531">
        <w:rPr>
          <w:sz w:val="20"/>
          <w:szCs w:val="20"/>
        </w:rPr>
        <w:t>, (Oxford: Oxford University Press, 2002)</w:t>
      </w:r>
      <w:r w:rsidRPr="00785CFF">
        <w:rPr>
          <w:sz w:val="20"/>
          <w:szCs w:val="20"/>
          <w:lang w:val="en-IE"/>
        </w:rPr>
        <w:t xml:space="preserve">, p. 198. </w:t>
      </w:r>
    </w:p>
  </w:footnote>
  <w:footnote w:id="19">
    <w:p w14:paraId="5B6B4C4B" w14:textId="1F53AE36" w:rsidR="00EF5C94" w:rsidRPr="004A6D6E" w:rsidRDefault="00EF5C94" w:rsidP="00EF5C94">
      <w:pPr>
        <w:pStyle w:val="FootnoteText"/>
        <w:rPr>
          <w:lang w:val="en-IE"/>
        </w:rPr>
      </w:pPr>
      <w:r>
        <w:rPr>
          <w:rStyle w:val="FootnoteReference"/>
        </w:rPr>
        <w:footnoteRef/>
      </w:r>
      <w:r>
        <w:t xml:space="preserve"> </w:t>
      </w:r>
      <w:r w:rsidRPr="004A6D6E">
        <w:rPr>
          <w:sz w:val="20"/>
          <w:szCs w:val="20"/>
          <w:lang w:val="en-IE"/>
        </w:rPr>
        <w:t xml:space="preserve">Homer, </w:t>
      </w:r>
      <w:r w:rsidRPr="00004531">
        <w:rPr>
          <w:i/>
          <w:sz w:val="20"/>
          <w:szCs w:val="20"/>
          <w:lang w:val="en-IE"/>
        </w:rPr>
        <w:t>Odyssey</w:t>
      </w:r>
      <w:r w:rsidRPr="004A6D6E">
        <w:rPr>
          <w:sz w:val="20"/>
          <w:szCs w:val="20"/>
          <w:lang w:val="en-IE"/>
        </w:rPr>
        <w:t>, 10.488</w:t>
      </w:r>
      <w:r w:rsidR="00004531">
        <w:rPr>
          <w:sz w:val="20"/>
          <w:szCs w:val="20"/>
          <w:lang w:val="en-IE"/>
        </w:rPr>
        <w:t>,</w:t>
      </w:r>
      <w:r w:rsidRPr="004A6D6E">
        <w:rPr>
          <w:sz w:val="20"/>
          <w:szCs w:val="20"/>
          <w:lang w:val="en-IE"/>
        </w:rPr>
        <w:t xml:space="preserve"> in </w:t>
      </w:r>
      <w:r w:rsidR="00004531">
        <w:rPr>
          <w:sz w:val="20"/>
          <w:szCs w:val="20"/>
          <w:lang w:val="en-IE"/>
        </w:rPr>
        <w:t xml:space="preserve">Daniel </w:t>
      </w:r>
      <w:r w:rsidRPr="004A6D6E">
        <w:rPr>
          <w:sz w:val="20"/>
          <w:szCs w:val="20"/>
          <w:lang w:val="en-IE"/>
        </w:rPr>
        <w:t xml:space="preserve">Ogden, </w:t>
      </w:r>
      <w:r w:rsidR="00004531" w:rsidRPr="00004531">
        <w:rPr>
          <w:i/>
          <w:iCs/>
          <w:sz w:val="20"/>
          <w:szCs w:val="20"/>
        </w:rPr>
        <w:t>Magic, Witchcraft and Ghosts in the Greek and Roman Worlds: A Sourcebook</w:t>
      </w:r>
      <w:r w:rsidR="00004531" w:rsidRPr="00004531">
        <w:rPr>
          <w:sz w:val="20"/>
          <w:szCs w:val="20"/>
        </w:rPr>
        <w:t>, (Oxford: Oxford University Press, 2002)</w:t>
      </w:r>
      <w:r w:rsidRPr="004A6D6E">
        <w:rPr>
          <w:sz w:val="20"/>
          <w:szCs w:val="20"/>
          <w:lang w:val="en-IE"/>
        </w:rPr>
        <w:t>, p. 179.</w:t>
      </w:r>
    </w:p>
  </w:footnote>
  <w:footnote w:id="20">
    <w:p w14:paraId="3E5AAE24" w14:textId="75470269" w:rsidR="00EF5C94" w:rsidRPr="00A5281B" w:rsidRDefault="00EF5C94" w:rsidP="00EF5C94">
      <w:pPr>
        <w:pStyle w:val="FootnoteText"/>
        <w:rPr>
          <w:lang w:val="en-IE"/>
        </w:rPr>
      </w:pPr>
      <w:r>
        <w:rPr>
          <w:rStyle w:val="FootnoteReference"/>
        </w:rPr>
        <w:footnoteRef/>
      </w:r>
      <w:r>
        <w:t xml:space="preserve"> </w:t>
      </w:r>
      <w:r w:rsidRPr="004A6D6E">
        <w:rPr>
          <w:sz w:val="20"/>
          <w:szCs w:val="20"/>
          <w:lang w:val="en-IE"/>
        </w:rPr>
        <w:t xml:space="preserve">Homer, </w:t>
      </w:r>
      <w:r w:rsidRPr="00004531">
        <w:rPr>
          <w:i/>
          <w:sz w:val="20"/>
          <w:szCs w:val="20"/>
          <w:lang w:val="en-IE"/>
        </w:rPr>
        <w:t>Odyssey</w:t>
      </w:r>
      <w:r w:rsidRPr="004A6D6E">
        <w:rPr>
          <w:sz w:val="20"/>
          <w:szCs w:val="20"/>
          <w:lang w:val="en-IE"/>
        </w:rPr>
        <w:t xml:space="preserve">, </w:t>
      </w:r>
      <w:r>
        <w:rPr>
          <w:sz w:val="20"/>
          <w:szCs w:val="20"/>
          <w:lang w:val="en-IE"/>
        </w:rPr>
        <w:t>10.503</w:t>
      </w:r>
      <w:r w:rsidRPr="004A6D6E">
        <w:rPr>
          <w:sz w:val="20"/>
          <w:szCs w:val="20"/>
          <w:lang w:val="en-IE"/>
        </w:rPr>
        <w:t xml:space="preserve"> in Ogden, </w:t>
      </w:r>
      <w:r w:rsidR="00004531" w:rsidRPr="00004531">
        <w:rPr>
          <w:i/>
          <w:iCs/>
          <w:sz w:val="20"/>
          <w:szCs w:val="20"/>
        </w:rPr>
        <w:t>Magic, Witchcraft and Ghosts in the Greek and Roman Worlds: A Sourcebook</w:t>
      </w:r>
      <w:r w:rsidR="00004531" w:rsidRPr="00004531">
        <w:rPr>
          <w:sz w:val="20"/>
          <w:szCs w:val="20"/>
        </w:rPr>
        <w:t>, (Oxford: Oxford University Press, 2002)</w:t>
      </w:r>
      <w:r w:rsidRPr="004A6D6E">
        <w:rPr>
          <w:sz w:val="20"/>
          <w:szCs w:val="20"/>
          <w:lang w:val="en-IE"/>
        </w:rPr>
        <w:t xml:space="preserve">, p. </w:t>
      </w:r>
      <w:r>
        <w:rPr>
          <w:sz w:val="20"/>
          <w:szCs w:val="20"/>
          <w:lang w:val="en-IE"/>
        </w:rPr>
        <w:t>180</w:t>
      </w:r>
      <w:r w:rsidRPr="004A6D6E">
        <w:rPr>
          <w:sz w:val="20"/>
          <w:szCs w:val="20"/>
          <w:lang w:val="en-IE"/>
        </w:rPr>
        <w:t>.</w:t>
      </w:r>
    </w:p>
  </w:footnote>
  <w:footnote w:id="21">
    <w:p w14:paraId="37D76D33" w14:textId="538E74A7" w:rsidR="00EF5C94" w:rsidRPr="00812E69" w:rsidRDefault="00EF5C94" w:rsidP="00EF5C94">
      <w:pPr>
        <w:pStyle w:val="FootnoteText"/>
        <w:rPr>
          <w:lang w:val="en-IE"/>
        </w:rPr>
      </w:pPr>
      <w:r>
        <w:rPr>
          <w:rStyle w:val="FootnoteReference"/>
        </w:rPr>
        <w:footnoteRef/>
      </w:r>
      <w:r>
        <w:t xml:space="preserve"> </w:t>
      </w:r>
      <w:r w:rsidRPr="00812E69">
        <w:rPr>
          <w:sz w:val="20"/>
          <w:szCs w:val="20"/>
          <w:lang w:val="en-IE"/>
        </w:rPr>
        <w:t xml:space="preserve">Lucan, </w:t>
      </w:r>
      <w:r w:rsidRPr="00004531">
        <w:rPr>
          <w:i/>
          <w:sz w:val="20"/>
          <w:szCs w:val="20"/>
          <w:lang w:val="en-IE"/>
        </w:rPr>
        <w:t>Pharsalia</w:t>
      </w:r>
      <w:r w:rsidRPr="00812E69">
        <w:rPr>
          <w:sz w:val="20"/>
          <w:szCs w:val="20"/>
          <w:lang w:val="en-IE"/>
        </w:rPr>
        <w:t xml:space="preserve">, 6.624 in Ogden, </w:t>
      </w:r>
      <w:r w:rsidR="00004531" w:rsidRPr="00004531">
        <w:rPr>
          <w:i/>
          <w:iCs/>
          <w:sz w:val="20"/>
          <w:szCs w:val="20"/>
        </w:rPr>
        <w:t>Magic, Witchcraft and Ghosts in the Greek and Roman Worlds: A Sourcebook</w:t>
      </w:r>
      <w:r w:rsidR="00004531" w:rsidRPr="00004531">
        <w:rPr>
          <w:sz w:val="20"/>
          <w:szCs w:val="20"/>
        </w:rPr>
        <w:t>, (Oxford: Oxford University Press, 2002)</w:t>
      </w:r>
      <w:r w:rsidRPr="00812E69">
        <w:rPr>
          <w:sz w:val="20"/>
          <w:szCs w:val="20"/>
          <w:lang w:val="en-IE"/>
        </w:rPr>
        <w:t>, p. 193.</w:t>
      </w:r>
      <w:r>
        <w:rPr>
          <w:lang w:val="en-IE"/>
        </w:rPr>
        <w:t xml:space="preserve"> </w:t>
      </w:r>
    </w:p>
  </w:footnote>
  <w:footnote w:id="22">
    <w:p w14:paraId="5E851A5D" w14:textId="77777777" w:rsidR="00EF5C94" w:rsidRPr="007F5FCA" w:rsidRDefault="00EF5C94" w:rsidP="00EF5C94">
      <w:pPr>
        <w:pStyle w:val="FootnoteText"/>
        <w:rPr>
          <w:lang w:val="en-IE"/>
        </w:rPr>
      </w:pPr>
      <w:r>
        <w:rPr>
          <w:rStyle w:val="FootnoteReference"/>
        </w:rPr>
        <w:footnoteRef/>
      </w:r>
      <w:r>
        <w:rPr>
          <w:sz w:val="20"/>
          <w:szCs w:val="20"/>
        </w:rPr>
        <w:t xml:space="preserve"> </w:t>
      </w:r>
      <w:r w:rsidRPr="007F5FCA">
        <w:rPr>
          <w:sz w:val="20"/>
          <w:szCs w:val="20"/>
        </w:rPr>
        <w:t xml:space="preserve">Herodotus, </w:t>
      </w:r>
      <w:r w:rsidRPr="007F5FCA">
        <w:rPr>
          <w:i/>
          <w:sz w:val="20"/>
          <w:szCs w:val="20"/>
        </w:rPr>
        <w:t>The Histories</w:t>
      </w:r>
      <w:r w:rsidRPr="007F5FCA">
        <w:rPr>
          <w:sz w:val="20"/>
          <w:szCs w:val="20"/>
        </w:rPr>
        <w:t xml:space="preserve">, trans. by A. D. Godley. (Cambridge: Harvard University Press, 1920), </w:t>
      </w:r>
      <w:r>
        <w:rPr>
          <w:sz w:val="20"/>
          <w:szCs w:val="20"/>
        </w:rPr>
        <w:t xml:space="preserve">5.92G: </w:t>
      </w:r>
      <w:hyperlink r:id="rId4" w:history="1">
        <w:r w:rsidRPr="00B17EA9">
          <w:rPr>
            <w:rStyle w:val="Hyperlink"/>
            <w:sz w:val="20"/>
            <w:szCs w:val="20"/>
          </w:rPr>
          <w:t>http://www.perseus.tufts.edu/hopper/text?doc=Perseus%3Atext%3A1999.01.0126%3Abook%3D5%3Achapter%3D92G</w:t>
        </w:r>
      </w:hyperlink>
      <w:r>
        <w:rPr>
          <w:sz w:val="20"/>
          <w:szCs w:val="20"/>
        </w:rPr>
        <w:t xml:space="preserve"> accessed on July 15</w:t>
      </w:r>
      <w:r w:rsidRPr="007F5FCA">
        <w:rPr>
          <w:sz w:val="20"/>
          <w:szCs w:val="20"/>
          <w:vertAlign w:val="superscript"/>
        </w:rPr>
        <w:t>th</w:t>
      </w:r>
      <w:r>
        <w:rPr>
          <w:sz w:val="20"/>
          <w:szCs w:val="20"/>
        </w:rPr>
        <w:t xml:space="preserve"> 2018. </w:t>
      </w:r>
    </w:p>
  </w:footnote>
  <w:footnote w:id="23">
    <w:p w14:paraId="2CB35271" w14:textId="5FA4AD8A" w:rsidR="00494021" w:rsidRPr="009C7B2B" w:rsidRDefault="00494021">
      <w:pPr>
        <w:pStyle w:val="FootnoteText"/>
        <w:rPr>
          <w:sz w:val="20"/>
          <w:szCs w:val="20"/>
        </w:rPr>
      </w:pPr>
      <w:r>
        <w:rPr>
          <w:rStyle w:val="FootnoteReference"/>
        </w:rPr>
        <w:footnoteRef/>
      </w:r>
      <w:r>
        <w:t xml:space="preserve"> </w:t>
      </w:r>
      <w:r w:rsidRPr="00494021">
        <w:rPr>
          <w:sz w:val="20"/>
          <w:szCs w:val="20"/>
        </w:rPr>
        <w:t xml:space="preserve">Sarah Iles </w:t>
      </w:r>
      <w:r w:rsidRPr="00494021">
        <w:rPr>
          <w:sz w:val="20"/>
          <w:szCs w:val="20"/>
          <w:lang w:val="en-IE"/>
        </w:rPr>
        <w:t xml:space="preserve">Johnston, </w:t>
      </w:r>
      <w:r w:rsidR="009C7B2B" w:rsidRPr="009C7B2B">
        <w:rPr>
          <w:sz w:val="20"/>
          <w:szCs w:val="20"/>
        </w:rPr>
        <w:t xml:space="preserve">‘Magic and the Dead in Classical Greece’, in John. Petropoulos J. C. B Petropoulos, </w:t>
      </w:r>
      <w:r w:rsidR="009C7B2B" w:rsidRPr="009C7B2B">
        <w:rPr>
          <w:i/>
          <w:sz w:val="20"/>
          <w:szCs w:val="20"/>
        </w:rPr>
        <w:t>Greek Magic: Ancient, Medieval, and Modern</w:t>
      </w:r>
      <w:r w:rsidR="009C7B2B" w:rsidRPr="009C7B2B">
        <w:rPr>
          <w:sz w:val="20"/>
          <w:szCs w:val="20"/>
        </w:rPr>
        <w:t xml:space="preserve"> (Milton Park, Abingdon, OX &amp; New York: Routledge, 2008</w:t>
      </w:r>
      <w:r w:rsidR="009C7B2B">
        <w:rPr>
          <w:sz w:val="20"/>
          <w:szCs w:val="20"/>
        </w:rPr>
        <w:t>)</w:t>
      </w:r>
      <w:r w:rsidRPr="00494021">
        <w:rPr>
          <w:sz w:val="20"/>
          <w:szCs w:val="20"/>
          <w:lang w:val="en-IE"/>
        </w:rPr>
        <w:t>, p. 16.</w:t>
      </w:r>
    </w:p>
  </w:footnote>
  <w:footnote w:id="24">
    <w:p w14:paraId="4074F9C9" w14:textId="2F510BD4" w:rsidR="00EF5C94" w:rsidRPr="00EF1284" w:rsidRDefault="00EF5C94" w:rsidP="00EF5C94">
      <w:pPr>
        <w:pStyle w:val="FootnoteText"/>
        <w:rPr>
          <w:lang w:val="en-IE"/>
        </w:rPr>
      </w:pPr>
      <w:r>
        <w:rPr>
          <w:rStyle w:val="FootnoteReference"/>
        </w:rPr>
        <w:footnoteRef/>
      </w:r>
      <w:r>
        <w:t xml:space="preserve"> </w:t>
      </w:r>
      <w:r w:rsidRPr="00EF1284">
        <w:rPr>
          <w:sz w:val="20"/>
          <w:szCs w:val="20"/>
          <w:lang w:val="en-IE"/>
        </w:rPr>
        <w:t xml:space="preserve">Lucan, </w:t>
      </w:r>
      <w:r w:rsidRPr="00EF1284">
        <w:rPr>
          <w:i/>
          <w:sz w:val="20"/>
          <w:szCs w:val="20"/>
          <w:lang w:val="en-IE"/>
        </w:rPr>
        <w:t>Pharsalia</w:t>
      </w:r>
      <w:r w:rsidRPr="00EF1284">
        <w:rPr>
          <w:sz w:val="20"/>
          <w:szCs w:val="20"/>
          <w:lang w:val="en-IE"/>
        </w:rPr>
        <w:t>, 6.</w:t>
      </w:r>
      <w:r>
        <w:rPr>
          <w:sz w:val="20"/>
          <w:szCs w:val="20"/>
          <w:lang w:val="en-IE"/>
        </w:rPr>
        <w:t>558 and 6.</w:t>
      </w:r>
      <w:r w:rsidRPr="00EF1284">
        <w:rPr>
          <w:sz w:val="20"/>
          <w:szCs w:val="20"/>
          <w:lang w:val="en-IE"/>
        </w:rPr>
        <w:t xml:space="preserve">624 in </w:t>
      </w:r>
      <w:r w:rsidR="00004531">
        <w:rPr>
          <w:sz w:val="20"/>
          <w:szCs w:val="20"/>
          <w:lang w:val="en-IE"/>
        </w:rPr>
        <w:t xml:space="preserve">Daniel </w:t>
      </w:r>
      <w:r w:rsidRPr="00EF1284">
        <w:rPr>
          <w:sz w:val="20"/>
          <w:szCs w:val="20"/>
          <w:lang w:val="en-IE"/>
        </w:rPr>
        <w:t xml:space="preserve">Ogden, </w:t>
      </w:r>
      <w:r w:rsidR="00004531" w:rsidRPr="00004531">
        <w:rPr>
          <w:i/>
          <w:iCs/>
          <w:sz w:val="20"/>
          <w:szCs w:val="20"/>
        </w:rPr>
        <w:t>Magic, Witchcraft and Ghosts in the Greek and Roman Worlds: A Sourcebook</w:t>
      </w:r>
      <w:r w:rsidR="00004531" w:rsidRPr="00004531">
        <w:rPr>
          <w:sz w:val="20"/>
          <w:szCs w:val="20"/>
        </w:rPr>
        <w:t>, (Oxford: Oxford University Press, 2002)</w:t>
      </w:r>
      <w:r w:rsidRPr="00EF1284">
        <w:rPr>
          <w:sz w:val="20"/>
          <w:szCs w:val="20"/>
          <w:lang w:val="en-IE"/>
        </w:rPr>
        <w:t>, p. 193.</w:t>
      </w:r>
      <w:r>
        <w:rPr>
          <w:lang w:val="en-IE"/>
        </w:rPr>
        <w:t xml:space="preserve"> </w:t>
      </w:r>
    </w:p>
  </w:footnote>
  <w:footnote w:id="25">
    <w:p w14:paraId="629F71E7" w14:textId="380F3CB5" w:rsidR="00EF5C94" w:rsidRPr="000F4069" w:rsidRDefault="00EF5C94" w:rsidP="00EF5C94">
      <w:pPr>
        <w:pStyle w:val="FootnoteText"/>
        <w:rPr>
          <w:lang w:val="en-IE"/>
        </w:rPr>
      </w:pPr>
      <w:r>
        <w:rPr>
          <w:rStyle w:val="FootnoteReference"/>
        </w:rPr>
        <w:footnoteRef/>
      </w:r>
      <w:r>
        <w:t xml:space="preserve"> </w:t>
      </w:r>
      <w:r w:rsidRPr="000F4069">
        <w:rPr>
          <w:sz w:val="20"/>
          <w:szCs w:val="20"/>
          <w:lang w:val="en-IE"/>
        </w:rPr>
        <w:t xml:space="preserve">Lucan, </w:t>
      </w:r>
      <w:r w:rsidRPr="009C7B2B">
        <w:rPr>
          <w:i/>
          <w:sz w:val="20"/>
          <w:szCs w:val="20"/>
          <w:lang w:val="en-IE"/>
        </w:rPr>
        <w:t>Pharsalia</w:t>
      </w:r>
      <w:r w:rsidRPr="000F4069">
        <w:rPr>
          <w:sz w:val="20"/>
          <w:szCs w:val="20"/>
          <w:lang w:val="en-IE"/>
        </w:rPr>
        <w:t xml:space="preserve">, 6.667 in </w:t>
      </w:r>
      <w:r w:rsidR="00004531">
        <w:rPr>
          <w:sz w:val="20"/>
          <w:szCs w:val="20"/>
          <w:lang w:val="en-IE"/>
        </w:rPr>
        <w:t xml:space="preserve">Daniel </w:t>
      </w:r>
      <w:r w:rsidRPr="000F4069">
        <w:rPr>
          <w:sz w:val="20"/>
          <w:szCs w:val="20"/>
          <w:lang w:val="en-IE"/>
        </w:rPr>
        <w:t xml:space="preserve">Ogden, </w:t>
      </w:r>
      <w:r w:rsidR="00004531" w:rsidRPr="00004531">
        <w:rPr>
          <w:i/>
          <w:iCs/>
          <w:sz w:val="20"/>
          <w:szCs w:val="20"/>
        </w:rPr>
        <w:t>Magic, Witchcraft and Ghosts in the Greek and Roman Worlds: A Sourcebook</w:t>
      </w:r>
      <w:r w:rsidR="00004531" w:rsidRPr="00004531">
        <w:rPr>
          <w:sz w:val="20"/>
          <w:szCs w:val="20"/>
        </w:rPr>
        <w:t>, (Oxford: Oxford University Press, 2002)</w:t>
      </w:r>
      <w:r w:rsidRPr="000F4069">
        <w:rPr>
          <w:sz w:val="20"/>
          <w:szCs w:val="20"/>
          <w:lang w:val="en-IE"/>
        </w:rPr>
        <w:t>, p. 195.</w:t>
      </w:r>
      <w:r>
        <w:rPr>
          <w:lang w:val="en-IE"/>
        </w:rPr>
        <w:t xml:space="preserve"> </w:t>
      </w:r>
    </w:p>
  </w:footnote>
  <w:footnote w:id="26">
    <w:p w14:paraId="59B6A750" w14:textId="68F73430" w:rsidR="005C7F61" w:rsidRPr="005C7F61" w:rsidRDefault="005C7F61">
      <w:pPr>
        <w:pStyle w:val="FootnoteText"/>
        <w:rPr>
          <w:lang w:val="en-IE"/>
        </w:rPr>
      </w:pPr>
      <w:r>
        <w:rPr>
          <w:rStyle w:val="FootnoteReference"/>
        </w:rPr>
        <w:footnoteRef/>
      </w:r>
      <w:r>
        <w:t xml:space="preserve"> </w:t>
      </w:r>
      <w:r w:rsidR="00004531" w:rsidRPr="00004531">
        <w:rPr>
          <w:sz w:val="20"/>
          <w:szCs w:val="20"/>
        </w:rPr>
        <w:t xml:space="preserve">Daniel </w:t>
      </w:r>
      <w:r w:rsidRPr="005C7F61">
        <w:rPr>
          <w:sz w:val="20"/>
          <w:szCs w:val="20"/>
          <w:lang w:val="en-IE"/>
        </w:rPr>
        <w:t>Ogden</w:t>
      </w:r>
      <w:r w:rsidR="00004531">
        <w:rPr>
          <w:sz w:val="20"/>
          <w:szCs w:val="20"/>
          <w:lang w:val="en-IE"/>
        </w:rPr>
        <w:t>,</w:t>
      </w:r>
      <w:r w:rsidR="00004531" w:rsidRPr="00004531">
        <w:rPr>
          <w:i/>
          <w:iCs/>
        </w:rPr>
        <w:t xml:space="preserve"> </w:t>
      </w:r>
      <w:r w:rsidR="00004531" w:rsidRPr="00004531">
        <w:rPr>
          <w:i/>
          <w:iCs/>
          <w:sz w:val="20"/>
          <w:szCs w:val="20"/>
        </w:rPr>
        <w:t>Magic, Witchcraft and Ghosts in the Greek and Roman Worlds: A Sourcebook</w:t>
      </w:r>
      <w:r w:rsidR="00004531" w:rsidRPr="00004531">
        <w:rPr>
          <w:sz w:val="20"/>
          <w:szCs w:val="20"/>
        </w:rPr>
        <w:t>, (Oxford: Oxford University Press, 2002)</w:t>
      </w:r>
      <w:r w:rsidRPr="005C7F61">
        <w:rPr>
          <w:sz w:val="20"/>
          <w:szCs w:val="20"/>
          <w:lang w:val="en-IE"/>
        </w:rPr>
        <w:t>, p. 200.</w:t>
      </w:r>
    </w:p>
  </w:footnote>
  <w:footnote w:id="27">
    <w:p w14:paraId="47BD7026" w14:textId="2929C1D0" w:rsidR="00DE2A1E" w:rsidRPr="00DE2A1E" w:rsidRDefault="00DE2A1E">
      <w:pPr>
        <w:pStyle w:val="FootnoteText"/>
        <w:rPr>
          <w:lang w:val="en-IE"/>
        </w:rPr>
      </w:pPr>
      <w:r>
        <w:rPr>
          <w:rStyle w:val="FootnoteReference"/>
        </w:rPr>
        <w:footnoteRef/>
      </w:r>
      <w:r>
        <w:t xml:space="preserve"> </w:t>
      </w:r>
      <w:r w:rsidRPr="006974FE">
        <w:rPr>
          <w:sz w:val="20"/>
          <w:szCs w:val="20"/>
          <w:lang w:val="en-IE"/>
        </w:rPr>
        <w:t xml:space="preserve">Homer, Odyssey, in </w:t>
      </w:r>
      <w:r w:rsidR="00004531">
        <w:rPr>
          <w:sz w:val="20"/>
          <w:szCs w:val="20"/>
          <w:lang w:val="en-IE"/>
        </w:rPr>
        <w:t xml:space="preserve">Daniel Ogden, </w:t>
      </w:r>
      <w:r w:rsidR="00004531" w:rsidRPr="00004531">
        <w:rPr>
          <w:i/>
          <w:iCs/>
          <w:sz w:val="20"/>
          <w:szCs w:val="20"/>
        </w:rPr>
        <w:t>Magic, Witchcraft and Ghosts in the Greek and Roman Worlds: A Sourcebook</w:t>
      </w:r>
      <w:r w:rsidR="00004531" w:rsidRPr="00004531">
        <w:rPr>
          <w:sz w:val="20"/>
          <w:szCs w:val="20"/>
        </w:rPr>
        <w:t>, (Oxford: Oxford University Press, 2002)</w:t>
      </w:r>
      <w:r w:rsidRPr="006974FE">
        <w:rPr>
          <w:sz w:val="20"/>
          <w:szCs w:val="20"/>
          <w:lang w:val="en-IE"/>
        </w:rPr>
        <w:t>, p. 181.</w:t>
      </w:r>
    </w:p>
  </w:footnote>
  <w:footnote w:id="28">
    <w:p w14:paraId="0A3A0D43" w14:textId="288D456A" w:rsidR="00252A86" w:rsidRPr="00252A86" w:rsidRDefault="00252A86">
      <w:pPr>
        <w:pStyle w:val="FootnoteText"/>
        <w:rPr>
          <w:lang w:val="en-IE"/>
        </w:rPr>
      </w:pPr>
      <w:r>
        <w:rPr>
          <w:rStyle w:val="FootnoteReference"/>
        </w:rPr>
        <w:footnoteRef/>
      </w:r>
      <w:r>
        <w:t xml:space="preserve"> </w:t>
      </w:r>
      <w:r>
        <w:rPr>
          <w:sz w:val="20"/>
          <w:szCs w:val="20"/>
          <w:lang w:val="en-IE"/>
        </w:rPr>
        <w:t xml:space="preserve">Lucan, </w:t>
      </w:r>
      <w:r w:rsidRPr="00F82C6D">
        <w:rPr>
          <w:i/>
          <w:sz w:val="20"/>
          <w:szCs w:val="20"/>
          <w:lang w:val="en-IE"/>
        </w:rPr>
        <w:t>Pharsalia</w:t>
      </w:r>
      <w:r>
        <w:rPr>
          <w:sz w:val="20"/>
          <w:szCs w:val="20"/>
          <w:lang w:val="en-IE"/>
        </w:rPr>
        <w:t xml:space="preserve">, 6.719 in </w:t>
      </w:r>
      <w:r w:rsidR="00F82C6D">
        <w:rPr>
          <w:sz w:val="20"/>
          <w:szCs w:val="20"/>
          <w:lang w:val="en-IE"/>
        </w:rPr>
        <w:t xml:space="preserve">Daniel </w:t>
      </w:r>
      <w:r>
        <w:rPr>
          <w:sz w:val="20"/>
          <w:szCs w:val="20"/>
          <w:lang w:val="en-IE"/>
        </w:rPr>
        <w:t>Ogden</w:t>
      </w:r>
      <w:r w:rsidR="00F82C6D">
        <w:rPr>
          <w:sz w:val="20"/>
          <w:szCs w:val="20"/>
          <w:lang w:val="en-IE"/>
        </w:rPr>
        <w:t>,</w:t>
      </w:r>
      <w:r w:rsidR="00F82C6D" w:rsidRPr="00F82C6D">
        <w:rPr>
          <w:i/>
          <w:iCs/>
        </w:rPr>
        <w:t xml:space="preserve"> </w:t>
      </w:r>
      <w:r w:rsidR="00F82C6D" w:rsidRPr="00F82C6D">
        <w:rPr>
          <w:i/>
          <w:iCs/>
          <w:sz w:val="20"/>
          <w:szCs w:val="20"/>
        </w:rPr>
        <w:t>Magic, Witchcraft and Ghosts in the Greek and Roman Worlds: A Sourcebook</w:t>
      </w:r>
      <w:r w:rsidR="00F82C6D" w:rsidRPr="00F82C6D">
        <w:rPr>
          <w:sz w:val="20"/>
          <w:szCs w:val="20"/>
        </w:rPr>
        <w:t>, (Oxford: Oxford University Press, 2002)</w:t>
      </w:r>
      <w:r>
        <w:rPr>
          <w:sz w:val="20"/>
          <w:szCs w:val="20"/>
          <w:lang w:val="en-IE"/>
        </w:rPr>
        <w:t>, p. 196</w:t>
      </w:r>
      <w:r w:rsidRPr="000F4069">
        <w:rPr>
          <w:sz w:val="20"/>
          <w:szCs w:val="20"/>
          <w:lang w:val="en-IE"/>
        </w:rPr>
        <w:t>.</w:t>
      </w:r>
    </w:p>
  </w:footnote>
  <w:footnote w:id="29">
    <w:p w14:paraId="413248DA" w14:textId="5A0AC560" w:rsidR="00C2691B" w:rsidRPr="009C7B2B" w:rsidRDefault="00C2691B" w:rsidP="00C2691B">
      <w:pPr>
        <w:pStyle w:val="FootnoteText"/>
        <w:rPr>
          <w:sz w:val="20"/>
          <w:szCs w:val="20"/>
        </w:rPr>
      </w:pPr>
      <w:r>
        <w:rPr>
          <w:rStyle w:val="FootnoteReference"/>
        </w:rPr>
        <w:footnoteRef/>
      </w:r>
      <w:r>
        <w:t xml:space="preserve"> </w:t>
      </w:r>
      <w:r w:rsidR="009C7B2B" w:rsidRPr="009C7B2B">
        <w:rPr>
          <w:sz w:val="20"/>
          <w:szCs w:val="20"/>
        </w:rPr>
        <w:t>Sarah Iles</w:t>
      </w:r>
      <w:r w:rsidR="009C7B2B">
        <w:t xml:space="preserve"> </w:t>
      </w:r>
      <w:r w:rsidRPr="000E2735">
        <w:rPr>
          <w:sz w:val="20"/>
          <w:szCs w:val="20"/>
          <w:lang w:val="en-IE"/>
        </w:rPr>
        <w:t xml:space="preserve">Johnston, </w:t>
      </w:r>
      <w:r w:rsidR="009C7B2B" w:rsidRPr="009C7B2B">
        <w:rPr>
          <w:sz w:val="20"/>
          <w:szCs w:val="20"/>
        </w:rPr>
        <w:t xml:space="preserve">‘Magic and the Dead in Classical Greece’, in John. Petropoulos J. C. B Petropoulos, </w:t>
      </w:r>
      <w:r w:rsidR="009C7B2B" w:rsidRPr="009C7B2B">
        <w:rPr>
          <w:i/>
          <w:sz w:val="20"/>
          <w:szCs w:val="20"/>
        </w:rPr>
        <w:t>Greek Magic: Ancient, Medieval, and Modern</w:t>
      </w:r>
      <w:r w:rsidR="009C7B2B" w:rsidRPr="009C7B2B">
        <w:rPr>
          <w:sz w:val="20"/>
          <w:szCs w:val="20"/>
        </w:rPr>
        <w:t xml:space="preserve"> (Milton Park, Abingdon, OX &amp; New York: Routledge, 2008</w:t>
      </w:r>
      <w:r w:rsidR="009C7B2B">
        <w:rPr>
          <w:sz w:val="20"/>
          <w:szCs w:val="20"/>
        </w:rPr>
        <w:t>)</w:t>
      </w:r>
      <w:r w:rsidRPr="000E2735">
        <w:rPr>
          <w:sz w:val="20"/>
          <w:szCs w:val="20"/>
          <w:lang w:val="en-IE"/>
        </w:rPr>
        <w:t>, p. 18.</w:t>
      </w:r>
      <w:r>
        <w:rPr>
          <w:lang w:val="en-IE"/>
        </w:rPr>
        <w:t xml:space="preserve"> </w:t>
      </w:r>
    </w:p>
  </w:footnote>
  <w:footnote w:id="30">
    <w:p w14:paraId="3AE6F316" w14:textId="0DD2413C" w:rsidR="00FE282E" w:rsidRPr="00FE282E" w:rsidRDefault="00FE282E">
      <w:pPr>
        <w:pStyle w:val="FootnoteText"/>
        <w:rPr>
          <w:lang w:val="en-IE"/>
        </w:rPr>
      </w:pPr>
      <w:r>
        <w:rPr>
          <w:rStyle w:val="FootnoteReference"/>
        </w:rPr>
        <w:footnoteRef/>
      </w:r>
      <w:r>
        <w:t xml:space="preserve"> </w:t>
      </w:r>
      <w:r w:rsidRPr="007B6052">
        <w:rPr>
          <w:sz w:val="20"/>
          <w:szCs w:val="20"/>
          <w:lang w:val="en-IE"/>
        </w:rPr>
        <w:t xml:space="preserve">Lucan, </w:t>
      </w:r>
      <w:r w:rsidRPr="00F82C6D">
        <w:rPr>
          <w:i/>
          <w:sz w:val="20"/>
          <w:szCs w:val="20"/>
          <w:lang w:val="en-IE"/>
        </w:rPr>
        <w:t>Pharsalia</w:t>
      </w:r>
      <w:r w:rsidRPr="007B6052">
        <w:rPr>
          <w:sz w:val="20"/>
          <w:szCs w:val="20"/>
          <w:lang w:val="en-IE"/>
        </w:rPr>
        <w:t xml:space="preserve">, 6.719 in </w:t>
      </w:r>
      <w:r w:rsidR="00F82C6D">
        <w:rPr>
          <w:sz w:val="20"/>
          <w:szCs w:val="20"/>
          <w:lang w:val="en-IE"/>
        </w:rPr>
        <w:t>Daniel Ogd</w:t>
      </w:r>
      <w:r w:rsidRPr="007B6052">
        <w:rPr>
          <w:sz w:val="20"/>
          <w:szCs w:val="20"/>
          <w:lang w:val="en-IE"/>
        </w:rPr>
        <w:t xml:space="preserve">en, </w:t>
      </w:r>
      <w:r w:rsidR="00F82C6D" w:rsidRPr="00F82C6D">
        <w:rPr>
          <w:i/>
          <w:iCs/>
          <w:sz w:val="20"/>
          <w:szCs w:val="20"/>
        </w:rPr>
        <w:t>Magic, Witchcraft and Ghosts in the Greek and Roman Worlds: A Sourcebook</w:t>
      </w:r>
      <w:r w:rsidR="00F82C6D" w:rsidRPr="00F82C6D">
        <w:rPr>
          <w:sz w:val="20"/>
          <w:szCs w:val="20"/>
        </w:rPr>
        <w:t>, (Oxford: Oxford University Press, 2002)</w:t>
      </w:r>
      <w:r w:rsidRPr="007B6052">
        <w:rPr>
          <w:sz w:val="20"/>
          <w:szCs w:val="20"/>
          <w:lang w:val="en-IE"/>
        </w:rPr>
        <w:t>, p.196</w:t>
      </w:r>
      <w:r w:rsidR="007B6052" w:rsidRPr="007B6052">
        <w:rPr>
          <w:sz w:val="20"/>
          <w:szCs w:val="20"/>
          <w:lang w:val="en-IE"/>
        </w:rPr>
        <w:t>.</w:t>
      </w:r>
    </w:p>
  </w:footnote>
  <w:footnote w:id="31">
    <w:p w14:paraId="2121D571" w14:textId="578C7F81" w:rsidR="006D26ED" w:rsidRPr="006D26ED" w:rsidRDefault="006D26ED">
      <w:pPr>
        <w:pStyle w:val="FootnoteText"/>
        <w:rPr>
          <w:lang w:val="en-IE"/>
        </w:rPr>
      </w:pPr>
      <w:r>
        <w:rPr>
          <w:rStyle w:val="FootnoteReference"/>
        </w:rPr>
        <w:footnoteRef/>
      </w:r>
      <w:r>
        <w:t xml:space="preserve"> </w:t>
      </w:r>
      <w:r w:rsidRPr="00E07F65">
        <w:rPr>
          <w:sz w:val="20"/>
          <w:szCs w:val="20"/>
        </w:rPr>
        <w:t>Lucian, </w:t>
      </w:r>
      <w:r w:rsidRPr="00E07F65">
        <w:rPr>
          <w:i/>
          <w:sz w:val="20"/>
          <w:szCs w:val="20"/>
        </w:rPr>
        <w:t>Menippus, or The Descent into Hades</w:t>
      </w:r>
      <w:r w:rsidRPr="00E07F65">
        <w:rPr>
          <w:sz w:val="20"/>
          <w:szCs w:val="20"/>
        </w:rPr>
        <w:t xml:space="preserve">, </w:t>
      </w:r>
      <w:r w:rsidR="00F82C6D">
        <w:rPr>
          <w:sz w:val="20"/>
          <w:szCs w:val="20"/>
        </w:rPr>
        <w:t>in ‘</w:t>
      </w:r>
      <w:r w:rsidR="00F82C6D" w:rsidRPr="00F82C6D">
        <w:rPr>
          <w:sz w:val="20"/>
          <w:szCs w:val="20"/>
        </w:rPr>
        <w:t>Lucian Vol. IV</w:t>
      </w:r>
      <w:r w:rsidR="00F82C6D">
        <w:rPr>
          <w:sz w:val="20"/>
          <w:szCs w:val="20"/>
        </w:rPr>
        <w:t xml:space="preserve">’ (January 1925), </w:t>
      </w:r>
      <w:r w:rsidRPr="00E07F65">
        <w:rPr>
          <w:sz w:val="20"/>
          <w:szCs w:val="20"/>
        </w:rPr>
        <w:t>trans. by A.M. Harmon, LCL 162</w:t>
      </w:r>
      <w:r w:rsidR="00EB426F">
        <w:rPr>
          <w:sz w:val="20"/>
          <w:szCs w:val="20"/>
        </w:rPr>
        <w:t>: 84-85, p. 85</w:t>
      </w:r>
      <w:r w:rsidRPr="00E07F65">
        <w:rPr>
          <w:sz w:val="20"/>
          <w:szCs w:val="20"/>
        </w:rPr>
        <w:t xml:space="preserve">. </w:t>
      </w:r>
    </w:p>
  </w:footnote>
  <w:footnote w:id="32">
    <w:p w14:paraId="3DAB508A" w14:textId="636B7AD4" w:rsidR="00052A59" w:rsidRPr="00820DFA" w:rsidRDefault="00052A59">
      <w:pPr>
        <w:pStyle w:val="FootnoteText"/>
        <w:rPr>
          <w:sz w:val="20"/>
          <w:szCs w:val="20"/>
        </w:rPr>
      </w:pPr>
      <w:r>
        <w:rPr>
          <w:rStyle w:val="FootnoteReference"/>
        </w:rPr>
        <w:footnoteRef/>
      </w:r>
      <w:r>
        <w:t xml:space="preserve"> </w:t>
      </w:r>
      <w:r w:rsidRPr="00052A59">
        <w:rPr>
          <w:sz w:val="20"/>
          <w:szCs w:val="20"/>
          <w:lang w:val="en-IE"/>
        </w:rPr>
        <w:t xml:space="preserve">PGM IV 2006-2125 </w:t>
      </w:r>
      <w:r w:rsidR="00820DFA">
        <w:rPr>
          <w:sz w:val="20"/>
          <w:szCs w:val="20"/>
          <w:lang w:val="en-IE"/>
        </w:rPr>
        <w:t>‘</w:t>
      </w:r>
      <w:r w:rsidRPr="00052A59">
        <w:rPr>
          <w:sz w:val="20"/>
          <w:szCs w:val="20"/>
          <w:lang w:val="en-IE"/>
        </w:rPr>
        <w:t>Pitys’ Spell of Attraction</w:t>
      </w:r>
      <w:r w:rsidR="00820DFA">
        <w:rPr>
          <w:sz w:val="20"/>
          <w:szCs w:val="20"/>
          <w:lang w:val="en-IE"/>
        </w:rPr>
        <w:t>’</w:t>
      </w:r>
      <w:r w:rsidRPr="00052A59">
        <w:rPr>
          <w:sz w:val="20"/>
          <w:szCs w:val="20"/>
          <w:lang w:val="en-IE"/>
        </w:rPr>
        <w:t>, at 2110</w:t>
      </w:r>
      <w:r w:rsidR="00820DFA">
        <w:rPr>
          <w:sz w:val="20"/>
          <w:szCs w:val="20"/>
          <w:lang w:val="en-IE"/>
        </w:rPr>
        <w:t xml:space="preserve"> in</w:t>
      </w:r>
      <w:r w:rsidRPr="00052A59">
        <w:rPr>
          <w:sz w:val="20"/>
          <w:szCs w:val="20"/>
          <w:lang w:val="en-IE"/>
        </w:rPr>
        <w:t xml:space="preserve"> </w:t>
      </w:r>
      <w:r w:rsidR="00820DFA" w:rsidRPr="00820DFA">
        <w:rPr>
          <w:sz w:val="20"/>
          <w:szCs w:val="20"/>
        </w:rPr>
        <w:t>Hans Dieter</w:t>
      </w:r>
      <w:r w:rsidR="00820DFA">
        <w:rPr>
          <w:sz w:val="20"/>
          <w:szCs w:val="20"/>
        </w:rPr>
        <w:t xml:space="preserve"> Betz</w:t>
      </w:r>
      <w:r w:rsidR="00820DFA" w:rsidRPr="00820DFA">
        <w:rPr>
          <w:sz w:val="20"/>
          <w:szCs w:val="20"/>
        </w:rPr>
        <w:t xml:space="preserve">, </w:t>
      </w:r>
      <w:r w:rsidR="00820DFA" w:rsidRPr="00820DFA">
        <w:rPr>
          <w:i/>
          <w:iCs/>
          <w:sz w:val="20"/>
          <w:szCs w:val="20"/>
        </w:rPr>
        <w:t>The Greek Magical Papyri in Translation, including the Demotic Spells</w:t>
      </w:r>
      <w:r w:rsidR="00820DFA" w:rsidRPr="00820DFA">
        <w:rPr>
          <w:sz w:val="20"/>
          <w:szCs w:val="20"/>
        </w:rPr>
        <w:t>, 2</w:t>
      </w:r>
      <w:r w:rsidR="00820DFA" w:rsidRPr="00820DFA">
        <w:rPr>
          <w:sz w:val="20"/>
          <w:szCs w:val="20"/>
          <w:vertAlign w:val="superscript"/>
        </w:rPr>
        <w:t>nd</w:t>
      </w:r>
      <w:r w:rsidR="00820DFA" w:rsidRPr="00820DFA">
        <w:rPr>
          <w:sz w:val="20"/>
          <w:szCs w:val="20"/>
        </w:rPr>
        <w:t xml:space="preserve"> Ed., (Chicago: Chicago University Press, 1996</w:t>
      </w:r>
      <w:r w:rsidR="00820DFA">
        <w:rPr>
          <w:sz w:val="20"/>
          <w:szCs w:val="20"/>
        </w:rPr>
        <w:t xml:space="preserve">), </w:t>
      </w:r>
      <w:r w:rsidRPr="00052A59">
        <w:rPr>
          <w:sz w:val="20"/>
          <w:szCs w:val="20"/>
          <w:lang w:val="en-IE"/>
        </w:rPr>
        <w:t>p. 75.</w:t>
      </w:r>
    </w:p>
  </w:footnote>
  <w:footnote w:id="33">
    <w:p w14:paraId="42F1ECDE" w14:textId="03608B53" w:rsidR="00AA3D4B" w:rsidRPr="00AA3D4B" w:rsidRDefault="00AA3D4B">
      <w:pPr>
        <w:pStyle w:val="FootnoteText"/>
        <w:rPr>
          <w:lang w:val="en-IE"/>
        </w:rPr>
      </w:pPr>
      <w:r>
        <w:rPr>
          <w:rStyle w:val="FootnoteReference"/>
        </w:rPr>
        <w:footnoteRef/>
      </w:r>
      <w:r>
        <w:t xml:space="preserve"> </w:t>
      </w:r>
      <w:r w:rsidR="00F82C6D" w:rsidRPr="00F82C6D">
        <w:rPr>
          <w:sz w:val="20"/>
          <w:szCs w:val="20"/>
        </w:rPr>
        <w:t xml:space="preserve">Daniel </w:t>
      </w:r>
      <w:r w:rsidR="008B7549" w:rsidRPr="008B7549">
        <w:rPr>
          <w:sz w:val="20"/>
          <w:szCs w:val="20"/>
        </w:rPr>
        <w:t xml:space="preserve">Ogden, </w:t>
      </w:r>
      <w:r w:rsidR="00F82C6D" w:rsidRPr="00F82C6D">
        <w:rPr>
          <w:i/>
          <w:iCs/>
          <w:sz w:val="20"/>
          <w:szCs w:val="20"/>
        </w:rPr>
        <w:t>Magic, Witchcraft and Ghosts in the Greek and Roman Worlds: A Sourcebook</w:t>
      </w:r>
      <w:r w:rsidR="00F82C6D" w:rsidRPr="00F82C6D">
        <w:rPr>
          <w:sz w:val="20"/>
          <w:szCs w:val="20"/>
        </w:rPr>
        <w:t>, (Oxford: Oxford University Press, 2002)</w:t>
      </w:r>
      <w:r w:rsidR="008B7549" w:rsidRPr="008B7549">
        <w:rPr>
          <w:sz w:val="20"/>
          <w:szCs w:val="20"/>
        </w:rPr>
        <w:t>, p. 204.</w:t>
      </w:r>
    </w:p>
  </w:footnote>
  <w:footnote w:id="34">
    <w:p w14:paraId="74B0AA7C" w14:textId="326FD97B" w:rsidR="00330067" w:rsidRPr="00330067" w:rsidRDefault="00330067">
      <w:pPr>
        <w:pStyle w:val="FootnoteText"/>
        <w:rPr>
          <w:i/>
        </w:rPr>
      </w:pPr>
      <w:r>
        <w:rPr>
          <w:rStyle w:val="FootnoteReference"/>
        </w:rPr>
        <w:footnoteRef/>
      </w:r>
      <w:r>
        <w:t xml:space="preserve"> </w:t>
      </w:r>
      <w:r w:rsidRPr="00330067">
        <w:rPr>
          <w:sz w:val="20"/>
          <w:szCs w:val="20"/>
        </w:rPr>
        <w:t xml:space="preserve">Plutarch, </w:t>
      </w:r>
      <w:r w:rsidRPr="00330067">
        <w:rPr>
          <w:i/>
          <w:sz w:val="20"/>
          <w:szCs w:val="20"/>
        </w:rPr>
        <w:t>Lives. Cimon</w:t>
      </w:r>
      <w:r w:rsidR="00F82C6D">
        <w:rPr>
          <w:i/>
          <w:sz w:val="20"/>
          <w:szCs w:val="20"/>
        </w:rPr>
        <w:t xml:space="preserve"> </w:t>
      </w:r>
      <w:r w:rsidR="00F82C6D">
        <w:rPr>
          <w:sz w:val="20"/>
          <w:szCs w:val="20"/>
        </w:rPr>
        <w:t>in ‘Lives, Vol. II’, trans. by Bernadotte Perin (Jan., 1914)</w:t>
      </w:r>
      <w:r w:rsidRPr="00330067">
        <w:rPr>
          <w:i/>
          <w:sz w:val="20"/>
          <w:szCs w:val="20"/>
        </w:rPr>
        <w:t xml:space="preserve"> </w:t>
      </w:r>
      <w:r w:rsidRPr="00330067">
        <w:rPr>
          <w:sz w:val="20"/>
          <w:szCs w:val="20"/>
        </w:rPr>
        <w:t>LCL 47: 422-423</w:t>
      </w:r>
      <w:r w:rsidR="00F82C6D">
        <w:rPr>
          <w:sz w:val="20"/>
          <w:szCs w:val="20"/>
        </w:rPr>
        <w:t>, p. 423.</w:t>
      </w:r>
    </w:p>
  </w:footnote>
  <w:footnote w:id="35">
    <w:p w14:paraId="6908FABF" w14:textId="42723649" w:rsidR="00CF2E64" w:rsidRPr="00CF2E64" w:rsidRDefault="00CF2E64">
      <w:pPr>
        <w:pStyle w:val="FootnoteText"/>
        <w:rPr>
          <w:lang w:val="en-IE"/>
        </w:rPr>
      </w:pPr>
      <w:r>
        <w:rPr>
          <w:rStyle w:val="FootnoteReference"/>
        </w:rPr>
        <w:footnoteRef/>
      </w:r>
      <w:r>
        <w:t xml:space="preserve"> </w:t>
      </w:r>
      <w:r w:rsidRPr="007B6052">
        <w:rPr>
          <w:sz w:val="20"/>
          <w:szCs w:val="20"/>
          <w:lang w:val="en-IE"/>
        </w:rPr>
        <w:t xml:space="preserve">Lucan, </w:t>
      </w:r>
      <w:r w:rsidRPr="00F82C6D">
        <w:rPr>
          <w:i/>
          <w:sz w:val="20"/>
          <w:szCs w:val="20"/>
          <w:lang w:val="en-IE"/>
        </w:rPr>
        <w:t>Pharsalia</w:t>
      </w:r>
      <w:r w:rsidRPr="007B6052">
        <w:rPr>
          <w:sz w:val="20"/>
          <w:szCs w:val="20"/>
          <w:lang w:val="en-IE"/>
        </w:rPr>
        <w:t xml:space="preserve">, 6.719 in </w:t>
      </w:r>
      <w:r w:rsidR="00F82C6D">
        <w:rPr>
          <w:sz w:val="20"/>
          <w:szCs w:val="20"/>
          <w:lang w:val="en-IE"/>
        </w:rPr>
        <w:t xml:space="preserve">Daniel </w:t>
      </w:r>
      <w:r w:rsidRPr="007B6052">
        <w:rPr>
          <w:sz w:val="20"/>
          <w:szCs w:val="20"/>
          <w:lang w:val="en-IE"/>
        </w:rPr>
        <w:t xml:space="preserve">Odgen, </w:t>
      </w:r>
      <w:r w:rsidR="00F82C6D" w:rsidRPr="00F82C6D">
        <w:rPr>
          <w:i/>
          <w:iCs/>
          <w:sz w:val="20"/>
          <w:szCs w:val="20"/>
        </w:rPr>
        <w:t>Magic, Witchcraft and Ghosts in the Greek and Roman Worlds: A Sourcebook</w:t>
      </w:r>
      <w:r w:rsidR="00F82C6D" w:rsidRPr="00F82C6D">
        <w:rPr>
          <w:sz w:val="20"/>
          <w:szCs w:val="20"/>
        </w:rPr>
        <w:t>, (Oxford: Oxford University Press, 2002)</w:t>
      </w:r>
      <w:r w:rsidRPr="007B6052">
        <w:rPr>
          <w:sz w:val="20"/>
          <w:szCs w:val="20"/>
          <w:lang w:val="en-IE"/>
        </w:rPr>
        <w:t>, p.19</w:t>
      </w:r>
      <w:r>
        <w:rPr>
          <w:sz w:val="20"/>
          <w:szCs w:val="20"/>
          <w:lang w:val="en-IE"/>
        </w:rPr>
        <w:t>5.</w:t>
      </w:r>
    </w:p>
  </w:footnote>
  <w:footnote w:id="36">
    <w:p w14:paraId="15BF0135" w14:textId="1CCC2E6D" w:rsidR="002024C4" w:rsidRPr="002024C4" w:rsidRDefault="002024C4">
      <w:pPr>
        <w:pStyle w:val="FootnoteText"/>
        <w:rPr>
          <w:lang w:val="en-IE"/>
        </w:rPr>
      </w:pPr>
      <w:r>
        <w:rPr>
          <w:rStyle w:val="FootnoteReference"/>
        </w:rPr>
        <w:footnoteRef/>
      </w:r>
      <w:r>
        <w:t xml:space="preserve"> </w:t>
      </w:r>
      <w:r w:rsidRPr="007B6052">
        <w:rPr>
          <w:sz w:val="20"/>
          <w:szCs w:val="20"/>
          <w:lang w:val="en-IE"/>
        </w:rPr>
        <w:t xml:space="preserve">Lucan, </w:t>
      </w:r>
      <w:r w:rsidRPr="00F82C6D">
        <w:rPr>
          <w:i/>
          <w:sz w:val="20"/>
          <w:szCs w:val="20"/>
          <w:lang w:val="en-IE"/>
        </w:rPr>
        <w:t>Pharsalia</w:t>
      </w:r>
      <w:r w:rsidRPr="007B6052">
        <w:rPr>
          <w:sz w:val="20"/>
          <w:szCs w:val="20"/>
          <w:lang w:val="en-IE"/>
        </w:rPr>
        <w:t xml:space="preserve">, 6.719 in </w:t>
      </w:r>
      <w:r w:rsidR="00F82C6D">
        <w:rPr>
          <w:sz w:val="20"/>
          <w:szCs w:val="20"/>
          <w:lang w:val="en-IE"/>
        </w:rPr>
        <w:t xml:space="preserve">Daniel </w:t>
      </w:r>
      <w:r w:rsidRPr="007B6052">
        <w:rPr>
          <w:sz w:val="20"/>
          <w:szCs w:val="20"/>
          <w:lang w:val="en-IE"/>
        </w:rPr>
        <w:t xml:space="preserve">Odgen, </w:t>
      </w:r>
      <w:r w:rsidR="00F82C6D" w:rsidRPr="00F82C6D">
        <w:rPr>
          <w:i/>
          <w:iCs/>
          <w:sz w:val="20"/>
          <w:szCs w:val="20"/>
        </w:rPr>
        <w:t>Magic, Witchcraft and Ghosts in the Greek and Roman Worlds: A Sourcebook</w:t>
      </w:r>
      <w:r w:rsidR="00F82C6D" w:rsidRPr="00F82C6D">
        <w:rPr>
          <w:sz w:val="20"/>
          <w:szCs w:val="20"/>
        </w:rPr>
        <w:t>, (Oxford: Oxford University Press, 2002)</w:t>
      </w:r>
      <w:r w:rsidRPr="007B6052">
        <w:rPr>
          <w:sz w:val="20"/>
          <w:szCs w:val="20"/>
          <w:lang w:val="en-IE"/>
        </w:rPr>
        <w:t>, p.19</w:t>
      </w:r>
      <w:r>
        <w:rPr>
          <w:sz w:val="20"/>
          <w:szCs w:val="20"/>
          <w:lang w:val="en-IE"/>
        </w:rPr>
        <w:t>5-196.</w:t>
      </w:r>
    </w:p>
  </w:footnote>
  <w:footnote w:id="37">
    <w:p w14:paraId="13E66259" w14:textId="17BBAC6F" w:rsidR="00C703C9" w:rsidRPr="009C7B2B" w:rsidRDefault="00C703C9">
      <w:pPr>
        <w:pStyle w:val="FootnoteText"/>
        <w:rPr>
          <w:sz w:val="20"/>
          <w:szCs w:val="20"/>
        </w:rPr>
      </w:pPr>
      <w:r>
        <w:rPr>
          <w:rStyle w:val="FootnoteReference"/>
        </w:rPr>
        <w:footnoteRef/>
      </w:r>
      <w:r>
        <w:t xml:space="preserve"> </w:t>
      </w:r>
      <w:r w:rsidR="009C7B2B" w:rsidRPr="009C7B2B">
        <w:rPr>
          <w:sz w:val="20"/>
          <w:szCs w:val="20"/>
        </w:rPr>
        <w:t>Sarah Iles</w:t>
      </w:r>
      <w:r w:rsidR="009C7B2B">
        <w:t xml:space="preserve"> </w:t>
      </w:r>
      <w:r w:rsidRPr="00C703C9">
        <w:rPr>
          <w:sz w:val="20"/>
          <w:szCs w:val="20"/>
          <w:lang w:val="en-IE"/>
        </w:rPr>
        <w:t xml:space="preserve">Johnston, </w:t>
      </w:r>
      <w:r w:rsidR="009C7B2B" w:rsidRPr="009C7B2B">
        <w:rPr>
          <w:sz w:val="20"/>
          <w:szCs w:val="20"/>
        </w:rPr>
        <w:t xml:space="preserve">‘Magic and the Dead in Classical Greece’, in John. Petropoulos J. C. B Petropoulos, </w:t>
      </w:r>
      <w:r w:rsidR="009C7B2B" w:rsidRPr="009C7B2B">
        <w:rPr>
          <w:i/>
          <w:sz w:val="20"/>
          <w:szCs w:val="20"/>
        </w:rPr>
        <w:t>Greek Magic: Ancient, Medieval, and Modern</w:t>
      </w:r>
      <w:r w:rsidR="009C7B2B" w:rsidRPr="009C7B2B">
        <w:rPr>
          <w:sz w:val="20"/>
          <w:szCs w:val="20"/>
        </w:rPr>
        <w:t xml:space="preserve"> (Milton Park, Abingdon, OX &amp; New York: Routledge, 2008</w:t>
      </w:r>
      <w:r w:rsidR="009C7B2B">
        <w:rPr>
          <w:sz w:val="20"/>
          <w:szCs w:val="20"/>
        </w:rPr>
        <w:t>)</w:t>
      </w:r>
      <w:r w:rsidRPr="00C703C9">
        <w:rPr>
          <w:sz w:val="20"/>
          <w:szCs w:val="20"/>
          <w:lang w:val="en-IE"/>
        </w:rPr>
        <w:t>, p. 16.</w:t>
      </w:r>
      <w:r>
        <w:rPr>
          <w:lang w:val="en-IE"/>
        </w:rPr>
        <w:t xml:space="preserve"> </w:t>
      </w:r>
    </w:p>
  </w:footnote>
  <w:footnote w:id="38">
    <w:p w14:paraId="15C6F9CD" w14:textId="793913AC" w:rsidR="008018E5" w:rsidRPr="00B0574C" w:rsidRDefault="008018E5" w:rsidP="008018E5">
      <w:pPr>
        <w:pStyle w:val="NormalWeb"/>
        <w:shd w:val="clear" w:color="auto" w:fill="FFFFFF"/>
        <w:spacing w:before="0" w:beforeAutospacing="0" w:after="0" w:afterAutospacing="0"/>
        <w:rPr>
          <w:color w:val="333333"/>
          <w:sz w:val="20"/>
          <w:szCs w:val="20"/>
        </w:rPr>
      </w:pPr>
      <w:r>
        <w:rPr>
          <w:rStyle w:val="FootnoteReference"/>
        </w:rPr>
        <w:footnoteRef/>
      </w:r>
      <w:r>
        <w:t xml:space="preserve"> </w:t>
      </w:r>
      <w:r w:rsidRPr="000701A1">
        <w:rPr>
          <w:color w:val="333333"/>
          <w:sz w:val="20"/>
          <w:szCs w:val="20"/>
        </w:rPr>
        <w:t xml:space="preserve">Christa Agnes Tuczay, </w:t>
      </w:r>
      <w:r w:rsidR="00F82C6D">
        <w:rPr>
          <w:color w:val="333333"/>
          <w:sz w:val="20"/>
          <w:szCs w:val="20"/>
        </w:rPr>
        <w:t>‘</w:t>
      </w:r>
      <w:r w:rsidRPr="000701A1">
        <w:rPr>
          <w:bCs/>
          <w:color w:val="333333"/>
          <w:sz w:val="20"/>
          <w:szCs w:val="20"/>
        </w:rPr>
        <w:t>Necromancy from Antiquity to Medieval and Modern Times</w:t>
      </w:r>
      <w:r w:rsidR="00F82C6D">
        <w:rPr>
          <w:bCs/>
          <w:color w:val="333333"/>
          <w:sz w:val="20"/>
          <w:szCs w:val="20"/>
        </w:rPr>
        <w:t>’</w:t>
      </w:r>
      <w:r w:rsidRPr="000701A1">
        <w:rPr>
          <w:color w:val="333333"/>
          <w:sz w:val="20"/>
          <w:szCs w:val="20"/>
        </w:rPr>
        <w:t xml:space="preserve">, </w:t>
      </w:r>
      <w:r w:rsidRPr="000701A1">
        <w:rPr>
          <w:rStyle w:val="Emphasis"/>
          <w:color w:val="333333"/>
          <w:sz w:val="20"/>
          <w:szCs w:val="20"/>
        </w:rPr>
        <w:t>The Ritual Year, Vol.10: Magic in Rituals and Rituals in Magic</w:t>
      </w:r>
      <w:r w:rsidRPr="000701A1">
        <w:rPr>
          <w:color w:val="333333"/>
          <w:sz w:val="20"/>
          <w:szCs w:val="20"/>
        </w:rPr>
        <w:t>, ed. by Tatiana Minniyakhmetova and Kamila Velkoborská (2015), pp. 275-28</w:t>
      </w:r>
      <w:r>
        <w:rPr>
          <w:color w:val="333333"/>
          <w:sz w:val="20"/>
          <w:szCs w:val="20"/>
        </w:rPr>
        <w:t>5, p. 276.</w:t>
      </w:r>
    </w:p>
  </w:footnote>
  <w:footnote w:id="39">
    <w:p w14:paraId="0D69E3F3" w14:textId="65AA4854" w:rsidR="008018E5" w:rsidRPr="00BA69F5" w:rsidRDefault="008018E5" w:rsidP="008018E5">
      <w:pPr>
        <w:pStyle w:val="FootnoteText"/>
        <w:rPr>
          <w:sz w:val="20"/>
          <w:szCs w:val="20"/>
        </w:rPr>
      </w:pPr>
      <w:r>
        <w:rPr>
          <w:rStyle w:val="FootnoteReference"/>
        </w:rPr>
        <w:footnoteRef/>
      </w:r>
      <w:r>
        <w:t xml:space="preserve"> </w:t>
      </w:r>
      <w:r w:rsidR="00BA69F5" w:rsidRPr="00BA69F5">
        <w:rPr>
          <w:sz w:val="20"/>
          <w:szCs w:val="20"/>
        </w:rPr>
        <w:t xml:space="preserve">Daniel </w:t>
      </w:r>
      <w:r w:rsidRPr="002E23F4">
        <w:rPr>
          <w:sz w:val="20"/>
          <w:szCs w:val="20"/>
          <w:lang w:val="en-IE"/>
        </w:rPr>
        <w:t xml:space="preserve">Ogden, </w:t>
      </w:r>
      <w:r w:rsidR="00BA69F5">
        <w:rPr>
          <w:sz w:val="20"/>
          <w:szCs w:val="20"/>
          <w:lang w:val="en-IE"/>
        </w:rPr>
        <w:t>‘</w:t>
      </w:r>
      <w:r w:rsidRPr="002E23F4">
        <w:rPr>
          <w:sz w:val="20"/>
          <w:szCs w:val="20"/>
        </w:rPr>
        <w:t>The Ancient Greek Orackles of the Dead</w:t>
      </w:r>
      <w:r w:rsidR="00BA69F5">
        <w:rPr>
          <w:sz w:val="20"/>
          <w:szCs w:val="20"/>
        </w:rPr>
        <w:t>’</w:t>
      </w:r>
      <w:r w:rsidRPr="002E23F4">
        <w:rPr>
          <w:sz w:val="20"/>
          <w:szCs w:val="20"/>
        </w:rPr>
        <w:t>,</w:t>
      </w:r>
      <w:r w:rsidR="00BA69F5" w:rsidRPr="00BA69F5">
        <w:rPr>
          <w:rFonts w:cs="Times New Roman"/>
          <w:i/>
          <w:color w:val="323333"/>
        </w:rPr>
        <w:t xml:space="preserve"> </w:t>
      </w:r>
      <w:r w:rsidR="00BA69F5" w:rsidRPr="00BA69F5">
        <w:rPr>
          <w:i/>
          <w:sz w:val="20"/>
          <w:szCs w:val="20"/>
        </w:rPr>
        <w:t>Acta Classica</w:t>
      </w:r>
      <w:r w:rsidR="00BA69F5" w:rsidRPr="00BA69F5">
        <w:rPr>
          <w:sz w:val="20"/>
          <w:szCs w:val="20"/>
        </w:rPr>
        <w:t xml:space="preserve"> XLIV (2001) pp. 167-195</w:t>
      </w:r>
      <w:r w:rsidR="00BA69F5">
        <w:rPr>
          <w:sz w:val="20"/>
          <w:szCs w:val="20"/>
        </w:rPr>
        <w:t>,</w:t>
      </w:r>
      <w:r w:rsidRPr="002E23F4">
        <w:rPr>
          <w:sz w:val="20"/>
          <w:szCs w:val="20"/>
        </w:rPr>
        <w:t xml:space="preserve"> p. 167.</w:t>
      </w:r>
    </w:p>
  </w:footnote>
  <w:footnote w:id="40">
    <w:p w14:paraId="325A96C7" w14:textId="1C1A9B8E" w:rsidR="008018E5" w:rsidRPr="001C45F2" w:rsidRDefault="008018E5" w:rsidP="008018E5">
      <w:pPr>
        <w:pStyle w:val="FootnoteText"/>
        <w:rPr>
          <w:lang w:val="en-IE"/>
        </w:rPr>
      </w:pPr>
      <w:r>
        <w:rPr>
          <w:rStyle w:val="FootnoteReference"/>
        </w:rPr>
        <w:footnoteRef/>
      </w:r>
      <w:r>
        <w:t xml:space="preserve"> </w:t>
      </w:r>
      <w:r w:rsidRPr="001C45F2">
        <w:rPr>
          <w:sz w:val="20"/>
          <w:szCs w:val="20"/>
        </w:rPr>
        <w:t xml:space="preserve">Lucan, </w:t>
      </w:r>
      <w:r w:rsidRPr="00F82C6D">
        <w:rPr>
          <w:i/>
          <w:sz w:val="20"/>
          <w:szCs w:val="20"/>
        </w:rPr>
        <w:t>Pharsalia</w:t>
      </w:r>
      <w:r w:rsidRPr="001C45F2">
        <w:rPr>
          <w:sz w:val="20"/>
          <w:szCs w:val="20"/>
        </w:rPr>
        <w:t xml:space="preserve">, 6.642, in </w:t>
      </w:r>
      <w:r w:rsidR="00F82C6D">
        <w:rPr>
          <w:sz w:val="20"/>
          <w:szCs w:val="20"/>
        </w:rPr>
        <w:t xml:space="preserve">Daniel </w:t>
      </w:r>
      <w:r w:rsidRPr="001C45F2">
        <w:rPr>
          <w:sz w:val="20"/>
          <w:szCs w:val="20"/>
        </w:rPr>
        <w:t xml:space="preserve">Ogden, </w:t>
      </w:r>
      <w:r w:rsidR="00F82C6D" w:rsidRPr="00F82C6D">
        <w:rPr>
          <w:i/>
          <w:iCs/>
          <w:sz w:val="20"/>
          <w:szCs w:val="20"/>
        </w:rPr>
        <w:t>Magic, Witchcraft and Ghosts in the Greek and Roman Worlds: A Sourcebook</w:t>
      </w:r>
      <w:r w:rsidR="00F82C6D" w:rsidRPr="00F82C6D">
        <w:rPr>
          <w:sz w:val="20"/>
          <w:szCs w:val="20"/>
        </w:rPr>
        <w:t>, (Oxford: Oxford University Press, 2002)</w:t>
      </w:r>
      <w:r w:rsidRPr="001C45F2">
        <w:rPr>
          <w:sz w:val="20"/>
          <w:szCs w:val="20"/>
        </w:rPr>
        <w:t>, p. 194.</w:t>
      </w:r>
    </w:p>
  </w:footnote>
  <w:footnote w:id="41">
    <w:p w14:paraId="58571E4B" w14:textId="5384FBEF" w:rsidR="008018E5" w:rsidRPr="00BA69F5" w:rsidRDefault="008018E5" w:rsidP="008018E5">
      <w:pPr>
        <w:pStyle w:val="FootnoteText"/>
        <w:rPr>
          <w:sz w:val="20"/>
          <w:szCs w:val="20"/>
        </w:rPr>
      </w:pPr>
      <w:r>
        <w:rPr>
          <w:rStyle w:val="FootnoteReference"/>
        </w:rPr>
        <w:footnoteRef/>
      </w:r>
      <w:r w:rsidRPr="008E2073">
        <w:rPr>
          <w:sz w:val="20"/>
          <w:szCs w:val="20"/>
        </w:rPr>
        <w:t xml:space="preserve"> </w:t>
      </w:r>
      <w:r w:rsidR="00BA69F5" w:rsidRPr="008E2073">
        <w:rPr>
          <w:sz w:val="20"/>
          <w:szCs w:val="20"/>
        </w:rPr>
        <w:t>Daniel</w:t>
      </w:r>
      <w:r w:rsidR="00BA69F5">
        <w:t xml:space="preserve"> </w:t>
      </w:r>
      <w:r w:rsidRPr="00766057">
        <w:rPr>
          <w:sz w:val="20"/>
          <w:szCs w:val="20"/>
          <w:lang w:val="en-IE"/>
        </w:rPr>
        <w:t xml:space="preserve">Ogden, </w:t>
      </w:r>
      <w:r w:rsidR="008E2073">
        <w:rPr>
          <w:sz w:val="20"/>
          <w:szCs w:val="20"/>
          <w:lang w:val="en-IE"/>
        </w:rPr>
        <w:t>‘</w:t>
      </w:r>
      <w:r w:rsidRPr="00766057">
        <w:rPr>
          <w:sz w:val="20"/>
          <w:szCs w:val="20"/>
          <w:lang w:val="en-IE"/>
        </w:rPr>
        <w:t>The Ancient Greek Oracles of the Dead</w:t>
      </w:r>
      <w:r w:rsidR="008E2073">
        <w:rPr>
          <w:sz w:val="20"/>
          <w:szCs w:val="20"/>
          <w:lang w:val="en-IE"/>
        </w:rPr>
        <w:t>’</w:t>
      </w:r>
      <w:r w:rsidRPr="00766057">
        <w:rPr>
          <w:sz w:val="20"/>
          <w:szCs w:val="20"/>
          <w:lang w:val="en-IE"/>
        </w:rPr>
        <w:t>,</w:t>
      </w:r>
      <w:r w:rsidR="00BA69F5" w:rsidRPr="00BA69F5">
        <w:rPr>
          <w:rFonts w:cs="Times New Roman"/>
          <w:i/>
          <w:color w:val="323333"/>
        </w:rPr>
        <w:t xml:space="preserve"> </w:t>
      </w:r>
      <w:r w:rsidR="00BA69F5" w:rsidRPr="00BA69F5">
        <w:rPr>
          <w:i/>
          <w:sz w:val="20"/>
          <w:szCs w:val="20"/>
        </w:rPr>
        <w:t>Acta Classica</w:t>
      </w:r>
      <w:r w:rsidR="00BA69F5" w:rsidRPr="00BA69F5">
        <w:rPr>
          <w:sz w:val="20"/>
          <w:szCs w:val="20"/>
        </w:rPr>
        <w:t xml:space="preserve"> XLIV (2001) pp. 167-195</w:t>
      </w:r>
      <w:r w:rsidR="008E2073">
        <w:rPr>
          <w:sz w:val="20"/>
          <w:szCs w:val="20"/>
        </w:rPr>
        <w:t>, pp. 168-69.</w:t>
      </w:r>
    </w:p>
  </w:footnote>
  <w:footnote w:id="42">
    <w:p w14:paraId="21320076" w14:textId="3B970D66" w:rsidR="008018E5" w:rsidRPr="00134953" w:rsidRDefault="008018E5" w:rsidP="008018E5">
      <w:pPr>
        <w:pStyle w:val="FootnoteText"/>
        <w:rPr>
          <w:lang w:val="en-IE"/>
        </w:rPr>
      </w:pPr>
      <w:r>
        <w:rPr>
          <w:rStyle w:val="FootnoteReference"/>
        </w:rPr>
        <w:footnoteRef/>
      </w:r>
      <w:r>
        <w:t xml:space="preserve"> </w:t>
      </w:r>
      <w:r w:rsidRPr="00134953">
        <w:rPr>
          <w:sz w:val="20"/>
          <w:szCs w:val="20"/>
          <w:lang w:val="en-IE"/>
        </w:rPr>
        <w:t xml:space="preserve">Plutarch, </w:t>
      </w:r>
      <w:r w:rsidRPr="00134953">
        <w:rPr>
          <w:i/>
          <w:sz w:val="20"/>
          <w:szCs w:val="20"/>
          <w:lang w:val="en-IE"/>
        </w:rPr>
        <w:t>Moralia</w:t>
      </w:r>
      <w:r w:rsidRPr="00134953">
        <w:rPr>
          <w:sz w:val="20"/>
          <w:szCs w:val="20"/>
          <w:lang w:val="en-IE"/>
        </w:rPr>
        <w:t xml:space="preserve">, 109b-d, in </w:t>
      </w:r>
      <w:r w:rsidR="00F82C6D">
        <w:rPr>
          <w:sz w:val="20"/>
          <w:szCs w:val="20"/>
          <w:lang w:val="en-IE"/>
        </w:rPr>
        <w:t xml:space="preserve">Daniel </w:t>
      </w:r>
      <w:r w:rsidRPr="00134953">
        <w:rPr>
          <w:sz w:val="20"/>
          <w:szCs w:val="20"/>
          <w:lang w:val="en-IE"/>
        </w:rPr>
        <w:t xml:space="preserve">Ogden, </w:t>
      </w:r>
      <w:r w:rsidR="00F82C6D" w:rsidRPr="00F82C6D">
        <w:rPr>
          <w:i/>
          <w:iCs/>
          <w:sz w:val="20"/>
          <w:szCs w:val="20"/>
        </w:rPr>
        <w:t>Magic, Witchcraft and Ghosts in the Greek and Roman Worlds: A Sourcebook</w:t>
      </w:r>
      <w:r w:rsidR="00F82C6D" w:rsidRPr="00F82C6D">
        <w:rPr>
          <w:sz w:val="20"/>
          <w:szCs w:val="20"/>
        </w:rPr>
        <w:t>, (Oxford: Oxford University Press, 2002)</w:t>
      </w:r>
      <w:r w:rsidRPr="00134953">
        <w:rPr>
          <w:sz w:val="20"/>
          <w:szCs w:val="20"/>
          <w:lang w:val="en-IE"/>
        </w:rPr>
        <w:t>, p. 188.</w:t>
      </w:r>
    </w:p>
  </w:footnote>
  <w:footnote w:id="43">
    <w:p w14:paraId="15660BC4" w14:textId="35984698" w:rsidR="00317870" w:rsidRPr="00BB706C" w:rsidRDefault="00317870" w:rsidP="00317870">
      <w:pPr>
        <w:pStyle w:val="FootnoteText"/>
        <w:rPr>
          <w:lang w:val="en-IE"/>
        </w:rPr>
      </w:pPr>
      <w:r>
        <w:rPr>
          <w:rStyle w:val="FootnoteReference"/>
        </w:rPr>
        <w:footnoteRef/>
      </w:r>
      <w:r>
        <w:t xml:space="preserve"> </w:t>
      </w:r>
      <w:r w:rsidRPr="00E07F65">
        <w:rPr>
          <w:sz w:val="20"/>
          <w:szCs w:val="20"/>
        </w:rPr>
        <w:t>Lucian, </w:t>
      </w:r>
      <w:r w:rsidRPr="00E07F65">
        <w:rPr>
          <w:i/>
          <w:sz w:val="20"/>
          <w:szCs w:val="20"/>
        </w:rPr>
        <w:t>Menippus, or The Descent into Hades</w:t>
      </w:r>
      <w:r w:rsidRPr="00E07F65">
        <w:rPr>
          <w:sz w:val="20"/>
          <w:szCs w:val="20"/>
        </w:rPr>
        <w:t xml:space="preserve">, </w:t>
      </w:r>
      <w:r w:rsidR="00F82C6D">
        <w:rPr>
          <w:sz w:val="20"/>
          <w:szCs w:val="20"/>
        </w:rPr>
        <w:t xml:space="preserve">in ‘Lucian Vol. IV’, </w:t>
      </w:r>
      <w:r w:rsidRPr="00E07F65">
        <w:rPr>
          <w:sz w:val="20"/>
          <w:szCs w:val="20"/>
        </w:rPr>
        <w:t>trans. by A.M. Harmon</w:t>
      </w:r>
      <w:r w:rsidR="008E2073">
        <w:rPr>
          <w:sz w:val="20"/>
          <w:szCs w:val="20"/>
        </w:rPr>
        <w:t xml:space="preserve"> (Jan.,</w:t>
      </w:r>
      <w:r w:rsidR="00F82C6D">
        <w:rPr>
          <w:sz w:val="20"/>
          <w:szCs w:val="20"/>
        </w:rPr>
        <w:t>1925)</w:t>
      </w:r>
      <w:r w:rsidRPr="00E07F65">
        <w:rPr>
          <w:sz w:val="20"/>
          <w:szCs w:val="20"/>
        </w:rPr>
        <w:t>, LCL 162</w:t>
      </w:r>
      <w:r>
        <w:rPr>
          <w:sz w:val="20"/>
          <w:szCs w:val="20"/>
        </w:rPr>
        <w:t>: 86-87, p. 87</w:t>
      </w:r>
      <w:r w:rsidRPr="00E07F65">
        <w:rPr>
          <w:sz w:val="20"/>
          <w:szCs w:val="20"/>
        </w:rPr>
        <w:t xml:space="preserve">. </w:t>
      </w:r>
    </w:p>
  </w:footnote>
  <w:footnote w:id="44">
    <w:p w14:paraId="164860D9" w14:textId="04640796" w:rsidR="008018E5" w:rsidRPr="00133B2C" w:rsidRDefault="008018E5" w:rsidP="008018E5">
      <w:pPr>
        <w:pStyle w:val="FootnoteText"/>
        <w:rPr>
          <w:lang w:val="en-IE"/>
        </w:rPr>
      </w:pPr>
      <w:r>
        <w:rPr>
          <w:rStyle w:val="FootnoteReference"/>
        </w:rPr>
        <w:footnoteRef/>
      </w:r>
      <w:r>
        <w:t xml:space="preserve"> </w:t>
      </w:r>
      <w:r w:rsidRPr="003C0935">
        <w:rPr>
          <w:sz w:val="20"/>
          <w:szCs w:val="20"/>
          <w:lang w:val="en-IE"/>
        </w:rPr>
        <w:t>Strabo C244-6</w:t>
      </w:r>
      <w:r w:rsidR="00F82C6D">
        <w:rPr>
          <w:sz w:val="20"/>
          <w:szCs w:val="20"/>
          <w:lang w:val="en-IE"/>
        </w:rPr>
        <w:t>,</w:t>
      </w:r>
      <w:r w:rsidRPr="003C0935">
        <w:rPr>
          <w:sz w:val="20"/>
          <w:szCs w:val="20"/>
          <w:lang w:val="en-IE"/>
        </w:rPr>
        <w:t xml:space="preserve"> in </w:t>
      </w:r>
      <w:r w:rsidR="00F82C6D">
        <w:rPr>
          <w:sz w:val="20"/>
          <w:szCs w:val="20"/>
          <w:lang w:val="en-IE"/>
        </w:rPr>
        <w:t xml:space="preserve">Daniel </w:t>
      </w:r>
      <w:r w:rsidRPr="003C0935">
        <w:rPr>
          <w:sz w:val="20"/>
          <w:szCs w:val="20"/>
          <w:lang w:val="en-IE"/>
        </w:rPr>
        <w:t xml:space="preserve">Ogden, </w:t>
      </w:r>
      <w:r w:rsidR="00F82C6D" w:rsidRPr="00F82C6D">
        <w:rPr>
          <w:i/>
          <w:iCs/>
          <w:sz w:val="20"/>
          <w:szCs w:val="20"/>
        </w:rPr>
        <w:t>Magic, Witchcraft and Ghosts in the Greek and Roman Worlds: A Sourcebook</w:t>
      </w:r>
      <w:r w:rsidR="00F82C6D" w:rsidRPr="00F82C6D">
        <w:rPr>
          <w:sz w:val="20"/>
          <w:szCs w:val="20"/>
        </w:rPr>
        <w:t>, (Oxford: Oxford University Press, 2002)</w:t>
      </w:r>
      <w:r w:rsidRPr="003C0935">
        <w:rPr>
          <w:sz w:val="20"/>
          <w:szCs w:val="20"/>
          <w:lang w:val="en-IE"/>
        </w:rPr>
        <w:t>, p. 190.</w:t>
      </w:r>
    </w:p>
  </w:footnote>
  <w:footnote w:id="45">
    <w:p w14:paraId="71B81E39" w14:textId="36C7EF46" w:rsidR="008018E5" w:rsidRPr="00661727" w:rsidRDefault="008018E5" w:rsidP="008018E5">
      <w:pPr>
        <w:pStyle w:val="FootnoteText"/>
        <w:rPr>
          <w:lang w:val="en-IE"/>
        </w:rPr>
      </w:pPr>
      <w:r>
        <w:rPr>
          <w:rStyle w:val="FootnoteReference"/>
        </w:rPr>
        <w:footnoteRef/>
      </w:r>
      <w:r>
        <w:t xml:space="preserve"> </w:t>
      </w:r>
      <w:r w:rsidRPr="00661727">
        <w:rPr>
          <w:sz w:val="20"/>
          <w:szCs w:val="20"/>
          <w:lang w:val="en-IE"/>
        </w:rPr>
        <w:t xml:space="preserve">Homer, </w:t>
      </w:r>
      <w:r w:rsidRPr="00F82C6D">
        <w:rPr>
          <w:i/>
          <w:sz w:val="20"/>
          <w:szCs w:val="20"/>
          <w:lang w:val="en-IE"/>
        </w:rPr>
        <w:t>Odyssey</w:t>
      </w:r>
      <w:r w:rsidRPr="00661727">
        <w:rPr>
          <w:sz w:val="20"/>
          <w:szCs w:val="20"/>
          <w:lang w:val="en-IE"/>
        </w:rPr>
        <w:t xml:space="preserve">, 11.13 in </w:t>
      </w:r>
      <w:r w:rsidR="00F82C6D">
        <w:rPr>
          <w:sz w:val="20"/>
          <w:szCs w:val="20"/>
          <w:lang w:val="en-IE"/>
        </w:rPr>
        <w:t xml:space="preserve">Daniel </w:t>
      </w:r>
      <w:r w:rsidRPr="00661727">
        <w:rPr>
          <w:sz w:val="20"/>
          <w:szCs w:val="20"/>
          <w:lang w:val="en-IE"/>
        </w:rPr>
        <w:t xml:space="preserve">Ogden, </w:t>
      </w:r>
      <w:r w:rsidR="00F82C6D" w:rsidRPr="00F82C6D">
        <w:rPr>
          <w:i/>
          <w:iCs/>
          <w:sz w:val="20"/>
          <w:szCs w:val="20"/>
        </w:rPr>
        <w:t>Magic, Witchcraft and Ghosts in the Greek and Roman Worlds: A Sourcebook</w:t>
      </w:r>
      <w:r w:rsidR="00F82C6D" w:rsidRPr="00F82C6D">
        <w:rPr>
          <w:sz w:val="20"/>
          <w:szCs w:val="20"/>
        </w:rPr>
        <w:t>, (Oxford: Oxford University Press, 2002)</w:t>
      </w:r>
      <w:r w:rsidRPr="00661727">
        <w:rPr>
          <w:sz w:val="20"/>
          <w:szCs w:val="20"/>
          <w:lang w:val="en-IE"/>
        </w:rPr>
        <w:t>, p. 180.</w:t>
      </w:r>
    </w:p>
  </w:footnote>
  <w:footnote w:id="46">
    <w:p w14:paraId="3F6C7628" w14:textId="0FA97564" w:rsidR="008018E5" w:rsidRPr="008937AA" w:rsidRDefault="008018E5" w:rsidP="008018E5">
      <w:pPr>
        <w:pStyle w:val="FootnoteText"/>
        <w:rPr>
          <w:lang w:val="en-IE"/>
        </w:rPr>
      </w:pPr>
      <w:r>
        <w:rPr>
          <w:rStyle w:val="FootnoteReference"/>
        </w:rPr>
        <w:footnoteRef/>
      </w:r>
      <w:r>
        <w:t xml:space="preserve"> </w:t>
      </w:r>
      <w:r w:rsidRPr="003C0935">
        <w:rPr>
          <w:sz w:val="20"/>
          <w:szCs w:val="20"/>
          <w:lang w:val="en-IE"/>
        </w:rPr>
        <w:t>Strabo C244-6</w:t>
      </w:r>
      <w:r w:rsidR="00F82C6D">
        <w:rPr>
          <w:sz w:val="20"/>
          <w:szCs w:val="20"/>
          <w:lang w:val="en-IE"/>
        </w:rPr>
        <w:t>,</w:t>
      </w:r>
      <w:r w:rsidRPr="003C0935">
        <w:rPr>
          <w:sz w:val="20"/>
          <w:szCs w:val="20"/>
          <w:lang w:val="en-IE"/>
        </w:rPr>
        <w:t xml:space="preserve"> in </w:t>
      </w:r>
      <w:r w:rsidR="00F82C6D">
        <w:rPr>
          <w:sz w:val="20"/>
          <w:szCs w:val="20"/>
          <w:lang w:val="en-IE"/>
        </w:rPr>
        <w:t xml:space="preserve">Daniel </w:t>
      </w:r>
      <w:r w:rsidRPr="003C0935">
        <w:rPr>
          <w:sz w:val="20"/>
          <w:szCs w:val="20"/>
          <w:lang w:val="en-IE"/>
        </w:rPr>
        <w:t xml:space="preserve">Ogden, </w:t>
      </w:r>
      <w:r w:rsidR="00F82C6D" w:rsidRPr="00F82C6D">
        <w:rPr>
          <w:i/>
          <w:iCs/>
          <w:sz w:val="20"/>
          <w:szCs w:val="20"/>
        </w:rPr>
        <w:t>Magic, Witchcraft and Ghosts in the Greek and Roman Worlds: A Sourcebook</w:t>
      </w:r>
      <w:r w:rsidR="00F82C6D" w:rsidRPr="00F82C6D">
        <w:rPr>
          <w:sz w:val="20"/>
          <w:szCs w:val="20"/>
        </w:rPr>
        <w:t>, (Oxford: Oxford University Press, 2002)</w:t>
      </w:r>
      <w:r w:rsidRPr="003C0935">
        <w:rPr>
          <w:sz w:val="20"/>
          <w:szCs w:val="20"/>
          <w:lang w:val="en-IE"/>
        </w:rPr>
        <w:t>, p. 190.</w:t>
      </w:r>
      <w:r>
        <w:rPr>
          <w:lang w:val="en-IE"/>
        </w:rPr>
        <w:t xml:space="preserve"> </w:t>
      </w:r>
    </w:p>
  </w:footnote>
  <w:footnote w:id="47">
    <w:p w14:paraId="73FCDCA2" w14:textId="75B8DFDD" w:rsidR="000436B0" w:rsidRPr="000A6369" w:rsidRDefault="000436B0" w:rsidP="000436B0">
      <w:pPr>
        <w:pStyle w:val="FootnoteText"/>
        <w:rPr>
          <w:lang w:val="en-IE"/>
        </w:rPr>
      </w:pPr>
      <w:r>
        <w:rPr>
          <w:rStyle w:val="FootnoteReference"/>
        </w:rPr>
        <w:footnoteRef/>
      </w:r>
      <w:r>
        <w:t xml:space="preserve"> </w:t>
      </w:r>
      <w:r w:rsidRPr="000A6369">
        <w:rPr>
          <w:sz w:val="20"/>
          <w:szCs w:val="20"/>
          <w:lang w:val="en-IE"/>
        </w:rPr>
        <w:t xml:space="preserve">Homer </w:t>
      </w:r>
      <w:r w:rsidRPr="00F82C6D">
        <w:rPr>
          <w:i/>
          <w:sz w:val="20"/>
          <w:szCs w:val="20"/>
          <w:lang w:val="en-IE"/>
        </w:rPr>
        <w:t>Odyssey</w:t>
      </w:r>
      <w:r w:rsidRPr="000A6369">
        <w:rPr>
          <w:sz w:val="20"/>
          <w:szCs w:val="20"/>
          <w:lang w:val="en-IE"/>
        </w:rPr>
        <w:t xml:space="preserve">, 10.503 in Ogden, </w:t>
      </w:r>
      <w:r w:rsidR="00F82C6D" w:rsidRPr="00F82C6D">
        <w:rPr>
          <w:i/>
          <w:iCs/>
          <w:sz w:val="20"/>
          <w:szCs w:val="20"/>
        </w:rPr>
        <w:t>Magic, Witchcraft and Ghosts in the Greek and Roman Worlds: A Sourcebook</w:t>
      </w:r>
      <w:r w:rsidR="00F82C6D" w:rsidRPr="00F82C6D">
        <w:rPr>
          <w:sz w:val="20"/>
          <w:szCs w:val="20"/>
        </w:rPr>
        <w:t>, (Oxford: Oxford University Press, 2002)</w:t>
      </w:r>
      <w:r w:rsidRPr="000A6369">
        <w:rPr>
          <w:sz w:val="20"/>
          <w:szCs w:val="20"/>
          <w:lang w:val="en-IE"/>
        </w:rPr>
        <w:t>, p. 180.</w:t>
      </w:r>
      <w:r>
        <w:rPr>
          <w:lang w:val="en-IE"/>
        </w:rPr>
        <w:t xml:space="preserve"> </w:t>
      </w:r>
    </w:p>
  </w:footnote>
  <w:footnote w:id="48">
    <w:p w14:paraId="46A931C8" w14:textId="43D53A9E" w:rsidR="000436B0" w:rsidRPr="007A75D9" w:rsidRDefault="000436B0" w:rsidP="000436B0">
      <w:pPr>
        <w:pStyle w:val="FootnoteText"/>
        <w:rPr>
          <w:lang w:val="en-IE"/>
        </w:rPr>
      </w:pPr>
      <w:r>
        <w:rPr>
          <w:rStyle w:val="FootnoteReference"/>
        </w:rPr>
        <w:footnoteRef/>
      </w:r>
      <w:r>
        <w:t xml:space="preserve"> </w:t>
      </w:r>
      <w:r w:rsidRPr="00E07F65">
        <w:rPr>
          <w:sz w:val="20"/>
          <w:szCs w:val="20"/>
        </w:rPr>
        <w:t>Lucian, </w:t>
      </w:r>
      <w:r w:rsidRPr="00E07F65">
        <w:rPr>
          <w:i/>
          <w:sz w:val="20"/>
          <w:szCs w:val="20"/>
        </w:rPr>
        <w:t>Menippus, or The Descent into Hades</w:t>
      </w:r>
      <w:r w:rsidRPr="00E07F65">
        <w:rPr>
          <w:sz w:val="20"/>
          <w:szCs w:val="20"/>
        </w:rPr>
        <w:t xml:space="preserve">, </w:t>
      </w:r>
      <w:r w:rsidR="00F82C6D">
        <w:rPr>
          <w:sz w:val="20"/>
          <w:szCs w:val="20"/>
        </w:rPr>
        <w:t xml:space="preserve">in ‘Lucian Vol. IV’, </w:t>
      </w:r>
      <w:r w:rsidRPr="00E07F65">
        <w:rPr>
          <w:sz w:val="20"/>
          <w:szCs w:val="20"/>
        </w:rPr>
        <w:t>trans. by A.M. Harmon</w:t>
      </w:r>
      <w:r w:rsidR="00F82C6D">
        <w:rPr>
          <w:sz w:val="20"/>
          <w:szCs w:val="20"/>
        </w:rPr>
        <w:t xml:space="preserve"> (Jan., 1925)</w:t>
      </w:r>
      <w:r w:rsidRPr="00E07F65">
        <w:rPr>
          <w:sz w:val="20"/>
          <w:szCs w:val="20"/>
        </w:rPr>
        <w:t>, LCL 162</w:t>
      </w:r>
      <w:r>
        <w:rPr>
          <w:sz w:val="20"/>
          <w:szCs w:val="20"/>
        </w:rPr>
        <w:t>: 84-85, p. 85</w:t>
      </w:r>
      <w:r w:rsidRPr="00E07F65">
        <w:rPr>
          <w:sz w:val="20"/>
          <w:szCs w:val="20"/>
        </w:rPr>
        <w:t xml:space="preserve">. </w:t>
      </w:r>
    </w:p>
  </w:footnote>
  <w:footnote w:id="49">
    <w:p w14:paraId="7F31DAF3" w14:textId="05097F42" w:rsidR="00641AA0" w:rsidRPr="009124FE" w:rsidRDefault="00641AA0" w:rsidP="00641AA0">
      <w:pPr>
        <w:pStyle w:val="FootnoteText"/>
        <w:rPr>
          <w:lang w:val="en-IE"/>
        </w:rPr>
      </w:pPr>
      <w:r>
        <w:rPr>
          <w:rStyle w:val="FootnoteReference"/>
        </w:rPr>
        <w:footnoteRef/>
      </w:r>
      <w:r>
        <w:t xml:space="preserve"> </w:t>
      </w:r>
      <w:r w:rsidRPr="009124FE">
        <w:rPr>
          <w:sz w:val="20"/>
          <w:szCs w:val="20"/>
          <w:lang w:val="en-IE"/>
        </w:rPr>
        <w:t xml:space="preserve">Lucan, </w:t>
      </w:r>
      <w:r w:rsidRPr="00F82C6D">
        <w:rPr>
          <w:i/>
          <w:sz w:val="20"/>
          <w:szCs w:val="20"/>
          <w:lang w:val="en-IE"/>
        </w:rPr>
        <w:t>Pharsalia</w:t>
      </w:r>
      <w:r w:rsidRPr="009124FE">
        <w:rPr>
          <w:sz w:val="20"/>
          <w:szCs w:val="20"/>
          <w:lang w:val="en-IE"/>
        </w:rPr>
        <w:t xml:space="preserve">, 6.588 in </w:t>
      </w:r>
      <w:r w:rsidR="00F82C6D">
        <w:rPr>
          <w:sz w:val="20"/>
          <w:szCs w:val="20"/>
          <w:lang w:val="en-IE"/>
        </w:rPr>
        <w:t xml:space="preserve">Daniel </w:t>
      </w:r>
      <w:r w:rsidRPr="009124FE">
        <w:rPr>
          <w:sz w:val="20"/>
          <w:szCs w:val="20"/>
          <w:lang w:val="en-IE"/>
        </w:rPr>
        <w:t xml:space="preserve">Ogden, </w:t>
      </w:r>
      <w:r w:rsidR="00F82C6D" w:rsidRPr="00F82C6D">
        <w:rPr>
          <w:i/>
          <w:iCs/>
          <w:sz w:val="20"/>
          <w:szCs w:val="20"/>
        </w:rPr>
        <w:t>Magic, Witchcraft and Ghosts in the Greek and Roman Worlds: A Sourcebook</w:t>
      </w:r>
      <w:r w:rsidR="00F82C6D" w:rsidRPr="00F82C6D">
        <w:rPr>
          <w:sz w:val="20"/>
          <w:szCs w:val="20"/>
        </w:rPr>
        <w:t>, (Oxford: Oxford University Press, 2002)</w:t>
      </w:r>
      <w:r w:rsidRPr="009124FE">
        <w:rPr>
          <w:sz w:val="20"/>
          <w:szCs w:val="20"/>
          <w:lang w:val="en-IE"/>
        </w:rPr>
        <w:t>, p. 193.</w:t>
      </w:r>
    </w:p>
  </w:footnote>
  <w:footnote w:id="50">
    <w:p w14:paraId="178ED7D4" w14:textId="1A3DD0D4" w:rsidR="00641AA0" w:rsidRPr="00641AA0" w:rsidRDefault="00641AA0">
      <w:pPr>
        <w:pStyle w:val="FootnoteText"/>
        <w:rPr>
          <w:lang w:val="en-IE"/>
        </w:rPr>
      </w:pPr>
      <w:r>
        <w:rPr>
          <w:rStyle w:val="FootnoteReference"/>
        </w:rPr>
        <w:footnoteRef/>
      </w:r>
      <w:r>
        <w:t xml:space="preserve"> </w:t>
      </w:r>
      <w:r w:rsidR="0030191E">
        <w:rPr>
          <w:sz w:val="20"/>
          <w:szCs w:val="20"/>
          <w:lang w:val="en-IE"/>
        </w:rPr>
        <w:t xml:space="preserve">Lucan, </w:t>
      </w:r>
      <w:r w:rsidR="0030191E" w:rsidRPr="00F82C6D">
        <w:rPr>
          <w:i/>
          <w:sz w:val="20"/>
          <w:szCs w:val="20"/>
          <w:lang w:val="en-IE"/>
        </w:rPr>
        <w:t>Pharsalia</w:t>
      </w:r>
      <w:r w:rsidR="0030191E">
        <w:rPr>
          <w:sz w:val="20"/>
          <w:szCs w:val="20"/>
          <w:lang w:val="en-IE"/>
        </w:rPr>
        <w:t xml:space="preserve">, 6.667 in </w:t>
      </w:r>
      <w:r w:rsidR="00F82C6D">
        <w:rPr>
          <w:sz w:val="20"/>
          <w:szCs w:val="20"/>
          <w:lang w:val="en-IE"/>
        </w:rPr>
        <w:t xml:space="preserve">Daniel </w:t>
      </w:r>
      <w:r w:rsidR="0030191E">
        <w:rPr>
          <w:sz w:val="20"/>
          <w:szCs w:val="20"/>
          <w:lang w:val="en-IE"/>
        </w:rPr>
        <w:t xml:space="preserve">Ogden, </w:t>
      </w:r>
      <w:r w:rsidR="00F82C6D" w:rsidRPr="00F82C6D">
        <w:rPr>
          <w:i/>
          <w:iCs/>
          <w:sz w:val="20"/>
          <w:szCs w:val="20"/>
        </w:rPr>
        <w:t>Magic, Witchcraft and Ghosts in the Greek and Roman Worlds: A Sourcebook</w:t>
      </w:r>
      <w:r w:rsidR="00F82C6D" w:rsidRPr="00F82C6D">
        <w:rPr>
          <w:sz w:val="20"/>
          <w:szCs w:val="20"/>
        </w:rPr>
        <w:t>, (Oxford: Oxford University Press, 2002)</w:t>
      </w:r>
      <w:r w:rsidR="0030191E" w:rsidRPr="00F82C6D">
        <w:rPr>
          <w:sz w:val="20"/>
          <w:szCs w:val="20"/>
          <w:lang w:val="en-IE"/>
        </w:rPr>
        <w:t>,</w:t>
      </w:r>
      <w:r w:rsidR="0030191E">
        <w:rPr>
          <w:sz w:val="20"/>
          <w:szCs w:val="20"/>
          <w:lang w:val="en-IE"/>
        </w:rPr>
        <w:t xml:space="preserve"> p. 194</w:t>
      </w:r>
      <w:r w:rsidR="0030191E" w:rsidRPr="009124FE">
        <w:rPr>
          <w:sz w:val="20"/>
          <w:szCs w:val="20"/>
          <w:lang w:val="en-IE"/>
        </w:rPr>
        <w:t>.</w:t>
      </w:r>
    </w:p>
  </w:footnote>
  <w:footnote w:id="51">
    <w:p w14:paraId="03053BE7" w14:textId="761EF891" w:rsidR="0030191E" w:rsidRPr="00A74C67" w:rsidRDefault="0030191E" w:rsidP="00A74C67">
      <w:r>
        <w:rPr>
          <w:rStyle w:val="FootnoteReference"/>
        </w:rPr>
        <w:footnoteRef/>
      </w:r>
      <w:r>
        <w:t xml:space="preserve"> </w:t>
      </w:r>
      <w:r w:rsidR="00A74C67" w:rsidRPr="00A74C67">
        <w:rPr>
          <w:sz w:val="20"/>
          <w:szCs w:val="20"/>
        </w:rPr>
        <w:t>Sarah Iles</w:t>
      </w:r>
      <w:r w:rsidR="00A74C67">
        <w:t xml:space="preserve"> </w:t>
      </w:r>
      <w:r w:rsidRPr="0030191E">
        <w:rPr>
          <w:sz w:val="20"/>
          <w:szCs w:val="20"/>
          <w:lang w:val="en-IE"/>
        </w:rPr>
        <w:t xml:space="preserve">Johnston, </w:t>
      </w:r>
      <w:r w:rsidR="009C7B2B" w:rsidRPr="00A74C67">
        <w:rPr>
          <w:sz w:val="20"/>
          <w:szCs w:val="20"/>
        </w:rPr>
        <w:t xml:space="preserve">‘Magic and the Dead in Classical Greece’, in John. Petropoulos J. C. B Petropoulos, </w:t>
      </w:r>
      <w:r w:rsidR="009C7B2B" w:rsidRPr="00A74C67">
        <w:rPr>
          <w:i/>
          <w:sz w:val="20"/>
          <w:szCs w:val="20"/>
        </w:rPr>
        <w:t>Greek Magic: Ancient, Medieval, and Modern</w:t>
      </w:r>
      <w:r w:rsidR="009C7B2B" w:rsidRPr="00A74C67">
        <w:rPr>
          <w:sz w:val="20"/>
          <w:szCs w:val="20"/>
        </w:rPr>
        <w:t xml:space="preserve"> (Milton Park, Abingdon, OX &amp; New York: Routledge, 2008</w:t>
      </w:r>
      <w:r w:rsidR="00A74C67" w:rsidRPr="00A74C67">
        <w:rPr>
          <w:sz w:val="20"/>
          <w:szCs w:val="20"/>
        </w:rPr>
        <w:t>),</w:t>
      </w:r>
      <w:r w:rsidRPr="0030191E">
        <w:rPr>
          <w:sz w:val="20"/>
          <w:szCs w:val="20"/>
          <w:lang w:val="en-IE"/>
        </w:rPr>
        <w:t xml:space="preserve"> p. 15.</w:t>
      </w:r>
      <w:r>
        <w:rPr>
          <w:lang w:val="en-IE"/>
        </w:rPr>
        <w:t xml:space="preserve"> </w:t>
      </w:r>
    </w:p>
  </w:footnote>
  <w:footnote w:id="52">
    <w:p w14:paraId="3020C895" w14:textId="607CC296" w:rsidR="005B43DB" w:rsidRPr="00A74C67" w:rsidRDefault="005B43DB">
      <w:pPr>
        <w:pStyle w:val="FootnoteText"/>
        <w:rPr>
          <w:sz w:val="20"/>
          <w:szCs w:val="20"/>
        </w:rPr>
      </w:pPr>
      <w:r>
        <w:rPr>
          <w:rStyle w:val="FootnoteReference"/>
        </w:rPr>
        <w:footnoteRef/>
      </w:r>
      <w:r>
        <w:t xml:space="preserve"> </w:t>
      </w:r>
      <w:r w:rsidR="00A74C67" w:rsidRPr="00A74C67">
        <w:rPr>
          <w:sz w:val="20"/>
          <w:szCs w:val="20"/>
        </w:rPr>
        <w:t>Sarah Iles</w:t>
      </w:r>
      <w:r w:rsidR="00A74C67">
        <w:t xml:space="preserve"> </w:t>
      </w:r>
      <w:r w:rsidRPr="0030191E">
        <w:rPr>
          <w:sz w:val="20"/>
          <w:szCs w:val="20"/>
          <w:lang w:val="en-IE"/>
        </w:rPr>
        <w:t xml:space="preserve">Johnston, </w:t>
      </w:r>
      <w:r w:rsidR="00A74C67" w:rsidRPr="00A74C67">
        <w:rPr>
          <w:sz w:val="20"/>
          <w:szCs w:val="20"/>
        </w:rPr>
        <w:t xml:space="preserve">‘Magic and the Dead in Classical Greece’, in John. Petropoulos J. C. B Petropoulos, </w:t>
      </w:r>
      <w:r w:rsidR="00A74C67" w:rsidRPr="00A74C67">
        <w:rPr>
          <w:i/>
          <w:sz w:val="20"/>
          <w:szCs w:val="20"/>
        </w:rPr>
        <w:t>Greek Magic: Ancient, Medieval, and Modern</w:t>
      </w:r>
      <w:r w:rsidR="00A74C67" w:rsidRPr="00A74C67">
        <w:rPr>
          <w:sz w:val="20"/>
          <w:szCs w:val="20"/>
        </w:rPr>
        <w:t xml:space="preserve"> (Milton Park, Abingdon, OX &amp; New York: Routledge, 2008</w:t>
      </w:r>
      <w:r w:rsidR="00A74C67">
        <w:rPr>
          <w:sz w:val="20"/>
          <w:szCs w:val="20"/>
        </w:rPr>
        <w:t>)</w:t>
      </w:r>
      <w:r w:rsidRPr="0030191E">
        <w:rPr>
          <w:sz w:val="20"/>
          <w:szCs w:val="20"/>
          <w:lang w:val="en-IE"/>
        </w:rPr>
        <w:t>, p. 15.</w:t>
      </w:r>
    </w:p>
  </w:footnote>
  <w:footnote w:id="53">
    <w:p w14:paraId="2671C0E5" w14:textId="310F4D63" w:rsidR="00DA0137" w:rsidRPr="004302EE" w:rsidRDefault="00DA0137" w:rsidP="00DA0137">
      <w:pPr>
        <w:pStyle w:val="FootnoteText"/>
      </w:pPr>
      <w:r>
        <w:rPr>
          <w:rStyle w:val="FootnoteReference"/>
        </w:rPr>
        <w:footnoteRef/>
      </w:r>
      <w:r>
        <w:t xml:space="preserve"> </w:t>
      </w:r>
      <w:r w:rsidRPr="00E07F65">
        <w:rPr>
          <w:sz w:val="20"/>
          <w:szCs w:val="20"/>
        </w:rPr>
        <w:t>Lucian, </w:t>
      </w:r>
      <w:r w:rsidRPr="00E07F65">
        <w:rPr>
          <w:i/>
          <w:sz w:val="20"/>
          <w:szCs w:val="20"/>
        </w:rPr>
        <w:t>Menippus, or The Descent into Hades</w:t>
      </w:r>
      <w:r w:rsidRPr="00E07F65">
        <w:rPr>
          <w:sz w:val="20"/>
          <w:szCs w:val="20"/>
        </w:rPr>
        <w:t xml:space="preserve">, </w:t>
      </w:r>
      <w:r w:rsidR="00F82C6D">
        <w:rPr>
          <w:sz w:val="20"/>
          <w:szCs w:val="20"/>
        </w:rPr>
        <w:t xml:space="preserve">in ‘Lucian Vol. IV’, </w:t>
      </w:r>
      <w:r w:rsidRPr="00E07F65">
        <w:rPr>
          <w:sz w:val="20"/>
          <w:szCs w:val="20"/>
        </w:rPr>
        <w:t>trans. by A.M. Harmon</w:t>
      </w:r>
      <w:r w:rsidR="00F82C6D">
        <w:rPr>
          <w:sz w:val="20"/>
          <w:szCs w:val="20"/>
        </w:rPr>
        <w:t xml:space="preserve"> (Jan. 1925)</w:t>
      </w:r>
      <w:r w:rsidRPr="00E07F65">
        <w:rPr>
          <w:sz w:val="20"/>
          <w:szCs w:val="20"/>
        </w:rPr>
        <w:t>, LCL 162: 76-77, p. 77.</w:t>
      </w:r>
    </w:p>
  </w:footnote>
  <w:footnote w:id="54">
    <w:p w14:paraId="1ED5CD7F" w14:textId="49B70C94" w:rsidR="004302EE" w:rsidRPr="004302EE" w:rsidRDefault="004302EE">
      <w:pPr>
        <w:pStyle w:val="FootnoteText"/>
        <w:rPr>
          <w:lang w:val="en-IE"/>
        </w:rPr>
      </w:pPr>
      <w:r>
        <w:rPr>
          <w:rStyle w:val="FootnoteReference"/>
        </w:rPr>
        <w:footnoteRef/>
      </w:r>
      <w:r>
        <w:t xml:space="preserve"> </w:t>
      </w:r>
      <w:r w:rsidR="008018E5" w:rsidRPr="008018E5">
        <w:rPr>
          <w:sz w:val="20"/>
          <w:szCs w:val="20"/>
        </w:rPr>
        <w:t xml:space="preserve">Heliodorus, </w:t>
      </w:r>
      <w:r w:rsidR="008018E5" w:rsidRPr="008018E5">
        <w:rPr>
          <w:rFonts w:cs="Times New Roman"/>
          <w:bCs/>
          <w:i/>
          <w:iCs/>
          <w:sz w:val="20"/>
          <w:szCs w:val="20"/>
        </w:rPr>
        <w:t>The Æthiopica</w:t>
      </w:r>
      <w:r w:rsidR="008018E5" w:rsidRPr="008018E5">
        <w:rPr>
          <w:rFonts w:cs="Times New Roman"/>
          <w:sz w:val="20"/>
          <w:szCs w:val="20"/>
        </w:rPr>
        <w:t xml:space="preserve">, </w:t>
      </w:r>
      <w:r w:rsidR="008018E5" w:rsidRPr="008018E5">
        <w:rPr>
          <w:sz w:val="20"/>
          <w:szCs w:val="20"/>
        </w:rPr>
        <w:t xml:space="preserve">in </w:t>
      </w:r>
      <w:r w:rsidR="00F82C6D">
        <w:rPr>
          <w:sz w:val="20"/>
          <w:szCs w:val="20"/>
        </w:rPr>
        <w:t xml:space="preserve">Daniel </w:t>
      </w:r>
      <w:r w:rsidRPr="008018E5">
        <w:rPr>
          <w:sz w:val="20"/>
          <w:szCs w:val="20"/>
          <w:lang w:val="en-IE"/>
        </w:rPr>
        <w:t xml:space="preserve">Ogden, </w:t>
      </w:r>
      <w:r w:rsidR="00F82C6D" w:rsidRPr="00F82C6D">
        <w:rPr>
          <w:i/>
          <w:iCs/>
          <w:sz w:val="20"/>
          <w:szCs w:val="20"/>
        </w:rPr>
        <w:t>Magic, Witchcraft and Ghosts in the Greek and Roman Worlds: A Sourcebook</w:t>
      </w:r>
      <w:r w:rsidR="00F82C6D" w:rsidRPr="00F82C6D">
        <w:rPr>
          <w:sz w:val="20"/>
          <w:szCs w:val="20"/>
        </w:rPr>
        <w:t>, (Oxford: Oxford University Press, 2002)</w:t>
      </w:r>
      <w:r w:rsidRPr="008018E5">
        <w:rPr>
          <w:sz w:val="20"/>
          <w:szCs w:val="20"/>
          <w:lang w:val="en-IE"/>
        </w:rPr>
        <w:t>, p. 201.</w:t>
      </w:r>
    </w:p>
  </w:footnote>
  <w:footnote w:id="55">
    <w:p w14:paraId="64BEC8A2" w14:textId="2FF2A9DF" w:rsidR="00E0047C" w:rsidRPr="00BB706C" w:rsidRDefault="00E0047C" w:rsidP="00E0047C">
      <w:pPr>
        <w:pStyle w:val="FootnoteText"/>
        <w:rPr>
          <w:lang w:val="en-IE"/>
        </w:rPr>
      </w:pPr>
      <w:r>
        <w:rPr>
          <w:rStyle w:val="FootnoteReference"/>
        </w:rPr>
        <w:footnoteRef/>
      </w:r>
      <w:r>
        <w:t xml:space="preserve"> </w:t>
      </w:r>
      <w:r w:rsidRPr="00E07F65">
        <w:rPr>
          <w:sz w:val="20"/>
          <w:szCs w:val="20"/>
        </w:rPr>
        <w:t>Lucian, </w:t>
      </w:r>
      <w:r w:rsidRPr="00E07F65">
        <w:rPr>
          <w:i/>
          <w:sz w:val="20"/>
          <w:szCs w:val="20"/>
        </w:rPr>
        <w:t>Menippus, or The Descent into Hades</w:t>
      </w:r>
      <w:r w:rsidRPr="00E07F65">
        <w:rPr>
          <w:sz w:val="20"/>
          <w:szCs w:val="20"/>
        </w:rPr>
        <w:t xml:space="preserve">, </w:t>
      </w:r>
      <w:r w:rsidR="00F82C6D">
        <w:rPr>
          <w:sz w:val="20"/>
          <w:szCs w:val="20"/>
        </w:rPr>
        <w:t xml:space="preserve">in ‘Lucian Vol. IV’, </w:t>
      </w:r>
      <w:r w:rsidRPr="00E07F65">
        <w:rPr>
          <w:sz w:val="20"/>
          <w:szCs w:val="20"/>
        </w:rPr>
        <w:t>trans. by A.M. Harmon</w:t>
      </w:r>
      <w:r w:rsidR="00F82C6D">
        <w:rPr>
          <w:sz w:val="20"/>
          <w:szCs w:val="20"/>
        </w:rPr>
        <w:t xml:space="preserve"> </w:t>
      </w:r>
      <w:r w:rsidR="00F82C6D">
        <w:rPr>
          <w:sz w:val="20"/>
          <w:szCs w:val="20"/>
        </w:rPr>
        <w:t>(Jan. 1925)</w:t>
      </w:r>
      <w:r w:rsidR="00F82C6D" w:rsidRPr="00E07F65">
        <w:rPr>
          <w:sz w:val="20"/>
          <w:szCs w:val="20"/>
        </w:rPr>
        <w:t>,</w:t>
      </w:r>
      <w:r w:rsidRPr="00E07F65">
        <w:rPr>
          <w:sz w:val="20"/>
          <w:szCs w:val="20"/>
        </w:rPr>
        <w:t xml:space="preserve"> LCL 162</w:t>
      </w:r>
      <w:r>
        <w:rPr>
          <w:sz w:val="20"/>
          <w:szCs w:val="20"/>
        </w:rPr>
        <w:t>: 86-8</w:t>
      </w:r>
      <w:r w:rsidRPr="00E07F65">
        <w:rPr>
          <w:sz w:val="20"/>
          <w:szCs w:val="20"/>
        </w:rPr>
        <w:t>7</w:t>
      </w:r>
      <w:r>
        <w:rPr>
          <w:sz w:val="20"/>
          <w:szCs w:val="20"/>
        </w:rPr>
        <w:t>, p. 8</w:t>
      </w:r>
      <w:r w:rsidRPr="00E07F65">
        <w:rPr>
          <w:sz w:val="20"/>
          <w:szCs w:val="20"/>
        </w:rPr>
        <w:t xml:space="preserve">7. </w:t>
      </w:r>
    </w:p>
  </w:footnote>
  <w:footnote w:id="56">
    <w:p w14:paraId="20F9A544" w14:textId="0B6B970C" w:rsidR="008018E5" w:rsidRPr="008018E5" w:rsidRDefault="008018E5">
      <w:pPr>
        <w:pStyle w:val="FootnoteText"/>
        <w:rPr>
          <w:lang w:val="en-IE"/>
        </w:rPr>
      </w:pPr>
      <w:r>
        <w:rPr>
          <w:rStyle w:val="FootnoteReference"/>
        </w:rPr>
        <w:footnoteRef/>
      </w:r>
      <w:r>
        <w:t xml:space="preserve"> </w:t>
      </w:r>
      <w:r w:rsidR="00F82C6D" w:rsidRPr="00F82C6D">
        <w:rPr>
          <w:sz w:val="20"/>
          <w:szCs w:val="20"/>
        </w:rPr>
        <w:t>Daniel</w:t>
      </w:r>
      <w:r w:rsidR="00F82C6D">
        <w:t xml:space="preserve"> </w:t>
      </w:r>
      <w:r w:rsidRPr="004302EE">
        <w:rPr>
          <w:sz w:val="20"/>
          <w:szCs w:val="20"/>
          <w:lang w:val="en-IE"/>
        </w:rPr>
        <w:t xml:space="preserve">Ogden, </w:t>
      </w:r>
      <w:r w:rsidR="00F82C6D" w:rsidRPr="00F82C6D">
        <w:rPr>
          <w:i/>
          <w:iCs/>
          <w:sz w:val="20"/>
          <w:szCs w:val="20"/>
        </w:rPr>
        <w:t>Magic, Witchcraft and Ghosts in the Greek and Roman Worlds: A Sourcebook</w:t>
      </w:r>
      <w:r w:rsidR="00F82C6D" w:rsidRPr="00F82C6D">
        <w:rPr>
          <w:sz w:val="20"/>
          <w:szCs w:val="20"/>
        </w:rPr>
        <w:t>, (Oxford: Oxford University Press, 2002)</w:t>
      </w:r>
      <w:r w:rsidRPr="004302EE">
        <w:rPr>
          <w:sz w:val="20"/>
          <w:szCs w:val="20"/>
          <w:lang w:val="en-IE"/>
        </w:rPr>
        <w:t>, p. 201.</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D109EBC" w14:textId="77777777" w:rsidR="00117047" w:rsidRDefault="00117047" w:rsidP="00000E76">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1A663E5" w14:textId="77777777" w:rsidR="00117047" w:rsidRDefault="00117047" w:rsidP="00117047">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A30CB62" w14:textId="77777777" w:rsidR="00117047" w:rsidRDefault="00117047" w:rsidP="00000E76">
    <w:pPr>
      <w:pStyle w:val="Header"/>
      <w:framePr w:wrap="none" w:vAnchor="text" w:hAnchor="margin" w:xAlign="right" w:y="1"/>
      <w:rPr>
        <w:rStyle w:val="PageNumber"/>
      </w:rPr>
    </w:pPr>
    <w:r w:rsidRPr="00117047">
      <w:rPr>
        <w:rStyle w:val="PageNumber"/>
      </w:rPr>
      <w:t xml:space="preserve">Page </w:t>
    </w:r>
    <w:r w:rsidRPr="00117047">
      <w:rPr>
        <w:rStyle w:val="PageNumber"/>
      </w:rPr>
      <w:fldChar w:fldCharType="begin"/>
    </w:r>
    <w:r w:rsidRPr="00117047">
      <w:rPr>
        <w:rStyle w:val="PageNumber"/>
      </w:rPr>
      <w:instrText xml:space="preserve"> PAGE </w:instrText>
    </w:r>
    <w:r w:rsidRPr="00117047">
      <w:rPr>
        <w:rStyle w:val="PageNumber"/>
      </w:rPr>
      <w:fldChar w:fldCharType="separate"/>
    </w:r>
    <w:r w:rsidR="0060560D">
      <w:rPr>
        <w:rStyle w:val="PageNumber"/>
        <w:noProof/>
      </w:rPr>
      <w:t>1</w:t>
    </w:r>
    <w:r w:rsidRPr="00117047">
      <w:rPr>
        <w:rStyle w:val="PageNumber"/>
      </w:rPr>
      <w:fldChar w:fldCharType="end"/>
    </w:r>
    <w:r w:rsidRPr="00117047">
      <w:rPr>
        <w:rStyle w:val="PageNumber"/>
      </w:rPr>
      <w:t xml:space="preserve"> of </w:t>
    </w:r>
    <w:r w:rsidRPr="00117047">
      <w:rPr>
        <w:rStyle w:val="PageNumber"/>
      </w:rPr>
      <w:fldChar w:fldCharType="begin"/>
    </w:r>
    <w:r w:rsidRPr="00117047">
      <w:rPr>
        <w:rStyle w:val="PageNumber"/>
      </w:rPr>
      <w:instrText xml:space="preserve"> NUMPAGES </w:instrText>
    </w:r>
    <w:r w:rsidRPr="00117047">
      <w:rPr>
        <w:rStyle w:val="PageNumber"/>
      </w:rPr>
      <w:fldChar w:fldCharType="separate"/>
    </w:r>
    <w:r w:rsidR="0060560D">
      <w:rPr>
        <w:rStyle w:val="PageNumber"/>
        <w:noProof/>
      </w:rPr>
      <w:t>1</w:t>
    </w:r>
    <w:r w:rsidRPr="00117047">
      <w:rPr>
        <w:rStyle w:val="PageNumber"/>
      </w:rPr>
      <w:fldChar w:fldCharType="end"/>
    </w:r>
  </w:p>
  <w:p w14:paraId="5CF739FA" w14:textId="77777777" w:rsidR="00117047" w:rsidRPr="00117047" w:rsidRDefault="00117047" w:rsidP="00117047">
    <w:pPr>
      <w:pStyle w:val="Header"/>
      <w:ind w:right="360"/>
      <w:rPr>
        <w:lang w:val="en-IE"/>
      </w:rPr>
    </w:pPr>
    <w:r>
      <w:rPr>
        <w:lang w:val="en-IE"/>
      </w:rPr>
      <w:t>Selina White 1602253</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54B41A1"/>
    <w:multiLevelType w:val="hybridMultilevel"/>
    <w:tmpl w:val="FA40F8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5"/>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7047"/>
    <w:rsid w:val="00002820"/>
    <w:rsid w:val="000044C9"/>
    <w:rsid w:val="00004531"/>
    <w:rsid w:val="000121F7"/>
    <w:rsid w:val="0001381F"/>
    <w:rsid w:val="000307D5"/>
    <w:rsid w:val="00033AB5"/>
    <w:rsid w:val="00034D80"/>
    <w:rsid w:val="000378AC"/>
    <w:rsid w:val="00037FA9"/>
    <w:rsid w:val="0004171C"/>
    <w:rsid w:val="000436B0"/>
    <w:rsid w:val="000441CF"/>
    <w:rsid w:val="00052A59"/>
    <w:rsid w:val="00055AA1"/>
    <w:rsid w:val="00057326"/>
    <w:rsid w:val="000573C1"/>
    <w:rsid w:val="000701A1"/>
    <w:rsid w:val="00073E61"/>
    <w:rsid w:val="00075689"/>
    <w:rsid w:val="00076558"/>
    <w:rsid w:val="000811B2"/>
    <w:rsid w:val="000870AB"/>
    <w:rsid w:val="0009033B"/>
    <w:rsid w:val="00090554"/>
    <w:rsid w:val="000A1F23"/>
    <w:rsid w:val="000A6369"/>
    <w:rsid w:val="000A7AA5"/>
    <w:rsid w:val="000C6695"/>
    <w:rsid w:val="000D2EAF"/>
    <w:rsid w:val="000D77FC"/>
    <w:rsid w:val="000E2662"/>
    <w:rsid w:val="000E2735"/>
    <w:rsid w:val="000F4069"/>
    <w:rsid w:val="00102CD8"/>
    <w:rsid w:val="00102EE3"/>
    <w:rsid w:val="00110B1D"/>
    <w:rsid w:val="00111F09"/>
    <w:rsid w:val="001131B9"/>
    <w:rsid w:val="00113250"/>
    <w:rsid w:val="00113F0E"/>
    <w:rsid w:val="00117047"/>
    <w:rsid w:val="001259CB"/>
    <w:rsid w:val="001277A8"/>
    <w:rsid w:val="001321D5"/>
    <w:rsid w:val="00132BC1"/>
    <w:rsid w:val="00133B2C"/>
    <w:rsid w:val="00134953"/>
    <w:rsid w:val="001432D5"/>
    <w:rsid w:val="0015147D"/>
    <w:rsid w:val="00161739"/>
    <w:rsid w:val="00162BCA"/>
    <w:rsid w:val="00193961"/>
    <w:rsid w:val="001940C4"/>
    <w:rsid w:val="00194F8B"/>
    <w:rsid w:val="001B67F5"/>
    <w:rsid w:val="001C088B"/>
    <w:rsid w:val="001C0E3E"/>
    <w:rsid w:val="001C45F2"/>
    <w:rsid w:val="001D2B82"/>
    <w:rsid w:val="001E144E"/>
    <w:rsid w:val="001E5E68"/>
    <w:rsid w:val="002024C4"/>
    <w:rsid w:val="00206458"/>
    <w:rsid w:val="00225A40"/>
    <w:rsid w:val="002265CE"/>
    <w:rsid w:val="00226B0C"/>
    <w:rsid w:val="00232EE8"/>
    <w:rsid w:val="00252A86"/>
    <w:rsid w:val="002547CA"/>
    <w:rsid w:val="00255B16"/>
    <w:rsid w:val="00265DC8"/>
    <w:rsid w:val="00273794"/>
    <w:rsid w:val="00277E00"/>
    <w:rsid w:val="002806C8"/>
    <w:rsid w:val="00285F46"/>
    <w:rsid w:val="0028747C"/>
    <w:rsid w:val="0029704C"/>
    <w:rsid w:val="002A33FC"/>
    <w:rsid w:val="002A56DB"/>
    <w:rsid w:val="002C3D72"/>
    <w:rsid w:val="002C5016"/>
    <w:rsid w:val="002D1698"/>
    <w:rsid w:val="002D184F"/>
    <w:rsid w:val="002E1568"/>
    <w:rsid w:val="002E23F4"/>
    <w:rsid w:val="002F010F"/>
    <w:rsid w:val="002F67A4"/>
    <w:rsid w:val="0030191E"/>
    <w:rsid w:val="00317870"/>
    <w:rsid w:val="00330067"/>
    <w:rsid w:val="003443F1"/>
    <w:rsid w:val="00345C47"/>
    <w:rsid w:val="00347C40"/>
    <w:rsid w:val="003619BC"/>
    <w:rsid w:val="00361A8E"/>
    <w:rsid w:val="00362053"/>
    <w:rsid w:val="003729EB"/>
    <w:rsid w:val="00374E91"/>
    <w:rsid w:val="0037749F"/>
    <w:rsid w:val="0039157E"/>
    <w:rsid w:val="00395CCF"/>
    <w:rsid w:val="003A4D25"/>
    <w:rsid w:val="003A731E"/>
    <w:rsid w:val="003B461E"/>
    <w:rsid w:val="003C0935"/>
    <w:rsid w:val="003D2D6B"/>
    <w:rsid w:val="003E0ABF"/>
    <w:rsid w:val="00404F1B"/>
    <w:rsid w:val="00420C68"/>
    <w:rsid w:val="004302EE"/>
    <w:rsid w:val="00433726"/>
    <w:rsid w:val="00434E21"/>
    <w:rsid w:val="00435E21"/>
    <w:rsid w:val="00436555"/>
    <w:rsid w:val="00442033"/>
    <w:rsid w:val="00444FB7"/>
    <w:rsid w:val="00451293"/>
    <w:rsid w:val="00453705"/>
    <w:rsid w:val="0046123B"/>
    <w:rsid w:val="00471590"/>
    <w:rsid w:val="00472502"/>
    <w:rsid w:val="00484754"/>
    <w:rsid w:val="004872EC"/>
    <w:rsid w:val="00494021"/>
    <w:rsid w:val="004A0DE0"/>
    <w:rsid w:val="004A366B"/>
    <w:rsid w:val="004A368A"/>
    <w:rsid w:val="004A6D6E"/>
    <w:rsid w:val="004A7624"/>
    <w:rsid w:val="004C23C5"/>
    <w:rsid w:val="004C3C94"/>
    <w:rsid w:val="004C4DB6"/>
    <w:rsid w:val="004C5969"/>
    <w:rsid w:val="004D6741"/>
    <w:rsid w:val="004E1964"/>
    <w:rsid w:val="004E5FDE"/>
    <w:rsid w:val="004F6EF8"/>
    <w:rsid w:val="004F7794"/>
    <w:rsid w:val="0050264E"/>
    <w:rsid w:val="00512AA8"/>
    <w:rsid w:val="005135BE"/>
    <w:rsid w:val="00520A6D"/>
    <w:rsid w:val="005257F2"/>
    <w:rsid w:val="0053001C"/>
    <w:rsid w:val="0055104F"/>
    <w:rsid w:val="0055163D"/>
    <w:rsid w:val="0056225E"/>
    <w:rsid w:val="00566474"/>
    <w:rsid w:val="00571BF7"/>
    <w:rsid w:val="00572EF8"/>
    <w:rsid w:val="00577109"/>
    <w:rsid w:val="00584E3E"/>
    <w:rsid w:val="00592A33"/>
    <w:rsid w:val="005974D4"/>
    <w:rsid w:val="005A6BA2"/>
    <w:rsid w:val="005B43DB"/>
    <w:rsid w:val="005C3FA6"/>
    <w:rsid w:val="005C47AE"/>
    <w:rsid w:val="005C7F61"/>
    <w:rsid w:val="005E0F24"/>
    <w:rsid w:val="005F1B7D"/>
    <w:rsid w:val="005F363B"/>
    <w:rsid w:val="006001A2"/>
    <w:rsid w:val="00604457"/>
    <w:rsid w:val="0060560D"/>
    <w:rsid w:val="006275D3"/>
    <w:rsid w:val="0063683E"/>
    <w:rsid w:val="00641AA0"/>
    <w:rsid w:val="0064684A"/>
    <w:rsid w:val="006478DD"/>
    <w:rsid w:val="00647974"/>
    <w:rsid w:val="00656153"/>
    <w:rsid w:val="006565E6"/>
    <w:rsid w:val="00656C1B"/>
    <w:rsid w:val="00661727"/>
    <w:rsid w:val="00662DF5"/>
    <w:rsid w:val="00662E23"/>
    <w:rsid w:val="00666EFA"/>
    <w:rsid w:val="00666F10"/>
    <w:rsid w:val="00673E7B"/>
    <w:rsid w:val="00682848"/>
    <w:rsid w:val="006879EE"/>
    <w:rsid w:val="006974FE"/>
    <w:rsid w:val="006A31B5"/>
    <w:rsid w:val="006B465F"/>
    <w:rsid w:val="006D26ED"/>
    <w:rsid w:val="006D2CA9"/>
    <w:rsid w:val="006D30D4"/>
    <w:rsid w:val="006D7574"/>
    <w:rsid w:val="006E7358"/>
    <w:rsid w:val="006F614D"/>
    <w:rsid w:val="006F7833"/>
    <w:rsid w:val="0071432A"/>
    <w:rsid w:val="00715A69"/>
    <w:rsid w:val="007166B8"/>
    <w:rsid w:val="00716AA7"/>
    <w:rsid w:val="00717CE0"/>
    <w:rsid w:val="00730B4F"/>
    <w:rsid w:val="0074267E"/>
    <w:rsid w:val="00762C7C"/>
    <w:rsid w:val="00763C66"/>
    <w:rsid w:val="00766057"/>
    <w:rsid w:val="00783220"/>
    <w:rsid w:val="00785CFF"/>
    <w:rsid w:val="007A712E"/>
    <w:rsid w:val="007A75D9"/>
    <w:rsid w:val="007B6052"/>
    <w:rsid w:val="007C7CB6"/>
    <w:rsid w:val="007D23CD"/>
    <w:rsid w:val="007E282C"/>
    <w:rsid w:val="007F316F"/>
    <w:rsid w:val="007F5FCA"/>
    <w:rsid w:val="008018E5"/>
    <w:rsid w:val="00801FF2"/>
    <w:rsid w:val="00807407"/>
    <w:rsid w:val="00812E69"/>
    <w:rsid w:val="00820DFA"/>
    <w:rsid w:val="00832391"/>
    <w:rsid w:val="008412DD"/>
    <w:rsid w:val="008443D3"/>
    <w:rsid w:val="00850B00"/>
    <w:rsid w:val="00851663"/>
    <w:rsid w:val="008615FC"/>
    <w:rsid w:val="008645DF"/>
    <w:rsid w:val="00864D5D"/>
    <w:rsid w:val="008668E4"/>
    <w:rsid w:val="00875550"/>
    <w:rsid w:val="00883CD9"/>
    <w:rsid w:val="0088487F"/>
    <w:rsid w:val="008937AA"/>
    <w:rsid w:val="008B7549"/>
    <w:rsid w:val="008C08A3"/>
    <w:rsid w:val="008C4404"/>
    <w:rsid w:val="008D5BE4"/>
    <w:rsid w:val="008E2073"/>
    <w:rsid w:val="008E750A"/>
    <w:rsid w:val="008F5385"/>
    <w:rsid w:val="00906084"/>
    <w:rsid w:val="009124FE"/>
    <w:rsid w:val="00912B92"/>
    <w:rsid w:val="00916F6A"/>
    <w:rsid w:val="00942605"/>
    <w:rsid w:val="00950562"/>
    <w:rsid w:val="009620C1"/>
    <w:rsid w:val="00982B58"/>
    <w:rsid w:val="0098496F"/>
    <w:rsid w:val="0098765B"/>
    <w:rsid w:val="009A10DA"/>
    <w:rsid w:val="009A44F0"/>
    <w:rsid w:val="009C35B9"/>
    <w:rsid w:val="009C7B2B"/>
    <w:rsid w:val="009E360A"/>
    <w:rsid w:val="00A037C2"/>
    <w:rsid w:val="00A4483C"/>
    <w:rsid w:val="00A5281B"/>
    <w:rsid w:val="00A65F43"/>
    <w:rsid w:val="00A72D99"/>
    <w:rsid w:val="00A74C67"/>
    <w:rsid w:val="00A776BE"/>
    <w:rsid w:val="00A83BAD"/>
    <w:rsid w:val="00A85AD5"/>
    <w:rsid w:val="00A903F2"/>
    <w:rsid w:val="00AA3D4B"/>
    <w:rsid w:val="00AC381F"/>
    <w:rsid w:val="00AC4986"/>
    <w:rsid w:val="00AD6F4F"/>
    <w:rsid w:val="00B0574C"/>
    <w:rsid w:val="00B439FD"/>
    <w:rsid w:val="00B4589D"/>
    <w:rsid w:val="00B53442"/>
    <w:rsid w:val="00B579C7"/>
    <w:rsid w:val="00B64214"/>
    <w:rsid w:val="00B7494A"/>
    <w:rsid w:val="00B75A05"/>
    <w:rsid w:val="00B817DA"/>
    <w:rsid w:val="00B9139F"/>
    <w:rsid w:val="00B92427"/>
    <w:rsid w:val="00B9741B"/>
    <w:rsid w:val="00BA3BC1"/>
    <w:rsid w:val="00BA69F5"/>
    <w:rsid w:val="00BA6FA3"/>
    <w:rsid w:val="00BB4838"/>
    <w:rsid w:val="00BB706C"/>
    <w:rsid w:val="00BD7657"/>
    <w:rsid w:val="00BE521D"/>
    <w:rsid w:val="00BE6D77"/>
    <w:rsid w:val="00BF1E7A"/>
    <w:rsid w:val="00C017CF"/>
    <w:rsid w:val="00C120C5"/>
    <w:rsid w:val="00C17CB4"/>
    <w:rsid w:val="00C26208"/>
    <w:rsid w:val="00C2691B"/>
    <w:rsid w:val="00C41331"/>
    <w:rsid w:val="00C47268"/>
    <w:rsid w:val="00C51F7E"/>
    <w:rsid w:val="00C526B1"/>
    <w:rsid w:val="00C54FD2"/>
    <w:rsid w:val="00C66B9C"/>
    <w:rsid w:val="00C703C9"/>
    <w:rsid w:val="00C855C3"/>
    <w:rsid w:val="00C90EA2"/>
    <w:rsid w:val="00C929C1"/>
    <w:rsid w:val="00C9467F"/>
    <w:rsid w:val="00CB5660"/>
    <w:rsid w:val="00CC6FD7"/>
    <w:rsid w:val="00CD3EAC"/>
    <w:rsid w:val="00CD4DEE"/>
    <w:rsid w:val="00CF2E64"/>
    <w:rsid w:val="00D00749"/>
    <w:rsid w:val="00D137F4"/>
    <w:rsid w:val="00D1665A"/>
    <w:rsid w:val="00D30BC1"/>
    <w:rsid w:val="00D33D7F"/>
    <w:rsid w:val="00D43D20"/>
    <w:rsid w:val="00D45D90"/>
    <w:rsid w:val="00D47F9A"/>
    <w:rsid w:val="00D65DED"/>
    <w:rsid w:val="00D71E65"/>
    <w:rsid w:val="00D736E1"/>
    <w:rsid w:val="00D84F3E"/>
    <w:rsid w:val="00D86D6A"/>
    <w:rsid w:val="00D95E18"/>
    <w:rsid w:val="00DA0137"/>
    <w:rsid w:val="00DA3EDD"/>
    <w:rsid w:val="00DC0345"/>
    <w:rsid w:val="00DC38FE"/>
    <w:rsid w:val="00DC6E30"/>
    <w:rsid w:val="00DD07AD"/>
    <w:rsid w:val="00DD07F5"/>
    <w:rsid w:val="00DD7A76"/>
    <w:rsid w:val="00DE2A1E"/>
    <w:rsid w:val="00DF1E8B"/>
    <w:rsid w:val="00DF3192"/>
    <w:rsid w:val="00DF7576"/>
    <w:rsid w:val="00E0047C"/>
    <w:rsid w:val="00E025EC"/>
    <w:rsid w:val="00E07F65"/>
    <w:rsid w:val="00E14455"/>
    <w:rsid w:val="00E318BC"/>
    <w:rsid w:val="00E34E8F"/>
    <w:rsid w:val="00E3588B"/>
    <w:rsid w:val="00E35FB9"/>
    <w:rsid w:val="00E36337"/>
    <w:rsid w:val="00E36C2C"/>
    <w:rsid w:val="00E47DC4"/>
    <w:rsid w:val="00E73D3C"/>
    <w:rsid w:val="00E817DF"/>
    <w:rsid w:val="00E81CE1"/>
    <w:rsid w:val="00E840E2"/>
    <w:rsid w:val="00EA5F15"/>
    <w:rsid w:val="00EA68A7"/>
    <w:rsid w:val="00EB426F"/>
    <w:rsid w:val="00EE14C3"/>
    <w:rsid w:val="00EE5ED7"/>
    <w:rsid w:val="00EF1284"/>
    <w:rsid w:val="00EF5C94"/>
    <w:rsid w:val="00F12B9B"/>
    <w:rsid w:val="00F21761"/>
    <w:rsid w:val="00F25A35"/>
    <w:rsid w:val="00F26744"/>
    <w:rsid w:val="00F3479F"/>
    <w:rsid w:val="00F6159D"/>
    <w:rsid w:val="00F62DA5"/>
    <w:rsid w:val="00F75575"/>
    <w:rsid w:val="00F82C6D"/>
    <w:rsid w:val="00F9648D"/>
    <w:rsid w:val="00FA23F0"/>
    <w:rsid w:val="00FB0EED"/>
    <w:rsid w:val="00FB52C3"/>
    <w:rsid w:val="00FB595D"/>
    <w:rsid w:val="00FC251E"/>
    <w:rsid w:val="00FC73B9"/>
    <w:rsid w:val="00FC7F24"/>
    <w:rsid w:val="00FD3B7B"/>
    <w:rsid w:val="00FD5E56"/>
    <w:rsid w:val="00FE282E"/>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42B39BF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17047"/>
    <w:rPr>
      <w:rFonts w:ascii="Times New Roman" w:hAnsi="Times New Roman"/>
    </w:rPr>
  </w:style>
  <w:style w:type="paragraph" w:styleId="Heading1">
    <w:name w:val="heading 1"/>
    <w:basedOn w:val="Normal"/>
    <w:next w:val="Normal"/>
    <w:link w:val="Heading1Char"/>
    <w:uiPriority w:val="9"/>
    <w:qFormat/>
    <w:rsid w:val="00C2620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E521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qFormat/>
    <w:rsid w:val="000573C1"/>
    <w:pPr>
      <w:keepNext/>
      <w:ind w:left="720"/>
      <w:jc w:val="both"/>
      <w:outlineLvl w:val="2"/>
    </w:pPr>
    <w:rPr>
      <w:rFonts w:ascii="Tahoma" w:eastAsia="SimSun" w:hAnsi="Tahoma" w:cs="Tahoma"/>
      <w:b/>
      <w:bCs/>
      <w:sz w:val="20"/>
      <w:szCs w:val="20"/>
      <w:lang w:val="en-GB" w:eastAsia="zh-CN"/>
    </w:rPr>
  </w:style>
  <w:style w:type="paragraph" w:styleId="Heading4">
    <w:name w:val="heading 4"/>
    <w:basedOn w:val="Normal"/>
    <w:next w:val="Normal"/>
    <w:link w:val="Heading4Char"/>
    <w:uiPriority w:val="9"/>
    <w:semiHidden/>
    <w:unhideWhenUsed/>
    <w:qFormat/>
    <w:rsid w:val="00D45D90"/>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7047"/>
    <w:pPr>
      <w:tabs>
        <w:tab w:val="center" w:pos="4513"/>
        <w:tab w:val="right" w:pos="9026"/>
      </w:tabs>
    </w:pPr>
  </w:style>
  <w:style w:type="character" w:customStyle="1" w:styleId="HeaderChar">
    <w:name w:val="Header Char"/>
    <w:basedOn w:val="DefaultParagraphFont"/>
    <w:link w:val="Header"/>
    <w:uiPriority w:val="99"/>
    <w:rsid w:val="00117047"/>
    <w:rPr>
      <w:rFonts w:ascii="Times New Roman" w:hAnsi="Times New Roman"/>
    </w:rPr>
  </w:style>
  <w:style w:type="paragraph" w:styleId="Footer">
    <w:name w:val="footer"/>
    <w:basedOn w:val="Normal"/>
    <w:link w:val="FooterChar"/>
    <w:uiPriority w:val="99"/>
    <w:unhideWhenUsed/>
    <w:rsid w:val="00117047"/>
    <w:pPr>
      <w:tabs>
        <w:tab w:val="center" w:pos="4513"/>
        <w:tab w:val="right" w:pos="9026"/>
      </w:tabs>
    </w:pPr>
  </w:style>
  <w:style w:type="character" w:customStyle="1" w:styleId="FooterChar">
    <w:name w:val="Footer Char"/>
    <w:basedOn w:val="DefaultParagraphFont"/>
    <w:link w:val="Footer"/>
    <w:uiPriority w:val="99"/>
    <w:rsid w:val="00117047"/>
    <w:rPr>
      <w:rFonts w:ascii="Times New Roman" w:hAnsi="Times New Roman"/>
    </w:rPr>
  </w:style>
  <w:style w:type="character" w:styleId="PageNumber">
    <w:name w:val="page number"/>
    <w:basedOn w:val="DefaultParagraphFont"/>
    <w:uiPriority w:val="99"/>
    <w:semiHidden/>
    <w:unhideWhenUsed/>
    <w:rsid w:val="00117047"/>
  </w:style>
  <w:style w:type="paragraph" w:styleId="FootnoteText">
    <w:name w:val="footnote text"/>
    <w:basedOn w:val="Normal"/>
    <w:link w:val="FootnoteTextChar"/>
    <w:uiPriority w:val="99"/>
    <w:unhideWhenUsed/>
    <w:rsid w:val="006F7833"/>
  </w:style>
  <w:style w:type="character" w:customStyle="1" w:styleId="FootnoteTextChar">
    <w:name w:val="Footnote Text Char"/>
    <w:basedOn w:val="DefaultParagraphFont"/>
    <w:link w:val="FootnoteText"/>
    <w:uiPriority w:val="99"/>
    <w:rsid w:val="006F7833"/>
    <w:rPr>
      <w:rFonts w:ascii="Times New Roman" w:hAnsi="Times New Roman"/>
    </w:rPr>
  </w:style>
  <w:style w:type="character" w:styleId="FootnoteReference">
    <w:name w:val="footnote reference"/>
    <w:basedOn w:val="DefaultParagraphFont"/>
    <w:uiPriority w:val="99"/>
    <w:unhideWhenUsed/>
    <w:rsid w:val="006F7833"/>
    <w:rPr>
      <w:vertAlign w:val="superscript"/>
    </w:rPr>
  </w:style>
  <w:style w:type="paragraph" w:styleId="ListParagraph">
    <w:name w:val="List Paragraph"/>
    <w:basedOn w:val="Normal"/>
    <w:uiPriority w:val="34"/>
    <w:qFormat/>
    <w:rsid w:val="00076558"/>
    <w:pPr>
      <w:ind w:left="720"/>
      <w:contextualSpacing/>
    </w:pPr>
  </w:style>
  <w:style w:type="paragraph" w:customStyle="1" w:styleId="p1">
    <w:name w:val="p1"/>
    <w:basedOn w:val="Normal"/>
    <w:rsid w:val="002E23F4"/>
    <w:rPr>
      <w:rFonts w:ascii="Times" w:hAnsi="Times" w:cs="Times New Roman"/>
      <w:color w:val="1E1E1E"/>
      <w:sz w:val="17"/>
      <w:szCs w:val="17"/>
    </w:rPr>
  </w:style>
  <w:style w:type="paragraph" w:customStyle="1" w:styleId="p2">
    <w:name w:val="p2"/>
    <w:basedOn w:val="Normal"/>
    <w:rsid w:val="002E23F4"/>
    <w:rPr>
      <w:rFonts w:ascii="Times" w:hAnsi="Times" w:cs="Times New Roman"/>
      <w:color w:val="323333"/>
      <w:sz w:val="17"/>
      <w:szCs w:val="17"/>
    </w:rPr>
  </w:style>
  <w:style w:type="character" w:customStyle="1" w:styleId="s1">
    <w:name w:val="s1"/>
    <w:basedOn w:val="DefaultParagraphFont"/>
    <w:rsid w:val="002E23F4"/>
    <w:rPr>
      <w:color w:val="484848"/>
    </w:rPr>
  </w:style>
  <w:style w:type="character" w:customStyle="1" w:styleId="s2">
    <w:name w:val="s2"/>
    <w:basedOn w:val="DefaultParagraphFont"/>
    <w:rsid w:val="002E23F4"/>
    <w:rPr>
      <w:color w:val="323333"/>
    </w:rPr>
  </w:style>
  <w:style w:type="character" w:customStyle="1" w:styleId="s3">
    <w:name w:val="s3"/>
    <w:basedOn w:val="DefaultParagraphFont"/>
    <w:rsid w:val="002E23F4"/>
    <w:rPr>
      <w:color w:val="1E1E1E"/>
    </w:rPr>
  </w:style>
  <w:style w:type="character" w:customStyle="1" w:styleId="s4">
    <w:name w:val="s4"/>
    <w:basedOn w:val="DefaultParagraphFont"/>
    <w:rsid w:val="002E23F4"/>
    <w:rPr>
      <w:color w:val="626262"/>
    </w:rPr>
  </w:style>
  <w:style w:type="character" w:customStyle="1" w:styleId="apple-converted-space">
    <w:name w:val="apple-converted-space"/>
    <w:basedOn w:val="DefaultParagraphFont"/>
    <w:rsid w:val="000701A1"/>
  </w:style>
  <w:style w:type="paragraph" w:styleId="NormalWeb">
    <w:name w:val="Normal (Web)"/>
    <w:basedOn w:val="Normal"/>
    <w:unhideWhenUsed/>
    <w:rsid w:val="000701A1"/>
    <w:pPr>
      <w:spacing w:before="100" w:beforeAutospacing="1" w:after="100" w:afterAutospacing="1"/>
    </w:pPr>
    <w:rPr>
      <w:rFonts w:cs="Times New Roman"/>
    </w:rPr>
  </w:style>
  <w:style w:type="character" w:styleId="Emphasis">
    <w:name w:val="Emphasis"/>
    <w:basedOn w:val="DefaultParagraphFont"/>
    <w:uiPriority w:val="20"/>
    <w:qFormat/>
    <w:rsid w:val="000701A1"/>
    <w:rPr>
      <w:i/>
      <w:iCs/>
    </w:rPr>
  </w:style>
  <w:style w:type="character" w:customStyle="1" w:styleId="Heading1Char">
    <w:name w:val="Heading 1 Char"/>
    <w:basedOn w:val="DefaultParagraphFont"/>
    <w:link w:val="Heading1"/>
    <w:uiPriority w:val="9"/>
    <w:rsid w:val="00C26208"/>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26208"/>
    <w:rPr>
      <w:color w:val="0563C1" w:themeColor="hyperlink"/>
      <w:u w:val="single"/>
    </w:rPr>
  </w:style>
  <w:style w:type="character" w:customStyle="1" w:styleId="Heading2Char">
    <w:name w:val="Heading 2 Char"/>
    <w:basedOn w:val="DefaultParagraphFont"/>
    <w:link w:val="Heading2"/>
    <w:uiPriority w:val="9"/>
    <w:semiHidden/>
    <w:rsid w:val="00BE521D"/>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453705"/>
    <w:rPr>
      <w:color w:val="954F72" w:themeColor="followedHyperlink"/>
      <w:u w:val="single"/>
    </w:rPr>
  </w:style>
  <w:style w:type="character" w:customStyle="1" w:styleId="Heading4Char">
    <w:name w:val="Heading 4 Char"/>
    <w:basedOn w:val="DefaultParagraphFont"/>
    <w:link w:val="Heading4"/>
    <w:uiPriority w:val="9"/>
    <w:semiHidden/>
    <w:rsid w:val="00D45D90"/>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0573C1"/>
    <w:rPr>
      <w:b/>
      <w:bCs/>
    </w:rPr>
  </w:style>
  <w:style w:type="character" w:customStyle="1" w:styleId="Heading3Char">
    <w:name w:val="Heading 3 Char"/>
    <w:basedOn w:val="DefaultParagraphFont"/>
    <w:link w:val="Heading3"/>
    <w:rsid w:val="000573C1"/>
    <w:rPr>
      <w:rFonts w:ascii="Tahoma" w:eastAsia="SimSun" w:hAnsi="Tahoma" w:cs="Tahoma"/>
      <w:b/>
      <w:bCs/>
      <w:sz w:val="20"/>
      <w:szCs w:val="20"/>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08881">
      <w:bodyDiv w:val="1"/>
      <w:marLeft w:val="0"/>
      <w:marRight w:val="0"/>
      <w:marTop w:val="0"/>
      <w:marBottom w:val="0"/>
      <w:divBdr>
        <w:top w:val="none" w:sz="0" w:space="0" w:color="auto"/>
        <w:left w:val="none" w:sz="0" w:space="0" w:color="auto"/>
        <w:bottom w:val="none" w:sz="0" w:space="0" w:color="auto"/>
        <w:right w:val="none" w:sz="0" w:space="0" w:color="auto"/>
      </w:divBdr>
      <w:divsChild>
        <w:div w:id="1270963653">
          <w:marLeft w:val="0"/>
          <w:marRight w:val="0"/>
          <w:marTop w:val="0"/>
          <w:marBottom w:val="240"/>
          <w:divBdr>
            <w:top w:val="none" w:sz="0" w:space="0" w:color="auto"/>
            <w:left w:val="none" w:sz="0" w:space="0" w:color="auto"/>
            <w:bottom w:val="none" w:sz="0" w:space="0" w:color="auto"/>
            <w:right w:val="none" w:sz="0" w:space="0" w:color="auto"/>
          </w:divBdr>
        </w:div>
      </w:divsChild>
    </w:div>
    <w:div w:id="26760933">
      <w:bodyDiv w:val="1"/>
      <w:marLeft w:val="0"/>
      <w:marRight w:val="0"/>
      <w:marTop w:val="0"/>
      <w:marBottom w:val="0"/>
      <w:divBdr>
        <w:top w:val="none" w:sz="0" w:space="0" w:color="auto"/>
        <w:left w:val="none" w:sz="0" w:space="0" w:color="auto"/>
        <w:bottom w:val="none" w:sz="0" w:space="0" w:color="auto"/>
        <w:right w:val="none" w:sz="0" w:space="0" w:color="auto"/>
      </w:divBdr>
      <w:divsChild>
        <w:div w:id="378550493">
          <w:marLeft w:val="0"/>
          <w:marRight w:val="0"/>
          <w:marTop w:val="0"/>
          <w:marBottom w:val="240"/>
          <w:divBdr>
            <w:top w:val="none" w:sz="0" w:space="0" w:color="auto"/>
            <w:left w:val="none" w:sz="0" w:space="0" w:color="auto"/>
            <w:bottom w:val="none" w:sz="0" w:space="0" w:color="auto"/>
            <w:right w:val="none" w:sz="0" w:space="0" w:color="auto"/>
          </w:divBdr>
        </w:div>
      </w:divsChild>
    </w:div>
    <w:div w:id="28921049">
      <w:bodyDiv w:val="1"/>
      <w:marLeft w:val="0"/>
      <w:marRight w:val="0"/>
      <w:marTop w:val="0"/>
      <w:marBottom w:val="0"/>
      <w:divBdr>
        <w:top w:val="none" w:sz="0" w:space="0" w:color="auto"/>
        <w:left w:val="none" w:sz="0" w:space="0" w:color="auto"/>
        <w:bottom w:val="none" w:sz="0" w:space="0" w:color="auto"/>
        <w:right w:val="none" w:sz="0" w:space="0" w:color="auto"/>
      </w:divBdr>
    </w:div>
    <w:div w:id="33695274">
      <w:bodyDiv w:val="1"/>
      <w:marLeft w:val="0"/>
      <w:marRight w:val="0"/>
      <w:marTop w:val="0"/>
      <w:marBottom w:val="0"/>
      <w:divBdr>
        <w:top w:val="none" w:sz="0" w:space="0" w:color="auto"/>
        <w:left w:val="none" w:sz="0" w:space="0" w:color="auto"/>
        <w:bottom w:val="none" w:sz="0" w:space="0" w:color="auto"/>
        <w:right w:val="none" w:sz="0" w:space="0" w:color="auto"/>
      </w:divBdr>
    </w:div>
    <w:div w:id="144707504">
      <w:bodyDiv w:val="1"/>
      <w:marLeft w:val="0"/>
      <w:marRight w:val="0"/>
      <w:marTop w:val="0"/>
      <w:marBottom w:val="0"/>
      <w:divBdr>
        <w:top w:val="none" w:sz="0" w:space="0" w:color="auto"/>
        <w:left w:val="none" w:sz="0" w:space="0" w:color="auto"/>
        <w:bottom w:val="none" w:sz="0" w:space="0" w:color="auto"/>
        <w:right w:val="none" w:sz="0" w:space="0" w:color="auto"/>
      </w:divBdr>
    </w:div>
    <w:div w:id="162012539">
      <w:bodyDiv w:val="1"/>
      <w:marLeft w:val="0"/>
      <w:marRight w:val="0"/>
      <w:marTop w:val="0"/>
      <w:marBottom w:val="0"/>
      <w:divBdr>
        <w:top w:val="none" w:sz="0" w:space="0" w:color="auto"/>
        <w:left w:val="none" w:sz="0" w:space="0" w:color="auto"/>
        <w:bottom w:val="none" w:sz="0" w:space="0" w:color="auto"/>
        <w:right w:val="none" w:sz="0" w:space="0" w:color="auto"/>
      </w:divBdr>
    </w:div>
    <w:div w:id="178087259">
      <w:bodyDiv w:val="1"/>
      <w:marLeft w:val="0"/>
      <w:marRight w:val="0"/>
      <w:marTop w:val="0"/>
      <w:marBottom w:val="0"/>
      <w:divBdr>
        <w:top w:val="none" w:sz="0" w:space="0" w:color="auto"/>
        <w:left w:val="none" w:sz="0" w:space="0" w:color="auto"/>
        <w:bottom w:val="none" w:sz="0" w:space="0" w:color="auto"/>
        <w:right w:val="none" w:sz="0" w:space="0" w:color="auto"/>
      </w:divBdr>
      <w:divsChild>
        <w:div w:id="1133863136">
          <w:marLeft w:val="0"/>
          <w:marRight w:val="0"/>
          <w:marTop w:val="0"/>
          <w:marBottom w:val="240"/>
          <w:divBdr>
            <w:top w:val="none" w:sz="0" w:space="0" w:color="auto"/>
            <w:left w:val="none" w:sz="0" w:space="0" w:color="auto"/>
            <w:bottom w:val="none" w:sz="0" w:space="0" w:color="auto"/>
            <w:right w:val="none" w:sz="0" w:space="0" w:color="auto"/>
          </w:divBdr>
        </w:div>
      </w:divsChild>
    </w:div>
    <w:div w:id="199782147">
      <w:bodyDiv w:val="1"/>
      <w:marLeft w:val="0"/>
      <w:marRight w:val="0"/>
      <w:marTop w:val="0"/>
      <w:marBottom w:val="0"/>
      <w:divBdr>
        <w:top w:val="none" w:sz="0" w:space="0" w:color="auto"/>
        <w:left w:val="none" w:sz="0" w:space="0" w:color="auto"/>
        <w:bottom w:val="none" w:sz="0" w:space="0" w:color="auto"/>
        <w:right w:val="none" w:sz="0" w:space="0" w:color="auto"/>
      </w:divBdr>
      <w:divsChild>
        <w:div w:id="796026070">
          <w:marLeft w:val="0"/>
          <w:marRight w:val="0"/>
          <w:marTop w:val="0"/>
          <w:marBottom w:val="240"/>
          <w:divBdr>
            <w:top w:val="none" w:sz="0" w:space="0" w:color="auto"/>
            <w:left w:val="none" w:sz="0" w:space="0" w:color="auto"/>
            <w:bottom w:val="none" w:sz="0" w:space="0" w:color="auto"/>
            <w:right w:val="none" w:sz="0" w:space="0" w:color="auto"/>
          </w:divBdr>
        </w:div>
      </w:divsChild>
    </w:div>
    <w:div w:id="235214298">
      <w:bodyDiv w:val="1"/>
      <w:marLeft w:val="0"/>
      <w:marRight w:val="0"/>
      <w:marTop w:val="0"/>
      <w:marBottom w:val="0"/>
      <w:divBdr>
        <w:top w:val="none" w:sz="0" w:space="0" w:color="auto"/>
        <w:left w:val="none" w:sz="0" w:space="0" w:color="auto"/>
        <w:bottom w:val="none" w:sz="0" w:space="0" w:color="auto"/>
        <w:right w:val="none" w:sz="0" w:space="0" w:color="auto"/>
      </w:divBdr>
    </w:div>
    <w:div w:id="245455107">
      <w:bodyDiv w:val="1"/>
      <w:marLeft w:val="0"/>
      <w:marRight w:val="0"/>
      <w:marTop w:val="0"/>
      <w:marBottom w:val="0"/>
      <w:divBdr>
        <w:top w:val="none" w:sz="0" w:space="0" w:color="auto"/>
        <w:left w:val="none" w:sz="0" w:space="0" w:color="auto"/>
        <w:bottom w:val="none" w:sz="0" w:space="0" w:color="auto"/>
        <w:right w:val="none" w:sz="0" w:space="0" w:color="auto"/>
      </w:divBdr>
      <w:divsChild>
        <w:div w:id="239368621">
          <w:marLeft w:val="0"/>
          <w:marRight w:val="0"/>
          <w:marTop w:val="0"/>
          <w:marBottom w:val="240"/>
          <w:divBdr>
            <w:top w:val="none" w:sz="0" w:space="0" w:color="auto"/>
            <w:left w:val="none" w:sz="0" w:space="0" w:color="auto"/>
            <w:bottom w:val="none" w:sz="0" w:space="0" w:color="auto"/>
            <w:right w:val="none" w:sz="0" w:space="0" w:color="auto"/>
          </w:divBdr>
        </w:div>
      </w:divsChild>
    </w:div>
    <w:div w:id="271323691">
      <w:bodyDiv w:val="1"/>
      <w:marLeft w:val="0"/>
      <w:marRight w:val="0"/>
      <w:marTop w:val="0"/>
      <w:marBottom w:val="0"/>
      <w:divBdr>
        <w:top w:val="none" w:sz="0" w:space="0" w:color="auto"/>
        <w:left w:val="none" w:sz="0" w:space="0" w:color="auto"/>
        <w:bottom w:val="none" w:sz="0" w:space="0" w:color="auto"/>
        <w:right w:val="none" w:sz="0" w:space="0" w:color="auto"/>
      </w:divBdr>
    </w:div>
    <w:div w:id="315763755">
      <w:bodyDiv w:val="1"/>
      <w:marLeft w:val="0"/>
      <w:marRight w:val="0"/>
      <w:marTop w:val="0"/>
      <w:marBottom w:val="0"/>
      <w:divBdr>
        <w:top w:val="none" w:sz="0" w:space="0" w:color="auto"/>
        <w:left w:val="none" w:sz="0" w:space="0" w:color="auto"/>
        <w:bottom w:val="none" w:sz="0" w:space="0" w:color="auto"/>
        <w:right w:val="none" w:sz="0" w:space="0" w:color="auto"/>
      </w:divBdr>
    </w:div>
    <w:div w:id="322320819">
      <w:bodyDiv w:val="1"/>
      <w:marLeft w:val="0"/>
      <w:marRight w:val="0"/>
      <w:marTop w:val="0"/>
      <w:marBottom w:val="0"/>
      <w:divBdr>
        <w:top w:val="none" w:sz="0" w:space="0" w:color="auto"/>
        <w:left w:val="none" w:sz="0" w:space="0" w:color="auto"/>
        <w:bottom w:val="none" w:sz="0" w:space="0" w:color="auto"/>
        <w:right w:val="none" w:sz="0" w:space="0" w:color="auto"/>
      </w:divBdr>
    </w:div>
    <w:div w:id="344096418">
      <w:bodyDiv w:val="1"/>
      <w:marLeft w:val="0"/>
      <w:marRight w:val="0"/>
      <w:marTop w:val="0"/>
      <w:marBottom w:val="0"/>
      <w:divBdr>
        <w:top w:val="none" w:sz="0" w:space="0" w:color="auto"/>
        <w:left w:val="none" w:sz="0" w:space="0" w:color="auto"/>
        <w:bottom w:val="none" w:sz="0" w:space="0" w:color="auto"/>
        <w:right w:val="none" w:sz="0" w:space="0" w:color="auto"/>
      </w:divBdr>
    </w:div>
    <w:div w:id="397241819">
      <w:bodyDiv w:val="1"/>
      <w:marLeft w:val="0"/>
      <w:marRight w:val="0"/>
      <w:marTop w:val="0"/>
      <w:marBottom w:val="0"/>
      <w:divBdr>
        <w:top w:val="none" w:sz="0" w:space="0" w:color="auto"/>
        <w:left w:val="none" w:sz="0" w:space="0" w:color="auto"/>
        <w:bottom w:val="none" w:sz="0" w:space="0" w:color="auto"/>
        <w:right w:val="none" w:sz="0" w:space="0" w:color="auto"/>
      </w:divBdr>
    </w:div>
    <w:div w:id="403645004">
      <w:bodyDiv w:val="1"/>
      <w:marLeft w:val="0"/>
      <w:marRight w:val="0"/>
      <w:marTop w:val="0"/>
      <w:marBottom w:val="0"/>
      <w:divBdr>
        <w:top w:val="none" w:sz="0" w:space="0" w:color="auto"/>
        <w:left w:val="none" w:sz="0" w:space="0" w:color="auto"/>
        <w:bottom w:val="none" w:sz="0" w:space="0" w:color="auto"/>
        <w:right w:val="none" w:sz="0" w:space="0" w:color="auto"/>
      </w:divBdr>
    </w:div>
    <w:div w:id="417365329">
      <w:bodyDiv w:val="1"/>
      <w:marLeft w:val="0"/>
      <w:marRight w:val="0"/>
      <w:marTop w:val="0"/>
      <w:marBottom w:val="0"/>
      <w:divBdr>
        <w:top w:val="none" w:sz="0" w:space="0" w:color="auto"/>
        <w:left w:val="none" w:sz="0" w:space="0" w:color="auto"/>
        <w:bottom w:val="none" w:sz="0" w:space="0" w:color="auto"/>
        <w:right w:val="none" w:sz="0" w:space="0" w:color="auto"/>
      </w:divBdr>
    </w:div>
    <w:div w:id="456413235">
      <w:bodyDiv w:val="1"/>
      <w:marLeft w:val="0"/>
      <w:marRight w:val="0"/>
      <w:marTop w:val="0"/>
      <w:marBottom w:val="0"/>
      <w:divBdr>
        <w:top w:val="none" w:sz="0" w:space="0" w:color="auto"/>
        <w:left w:val="none" w:sz="0" w:space="0" w:color="auto"/>
        <w:bottom w:val="none" w:sz="0" w:space="0" w:color="auto"/>
        <w:right w:val="none" w:sz="0" w:space="0" w:color="auto"/>
      </w:divBdr>
    </w:div>
    <w:div w:id="472141712">
      <w:bodyDiv w:val="1"/>
      <w:marLeft w:val="0"/>
      <w:marRight w:val="0"/>
      <w:marTop w:val="0"/>
      <w:marBottom w:val="0"/>
      <w:divBdr>
        <w:top w:val="none" w:sz="0" w:space="0" w:color="auto"/>
        <w:left w:val="none" w:sz="0" w:space="0" w:color="auto"/>
        <w:bottom w:val="none" w:sz="0" w:space="0" w:color="auto"/>
        <w:right w:val="none" w:sz="0" w:space="0" w:color="auto"/>
      </w:divBdr>
    </w:div>
    <w:div w:id="497842953">
      <w:bodyDiv w:val="1"/>
      <w:marLeft w:val="0"/>
      <w:marRight w:val="0"/>
      <w:marTop w:val="0"/>
      <w:marBottom w:val="0"/>
      <w:divBdr>
        <w:top w:val="none" w:sz="0" w:space="0" w:color="auto"/>
        <w:left w:val="none" w:sz="0" w:space="0" w:color="auto"/>
        <w:bottom w:val="none" w:sz="0" w:space="0" w:color="auto"/>
        <w:right w:val="none" w:sz="0" w:space="0" w:color="auto"/>
      </w:divBdr>
    </w:div>
    <w:div w:id="510071702">
      <w:bodyDiv w:val="1"/>
      <w:marLeft w:val="0"/>
      <w:marRight w:val="0"/>
      <w:marTop w:val="0"/>
      <w:marBottom w:val="0"/>
      <w:divBdr>
        <w:top w:val="none" w:sz="0" w:space="0" w:color="auto"/>
        <w:left w:val="none" w:sz="0" w:space="0" w:color="auto"/>
        <w:bottom w:val="none" w:sz="0" w:space="0" w:color="auto"/>
        <w:right w:val="none" w:sz="0" w:space="0" w:color="auto"/>
      </w:divBdr>
    </w:div>
    <w:div w:id="549725402">
      <w:bodyDiv w:val="1"/>
      <w:marLeft w:val="0"/>
      <w:marRight w:val="0"/>
      <w:marTop w:val="0"/>
      <w:marBottom w:val="0"/>
      <w:divBdr>
        <w:top w:val="none" w:sz="0" w:space="0" w:color="auto"/>
        <w:left w:val="none" w:sz="0" w:space="0" w:color="auto"/>
        <w:bottom w:val="none" w:sz="0" w:space="0" w:color="auto"/>
        <w:right w:val="none" w:sz="0" w:space="0" w:color="auto"/>
      </w:divBdr>
    </w:div>
    <w:div w:id="553085362">
      <w:bodyDiv w:val="1"/>
      <w:marLeft w:val="0"/>
      <w:marRight w:val="0"/>
      <w:marTop w:val="0"/>
      <w:marBottom w:val="0"/>
      <w:divBdr>
        <w:top w:val="none" w:sz="0" w:space="0" w:color="auto"/>
        <w:left w:val="none" w:sz="0" w:space="0" w:color="auto"/>
        <w:bottom w:val="none" w:sz="0" w:space="0" w:color="auto"/>
        <w:right w:val="none" w:sz="0" w:space="0" w:color="auto"/>
      </w:divBdr>
    </w:div>
    <w:div w:id="584996460">
      <w:bodyDiv w:val="1"/>
      <w:marLeft w:val="0"/>
      <w:marRight w:val="0"/>
      <w:marTop w:val="0"/>
      <w:marBottom w:val="0"/>
      <w:divBdr>
        <w:top w:val="none" w:sz="0" w:space="0" w:color="auto"/>
        <w:left w:val="none" w:sz="0" w:space="0" w:color="auto"/>
        <w:bottom w:val="none" w:sz="0" w:space="0" w:color="auto"/>
        <w:right w:val="none" w:sz="0" w:space="0" w:color="auto"/>
      </w:divBdr>
    </w:div>
    <w:div w:id="634914156">
      <w:bodyDiv w:val="1"/>
      <w:marLeft w:val="0"/>
      <w:marRight w:val="0"/>
      <w:marTop w:val="0"/>
      <w:marBottom w:val="0"/>
      <w:divBdr>
        <w:top w:val="none" w:sz="0" w:space="0" w:color="auto"/>
        <w:left w:val="none" w:sz="0" w:space="0" w:color="auto"/>
        <w:bottom w:val="none" w:sz="0" w:space="0" w:color="auto"/>
        <w:right w:val="none" w:sz="0" w:space="0" w:color="auto"/>
      </w:divBdr>
    </w:div>
    <w:div w:id="657880052">
      <w:bodyDiv w:val="1"/>
      <w:marLeft w:val="0"/>
      <w:marRight w:val="0"/>
      <w:marTop w:val="0"/>
      <w:marBottom w:val="0"/>
      <w:divBdr>
        <w:top w:val="none" w:sz="0" w:space="0" w:color="auto"/>
        <w:left w:val="none" w:sz="0" w:space="0" w:color="auto"/>
        <w:bottom w:val="none" w:sz="0" w:space="0" w:color="auto"/>
        <w:right w:val="none" w:sz="0" w:space="0" w:color="auto"/>
      </w:divBdr>
    </w:div>
    <w:div w:id="677347009">
      <w:bodyDiv w:val="1"/>
      <w:marLeft w:val="0"/>
      <w:marRight w:val="0"/>
      <w:marTop w:val="0"/>
      <w:marBottom w:val="0"/>
      <w:divBdr>
        <w:top w:val="none" w:sz="0" w:space="0" w:color="auto"/>
        <w:left w:val="none" w:sz="0" w:space="0" w:color="auto"/>
        <w:bottom w:val="none" w:sz="0" w:space="0" w:color="auto"/>
        <w:right w:val="none" w:sz="0" w:space="0" w:color="auto"/>
      </w:divBdr>
    </w:div>
    <w:div w:id="680861836">
      <w:bodyDiv w:val="1"/>
      <w:marLeft w:val="0"/>
      <w:marRight w:val="0"/>
      <w:marTop w:val="0"/>
      <w:marBottom w:val="0"/>
      <w:divBdr>
        <w:top w:val="none" w:sz="0" w:space="0" w:color="auto"/>
        <w:left w:val="none" w:sz="0" w:space="0" w:color="auto"/>
        <w:bottom w:val="none" w:sz="0" w:space="0" w:color="auto"/>
        <w:right w:val="none" w:sz="0" w:space="0" w:color="auto"/>
      </w:divBdr>
    </w:div>
    <w:div w:id="701857005">
      <w:bodyDiv w:val="1"/>
      <w:marLeft w:val="0"/>
      <w:marRight w:val="0"/>
      <w:marTop w:val="0"/>
      <w:marBottom w:val="0"/>
      <w:divBdr>
        <w:top w:val="none" w:sz="0" w:space="0" w:color="auto"/>
        <w:left w:val="none" w:sz="0" w:space="0" w:color="auto"/>
        <w:bottom w:val="none" w:sz="0" w:space="0" w:color="auto"/>
        <w:right w:val="none" w:sz="0" w:space="0" w:color="auto"/>
      </w:divBdr>
    </w:div>
    <w:div w:id="703678218">
      <w:bodyDiv w:val="1"/>
      <w:marLeft w:val="0"/>
      <w:marRight w:val="0"/>
      <w:marTop w:val="0"/>
      <w:marBottom w:val="0"/>
      <w:divBdr>
        <w:top w:val="none" w:sz="0" w:space="0" w:color="auto"/>
        <w:left w:val="none" w:sz="0" w:space="0" w:color="auto"/>
        <w:bottom w:val="none" w:sz="0" w:space="0" w:color="auto"/>
        <w:right w:val="none" w:sz="0" w:space="0" w:color="auto"/>
      </w:divBdr>
    </w:div>
    <w:div w:id="720441342">
      <w:bodyDiv w:val="1"/>
      <w:marLeft w:val="0"/>
      <w:marRight w:val="0"/>
      <w:marTop w:val="0"/>
      <w:marBottom w:val="0"/>
      <w:divBdr>
        <w:top w:val="none" w:sz="0" w:space="0" w:color="auto"/>
        <w:left w:val="none" w:sz="0" w:space="0" w:color="auto"/>
        <w:bottom w:val="none" w:sz="0" w:space="0" w:color="auto"/>
        <w:right w:val="none" w:sz="0" w:space="0" w:color="auto"/>
      </w:divBdr>
    </w:div>
    <w:div w:id="782387134">
      <w:bodyDiv w:val="1"/>
      <w:marLeft w:val="0"/>
      <w:marRight w:val="0"/>
      <w:marTop w:val="0"/>
      <w:marBottom w:val="0"/>
      <w:divBdr>
        <w:top w:val="none" w:sz="0" w:space="0" w:color="auto"/>
        <w:left w:val="none" w:sz="0" w:space="0" w:color="auto"/>
        <w:bottom w:val="none" w:sz="0" w:space="0" w:color="auto"/>
        <w:right w:val="none" w:sz="0" w:space="0" w:color="auto"/>
      </w:divBdr>
    </w:div>
    <w:div w:id="813375160">
      <w:bodyDiv w:val="1"/>
      <w:marLeft w:val="0"/>
      <w:marRight w:val="0"/>
      <w:marTop w:val="0"/>
      <w:marBottom w:val="0"/>
      <w:divBdr>
        <w:top w:val="none" w:sz="0" w:space="0" w:color="auto"/>
        <w:left w:val="none" w:sz="0" w:space="0" w:color="auto"/>
        <w:bottom w:val="none" w:sz="0" w:space="0" w:color="auto"/>
        <w:right w:val="none" w:sz="0" w:space="0" w:color="auto"/>
      </w:divBdr>
      <w:divsChild>
        <w:div w:id="700327715">
          <w:marLeft w:val="0"/>
          <w:marRight w:val="0"/>
          <w:marTop w:val="0"/>
          <w:marBottom w:val="0"/>
          <w:divBdr>
            <w:top w:val="none" w:sz="0" w:space="0" w:color="auto"/>
            <w:left w:val="none" w:sz="0" w:space="0" w:color="auto"/>
            <w:bottom w:val="none" w:sz="0" w:space="0" w:color="auto"/>
            <w:right w:val="none" w:sz="0" w:space="0" w:color="auto"/>
          </w:divBdr>
        </w:div>
        <w:div w:id="2076319227">
          <w:marLeft w:val="0"/>
          <w:marRight w:val="0"/>
          <w:marTop w:val="0"/>
          <w:marBottom w:val="0"/>
          <w:divBdr>
            <w:top w:val="none" w:sz="0" w:space="0" w:color="auto"/>
            <w:left w:val="none" w:sz="0" w:space="0" w:color="auto"/>
            <w:bottom w:val="none" w:sz="0" w:space="0" w:color="auto"/>
            <w:right w:val="none" w:sz="0" w:space="0" w:color="auto"/>
          </w:divBdr>
        </w:div>
      </w:divsChild>
    </w:div>
    <w:div w:id="839849873">
      <w:bodyDiv w:val="1"/>
      <w:marLeft w:val="0"/>
      <w:marRight w:val="0"/>
      <w:marTop w:val="0"/>
      <w:marBottom w:val="0"/>
      <w:divBdr>
        <w:top w:val="none" w:sz="0" w:space="0" w:color="auto"/>
        <w:left w:val="none" w:sz="0" w:space="0" w:color="auto"/>
        <w:bottom w:val="none" w:sz="0" w:space="0" w:color="auto"/>
        <w:right w:val="none" w:sz="0" w:space="0" w:color="auto"/>
      </w:divBdr>
    </w:div>
    <w:div w:id="850803504">
      <w:bodyDiv w:val="1"/>
      <w:marLeft w:val="0"/>
      <w:marRight w:val="0"/>
      <w:marTop w:val="0"/>
      <w:marBottom w:val="0"/>
      <w:divBdr>
        <w:top w:val="none" w:sz="0" w:space="0" w:color="auto"/>
        <w:left w:val="none" w:sz="0" w:space="0" w:color="auto"/>
        <w:bottom w:val="none" w:sz="0" w:space="0" w:color="auto"/>
        <w:right w:val="none" w:sz="0" w:space="0" w:color="auto"/>
      </w:divBdr>
    </w:div>
    <w:div w:id="864710592">
      <w:bodyDiv w:val="1"/>
      <w:marLeft w:val="0"/>
      <w:marRight w:val="0"/>
      <w:marTop w:val="0"/>
      <w:marBottom w:val="0"/>
      <w:divBdr>
        <w:top w:val="none" w:sz="0" w:space="0" w:color="auto"/>
        <w:left w:val="none" w:sz="0" w:space="0" w:color="auto"/>
        <w:bottom w:val="none" w:sz="0" w:space="0" w:color="auto"/>
        <w:right w:val="none" w:sz="0" w:space="0" w:color="auto"/>
      </w:divBdr>
    </w:div>
    <w:div w:id="883448543">
      <w:bodyDiv w:val="1"/>
      <w:marLeft w:val="0"/>
      <w:marRight w:val="0"/>
      <w:marTop w:val="0"/>
      <w:marBottom w:val="0"/>
      <w:divBdr>
        <w:top w:val="none" w:sz="0" w:space="0" w:color="auto"/>
        <w:left w:val="none" w:sz="0" w:space="0" w:color="auto"/>
        <w:bottom w:val="none" w:sz="0" w:space="0" w:color="auto"/>
        <w:right w:val="none" w:sz="0" w:space="0" w:color="auto"/>
      </w:divBdr>
    </w:div>
    <w:div w:id="889727343">
      <w:bodyDiv w:val="1"/>
      <w:marLeft w:val="0"/>
      <w:marRight w:val="0"/>
      <w:marTop w:val="0"/>
      <w:marBottom w:val="0"/>
      <w:divBdr>
        <w:top w:val="none" w:sz="0" w:space="0" w:color="auto"/>
        <w:left w:val="none" w:sz="0" w:space="0" w:color="auto"/>
        <w:bottom w:val="none" w:sz="0" w:space="0" w:color="auto"/>
        <w:right w:val="none" w:sz="0" w:space="0" w:color="auto"/>
      </w:divBdr>
    </w:div>
    <w:div w:id="891189569">
      <w:bodyDiv w:val="1"/>
      <w:marLeft w:val="0"/>
      <w:marRight w:val="0"/>
      <w:marTop w:val="0"/>
      <w:marBottom w:val="0"/>
      <w:divBdr>
        <w:top w:val="none" w:sz="0" w:space="0" w:color="auto"/>
        <w:left w:val="none" w:sz="0" w:space="0" w:color="auto"/>
        <w:bottom w:val="none" w:sz="0" w:space="0" w:color="auto"/>
        <w:right w:val="none" w:sz="0" w:space="0" w:color="auto"/>
      </w:divBdr>
    </w:div>
    <w:div w:id="923339816">
      <w:bodyDiv w:val="1"/>
      <w:marLeft w:val="0"/>
      <w:marRight w:val="0"/>
      <w:marTop w:val="0"/>
      <w:marBottom w:val="0"/>
      <w:divBdr>
        <w:top w:val="none" w:sz="0" w:space="0" w:color="auto"/>
        <w:left w:val="none" w:sz="0" w:space="0" w:color="auto"/>
        <w:bottom w:val="none" w:sz="0" w:space="0" w:color="auto"/>
        <w:right w:val="none" w:sz="0" w:space="0" w:color="auto"/>
      </w:divBdr>
      <w:divsChild>
        <w:div w:id="924533426">
          <w:marLeft w:val="0"/>
          <w:marRight w:val="0"/>
          <w:marTop w:val="0"/>
          <w:marBottom w:val="240"/>
          <w:divBdr>
            <w:top w:val="none" w:sz="0" w:space="0" w:color="auto"/>
            <w:left w:val="none" w:sz="0" w:space="0" w:color="auto"/>
            <w:bottom w:val="none" w:sz="0" w:space="0" w:color="auto"/>
            <w:right w:val="none" w:sz="0" w:space="0" w:color="auto"/>
          </w:divBdr>
        </w:div>
      </w:divsChild>
    </w:div>
    <w:div w:id="944459960">
      <w:bodyDiv w:val="1"/>
      <w:marLeft w:val="0"/>
      <w:marRight w:val="0"/>
      <w:marTop w:val="0"/>
      <w:marBottom w:val="0"/>
      <w:divBdr>
        <w:top w:val="none" w:sz="0" w:space="0" w:color="auto"/>
        <w:left w:val="none" w:sz="0" w:space="0" w:color="auto"/>
        <w:bottom w:val="none" w:sz="0" w:space="0" w:color="auto"/>
        <w:right w:val="none" w:sz="0" w:space="0" w:color="auto"/>
      </w:divBdr>
    </w:div>
    <w:div w:id="984354281">
      <w:bodyDiv w:val="1"/>
      <w:marLeft w:val="0"/>
      <w:marRight w:val="0"/>
      <w:marTop w:val="0"/>
      <w:marBottom w:val="0"/>
      <w:divBdr>
        <w:top w:val="none" w:sz="0" w:space="0" w:color="auto"/>
        <w:left w:val="none" w:sz="0" w:space="0" w:color="auto"/>
        <w:bottom w:val="none" w:sz="0" w:space="0" w:color="auto"/>
        <w:right w:val="none" w:sz="0" w:space="0" w:color="auto"/>
      </w:divBdr>
    </w:div>
    <w:div w:id="987631035">
      <w:bodyDiv w:val="1"/>
      <w:marLeft w:val="0"/>
      <w:marRight w:val="0"/>
      <w:marTop w:val="0"/>
      <w:marBottom w:val="0"/>
      <w:divBdr>
        <w:top w:val="none" w:sz="0" w:space="0" w:color="auto"/>
        <w:left w:val="none" w:sz="0" w:space="0" w:color="auto"/>
        <w:bottom w:val="none" w:sz="0" w:space="0" w:color="auto"/>
        <w:right w:val="none" w:sz="0" w:space="0" w:color="auto"/>
      </w:divBdr>
    </w:div>
    <w:div w:id="1056782783">
      <w:bodyDiv w:val="1"/>
      <w:marLeft w:val="0"/>
      <w:marRight w:val="0"/>
      <w:marTop w:val="0"/>
      <w:marBottom w:val="0"/>
      <w:divBdr>
        <w:top w:val="none" w:sz="0" w:space="0" w:color="auto"/>
        <w:left w:val="none" w:sz="0" w:space="0" w:color="auto"/>
        <w:bottom w:val="none" w:sz="0" w:space="0" w:color="auto"/>
        <w:right w:val="none" w:sz="0" w:space="0" w:color="auto"/>
      </w:divBdr>
    </w:div>
    <w:div w:id="1104182663">
      <w:bodyDiv w:val="1"/>
      <w:marLeft w:val="0"/>
      <w:marRight w:val="0"/>
      <w:marTop w:val="0"/>
      <w:marBottom w:val="0"/>
      <w:divBdr>
        <w:top w:val="none" w:sz="0" w:space="0" w:color="auto"/>
        <w:left w:val="none" w:sz="0" w:space="0" w:color="auto"/>
        <w:bottom w:val="none" w:sz="0" w:space="0" w:color="auto"/>
        <w:right w:val="none" w:sz="0" w:space="0" w:color="auto"/>
      </w:divBdr>
    </w:div>
    <w:div w:id="1118530032">
      <w:bodyDiv w:val="1"/>
      <w:marLeft w:val="0"/>
      <w:marRight w:val="0"/>
      <w:marTop w:val="0"/>
      <w:marBottom w:val="0"/>
      <w:divBdr>
        <w:top w:val="none" w:sz="0" w:space="0" w:color="auto"/>
        <w:left w:val="none" w:sz="0" w:space="0" w:color="auto"/>
        <w:bottom w:val="none" w:sz="0" w:space="0" w:color="auto"/>
        <w:right w:val="none" w:sz="0" w:space="0" w:color="auto"/>
      </w:divBdr>
    </w:div>
    <w:div w:id="1120150733">
      <w:bodyDiv w:val="1"/>
      <w:marLeft w:val="0"/>
      <w:marRight w:val="0"/>
      <w:marTop w:val="0"/>
      <w:marBottom w:val="0"/>
      <w:divBdr>
        <w:top w:val="none" w:sz="0" w:space="0" w:color="auto"/>
        <w:left w:val="none" w:sz="0" w:space="0" w:color="auto"/>
        <w:bottom w:val="none" w:sz="0" w:space="0" w:color="auto"/>
        <w:right w:val="none" w:sz="0" w:space="0" w:color="auto"/>
      </w:divBdr>
    </w:div>
    <w:div w:id="1120414704">
      <w:bodyDiv w:val="1"/>
      <w:marLeft w:val="0"/>
      <w:marRight w:val="0"/>
      <w:marTop w:val="0"/>
      <w:marBottom w:val="0"/>
      <w:divBdr>
        <w:top w:val="none" w:sz="0" w:space="0" w:color="auto"/>
        <w:left w:val="none" w:sz="0" w:space="0" w:color="auto"/>
        <w:bottom w:val="none" w:sz="0" w:space="0" w:color="auto"/>
        <w:right w:val="none" w:sz="0" w:space="0" w:color="auto"/>
      </w:divBdr>
      <w:divsChild>
        <w:div w:id="267660626">
          <w:marLeft w:val="0"/>
          <w:marRight w:val="0"/>
          <w:marTop w:val="0"/>
          <w:marBottom w:val="240"/>
          <w:divBdr>
            <w:top w:val="none" w:sz="0" w:space="0" w:color="auto"/>
            <w:left w:val="none" w:sz="0" w:space="0" w:color="auto"/>
            <w:bottom w:val="none" w:sz="0" w:space="0" w:color="auto"/>
            <w:right w:val="none" w:sz="0" w:space="0" w:color="auto"/>
          </w:divBdr>
        </w:div>
      </w:divsChild>
    </w:div>
    <w:div w:id="1131485888">
      <w:bodyDiv w:val="1"/>
      <w:marLeft w:val="0"/>
      <w:marRight w:val="0"/>
      <w:marTop w:val="0"/>
      <w:marBottom w:val="0"/>
      <w:divBdr>
        <w:top w:val="none" w:sz="0" w:space="0" w:color="auto"/>
        <w:left w:val="none" w:sz="0" w:space="0" w:color="auto"/>
        <w:bottom w:val="none" w:sz="0" w:space="0" w:color="auto"/>
        <w:right w:val="none" w:sz="0" w:space="0" w:color="auto"/>
      </w:divBdr>
    </w:div>
    <w:div w:id="1157186204">
      <w:bodyDiv w:val="1"/>
      <w:marLeft w:val="0"/>
      <w:marRight w:val="0"/>
      <w:marTop w:val="0"/>
      <w:marBottom w:val="0"/>
      <w:divBdr>
        <w:top w:val="none" w:sz="0" w:space="0" w:color="auto"/>
        <w:left w:val="none" w:sz="0" w:space="0" w:color="auto"/>
        <w:bottom w:val="none" w:sz="0" w:space="0" w:color="auto"/>
        <w:right w:val="none" w:sz="0" w:space="0" w:color="auto"/>
      </w:divBdr>
    </w:div>
    <w:div w:id="1179392126">
      <w:bodyDiv w:val="1"/>
      <w:marLeft w:val="0"/>
      <w:marRight w:val="0"/>
      <w:marTop w:val="0"/>
      <w:marBottom w:val="0"/>
      <w:divBdr>
        <w:top w:val="none" w:sz="0" w:space="0" w:color="auto"/>
        <w:left w:val="none" w:sz="0" w:space="0" w:color="auto"/>
        <w:bottom w:val="none" w:sz="0" w:space="0" w:color="auto"/>
        <w:right w:val="none" w:sz="0" w:space="0" w:color="auto"/>
      </w:divBdr>
    </w:div>
    <w:div w:id="1198547823">
      <w:bodyDiv w:val="1"/>
      <w:marLeft w:val="0"/>
      <w:marRight w:val="0"/>
      <w:marTop w:val="0"/>
      <w:marBottom w:val="0"/>
      <w:divBdr>
        <w:top w:val="none" w:sz="0" w:space="0" w:color="auto"/>
        <w:left w:val="none" w:sz="0" w:space="0" w:color="auto"/>
        <w:bottom w:val="none" w:sz="0" w:space="0" w:color="auto"/>
        <w:right w:val="none" w:sz="0" w:space="0" w:color="auto"/>
      </w:divBdr>
    </w:div>
    <w:div w:id="1201014685">
      <w:bodyDiv w:val="1"/>
      <w:marLeft w:val="0"/>
      <w:marRight w:val="0"/>
      <w:marTop w:val="0"/>
      <w:marBottom w:val="0"/>
      <w:divBdr>
        <w:top w:val="none" w:sz="0" w:space="0" w:color="auto"/>
        <w:left w:val="none" w:sz="0" w:space="0" w:color="auto"/>
        <w:bottom w:val="none" w:sz="0" w:space="0" w:color="auto"/>
        <w:right w:val="none" w:sz="0" w:space="0" w:color="auto"/>
      </w:divBdr>
    </w:div>
    <w:div w:id="1209337471">
      <w:bodyDiv w:val="1"/>
      <w:marLeft w:val="0"/>
      <w:marRight w:val="0"/>
      <w:marTop w:val="0"/>
      <w:marBottom w:val="0"/>
      <w:divBdr>
        <w:top w:val="none" w:sz="0" w:space="0" w:color="auto"/>
        <w:left w:val="none" w:sz="0" w:space="0" w:color="auto"/>
        <w:bottom w:val="none" w:sz="0" w:space="0" w:color="auto"/>
        <w:right w:val="none" w:sz="0" w:space="0" w:color="auto"/>
      </w:divBdr>
    </w:div>
    <w:div w:id="1210605247">
      <w:bodyDiv w:val="1"/>
      <w:marLeft w:val="0"/>
      <w:marRight w:val="0"/>
      <w:marTop w:val="0"/>
      <w:marBottom w:val="0"/>
      <w:divBdr>
        <w:top w:val="none" w:sz="0" w:space="0" w:color="auto"/>
        <w:left w:val="none" w:sz="0" w:space="0" w:color="auto"/>
        <w:bottom w:val="none" w:sz="0" w:space="0" w:color="auto"/>
        <w:right w:val="none" w:sz="0" w:space="0" w:color="auto"/>
      </w:divBdr>
    </w:div>
    <w:div w:id="1211455748">
      <w:bodyDiv w:val="1"/>
      <w:marLeft w:val="0"/>
      <w:marRight w:val="0"/>
      <w:marTop w:val="0"/>
      <w:marBottom w:val="0"/>
      <w:divBdr>
        <w:top w:val="none" w:sz="0" w:space="0" w:color="auto"/>
        <w:left w:val="none" w:sz="0" w:space="0" w:color="auto"/>
        <w:bottom w:val="none" w:sz="0" w:space="0" w:color="auto"/>
        <w:right w:val="none" w:sz="0" w:space="0" w:color="auto"/>
      </w:divBdr>
    </w:div>
    <w:div w:id="1249998459">
      <w:bodyDiv w:val="1"/>
      <w:marLeft w:val="0"/>
      <w:marRight w:val="0"/>
      <w:marTop w:val="0"/>
      <w:marBottom w:val="0"/>
      <w:divBdr>
        <w:top w:val="none" w:sz="0" w:space="0" w:color="auto"/>
        <w:left w:val="none" w:sz="0" w:space="0" w:color="auto"/>
        <w:bottom w:val="none" w:sz="0" w:space="0" w:color="auto"/>
        <w:right w:val="none" w:sz="0" w:space="0" w:color="auto"/>
      </w:divBdr>
    </w:div>
    <w:div w:id="1291277975">
      <w:bodyDiv w:val="1"/>
      <w:marLeft w:val="0"/>
      <w:marRight w:val="0"/>
      <w:marTop w:val="0"/>
      <w:marBottom w:val="0"/>
      <w:divBdr>
        <w:top w:val="none" w:sz="0" w:space="0" w:color="auto"/>
        <w:left w:val="none" w:sz="0" w:space="0" w:color="auto"/>
        <w:bottom w:val="none" w:sz="0" w:space="0" w:color="auto"/>
        <w:right w:val="none" w:sz="0" w:space="0" w:color="auto"/>
      </w:divBdr>
    </w:div>
    <w:div w:id="1310013844">
      <w:bodyDiv w:val="1"/>
      <w:marLeft w:val="0"/>
      <w:marRight w:val="0"/>
      <w:marTop w:val="0"/>
      <w:marBottom w:val="0"/>
      <w:divBdr>
        <w:top w:val="none" w:sz="0" w:space="0" w:color="auto"/>
        <w:left w:val="none" w:sz="0" w:space="0" w:color="auto"/>
        <w:bottom w:val="none" w:sz="0" w:space="0" w:color="auto"/>
        <w:right w:val="none" w:sz="0" w:space="0" w:color="auto"/>
      </w:divBdr>
    </w:div>
    <w:div w:id="1389959133">
      <w:bodyDiv w:val="1"/>
      <w:marLeft w:val="0"/>
      <w:marRight w:val="0"/>
      <w:marTop w:val="0"/>
      <w:marBottom w:val="0"/>
      <w:divBdr>
        <w:top w:val="none" w:sz="0" w:space="0" w:color="auto"/>
        <w:left w:val="none" w:sz="0" w:space="0" w:color="auto"/>
        <w:bottom w:val="none" w:sz="0" w:space="0" w:color="auto"/>
        <w:right w:val="none" w:sz="0" w:space="0" w:color="auto"/>
      </w:divBdr>
    </w:div>
    <w:div w:id="1399011946">
      <w:bodyDiv w:val="1"/>
      <w:marLeft w:val="0"/>
      <w:marRight w:val="0"/>
      <w:marTop w:val="0"/>
      <w:marBottom w:val="0"/>
      <w:divBdr>
        <w:top w:val="none" w:sz="0" w:space="0" w:color="auto"/>
        <w:left w:val="none" w:sz="0" w:space="0" w:color="auto"/>
        <w:bottom w:val="none" w:sz="0" w:space="0" w:color="auto"/>
        <w:right w:val="none" w:sz="0" w:space="0" w:color="auto"/>
      </w:divBdr>
    </w:div>
    <w:div w:id="1437482042">
      <w:bodyDiv w:val="1"/>
      <w:marLeft w:val="0"/>
      <w:marRight w:val="0"/>
      <w:marTop w:val="0"/>
      <w:marBottom w:val="0"/>
      <w:divBdr>
        <w:top w:val="none" w:sz="0" w:space="0" w:color="auto"/>
        <w:left w:val="none" w:sz="0" w:space="0" w:color="auto"/>
        <w:bottom w:val="none" w:sz="0" w:space="0" w:color="auto"/>
        <w:right w:val="none" w:sz="0" w:space="0" w:color="auto"/>
      </w:divBdr>
    </w:div>
    <w:div w:id="1439763189">
      <w:bodyDiv w:val="1"/>
      <w:marLeft w:val="0"/>
      <w:marRight w:val="0"/>
      <w:marTop w:val="0"/>
      <w:marBottom w:val="0"/>
      <w:divBdr>
        <w:top w:val="none" w:sz="0" w:space="0" w:color="auto"/>
        <w:left w:val="none" w:sz="0" w:space="0" w:color="auto"/>
        <w:bottom w:val="none" w:sz="0" w:space="0" w:color="auto"/>
        <w:right w:val="none" w:sz="0" w:space="0" w:color="auto"/>
      </w:divBdr>
    </w:div>
    <w:div w:id="1453817468">
      <w:bodyDiv w:val="1"/>
      <w:marLeft w:val="0"/>
      <w:marRight w:val="0"/>
      <w:marTop w:val="0"/>
      <w:marBottom w:val="0"/>
      <w:divBdr>
        <w:top w:val="none" w:sz="0" w:space="0" w:color="auto"/>
        <w:left w:val="none" w:sz="0" w:space="0" w:color="auto"/>
        <w:bottom w:val="none" w:sz="0" w:space="0" w:color="auto"/>
        <w:right w:val="none" w:sz="0" w:space="0" w:color="auto"/>
      </w:divBdr>
    </w:div>
    <w:div w:id="1473790043">
      <w:bodyDiv w:val="1"/>
      <w:marLeft w:val="0"/>
      <w:marRight w:val="0"/>
      <w:marTop w:val="0"/>
      <w:marBottom w:val="0"/>
      <w:divBdr>
        <w:top w:val="none" w:sz="0" w:space="0" w:color="auto"/>
        <w:left w:val="none" w:sz="0" w:space="0" w:color="auto"/>
        <w:bottom w:val="none" w:sz="0" w:space="0" w:color="auto"/>
        <w:right w:val="none" w:sz="0" w:space="0" w:color="auto"/>
      </w:divBdr>
    </w:div>
    <w:div w:id="1507093132">
      <w:bodyDiv w:val="1"/>
      <w:marLeft w:val="0"/>
      <w:marRight w:val="0"/>
      <w:marTop w:val="0"/>
      <w:marBottom w:val="0"/>
      <w:divBdr>
        <w:top w:val="none" w:sz="0" w:space="0" w:color="auto"/>
        <w:left w:val="none" w:sz="0" w:space="0" w:color="auto"/>
        <w:bottom w:val="none" w:sz="0" w:space="0" w:color="auto"/>
        <w:right w:val="none" w:sz="0" w:space="0" w:color="auto"/>
      </w:divBdr>
    </w:div>
    <w:div w:id="1553343526">
      <w:bodyDiv w:val="1"/>
      <w:marLeft w:val="0"/>
      <w:marRight w:val="0"/>
      <w:marTop w:val="0"/>
      <w:marBottom w:val="0"/>
      <w:divBdr>
        <w:top w:val="none" w:sz="0" w:space="0" w:color="auto"/>
        <w:left w:val="none" w:sz="0" w:space="0" w:color="auto"/>
        <w:bottom w:val="none" w:sz="0" w:space="0" w:color="auto"/>
        <w:right w:val="none" w:sz="0" w:space="0" w:color="auto"/>
      </w:divBdr>
    </w:div>
    <w:div w:id="1560938783">
      <w:bodyDiv w:val="1"/>
      <w:marLeft w:val="0"/>
      <w:marRight w:val="0"/>
      <w:marTop w:val="0"/>
      <w:marBottom w:val="0"/>
      <w:divBdr>
        <w:top w:val="none" w:sz="0" w:space="0" w:color="auto"/>
        <w:left w:val="none" w:sz="0" w:space="0" w:color="auto"/>
        <w:bottom w:val="none" w:sz="0" w:space="0" w:color="auto"/>
        <w:right w:val="none" w:sz="0" w:space="0" w:color="auto"/>
      </w:divBdr>
      <w:divsChild>
        <w:div w:id="26638443">
          <w:marLeft w:val="0"/>
          <w:marRight w:val="0"/>
          <w:marTop w:val="0"/>
          <w:marBottom w:val="240"/>
          <w:divBdr>
            <w:top w:val="none" w:sz="0" w:space="0" w:color="auto"/>
            <w:left w:val="none" w:sz="0" w:space="0" w:color="auto"/>
            <w:bottom w:val="none" w:sz="0" w:space="0" w:color="auto"/>
            <w:right w:val="none" w:sz="0" w:space="0" w:color="auto"/>
          </w:divBdr>
        </w:div>
      </w:divsChild>
    </w:div>
    <w:div w:id="1564370008">
      <w:bodyDiv w:val="1"/>
      <w:marLeft w:val="0"/>
      <w:marRight w:val="0"/>
      <w:marTop w:val="0"/>
      <w:marBottom w:val="0"/>
      <w:divBdr>
        <w:top w:val="none" w:sz="0" w:space="0" w:color="auto"/>
        <w:left w:val="none" w:sz="0" w:space="0" w:color="auto"/>
        <w:bottom w:val="none" w:sz="0" w:space="0" w:color="auto"/>
        <w:right w:val="none" w:sz="0" w:space="0" w:color="auto"/>
      </w:divBdr>
    </w:div>
    <w:div w:id="1584223077">
      <w:bodyDiv w:val="1"/>
      <w:marLeft w:val="0"/>
      <w:marRight w:val="0"/>
      <w:marTop w:val="0"/>
      <w:marBottom w:val="0"/>
      <w:divBdr>
        <w:top w:val="none" w:sz="0" w:space="0" w:color="auto"/>
        <w:left w:val="none" w:sz="0" w:space="0" w:color="auto"/>
        <w:bottom w:val="none" w:sz="0" w:space="0" w:color="auto"/>
        <w:right w:val="none" w:sz="0" w:space="0" w:color="auto"/>
      </w:divBdr>
    </w:div>
    <w:div w:id="1587423744">
      <w:bodyDiv w:val="1"/>
      <w:marLeft w:val="0"/>
      <w:marRight w:val="0"/>
      <w:marTop w:val="0"/>
      <w:marBottom w:val="0"/>
      <w:divBdr>
        <w:top w:val="none" w:sz="0" w:space="0" w:color="auto"/>
        <w:left w:val="none" w:sz="0" w:space="0" w:color="auto"/>
        <w:bottom w:val="none" w:sz="0" w:space="0" w:color="auto"/>
        <w:right w:val="none" w:sz="0" w:space="0" w:color="auto"/>
      </w:divBdr>
    </w:div>
    <w:div w:id="1591042138">
      <w:bodyDiv w:val="1"/>
      <w:marLeft w:val="0"/>
      <w:marRight w:val="0"/>
      <w:marTop w:val="0"/>
      <w:marBottom w:val="0"/>
      <w:divBdr>
        <w:top w:val="none" w:sz="0" w:space="0" w:color="auto"/>
        <w:left w:val="none" w:sz="0" w:space="0" w:color="auto"/>
        <w:bottom w:val="none" w:sz="0" w:space="0" w:color="auto"/>
        <w:right w:val="none" w:sz="0" w:space="0" w:color="auto"/>
      </w:divBdr>
    </w:div>
    <w:div w:id="1598707496">
      <w:bodyDiv w:val="1"/>
      <w:marLeft w:val="0"/>
      <w:marRight w:val="0"/>
      <w:marTop w:val="0"/>
      <w:marBottom w:val="0"/>
      <w:divBdr>
        <w:top w:val="none" w:sz="0" w:space="0" w:color="auto"/>
        <w:left w:val="none" w:sz="0" w:space="0" w:color="auto"/>
        <w:bottom w:val="none" w:sz="0" w:space="0" w:color="auto"/>
        <w:right w:val="none" w:sz="0" w:space="0" w:color="auto"/>
      </w:divBdr>
    </w:div>
    <w:div w:id="1622686312">
      <w:bodyDiv w:val="1"/>
      <w:marLeft w:val="0"/>
      <w:marRight w:val="0"/>
      <w:marTop w:val="0"/>
      <w:marBottom w:val="0"/>
      <w:divBdr>
        <w:top w:val="none" w:sz="0" w:space="0" w:color="auto"/>
        <w:left w:val="none" w:sz="0" w:space="0" w:color="auto"/>
        <w:bottom w:val="none" w:sz="0" w:space="0" w:color="auto"/>
        <w:right w:val="none" w:sz="0" w:space="0" w:color="auto"/>
      </w:divBdr>
    </w:div>
    <w:div w:id="1634287716">
      <w:bodyDiv w:val="1"/>
      <w:marLeft w:val="0"/>
      <w:marRight w:val="0"/>
      <w:marTop w:val="0"/>
      <w:marBottom w:val="0"/>
      <w:divBdr>
        <w:top w:val="none" w:sz="0" w:space="0" w:color="auto"/>
        <w:left w:val="none" w:sz="0" w:space="0" w:color="auto"/>
        <w:bottom w:val="none" w:sz="0" w:space="0" w:color="auto"/>
        <w:right w:val="none" w:sz="0" w:space="0" w:color="auto"/>
      </w:divBdr>
    </w:div>
    <w:div w:id="1662587891">
      <w:bodyDiv w:val="1"/>
      <w:marLeft w:val="0"/>
      <w:marRight w:val="0"/>
      <w:marTop w:val="0"/>
      <w:marBottom w:val="0"/>
      <w:divBdr>
        <w:top w:val="none" w:sz="0" w:space="0" w:color="auto"/>
        <w:left w:val="none" w:sz="0" w:space="0" w:color="auto"/>
        <w:bottom w:val="none" w:sz="0" w:space="0" w:color="auto"/>
        <w:right w:val="none" w:sz="0" w:space="0" w:color="auto"/>
      </w:divBdr>
      <w:divsChild>
        <w:div w:id="1327786701">
          <w:marLeft w:val="0"/>
          <w:marRight w:val="0"/>
          <w:marTop w:val="0"/>
          <w:marBottom w:val="240"/>
          <w:divBdr>
            <w:top w:val="none" w:sz="0" w:space="0" w:color="auto"/>
            <w:left w:val="none" w:sz="0" w:space="0" w:color="auto"/>
            <w:bottom w:val="none" w:sz="0" w:space="0" w:color="auto"/>
            <w:right w:val="none" w:sz="0" w:space="0" w:color="auto"/>
          </w:divBdr>
        </w:div>
      </w:divsChild>
    </w:div>
    <w:div w:id="1702702033">
      <w:bodyDiv w:val="1"/>
      <w:marLeft w:val="0"/>
      <w:marRight w:val="0"/>
      <w:marTop w:val="0"/>
      <w:marBottom w:val="0"/>
      <w:divBdr>
        <w:top w:val="none" w:sz="0" w:space="0" w:color="auto"/>
        <w:left w:val="none" w:sz="0" w:space="0" w:color="auto"/>
        <w:bottom w:val="none" w:sz="0" w:space="0" w:color="auto"/>
        <w:right w:val="none" w:sz="0" w:space="0" w:color="auto"/>
      </w:divBdr>
    </w:div>
    <w:div w:id="1761291378">
      <w:bodyDiv w:val="1"/>
      <w:marLeft w:val="0"/>
      <w:marRight w:val="0"/>
      <w:marTop w:val="0"/>
      <w:marBottom w:val="0"/>
      <w:divBdr>
        <w:top w:val="none" w:sz="0" w:space="0" w:color="auto"/>
        <w:left w:val="none" w:sz="0" w:space="0" w:color="auto"/>
        <w:bottom w:val="none" w:sz="0" w:space="0" w:color="auto"/>
        <w:right w:val="none" w:sz="0" w:space="0" w:color="auto"/>
      </w:divBdr>
      <w:divsChild>
        <w:div w:id="472335571">
          <w:marLeft w:val="0"/>
          <w:marRight w:val="0"/>
          <w:marTop w:val="0"/>
          <w:marBottom w:val="0"/>
          <w:divBdr>
            <w:top w:val="none" w:sz="0" w:space="0" w:color="auto"/>
            <w:left w:val="none" w:sz="0" w:space="0" w:color="auto"/>
            <w:bottom w:val="none" w:sz="0" w:space="0" w:color="auto"/>
            <w:right w:val="none" w:sz="0" w:space="0" w:color="auto"/>
          </w:divBdr>
        </w:div>
        <w:div w:id="1789010188">
          <w:marLeft w:val="0"/>
          <w:marRight w:val="0"/>
          <w:marTop w:val="0"/>
          <w:marBottom w:val="0"/>
          <w:divBdr>
            <w:top w:val="none" w:sz="0" w:space="0" w:color="auto"/>
            <w:left w:val="none" w:sz="0" w:space="0" w:color="auto"/>
            <w:bottom w:val="none" w:sz="0" w:space="0" w:color="auto"/>
            <w:right w:val="none" w:sz="0" w:space="0" w:color="auto"/>
          </w:divBdr>
        </w:div>
      </w:divsChild>
    </w:div>
    <w:div w:id="1834640406">
      <w:bodyDiv w:val="1"/>
      <w:marLeft w:val="0"/>
      <w:marRight w:val="0"/>
      <w:marTop w:val="0"/>
      <w:marBottom w:val="0"/>
      <w:divBdr>
        <w:top w:val="none" w:sz="0" w:space="0" w:color="auto"/>
        <w:left w:val="none" w:sz="0" w:space="0" w:color="auto"/>
        <w:bottom w:val="none" w:sz="0" w:space="0" w:color="auto"/>
        <w:right w:val="none" w:sz="0" w:space="0" w:color="auto"/>
      </w:divBdr>
    </w:div>
    <w:div w:id="1875924413">
      <w:bodyDiv w:val="1"/>
      <w:marLeft w:val="0"/>
      <w:marRight w:val="0"/>
      <w:marTop w:val="0"/>
      <w:marBottom w:val="0"/>
      <w:divBdr>
        <w:top w:val="none" w:sz="0" w:space="0" w:color="auto"/>
        <w:left w:val="none" w:sz="0" w:space="0" w:color="auto"/>
        <w:bottom w:val="none" w:sz="0" w:space="0" w:color="auto"/>
        <w:right w:val="none" w:sz="0" w:space="0" w:color="auto"/>
      </w:divBdr>
    </w:div>
    <w:div w:id="1876304832">
      <w:bodyDiv w:val="1"/>
      <w:marLeft w:val="0"/>
      <w:marRight w:val="0"/>
      <w:marTop w:val="0"/>
      <w:marBottom w:val="0"/>
      <w:divBdr>
        <w:top w:val="none" w:sz="0" w:space="0" w:color="auto"/>
        <w:left w:val="none" w:sz="0" w:space="0" w:color="auto"/>
        <w:bottom w:val="none" w:sz="0" w:space="0" w:color="auto"/>
        <w:right w:val="none" w:sz="0" w:space="0" w:color="auto"/>
      </w:divBdr>
    </w:div>
    <w:div w:id="1899632506">
      <w:bodyDiv w:val="1"/>
      <w:marLeft w:val="0"/>
      <w:marRight w:val="0"/>
      <w:marTop w:val="0"/>
      <w:marBottom w:val="0"/>
      <w:divBdr>
        <w:top w:val="none" w:sz="0" w:space="0" w:color="auto"/>
        <w:left w:val="none" w:sz="0" w:space="0" w:color="auto"/>
        <w:bottom w:val="none" w:sz="0" w:space="0" w:color="auto"/>
        <w:right w:val="none" w:sz="0" w:space="0" w:color="auto"/>
      </w:divBdr>
    </w:div>
    <w:div w:id="1923836548">
      <w:bodyDiv w:val="1"/>
      <w:marLeft w:val="0"/>
      <w:marRight w:val="0"/>
      <w:marTop w:val="0"/>
      <w:marBottom w:val="0"/>
      <w:divBdr>
        <w:top w:val="none" w:sz="0" w:space="0" w:color="auto"/>
        <w:left w:val="none" w:sz="0" w:space="0" w:color="auto"/>
        <w:bottom w:val="none" w:sz="0" w:space="0" w:color="auto"/>
        <w:right w:val="none" w:sz="0" w:space="0" w:color="auto"/>
      </w:divBdr>
    </w:div>
    <w:div w:id="1949896720">
      <w:bodyDiv w:val="1"/>
      <w:marLeft w:val="0"/>
      <w:marRight w:val="0"/>
      <w:marTop w:val="0"/>
      <w:marBottom w:val="0"/>
      <w:divBdr>
        <w:top w:val="none" w:sz="0" w:space="0" w:color="auto"/>
        <w:left w:val="none" w:sz="0" w:space="0" w:color="auto"/>
        <w:bottom w:val="none" w:sz="0" w:space="0" w:color="auto"/>
        <w:right w:val="none" w:sz="0" w:space="0" w:color="auto"/>
      </w:divBdr>
    </w:div>
    <w:div w:id="1965042817">
      <w:bodyDiv w:val="1"/>
      <w:marLeft w:val="0"/>
      <w:marRight w:val="0"/>
      <w:marTop w:val="0"/>
      <w:marBottom w:val="0"/>
      <w:divBdr>
        <w:top w:val="none" w:sz="0" w:space="0" w:color="auto"/>
        <w:left w:val="none" w:sz="0" w:space="0" w:color="auto"/>
        <w:bottom w:val="none" w:sz="0" w:space="0" w:color="auto"/>
        <w:right w:val="none" w:sz="0" w:space="0" w:color="auto"/>
      </w:divBdr>
    </w:div>
    <w:div w:id="1983122180">
      <w:bodyDiv w:val="1"/>
      <w:marLeft w:val="0"/>
      <w:marRight w:val="0"/>
      <w:marTop w:val="0"/>
      <w:marBottom w:val="0"/>
      <w:divBdr>
        <w:top w:val="none" w:sz="0" w:space="0" w:color="auto"/>
        <w:left w:val="none" w:sz="0" w:space="0" w:color="auto"/>
        <w:bottom w:val="none" w:sz="0" w:space="0" w:color="auto"/>
        <w:right w:val="none" w:sz="0" w:space="0" w:color="auto"/>
      </w:divBdr>
    </w:div>
    <w:div w:id="1983535464">
      <w:bodyDiv w:val="1"/>
      <w:marLeft w:val="0"/>
      <w:marRight w:val="0"/>
      <w:marTop w:val="0"/>
      <w:marBottom w:val="0"/>
      <w:divBdr>
        <w:top w:val="none" w:sz="0" w:space="0" w:color="auto"/>
        <w:left w:val="none" w:sz="0" w:space="0" w:color="auto"/>
        <w:bottom w:val="none" w:sz="0" w:space="0" w:color="auto"/>
        <w:right w:val="none" w:sz="0" w:space="0" w:color="auto"/>
      </w:divBdr>
    </w:div>
    <w:div w:id="2002003527">
      <w:bodyDiv w:val="1"/>
      <w:marLeft w:val="0"/>
      <w:marRight w:val="0"/>
      <w:marTop w:val="0"/>
      <w:marBottom w:val="0"/>
      <w:divBdr>
        <w:top w:val="none" w:sz="0" w:space="0" w:color="auto"/>
        <w:left w:val="none" w:sz="0" w:space="0" w:color="auto"/>
        <w:bottom w:val="none" w:sz="0" w:space="0" w:color="auto"/>
        <w:right w:val="none" w:sz="0" w:space="0" w:color="auto"/>
      </w:divBdr>
    </w:div>
    <w:div w:id="2059237031">
      <w:bodyDiv w:val="1"/>
      <w:marLeft w:val="0"/>
      <w:marRight w:val="0"/>
      <w:marTop w:val="0"/>
      <w:marBottom w:val="0"/>
      <w:divBdr>
        <w:top w:val="none" w:sz="0" w:space="0" w:color="auto"/>
        <w:left w:val="none" w:sz="0" w:space="0" w:color="auto"/>
        <w:bottom w:val="none" w:sz="0" w:space="0" w:color="auto"/>
        <w:right w:val="none" w:sz="0" w:space="0" w:color="auto"/>
      </w:divBdr>
    </w:div>
    <w:div w:id="208348215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www.perseus.tufts.edu/hopper/text?doc=Perseus%3Atext%3A1999.02.0134%3Abook%3D6%3Acard%3D750" TargetMode="External"/><Relationship Id="rId12" Type="http://schemas.openxmlformats.org/officeDocument/2006/relationships/header" Target="header1.xml"/><Relationship Id="rId13" Type="http://schemas.openxmlformats.org/officeDocument/2006/relationships/header" Target="header2.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hyperlink" Target="http://www.perseus.tufts.edu/hopper/text?doc=Perseus%3Atext%3A1999.01.0126%3Abook%3D5%3Achapter%3D92G" TargetMode="External"/><Relationship Id="rId10" Type="http://schemas.openxmlformats.org/officeDocument/2006/relationships/hyperlink" Target="http://www.perseus.tufts.edu/hopper/text?doc=Perseus%3Atext%3A1999.02.0063%3Abook%3D1%3Apoem%3D8"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perseus.tufts.edu/hopper/text?doc=Perseus%3Atext%3A1999.02.0134%3Abook%3D6%3Acard%3D750" TargetMode="External"/><Relationship Id="rId4" Type="http://schemas.openxmlformats.org/officeDocument/2006/relationships/hyperlink" Target="http://www.perseus.tufts.edu/hopper/text?doc=Perseus%3Atext%3A1999.01.0126%3Abook%3D5%3Achapter%3D92G" TargetMode="External"/><Relationship Id="rId1" Type="http://schemas.openxmlformats.org/officeDocument/2006/relationships/hyperlink" Target="https://www.biblegateway.com/passage/?search=Deuteronomy+18%3A9-12&amp;version=NIV" TargetMode="External"/><Relationship Id="rId2" Type="http://schemas.openxmlformats.org/officeDocument/2006/relationships/hyperlink" Target="http://www.perseus.tufts.edu/hopper/text?doc=Perseus%3Atext%3A1999.02.0063%3Abook%3D1%3Apoem%3D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file>

<file path=customXml/itemProps1.xml><?xml version="1.0" encoding="utf-8"?>
<ds:datastoreItem xmlns:ds="http://schemas.openxmlformats.org/officeDocument/2006/customXml" ds:itemID="{3F9BEE3C-AA28-9D46-948E-520F89D771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4322</Words>
  <Characters>21787</Characters>
  <Application>Microsoft Macintosh Word</Application>
  <DocSecurity>0</DocSecurity>
  <Lines>320</Lines>
  <Paragraphs>49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26060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Selina White (1602253)</dc:creator>
  <cp:keywords/>
  <dc:description/>
  <cp:lastModifiedBy>Selina White (1602253)</cp:lastModifiedBy>
  <cp:revision>2</cp:revision>
  <dcterms:created xsi:type="dcterms:W3CDTF">2018-07-16T21:51:00Z</dcterms:created>
  <dcterms:modified xsi:type="dcterms:W3CDTF">2018-07-16T21:51:00Z</dcterms:modified>
</cp:coreProperties>
</file>