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1942FE3" w14:textId="77777777" w:rsidR="00C63E0C" w:rsidRPr="0034594F" w:rsidRDefault="00000000">
      <w:pPr>
        <w:spacing w:before="400" w:after="300"/>
        <w:jc w:val="center"/>
        <w:rPr>
          <w:rFonts w:ascii="Times New Roman" w:hAnsi="Times New Roman" w:cs="Times New Roman"/>
        </w:rPr>
      </w:pPr>
      <w:r>
        <w:rPr>
          <w:rFonts w:ascii="Times New Roman" w:hAnsi="Times New Roman" w:cs="Times New Roman"/>
          <w:noProof/>
        </w:rPr>
        <w:drawing>
          <wp:inline distT="0" distB="0" distL="0" distR="0" wp14:anchorId="7A331FC3" wp14:editId="16566F28">
            <wp:extent cx="219075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2190750" cy="723900"/>
                    </a:xfrm>
                    <a:prstGeom prst="rect">
                      <a:avLst/>
                    </a:prstGeom>
                  </pic:spPr>
                </pic:pic>
              </a:graphicData>
            </a:graphic>
          </wp:inline>
        </w:drawing>
      </w:r>
    </w:p>
    <w:p w14:paraId="7CFDC9BD" w14:textId="77777777" w:rsidR="00C63E0C" w:rsidRPr="0034594F" w:rsidRDefault="00000000">
      <w:pPr>
        <w:spacing w:after="120" w:line="280" w:lineRule="auto"/>
        <w:jc w:val="center"/>
        <w:rPr>
          <w:rFonts w:ascii="Times New Roman" w:hAnsi="Times New Roman" w:cs="Times New Roman"/>
        </w:rPr>
      </w:pPr>
      <w:r>
        <w:rPr>
          <w:rFonts w:ascii="Times New Roman" w:hAnsi="Times New Roman" w:cs="Times New Roman"/>
          <w:b/>
          <w:bCs/>
        </w:rPr>
        <w:t>University of Wales Trinity Saint David</w:t>
      </w:r>
    </w:p>
    <w:p w14:paraId="2F31534B" w14:textId="77777777" w:rsidR="00C63E0C" w:rsidRPr="0034594F" w:rsidRDefault="00000000">
      <w:pPr>
        <w:spacing w:after="500" w:line="280" w:lineRule="auto"/>
        <w:jc w:val="center"/>
        <w:rPr>
          <w:rFonts w:ascii="Times New Roman" w:hAnsi="Times New Roman" w:cs="Times New Roman"/>
        </w:rPr>
      </w:pPr>
      <w:r>
        <w:rPr>
          <w:rFonts w:ascii="Times New Roman" w:hAnsi="Times New Roman" w:cs="Times New Roman"/>
        </w:rPr>
        <w:t>Master of Business Administration (MBA)</w:t>
      </w:r>
    </w:p>
    <w:p w14:paraId="0456899A" w14:textId="77777777" w:rsidR="0034594F" w:rsidRPr="0034594F" w:rsidRDefault="00000000">
      <w:pPr>
        <w:spacing w:after="100" w:line="280" w:lineRule="auto"/>
        <w:jc w:val="center"/>
        <w:rPr>
          <w:rFonts w:ascii="Times New Roman" w:hAnsi="Times New Roman" w:cs="Times New Roman"/>
          <w:b/>
          <w:bCs/>
        </w:rPr>
      </w:pPr>
      <w:r>
        <w:rPr>
          <w:rFonts w:ascii="Times New Roman" w:hAnsi="Times New Roman" w:cs="Times New Roman"/>
          <w:b/>
          <w:bCs/>
        </w:rPr>
        <w:t xml:space="preserve">Human Capital Management  </w:t>
      </w:r>
    </w:p>
    <w:p w14:paraId="12553300" w14:textId="03483644" w:rsidR="00C63E0C" w:rsidRPr="0034594F" w:rsidRDefault="00000000">
      <w:pPr>
        <w:spacing w:after="100" w:line="280" w:lineRule="auto"/>
        <w:jc w:val="center"/>
        <w:rPr>
          <w:rFonts w:ascii="Times New Roman" w:hAnsi="Times New Roman" w:cs="Times New Roman"/>
        </w:rPr>
      </w:pPr>
      <w:r>
        <w:rPr>
          <w:rFonts w:ascii="Times New Roman" w:hAnsi="Times New Roman" w:cs="Times New Roman"/>
          <w:b/>
          <w:bCs/>
        </w:rPr>
        <w:t>LCMB7023</w:t>
      </w:r>
    </w:p>
    <w:p w14:paraId="699236CD" w14:textId="77777777" w:rsidR="00C63E0C" w:rsidRPr="0034594F" w:rsidRDefault="00000000">
      <w:pPr>
        <w:spacing w:after="400" w:line="280" w:lineRule="auto"/>
        <w:jc w:val="center"/>
        <w:rPr>
          <w:rFonts w:ascii="Times New Roman" w:hAnsi="Times New Roman" w:cs="Times New Roman"/>
        </w:rPr>
      </w:pPr>
      <w:r>
        <w:rPr>
          <w:rFonts w:ascii="Times New Roman" w:hAnsi="Times New Roman" w:cs="Times New Roman"/>
        </w:rPr>
        <w:t>Assessment Component 1: Individual Report (50%)</w:t>
      </w:r>
    </w:p>
    <w:p w14:paraId="294D5255" w14:textId="77777777" w:rsidR="00C63E0C" w:rsidRPr="0034594F" w:rsidRDefault="00000000">
      <w:pPr>
        <w:spacing w:after="100" w:line="300" w:lineRule="auto"/>
        <w:jc w:val="center"/>
        <w:rPr>
          <w:rFonts w:ascii="Times New Roman" w:hAnsi="Times New Roman" w:cs="Times New Roman"/>
        </w:rPr>
      </w:pPr>
      <w:r>
        <w:rPr>
          <w:rFonts w:ascii="Times New Roman" w:hAnsi="Times New Roman" w:cs="Times New Roman"/>
          <w:b/>
          <w:bCs/>
        </w:rPr>
        <w:t>Designing a Human Capital Architecture for Strategic Renewal</w:t>
      </w:r>
    </w:p>
    <w:p w14:paraId="165C4406" w14:textId="77777777" w:rsidR="00C63E0C" w:rsidRPr="0034594F" w:rsidRDefault="00000000">
      <w:pPr>
        <w:spacing w:after="600" w:line="300" w:lineRule="auto"/>
        <w:jc w:val="center"/>
        <w:rPr>
          <w:rFonts w:ascii="Times New Roman" w:hAnsi="Times New Roman" w:cs="Times New Roman"/>
        </w:rPr>
      </w:pPr>
      <w:r>
        <w:rPr>
          <w:rFonts w:ascii="Times New Roman" w:hAnsi="Times New Roman" w:cs="Times New Roman"/>
          <w:i/>
          <w:iCs/>
        </w:rPr>
        <w:t>A Strategic Human Capital Advisory Report for Helios Urban Mobility (HUM)</w:t>
      </w:r>
    </w:p>
    <w:tbl>
      <w:tblPr>
        <w:tblStyle w:val="TableGrid"/>
        <w:tblW w:w="9026" w:type="dxa"/>
        <w:tblLook w:val="0000" w:firstRow="0" w:lastRow="0" w:firstColumn="0" w:lastColumn="0" w:noHBand="0" w:noVBand="0"/>
      </w:tblPr>
      <w:tblGrid>
        <w:gridCol w:w="3200"/>
        <w:gridCol w:w="5826"/>
      </w:tblGrid>
      <w:tr w:rsidR="00C63E0C" w:rsidRPr="0034594F" w14:paraId="5A06E1AF" w14:textId="77777777" w:rsidTr="0034594F">
        <w:tc>
          <w:tcPr>
            <w:tcW w:w="3200" w:type="dxa"/>
          </w:tcPr>
          <w:p w14:paraId="6CAA560C" w14:textId="77777777" w:rsidR="00C63E0C" w:rsidRPr="0034594F" w:rsidRDefault="00000000" w:rsidP="001E64C5">
            <w:pPr>
              <w:spacing w:line="360" w:lineRule="auto"/>
              <w:rPr>
                <w:rFonts w:ascii="Times New Roman" w:hAnsi="Times New Roman" w:cs="Times New Roman"/>
              </w:rPr>
            </w:pPr>
            <w:r>
              <w:rPr>
                <w:rFonts w:ascii="Times New Roman" w:hAnsi="Times New Roman" w:cs="Times New Roman"/>
                <w:b/>
                <w:bCs/>
              </w:rPr>
              <w:t>Student name:</w:t>
            </w:r>
          </w:p>
        </w:tc>
        <w:tc>
          <w:tcPr>
            <w:tcW w:w="5826" w:type="dxa"/>
          </w:tcPr>
          <w:p w14:paraId="5DB3E938" w14:textId="4C93E899" w:rsidR="00C63E0C" w:rsidRPr="0034594F" w:rsidRDefault="004649EE" w:rsidP="001E64C5">
            <w:pPr>
              <w:spacing w:line="360" w:lineRule="auto"/>
              <w:rPr>
                <w:rFonts w:ascii="Times New Roman" w:hAnsi="Times New Roman" w:cs="Times New Roman"/>
              </w:rPr>
            </w:pPr>
            <w:proofErr w:type="spellStart"/>
            <w:r>
              <w:rPr>
                <w:rFonts w:ascii="Times New Roman" w:hAnsi="Times New Roman" w:cs="Times New Roman"/>
              </w:rPr>
              <w:t>Vasuk</w:t>
            </w:r>
            <w:r w:rsidR="00066E08">
              <w:rPr>
                <w:rFonts w:ascii="Times New Roman" w:hAnsi="Times New Roman" w:cs="Times New Roman"/>
              </w:rPr>
              <w:t>umar</w:t>
            </w:r>
            <w:proofErr w:type="spellEnd"/>
            <w:r w:rsidR="00066E08">
              <w:rPr>
                <w:rFonts w:ascii="Times New Roman" w:hAnsi="Times New Roman" w:cs="Times New Roman"/>
              </w:rPr>
              <w:t xml:space="preserve"> </w:t>
            </w:r>
            <w:proofErr w:type="spellStart"/>
            <w:r w:rsidR="00066E08">
              <w:rPr>
                <w:rFonts w:ascii="Times New Roman" w:hAnsi="Times New Roman" w:cs="Times New Roman"/>
              </w:rPr>
              <w:t>jayeshbhai</w:t>
            </w:r>
            <w:proofErr w:type="spellEnd"/>
            <w:r w:rsidR="00066E08">
              <w:rPr>
                <w:rFonts w:ascii="Times New Roman" w:hAnsi="Times New Roman" w:cs="Times New Roman"/>
              </w:rPr>
              <w:t xml:space="preserve"> patel</w:t>
            </w:r>
          </w:p>
        </w:tc>
      </w:tr>
      <w:tr w:rsidR="00C63E0C" w:rsidRPr="0034594F" w14:paraId="2B931F77" w14:textId="77777777" w:rsidTr="0034594F">
        <w:tc>
          <w:tcPr>
            <w:tcW w:w="3200" w:type="dxa"/>
          </w:tcPr>
          <w:p w14:paraId="550CD655" w14:textId="77777777" w:rsidR="00C63E0C" w:rsidRPr="0034594F" w:rsidRDefault="00000000" w:rsidP="001E64C5">
            <w:pPr>
              <w:spacing w:line="360" w:lineRule="auto"/>
              <w:rPr>
                <w:rFonts w:ascii="Times New Roman" w:hAnsi="Times New Roman" w:cs="Times New Roman"/>
              </w:rPr>
            </w:pPr>
            <w:r>
              <w:rPr>
                <w:rFonts w:ascii="Times New Roman" w:hAnsi="Times New Roman" w:cs="Times New Roman"/>
                <w:b/>
                <w:bCs/>
              </w:rPr>
              <w:t>Student ID number:</w:t>
            </w:r>
          </w:p>
        </w:tc>
        <w:tc>
          <w:tcPr>
            <w:tcW w:w="5826" w:type="dxa"/>
          </w:tcPr>
          <w:p w14:paraId="688759F6" w14:textId="7C5B6C4F" w:rsidR="00C63E0C" w:rsidRPr="0034594F" w:rsidRDefault="00D14FC1" w:rsidP="001E64C5">
            <w:pPr>
              <w:spacing w:line="360" w:lineRule="auto"/>
              <w:rPr>
                <w:rFonts w:ascii="Times New Roman" w:hAnsi="Times New Roman" w:cs="Times New Roman"/>
              </w:rPr>
            </w:pPr>
            <w:r>
              <w:rPr>
                <w:rFonts w:ascii="Times New Roman" w:hAnsi="Times New Roman" w:cs="Times New Roman"/>
              </w:rPr>
              <w:t>253</w:t>
            </w:r>
            <w:r w:rsidR="00840AE1">
              <w:rPr>
                <w:rFonts w:ascii="Times New Roman" w:hAnsi="Times New Roman" w:cs="Times New Roman"/>
              </w:rPr>
              <w:t>6674</w:t>
            </w:r>
          </w:p>
        </w:tc>
      </w:tr>
      <w:tr w:rsidR="00C63E0C" w:rsidRPr="0034594F" w14:paraId="6CE164BE" w14:textId="77777777" w:rsidTr="0034594F">
        <w:tc>
          <w:tcPr>
            <w:tcW w:w="3200" w:type="dxa"/>
          </w:tcPr>
          <w:p w14:paraId="462ADDB0" w14:textId="77777777" w:rsidR="00C63E0C" w:rsidRPr="0034594F" w:rsidRDefault="00000000" w:rsidP="001E64C5">
            <w:pPr>
              <w:spacing w:line="360" w:lineRule="auto"/>
              <w:rPr>
                <w:rFonts w:ascii="Times New Roman" w:hAnsi="Times New Roman" w:cs="Times New Roman"/>
              </w:rPr>
            </w:pPr>
            <w:r>
              <w:rPr>
                <w:rFonts w:ascii="Times New Roman" w:hAnsi="Times New Roman" w:cs="Times New Roman"/>
                <w:b/>
                <w:bCs/>
              </w:rPr>
              <w:t>Programme:</w:t>
            </w:r>
          </w:p>
        </w:tc>
        <w:tc>
          <w:tcPr>
            <w:tcW w:w="5826" w:type="dxa"/>
          </w:tcPr>
          <w:p w14:paraId="75879162" w14:textId="77777777" w:rsidR="00C63E0C" w:rsidRPr="0034594F" w:rsidRDefault="00000000" w:rsidP="001E64C5">
            <w:pPr>
              <w:spacing w:line="360" w:lineRule="auto"/>
              <w:rPr>
                <w:rFonts w:ascii="Times New Roman" w:hAnsi="Times New Roman" w:cs="Times New Roman"/>
              </w:rPr>
            </w:pPr>
            <w:r>
              <w:rPr>
                <w:rFonts w:ascii="Times New Roman" w:hAnsi="Times New Roman" w:cs="Times New Roman"/>
              </w:rPr>
              <w:t>Master of Business Administration</w:t>
            </w:r>
          </w:p>
        </w:tc>
      </w:tr>
      <w:tr w:rsidR="00C63E0C" w:rsidRPr="0034594F" w14:paraId="78C17AE0" w14:textId="77777777" w:rsidTr="0034594F">
        <w:tc>
          <w:tcPr>
            <w:tcW w:w="3200" w:type="dxa"/>
          </w:tcPr>
          <w:p w14:paraId="1DE2CEE0" w14:textId="77777777" w:rsidR="00C63E0C" w:rsidRPr="0034594F" w:rsidRDefault="00000000" w:rsidP="001E64C5">
            <w:pPr>
              <w:spacing w:line="360" w:lineRule="auto"/>
              <w:rPr>
                <w:rFonts w:ascii="Times New Roman" w:hAnsi="Times New Roman" w:cs="Times New Roman"/>
              </w:rPr>
            </w:pPr>
            <w:r>
              <w:rPr>
                <w:rFonts w:ascii="Times New Roman" w:hAnsi="Times New Roman" w:cs="Times New Roman"/>
                <w:b/>
                <w:bCs/>
              </w:rPr>
              <w:t>Module:</w:t>
            </w:r>
          </w:p>
        </w:tc>
        <w:tc>
          <w:tcPr>
            <w:tcW w:w="5826" w:type="dxa"/>
          </w:tcPr>
          <w:p w14:paraId="212738F9" w14:textId="77777777" w:rsidR="00C63E0C" w:rsidRPr="0034594F" w:rsidRDefault="00000000" w:rsidP="001E64C5">
            <w:pPr>
              <w:spacing w:line="360" w:lineRule="auto"/>
              <w:rPr>
                <w:rFonts w:ascii="Times New Roman" w:hAnsi="Times New Roman" w:cs="Times New Roman"/>
              </w:rPr>
            </w:pPr>
            <w:r>
              <w:rPr>
                <w:rFonts w:ascii="Times New Roman" w:hAnsi="Times New Roman" w:cs="Times New Roman"/>
              </w:rPr>
              <w:t>Human Capital Management (LCMB7023)</w:t>
            </w:r>
          </w:p>
        </w:tc>
      </w:tr>
      <w:tr w:rsidR="00C63E0C" w:rsidRPr="0034594F" w14:paraId="0DE402E2" w14:textId="77777777" w:rsidTr="0034594F">
        <w:tc>
          <w:tcPr>
            <w:tcW w:w="3200" w:type="dxa"/>
          </w:tcPr>
          <w:p w14:paraId="3193DC16" w14:textId="77777777" w:rsidR="00C63E0C" w:rsidRPr="0034594F" w:rsidRDefault="00000000" w:rsidP="001E64C5">
            <w:pPr>
              <w:spacing w:line="360" w:lineRule="auto"/>
              <w:rPr>
                <w:rFonts w:ascii="Times New Roman" w:hAnsi="Times New Roman" w:cs="Times New Roman"/>
              </w:rPr>
            </w:pPr>
            <w:r>
              <w:rPr>
                <w:rFonts w:ascii="Times New Roman" w:hAnsi="Times New Roman" w:cs="Times New Roman"/>
                <w:b/>
                <w:bCs/>
              </w:rPr>
              <w:t>Lecturer:</w:t>
            </w:r>
          </w:p>
        </w:tc>
        <w:tc>
          <w:tcPr>
            <w:tcW w:w="5826" w:type="dxa"/>
          </w:tcPr>
          <w:p w14:paraId="106F0373" w14:textId="77777777" w:rsidR="00C63E0C" w:rsidRPr="0034594F" w:rsidRDefault="00000000" w:rsidP="001E64C5">
            <w:pPr>
              <w:spacing w:line="360" w:lineRule="auto"/>
              <w:rPr>
                <w:rFonts w:ascii="Times New Roman" w:hAnsi="Times New Roman" w:cs="Times New Roman"/>
              </w:rPr>
            </w:pPr>
            <w:r>
              <w:rPr>
                <w:rFonts w:ascii="Times New Roman" w:hAnsi="Times New Roman" w:cs="Times New Roman"/>
              </w:rPr>
              <w:t>Gladius Kulothungan / Eno Maycock</w:t>
            </w:r>
          </w:p>
        </w:tc>
      </w:tr>
      <w:tr w:rsidR="00C63E0C" w:rsidRPr="0034594F" w14:paraId="5FAD09BE" w14:textId="77777777" w:rsidTr="0034594F">
        <w:tc>
          <w:tcPr>
            <w:tcW w:w="3200" w:type="dxa"/>
          </w:tcPr>
          <w:p w14:paraId="7F4F631A" w14:textId="77777777" w:rsidR="00C63E0C" w:rsidRPr="0034594F" w:rsidRDefault="00000000" w:rsidP="001E64C5">
            <w:pPr>
              <w:spacing w:line="360" w:lineRule="auto"/>
              <w:rPr>
                <w:rFonts w:ascii="Times New Roman" w:hAnsi="Times New Roman" w:cs="Times New Roman"/>
              </w:rPr>
            </w:pPr>
            <w:r>
              <w:rPr>
                <w:rFonts w:ascii="Times New Roman" w:hAnsi="Times New Roman" w:cs="Times New Roman"/>
                <w:b/>
                <w:bCs/>
              </w:rPr>
              <w:t>Word count:</w:t>
            </w:r>
          </w:p>
        </w:tc>
        <w:tc>
          <w:tcPr>
            <w:tcW w:w="5826" w:type="dxa"/>
          </w:tcPr>
          <w:p w14:paraId="2399D5D5" w14:textId="47670A50" w:rsidR="00C63E0C" w:rsidRPr="0034594F" w:rsidRDefault="00000000" w:rsidP="001E64C5">
            <w:pPr>
              <w:spacing w:line="360" w:lineRule="auto"/>
              <w:rPr>
                <w:rFonts w:ascii="Times New Roman" w:hAnsi="Times New Roman" w:cs="Times New Roman"/>
              </w:rPr>
            </w:pPr>
            <w:r>
              <w:rPr>
                <w:rFonts w:ascii="Times New Roman" w:hAnsi="Times New Roman" w:cs="Times New Roman"/>
              </w:rPr>
              <w:t>2500 words (excluding title page, contents, tables, figures, captions and reference list)</w:t>
            </w:r>
          </w:p>
        </w:tc>
      </w:tr>
      <w:tr w:rsidR="00C63E0C" w:rsidRPr="0034594F" w14:paraId="354BADA5" w14:textId="77777777" w:rsidTr="0034594F">
        <w:tc>
          <w:tcPr>
            <w:tcW w:w="3200" w:type="dxa"/>
          </w:tcPr>
          <w:p w14:paraId="0C5BB52A" w14:textId="77777777" w:rsidR="00C63E0C" w:rsidRPr="0034594F" w:rsidRDefault="00000000" w:rsidP="001E64C5">
            <w:pPr>
              <w:spacing w:line="360" w:lineRule="auto"/>
              <w:rPr>
                <w:rFonts w:ascii="Times New Roman" w:hAnsi="Times New Roman" w:cs="Times New Roman"/>
              </w:rPr>
            </w:pPr>
            <w:r>
              <w:rPr>
                <w:rFonts w:ascii="Times New Roman" w:hAnsi="Times New Roman" w:cs="Times New Roman"/>
                <w:b/>
                <w:bCs/>
              </w:rPr>
              <w:t>Submission date:</w:t>
            </w:r>
          </w:p>
        </w:tc>
        <w:tc>
          <w:tcPr>
            <w:tcW w:w="5826" w:type="dxa"/>
          </w:tcPr>
          <w:p w14:paraId="3541B864" w14:textId="77777777" w:rsidR="00C63E0C" w:rsidRPr="0034594F" w:rsidRDefault="00000000" w:rsidP="001E64C5">
            <w:pPr>
              <w:spacing w:line="360" w:lineRule="auto"/>
              <w:rPr>
                <w:rFonts w:ascii="Times New Roman" w:hAnsi="Times New Roman" w:cs="Times New Roman"/>
              </w:rPr>
            </w:pPr>
            <w:r>
              <w:rPr>
                <w:rFonts w:ascii="Times New Roman" w:hAnsi="Times New Roman" w:cs="Times New Roman"/>
              </w:rPr>
              <w:t>17 July 2026</w:t>
            </w:r>
          </w:p>
        </w:tc>
      </w:tr>
    </w:tbl>
    <w:p w14:paraId="33515A33" w14:textId="77777777" w:rsidR="00C63E0C" w:rsidRPr="0034594F" w:rsidRDefault="00000000">
      <w:pPr>
        <w:rPr>
          <w:rFonts w:ascii="Times New Roman" w:hAnsi="Times New Roman" w:cs="Times New Roman"/>
        </w:rPr>
      </w:pPr>
      <w:r>
        <w:rPr>
          <w:rFonts w:ascii="Times New Roman" w:hAnsi="Times New Roman" w:cs="Times New Roman"/>
        </w:rPr>
        <w:br w:type="page"/>
      </w:r>
    </w:p>
    <w:p w14:paraId="52FE2666" w14:textId="77777777" w:rsidR="00C63E0C" w:rsidRPr="001E64C5" w:rsidRDefault="00000000" w:rsidP="001E64C5">
      <w:pPr>
        <w:spacing w:after="240"/>
        <w:jc w:val="center"/>
        <w:rPr>
          <w:rFonts w:ascii="Times New Roman" w:hAnsi="Times New Roman" w:cs="Times New Roman"/>
          <w:sz w:val="28"/>
          <w:szCs w:val="28"/>
        </w:rPr>
      </w:pPr>
      <w:r>
        <w:rPr>
          <w:rFonts w:ascii="Times New Roman" w:hAnsi="Times New Roman" w:cs="Times New Roman"/>
          <w:b/>
          <w:bCs/>
          <w:sz w:val="28"/>
          <w:szCs w:val="28"/>
        </w:rPr>
        <w:t>Table of Contents</w:t>
      </w:r>
    </w:p>
    <w:sdt>
      <w:sdtPr>
        <w:rPr>
          <w:rFonts w:ascii="Times New Roman" w:hAnsi="Times New Roman" w:cs="Times New Roman"/>
        </w:rPr>
        <w:alias w:val="Table of Contents"/>
        <w:id w:val="749165951"/>
      </w:sdtPr>
      <w:sdtContent>
        <w:p w14:paraId="351FC9D7" w14:textId="645A469F" w:rsidR="001E64C5" w:rsidRPr="001E64C5" w:rsidRDefault="00000000" w:rsidP="001E64C5">
          <w:pPr>
            <w:pStyle w:val="TOC1"/>
            <w:tabs>
              <w:tab w:val="left" w:pos="480"/>
              <w:tab w:val="right" w:leader="dot" w:pos="9016"/>
            </w:tabs>
            <w:rPr>
              <w:rFonts w:ascii="Times New Roman" w:eastAsiaTheme="minorEastAsia" w:hAnsi="Times New Roman" w:cs="Times New Roman"/>
              <w:noProof/>
              <w:kern w:val="2"/>
              <w14:ligatures w14:val="standardContextual"/>
            </w:rPr>
          </w:pPr>
          <w:r>
            <w:rPr>
              <w:rFonts w:ascii="Times New Roman" w:hAnsi="Times New Roman" w:cs="Times New Roman"/>
            </w:rPr>
            <w:fldChar w:fldCharType="begin"/>
          </w:r>
          <w:r>
            <w:rPr>
              <w:rFonts w:ascii="Times New Roman" w:hAnsi="Times New Roman" w:cs="Times New Roman"/>
            </w:rPr>
            <w:instrText>TOC \h \o "1-2"</w:instrText>
          </w:r>
          <w:r>
            <w:rPr>
              <w:rFonts w:ascii="Times New Roman" w:hAnsi="Times New Roman" w:cs="Times New Roman"/>
            </w:rPr>
            <w:fldChar w:fldCharType="separate"/>
          </w:r>
          <w:hyperlink w:anchor="_Toc235148770" w:history="1">
            <w:r w:rsidR="001E64C5">
              <w:rPr>
                <w:rStyle w:val="Hyperlink"/>
                <w:rFonts w:ascii="Times New Roman" w:hAnsi="Times New Roman" w:cs="Times New Roman"/>
                <w:noProof/>
              </w:rPr>
              <w:t>1</w:t>
            </w:r>
            <w:r w:rsidR="001E64C5">
              <w:rPr>
                <w:rFonts w:ascii="Times New Roman" w:eastAsiaTheme="minorEastAsia" w:hAnsi="Times New Roman" w:cs="Times New Roman"/>
                <w:noProof/>
                <w:kern w:val="2"/>
                <w14:ligatures w14:val="standardContextual"/>
              </w:rPr>
              <w:tab/>
            </w:r>
            <w:r w:rsidR="001E64C5">
              <w:rPr>
                <w:rStyle w:val="Hyperlink"/>
                <w:rFonts w:ascii="Times New Roman" w:hAnsi="Times New Roman" w:cs="Times New Roman"/>
                <w:noProof/>
              </w:rPr>
              <w:t>Introduction</w:t>
            </w:r>
            <w:r w:rsidR="001E64C5">
              <w:rPr>
                <w:rFonts w:ascii="Times New Roman" w:hAnsi="Times New Roman" w:cs="Times New Roman"/>
                <w:noProof/>
              </w:rPr>
              <w:tab/>
            </w:r>
            <w:r w:rsidR="001E64C5">
              <w:rPr>
                <w:rFonts w:ascii="Times New Roman" w:hAnsi="Times New Roman" w:cs="Times New Roman"/>
                <w:noProof/>
              </w:rPr>
              <w:fldChar w:fldCharType="begin"/>
            </w:r>
            <w:r w:rsidR="001E64C5">
              <w:rPr>
                <w:rFonts w:ascii="Times New Roman" w:hAnsi="Times New Roman" w:cs="Times New Roman"/>
                <w:noProof/>
              </w:rPr>
              <w:instrText xml:space="preserve"> PAGEREF _Toc235148770 \h </w:instrText>
            </w:r>
            <w:r w:rsidR="001E64C5">
              <w:rPr>
                <w:rFonts w:ascii="Times New Roman" w:hAnsi="Times New Roman" w:cs="Times New Roman"/>
                <w:noProof/>
              </w:rPr>
            </w:r>
            <w:r w:rsidR="001E64C5">
              <w:rPr>
                <w:rFonts w:ascii="Times New Roman" w:hAnsi="Times New Roman" w:cs="Times New Roman"/>
                <w:noProof/>
              </w:rPr>
              <w:fldChar w:fldCharType="separate"/>
            </w:r>
            <w:r w:rsidR="001E64C5">
              <w:rPr>
                <w:rFonts w:ascii="Times New Roman" w:hAnsi="Times New Roman" w:cs="Times New Roman"/>
                <w:noProof/>
              </w:rPr>
              <w:t>4</w:t>
            </w:r>
            <w:r w:rsidR="001E64C5">
              <w:rPr>
                <w:rFonts w:ascii="Times New Roman" w:hAnsi="Times New Roman" w:cs="Times New Roman"/>
                <w:noProof/>
              </w:rPr>
              <w:fldChar w:fldCharType="end"/>
            </w:r>
          </w:hyperlink>
        </w:p>
        <w:p w14:paraId="1F8F1393" w14:textId="147CEB91" w:rsidR="001E64C5" w:rsidRPr="001E64C5" w:rsidRDefault="001E64C5" w:rsidP="001E64C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148771" w:history="1">
            <w:r>
              <w:rPr>
                <w:rStyle w:val="Hyperlink"/>
                <w:rFonts w:ascii="Times New Roman" w:hAnsi="Times New Roman" w:cs="Times New Roman"/>
                <w:noProof/>
              </w:rPr>
              <w:t>2</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Task A: Socialisation, Identity and Business Activism</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_Toc235148771 \h </w:instrText>
            </w:r>
            <w:r>
              <w:rPr>
                <w:rFonts w:ascii="Times New Roman" w:hAnsi="Times New Roman" w:cs="Times New Roman"/>
                <w:noProof/>
              </w:rPr>
            </w:r>
            <w:r>
              <w:rPr>
                <w:rFonts w:ascii="Times New Roman" w:hAnsi="Times New Roman" w:cs="Times New Roman"/>
                <w:noProof/>
              </w:rPr>
              <w:fldChar w:fldCharType="separate"/>
            </w:r>
            <w:r>
              <w:rPr>
                <w:rFonts w:ascii="Times New Roman" w:hAnsi="Times New Roman" w:cs="Times New Roman"/>
                <w:noProof/>
              </w:rPr>
              <w:t>4</w:t>
            </w:r>
            <w:r>
              <w:rPr>
                <w:rFonts w:ascii="Times New Roman" w:hAnsi="Times New Roman" w:cs="Times New Roman"/>
                <w:noProof/>
              </w:rPr>
              <w:fldChar w:fldCharType="end"/>
            </w:r>
          </w:hyperlink>
        </w:p>
        <w:p w14:paraId="4EEEB968" w14:textId="3A2E03CD" w:rsidR="001E64C5" w:rsidRPr="001E64C5" w:rsidRDefault="001E64C5" w:rsidP="001E64C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148772" w:history="1">
            <w:r>
              <w:rPr>
                <w:rStyle w:val="Hyperlink"/>
                <w:rFonts w:ascii="Times New Roman" w:hAnsi="Times New Roman" w:cs="Times New Roman"/>
                <w:noProof/>
              </w:rPr>
              <w:t>2.1</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Traditional onboarding versus strategic socialisation: a critical evaluation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_Toc235148772 \h </w:instrText>
            </w:r>
            <w:r>
              <w:rPr>
                <w:rFonts w:ascii="Times New Roman" w:hAnsi="Times New Roman" w:cs="Times New Roman"/>
                <w:noProof/>
              </w:rPr>
            </w:r>
            <w:r>
              <w:rPr>
                <w:rFonts w:ascii="Times New Roman" w:hAnsi="Times New Roman" w:cs="Times New Roman"/>
                <w:noProof/>
              </w:rPr>
              <w:fldChar w:fldCharType="separate"/>
            </w:r>
            <w:r>
              <w:rPr>
                <w:rFonts w:ascii="Times New Roman" w:hAnsi="Times New Roman" w:cs="Times New Roman"/>
                <w:noProof/>
              </w:rPr>
              <w:t>4</w:t>
            </w:r>
            <w:r>
              <w:rPr>
                <w:rFonts w:ascii="Times New Roman" w:hAnsi="Times New Roman" w:cs="Times New Roman"/>
                <w:noProof/>
              </w:rPr>
              <w:fldChar w:fldCharType="end"/>
            </w:r>
          </w:hyperlink>
        </w:p>
        <w:p w14:paraId="374B9DCD" w14:textId="5620E606" w:rsidR="001E64C5" w:rsidRPr="001E64C5" w:rsidRDefault="001E64C5" w:rsidP="001E64C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148773" w:history="1">
            <w:r>
              <w:rPr>
                <w:rStyle w:val="Hyperlink"/>
                <w:rFonts w:ascii="Times New Roman" w:hAnsi="Times New Roman" w:cs="Times New Roman"/>
                <w:noProof/>
              </w:rPr>
              <w:t>2.2</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A structured socialisation framework for Helios</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_Toc235148773 \h </w:instrText>
            </w:r>
            <w:r>
              <w:rPr>
                <w:rFonts w:ascii="Times New Roman" w:hAnsi="Times New Roman" w:cs="Times New Roman"/>
                <w:noProof/>
              </w:rPr>
            </w:r>
            <w:r>
              <w:rPr>
                <w:rFonts w:ascii="Times New Roman" w:hAnsi="Times New Roman" w:cs="Times New Roman"/>
                <w:noProof/>
              </w:rPr>
              <w:fldChar w:fldCharType="separate"/>
            </w:r>
            <w:r>
              <w:rPr>
                <w:rFonts w:ascii="Times New Roman" w:hAnsi="Times New Roman" w:cs="Times New Roman"/>
                <w:noProof/>
              </w:rPr>
              <w:t>6</w:t>
            </w:r>
            <w:r>
              <w:rPr>
                <w:rFonts w:ascii="Times New Roman" w:hAnsi="Times New Roman" w:cs="Times New Roman"/>
                <w:noProof/>
              </w:rPr>
              <w:fldChar w:fldCharType="end"/>
            </w:r>
          </w:hyperlink>
        </w:p>
        <w:p w14:paraId="6AF1A533" w14:textId="00A43FA9" w:rsidR="001E64C5" w:rsidRPr="001E64C5" w:rsidRDefault="001E64C5" w:rsidP="001E64C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148774" w:history="1">
            <w:r>
              <w:rPr>
                <w:rStyle w:val="Hyperlink"/>
                <w:rFonts w:ascii="Times New Roman" w:hAnsi="Times New Roman" w:cs="Times New Roman"/>
                <w:noProof/>
              </w:rPr>
              <w:t>2.3</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Cultivating identification, ethical professionalism and the business activist mindset</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_Toc235148774 \h </w:instrText>
            </w:r>
            <w:r>
              <w:rPr>
                <w:rFonts w:ascii="Times New Roman" w:hAnsi="Times New Roman" w:cs="Times New Roman"/>
                <w:noProof/>
              </w:rPr>
            </w:r>
            <w:r>
              <w:rPr>
                <w:rFonts w:ascii="Times New Roman" w:hAnsi="Times New Roman" w:cs="Times New Roman"/>
                <w:noProof/>
              </w:rPr>
              <w:fldChar w:fldCharType="separate"/>
            </w:r>
            <w:r>
              <w:rPr>
                <w:rFonts w:ascii="Times New Roman" w:hAnsi="Times New Roman" w:cs="Times New Roman"/>
                <w:noProof/>
              </w:rPr>
              <w:t>7</w:t>
            </w:r>
            <w:r>
              <w:rPr>
                <w:rFonts w:ascii="Times New Roman" w:hAnsi="Times New Roman" w:cs="Times New Roman"/>
                <w:noProof/>
              </w:rPr>
              <w:fldChar w:fldCharType="end"/>
            </w:r>
          </w:hyperlink>
        </w:p>
        <w:p w14:paraId="535B8CAA" w14:textId="60CB2826" w:rsidR="001E64C5" w:rsidRPr="001E64C5" w:rsidRDefault="001E64C5" w:rsidP="001E64C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148775" w:history="1">
            <w:r>
              <w:rPr>
                <w:rStyle w:val="Hyperlink"/>
                <w:rFonts w:ascii="Times New Roman" w:hAnsi="Times New Roman" w:cs="Times New Roman"/>
                <w:noProof/>
              </w:rPr>
              <w:t>3</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Task B: Job Design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_Toc235148775 \h </w:instrText>
            </w:r>
            <w:r>
              <w:rPr>
                <w:rFonts w:ascii="Times New Roman" w:hAnsi="Times New Roman" w:cs="Times New Roman"/>
                <w:noProof/>
              </w:rPr>
            </w:r>
            <w:r>
              <w:rPr>
                <w:rFonts w:ascii="Times New Roman" w:hAnsi="Times New Roman" w:cs="Times New Roman"/>
                <w:noProof/>
              </w:rPr>
              <w:fldChar w:fldCharType="separate"/>
            </w:r>
            <w:r>
              <w:rPr>
                <w:rFonts w:ascii="Times New Roman" w:hAnsi="Times New Roman" w:cs="Times New Roman"/>
                <w:noProof/>
              </w:rPr>
              <w:t>8</w:t>
            </w:r>
            <w:r>
              <w:rPr>
                <w:rFonts w:ascii="Times New Roman" w:hAnsi="Times New Roman" w:cs="Times New Roman"/>
                <w:noProof/>
              </w:rPr>
              <w:fldChar w:fldCharType="end"/>
            </w:r>
          </w:hyperlink>
        </w:p>
        <w:p w14:paraId="7A302867" w14:textId="09572709" w:rsidR="001E64C5" w:rsidRPr="001E64C5" w:rsidRDefault="001E64C5" w:rsidP="001E64C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148776" w:history="1">
            <w:r>
              <w:rPr>
                <w:rStyle w:val="Hyperlink"/>
                <w:rFonts w:ascii="Times New Roman" w:hAnsi="Times New Roman" w:cs="Times New Roman"/>
                <w:noProof/>
              </w:rPr>
              <w:t>3.1</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Diagnosing the current design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_Toc235148776 \h </w:instrText>
            </w:r>
            <w:r>
              <w:rPr>
                <w:rFonts w:ascii="Times New Roman" w:hAnsi="Times New Roman" w:cs="Times New Roman"/>
                <w:noProof/>
              </w:rPr>
            </w:r>
            <w:r>
              <w:rPr>
                <w:rFonts w:ascii="Times New Roman" w:hAnsi="Times New Roman" w:cs="Times New Roman"/>
                <w:noProof/>
              </w:rPr>
              <w:fldChar w:fldCharType="separate"/>
            </w:r>
            <w:r>
              <w:rPr>
                <w:rFonts w:ascii="Times New Roman" w:hAnsi="Times New Roman" w:cs="Times New Roman"/>
                <w:noProof/>
              </w:rPr>
              <w:t>8</w:t>
            </w:r>
            <w:r>
              <w:rPr>
                <w:rFonts w:ascii="Times New Roman" w:hAnsi="Times New Roman" w:cs="Times New Roman"/>
                <w:noProof/>
              </w:rPr>
              <w:fldChar w:fldCharType="end"/>
            </w:r>
          </w:hyperlink>
        </w:p>
        <w:p w14:paraId="248ADEAC" w14:textId="4A0DFA07" w:rsidR="001E64C5" w:rsidRPr="001E64C5" w:rsidRDefault="001E64C5" w:rsidP="001E64C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148777" w:history="1">
            <w:r>
              <w:rPr>
                <w:rStyle w:val="Hyperlink"/>
                <w:rFonts w:ascii="Times New Roman" w:hAnsi="Times New Roman" w:cs="Times New Roman"/>
                <w:noProof/>
              </w:rPr>
              <w:t>3.2</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Proposed job design architecture:</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_Toc235148777 \h </w:instrText>
            </w:r>
            <w:r>
              <w:rPr>
                <w:rFonts w:ascii="Times New Roman" w:hAnsi="Times New Roman" w:cs="Times New Roman"/>
                <w:noProof/>
              </w:rPr>
            </w:r>
            <w:r>
              <w:rPr>
                <w:rFonts w:ascii="Times New Roman" w:hAnsi="Times New Roman" w:cs="Times New Roman"/>
                <w:noProof/>
              </w:rPr>
              <w:fldChar w:fldCharType="separate"/>
            </w:r>
            <w:r>
              <w:rPr>
                <w:rFonts w:ascii="Times New Roman" w:hAnsi="Times New Roman" w:cs="Times New Roman"/>
                <w:noProof/>
              </w:rPr>
              <w:t>9</w:t>
            </w:r>
            <w:r>
              <w:rPr>
                <w:rFonts w:ascii="Times New Roman" w:hAnsi="Times New Roman" w:cs="Times New Roman"/>
                <w:noProof/>
              </w:rPr>
              <w:fldChar w:fldCharType="end"/>
            </w:r>
          </w:hyperlink>
        </w:p>
        <w:p w14:paraId="7E8D2BA5" w14:textId="7981742C" w:rsidR="001E64C5" w:rsidRPr="001E64C5" w:rsidRDefault="001E64C5" w:rsidP="001E64C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148778" w:history="1">
            <w:r>
              <w:rPr>
                <w:rStyle w:val="Hyperlink"/>
                <w:rFonts w:ascii="Times New Roman" w:hAnsi="Times New Roman" w:cs="Times New Roman"/>
                <w:noProof/>
              </w:rPr>
              <w:t>3.3</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Stimulating intrinsic motivation and innovation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_Toc235148778 \h </w:instrText>
            </w:r>
            <w:r>
              <w:rPr>
                <w:rFonts w:ascii="Times New Roman" w:hAnsi="Times New Roman" w:cs="Times New Roman"/>
                <w:noProof/>
              </w:rPr>
            </w:r>
            <w:r>
              <w:rPr>
                <w:rFonts w:ascii="Times New Roman" w:hAnsi="Times New Roman" w:cs="Times New Roman"/>
                <w:noProof/>
              </w:rPr>
              <w:fldChar w:fldCharType="separate"/>
            </w:r>
            <w:r>
              <w:rPr>
                <w:rFonts w:ascii="Times New Roman" w:hAnsi="Times New Roman" w:cs="Times New Roman"/>
                <w:noProof/>
              </w:rPr>
              <w:t>10</w:t>
            </w:r>
            <w:r>
              <w:rPr>
                <w:rFonts w:ascii="Times New Roman" w:hAnsi="Times New Roman" w:cs="Times New Roman"/>
                <w:noProof/>
              </w:rPr>
              <w:fldChar w:fldCharType="end"/>
            </w:r>
          </w:hyperlink>
        </w:p>
        <w:p w14:paraId="08D05DDE" w14:textId="5B333B6A" w:rsidR="001E64C5" w:rsidRPr="001E64C5" w:rsidRDefault="001E64C5" w:rsidP="001E64C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148779" w:history="1">
            <w:r>
              <w:rPr>
                <w:rStyle w:val="Hyperlink"/>
                <w:rFonts w:ascii="Times New Roman" w:hAnsi="Times New Roman" w:cs="Times New Roman"/>
                <w:noProof/>
              </w:rPr>
              <w:t>4</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Task C: Reflective Report</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_Toc235148779 \h </w:instrText>
            </w:r>
            <w:r>
              <w:rPr>
                <w:rFonts w:ascii="Times New Roman" w:hAnsi="Times New Roman" w:cs="Times New Roman"/>
                <w:noProof/>
              </w:rPr>
            </w:r>
            <w:r>
              <w:rPr>
                <w:rFonts w:ascii="Times New Roman" w:hAnsi="Times New Roman" w:cs="Times New Roman"/>
                <w:noProof/>
              </w:rPr>
              <w:fldChar w:fldCharType="separate"/>
            </w:r>
            <w:r>
              <w:rPr>
                <w:rFonts w:ascii="Times New Roman" w:hAnsi="Times New Roman" w:cs="Times New Roman"/>
                <w:noProof/>
              </w:rPr>
              <w:t>11</w:t>
            </w:r>
            <w:r>
              <w:rPr>
                <w:rFonts w:ascii="Times New Roman" w:hAnsi="Times New Roman" w:cs="Times New Roman"/>
                <w:noProof/>
              </w:rPr>
              <w:fldChar w:fldCharType="end"/>
            </w:r>
          </w:hyperlink>
        </w:p>
        <w:p w14:paraId="3CADCA1E" w14:textId="2AB68CF4" w:rsidR="001E64C5" w:rsidRPr="001E64C5" w:rsidRDefault="001E64C5" w:rsidP="001E64C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148780" w:history="1">
            <w:r>
              <w:rPr>
                <w:rStyle w:val="Hyperlink"/>
                <w:rFonts w:ascii="Times New Roman" w:hAnsi="Times New Roman" w:cs="Times New Roman"/>
                <w:noProof/>
              </w:rPr>
              <w:t>4.1</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Using AI as decision support without eroding critical human judgement</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_Toc235148780 \h </w:instrText>
            </w:r>
            <w:r>
              <w:rPr>
                <w:rFonts w:ascii="Times New Roman" w:hAnsi="Times New Roman" w:cs="Times New Roman"/>
                <w:noProof/>
              </w:rPr>
            </w:r>
            <w:r>
              <w:rPr>
                <w:rFonts w:ascii="Times New Roman" w:hAnsi="Times New Roman" w:cs="Times New Roman"/>
                <w:noProof/>
              </w:rPr>
              <w:fldChar w:fldCharType="separate"/>
            </w:r>
            <w:r>
              <w:rPr>
                <w:rFonts w:ascii="Times New Roman" w:hAnsi="Times New Roman" w:cs="Times New Roman"/>
                <w:noProof/>
              </w:rPr>
              <w:t>11</w:t>
            </w:r>
            <w:r>
              <w:rPr>
                <w:rFonts w:ascii="Times New Roman" w:hAnsi="Times New Roman" w:cs="Times New Roman"/>
                <w:noProof/>
              </w:rPr>
              <w:fldChar w:fldCharType="end"/>
            </w:r>
          </w:hyperlink>
        </w:p>
        <w:p w14:paraId="722FAAC6" w14:textId="14173304" w:rsidR="001E64C5" w:rsidRPr="001E64C5" w:rsidRDefault="001E64C5" w:rsidP="001E64C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148781" w:history="1">
            <w:r>
              <w:rPr>
                <w:rStyle w:val="Hyperlink"/>
                <w:rFonts w:ascii="Times New Roman" w:hAnsi="Times New Roman" w:cs="Times New Roman"/>
                <w:noProof/>
              </w:rPr>
              <w:t>4.2</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Personal capability development plan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_Toc235148781 \h </w:instrText>
            </w:r>
            <w:r>
              <w:rPr>
                <w:rFonts w:ascii="Times New Roman" w:hAnsi="Times New Roman" w:cs="Times New Roman"/>
                <w:noProof/>
              </w:rPr>
            </w:r>
            <w:r>
              <w:rPr>
                <w:rFonts w:ascii="Times New Roman" w:hAnsi="Times New Roman" w:cs="Times New Roman"/>
                <w:noProof/>
              </w:rPr>
              <w:fldChar w:fldCharType="separate"/>
            </w:r>
            <w:r>
              <w:rPr>
                <w:rFonts w:ascii="Times New Roman" w:hAnsi="Times New Roman" w:cs="Times New Roman"/>
                <w:noProof/>
              </w:rPr>
              <w:t>12</w:t>
            </w:r>
            <w:r>
              <w:rPr>
                <w:rFonts w:ascii="Times New Roman" w:hAnsi="Times New Roman" w:cs="Times New Roman"/>
                <w:noProof/>
              </w:rPr>
              <w:fldChar w:fldCharType="end"/>
            </w:r>
          </w:hyperlink>
        </w:p>
        <w:p w14:paraId="29B771E1" w14:textId="5B566CB4" w:rsidR="001E64C5" w:rsidRPr="001E64C5" w:rsidRDefault="001E64C5" w:rsidP="001E64C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148782" w:history="1">
            <w:r>
              <w:rPr>
                <w:rStyle w:val="Hyperlink"/>
                <w:rFonts w:ascii="Times New Roman" w:hAnsi="Times New Roman" w:cs="Times New Roman"/>
                <w:noProof/>
              </w:rPr>
              <w:t>5</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Conclusion</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_Toc235148782 \h </w:instrText>
            </w:r>
            <w:r>
              <w:rPr>
                <w:rFonts w:ascii="Times New Roman" w:hAnsi="Times New Roman" w:cs="Times New Roman"/>
                <w:noProof/>
              </w:rPr>
            </w:r>
            <w:r>
              <w:rPr>
                <w:rFonts w:ascii="Times New Roman" w:hAnsi="Times New Roman" w:cs="Times New Roman"/>
                <w:noProof/>
              </w:rPr>
              <w:fldChar w:fldCharType="separate"/>
            </w:r>
            <w:r>
              <w:rPr>
                <w:rFonts w:ascii="Times New Roman" w:hAnsi="Times New Roman" w:cs="Times New Roman"/>
                <w:noProof/>
              </w:rPr>
              <w:t>13</w:t>
            </w:r>
            <w:r>
              <w:rPr>
                <w:rFonts w:ascii="Times New Roman" w:hAnsi="Times New Roman" w:cs="Times New Roman"/>
                <w:noProof/>
              </w:rPr>
              <w:fldChar w:fldCharType="end"/>
            </w:r>
          </w:hyperlink>
        </w:p>
        <w:p w14:paraId="7D9899A1" w14:textId="7A1A203E" w:rsidR="001E64C5" w:rsidRPr="001E64C5" w:rsidRDefault="001E64C5" w:rsidP="001E64C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148783" w:history="1">
            <w:r>
              <w:rPr>
                <w:rStyle w:val="Hyperlink"/>
                <w:rFonts w:ascii="Times New Roman" w:hAnsi="Times New Roman" w:cs="Times New Roman"/>
                <w:noProof/>
              </w:rPr>
              <w:t>6</w:t>
            </w:r>
            <w:r>
              <w:rPr>
                <w:rFonts w:ascii="Times New Roman" w:eastAsiaTheme="minorEastAsia" w:hAnsi="Times New Roman" w:cs="Times New Roman"/>
                <w:noProof/>
                <w:kern w:val="2"/>
                <w14:ligatures w14:val="standardContextual"/>
              </w:rPr>
              <w:tab/>
            </w:r>
            <w:r>
              <w:rPr>
                <w:rStyle w:val="Hyperlink"/>
                <w:rFonts w:ascii="Times New Roman" w:hAnsi="Times New Roman" w:cs="Times New Roman"/>
                <w:noProof/>
              </w:rPr>
              <w:t>Reference List</w:t>
            </w:r>
            <w:r>
              <w:rPr>
                <w:rFonts w:ascii="Times New Roman" w:hAnsi="Times New Roman" w:cs="Times New Roman"/>
                <w:noProof/>
              </w:rPr>
              <w:tab/>
            </w:r>
            <w:r>
              <w:rPr>
                <w:rFonts w:ascii="Times New Roman" w:hAnsi="Times New Roman" w:cs="Times New Roman"/>
                <w:noProof/>
              </w:rPr>
              <w:fldChar w:fldCharType="begin"/>
            </w:r>
            <w:r>
              <w:rPr>
                <w:rFonts w:ascii="Times New Roman" w:hAnsi="Times New Roman" w:cs="Times New Roman"/>
                <w:noProof/>
              </w:rPr>
              <w:instrText xml:space="preserve"> PAGEREF _Toc235148783 \h </w:instrText>
            </w:r>
            <w:r>
              <w:rPr>
                <w:rFonts w:ascii="Times New Roman" w:hAnsi="Times New Roman" w:cs="Times New Roman"/>
                <w:noProof/>
              </w:rPr>
            </w:r>
            <w:r>
              <w:rPr>
                <w:rFonts w:ascii="Times New Roman" w:hAnsi="Times New Roman" w:cs="Times New Roman"/>
                <w:noProof/>
              </w:rPr>
              <w:fldChar w:fldCharType="separate"/>
            </w:r>
            <w:r>
              <w:rPr>
                <w:rFonts w:ascii="Times New Roman" w:hAnsi="Times New Roman" w:cs="Times New Roman"/>
                <w:noProof/>
              </w:rPr>
              <w:t>14</w:t>
            </w:r>
            <w:r>
              <w:rPr>
                <w:rFonts w:ascii="Times New Roman" w:hAnsi="Times New Roman" w:cs="Times New Roman"/>
                <w:noProof/>
              </w:rPr>
              <w:fldChar w:fldCharType="end"/>
            </w:r>
          </w:hyperlink>
        </w:p>
        <w:p w14:paraId="4442D0B2" w14:textId="624AADF9" w:rsidR="00C63E0C" w:rsidRPr="001E64C5" w:rsidRDefault="00000000" w:rsidP="001E64C5">
          <w:pPr>
            <w:rPr>
              <w:rFonts w:ascii="Times New Roman" w:hAnsi="Times New Roman" w:cs="Times New Roman"/>
            </w:rPr>
          </w:pPr>
          <w:r>
            <w:rPr>
              <w:rFonts w:ascii="Times New Roman" w:hAnsi="Times New Roman" w:cs="Times New Roman"/>
            </w:rPr>
            <w:fldChar w:fldCharType="end"/>
          </w:r>
        </w:p>
      </w:sdtContent>
    </w:sdt>
    <w:p w14:paraId="167F2B1A" w14:textId="77777777" w:rsidR="0034594F" w:rsidRPr="0034594F" w:rsidRDefault="0034594F" w:rsidP="0034594F">
      <w:pPr>
        <w:spacing w:before="400" w:after="160"/>
        <w:rPr>
          <w:rFonts w:ascii="Times New Roman" w:hAnsi="Times New Roman" w:cs="Times New Roman"/>
          <w:b/>
          <w:bCs/>
        </w:rPr>
      </w:pPr>
    </w:p>
    <w:p w14:paraId="095C1F07" w14:textId="77777777" w:rsidR="0034594F" w:rsidRPr="0034594F" w:rsidRDefault="0034594F">
      <w:pPr>
        <w:spacing w:before="400" w:after="160"/>
        <w:rPr>
          <w:rFonts w:ascii="Times New Roman" w:hAnsi="Times New Roman" w:cs="Times New Roman"/>
          <w:b/>
          <w:bCs/>
        </w:rPr>
      </w:pPr>
    </w:p>
    <w:p w14:paraId="79D7450D" w14:textId="77777777" w:rsidR="0034594F" w:rsidRPr="0034594F" w:rsidRDefault="0034594F">
      <w:pPr>
        <w:spacing w:before="400" w:after="160"/>
        <w:rPr>
          <w:rFonts w:ascii="Times New Roman" w:hAnsi="Times New Roman" w:cs="Times New Roman"/>
          <w:b/>
          <w:bCs/>
        </w:rPr>
      </w:pPr>
    </w:p>
    <w:p w14:paraId="37F10A55" w14:textId="77777777" w:rsidR="0034594F" w:rsidRPr="0034594F" w:rsidRDefault="0034594F">
      <w:pPr>
        <w:spacing w:before="400" w:after="160"/>
        <w:rPr>
          <w:rFonts w:ascii="Times New Roman" w:hAnsi="Times New Roman" w:cs="Times New Roman"/>
          <w:b/>
          <w:bCs/>
        </w:rPr>
      </w:pPr>
    </w:p>
    <w:p w14:paraId="146972E4" w14:textId="77777777" w:rsidR="0034594F" w:rsidRPr="0034594F" w:rsidRDefault="0034594F">
      <w:pPr>
        <w:spacing w:before="400" w:after="160"/>
        <w:rPr>
          <w:rFonts w:ascii="Times New Roman" w:hAnsi="Times New Roman" w:cs="Times New Roman"/>
          <w:b/>
          <w:bCs/>
        </w:rPr>
      </w:pPr>
    </w:p>
    <w:p w14:paraId="6151E41D" w14:textId="77777777" w:rsidR="0034594F" w:rsidRPr="0034594F" w:rsidRDefault="0034594F">
      <w:pPr>
        <w:spacing w:before="400" w:after="160"/>
        <w:rPr>
          <w:rFonts w:ascii="Times New Roman" w:hAnsi="Times New Roman" w:cs="Times New Roman"/>
          <w:b/>
          <w:bCs/>
        </w:rPr>
      </w:pPr>
    </w:p>
    <w:p w14:paraId="524D1288" w14:textId="28B4103F" w:rsidR="00C63E0C" w:rsidRPr="001E64C5" w:rsidRDefault="00000000" w:rsidP="001E64C5">
      <w:pPr>
        <w:spacing w:before="400" w:after="160"/>
        <w:jc w:val="center"/>
        <w:rPr>
          <w:rFonts w:ascii="Times New Roman" w:hAnsi="Times New Roman" w:cs="Times New Roman"/>
          <w:sz w:val="28"/>
          <w:szCs w:val="28"/>
        </w:rPr>
      </w:pPr>
      <w:r>
        <w:rPr>
          <w:rFonts w:ascii="Times New Roman" w:hAnsi="Times New Roman" w:cs="Times New Roman"/>
          <w:b/>
          <w:bCs/>
          <w:sz w:val="28"/>
          <w:szCs w:val="28"/>
        </w:rPr>
        <w:t>List of Figures and Tables</w:t>
      </w:r>
    </w:p>
    <w:p w14:paraId="71CCCB63" w14:textId="77777777" w:rsidR="00C63E0C" w:rsidRPr="0034594F" w:rsidRDefault="00000000" w:rsidP="001E64C5">
      <w:pPr>
        <w:spacing w:after="40"/>
        <w:rPr>
          <w:rFonts w:ascii="Times New Roman" w:hAnsi="Times New Roman" w:cs="Times New Roman"/>
        </w:rPr>
      </w:pPr>
      <w:r>
        <w:rPr>
          <w:rFonts w:ascii="Times New Roman" w:hAnsi="Times New Roman" w:cs="Times New Roman"/>
        </w:rPr>
        <w:t>Figure 1: Helios Urban Mobility – human capital diagnostic against external benchmarks</w:t>
      </w:r>
    </w:p>
    <w:p w14:paraId="58A388F4" w14:textId="77777777" w:rsidR="00C63E0C" w:rsidRPr="0034594F" w:rsidRDefault="00000000" w:rsidP="001E64C5">
      <w:pPr>
        <w:spacing w:after="40"/>
        <w:rPr>
          <w:rFonts w:ascii="Times New Roman" w:hAnsi="Times New Roman" w:cs="Times New Roman"/>
        </w:rPr>
      </w:pPr>
      <w:r>
        <w:rPr>
          <w:rFonts w:ascii="Times New Roman" w:hAnsi="Times New Roman" w:cs="Times New Roman"/>
        </w:rPr>
        <w:t>Figure 2: Proposed strategic socialisation architecture for Helios (pre-boarding to year one)</w:t>
      </w:r>
    </w:p>
    <w:p w14:paraId="14C9D960" w14:textId="77777777" w:rsidR="00C63E0C" w:rsidRPr="0034594F" w:rsidRDefault="00000000" w:rsidP="001E64C5">
      <w:pPr>
        <w:spacing w:after="40"/>
        <w:rPr>
          <w:rFonts w:ascii="Times New Roman" w:hAnsi="Times New Roman" w:cs="Times New Roman"/>
        </w:rPr>
      </w:pPr>
      <w:r>
        <w:rPr>
          <w:rFonts w:ascii="Times New Roman" w:hAnsi="Times New Roman" w:cs="Times New Roman"/>
        </w:rPr>
        <w:t>Figure 3: Job Characteristics Model profile and Motivating Potential Score – current vs proposed</w:t>
      </w:r>
    </w:p>
    <w:p w14:paraId="1EA4FE76" w14:textId="77777777" w:rsidR="00C63E0C" w:rsidRPr="0034594F" w:rsidRDefault="00000000" w:rsidP="001E64C5">
      <w:pPr>
        <w:spacing w:after="40"/>
        <w:rPr>
          <w:rFonts w:ascii="Times New Roman" w:hAnsi="Times New Roman" w:cs="Times New Roman"/>
        </w:rPr>
      </w:pPr>
      <w:r>
        <w:rPr>
          <w:rFonts w:ascii="Times New Roman" w:hAnsi="Times New Roman" w:cs="Times New Roman"/>
        </w:rPr>
        <w:t>Figure 4: Projected benefits realisation over eight quarters</w:t>
      </w:r>
    </w:p>
    <w:p w14:paraId="3AC2AC64" w14:textId="77777777" w:rsidR="00C63E0C" w:rsidRPr="0034594F" w:rsidRDefault="00000000" w:rsidP="001E64C5">
      <w:pPr>
        <w:spacing w:after="40"/>
        <w:rPr>
          <w:rFonts w:ascii="Times New Roman" w:hAnsi="Times New Roman" w:cs="Times New Roman"/>
        </w:rPr>
      </w:pPr>
      <w:r>
        <w:rPr>
          <w:rFonts w:ascii="Times New Roman" w:hAnsi="Times New Roman" w:cs="Times New Roman"/>
        </w:rPr>
        <w:t>Table 1: Traditional onboarding versus strategic organisational socialisation</w:t>
      </w:r>
    </w:p>
    <w:p w14:paraId="595C42A8" w14:textId="77777777" w:rsidR="00C63E0C" w:rsidRPr="0034594F" w:rsidRDefault="00000000" w:rsidP="001E64C5">
      <w:pPr>
        <w:spacing w:after="40"/>
        <w:rPr>
          <w:rFonts w:ascii="Times New Roman" w:hAnsi="Times New Roman" w:cs="Times New Roman"/>
        </w:rPr>
      </w:pPr>
      <w:r>
        <w:rPr>
          <w:rFonts w:ascii="Times New Roman" w:hAnsi="Times New Roman" w:cs="Times New Roman"/>
        </w:rPr>
        <w:t>Table 2: The Helios socialisation framework – phases, mechanisms, theory and measures</w:t>
      </w:r>
    </w:p>
    <w:p w14:paraId="43760810" w14:textId="77777777" w:rsidR="00C63E0C" w:rsidRPr="0034594F" w:rsidRDefault="00000000" w:rsidP="001E64C5">
      <w:pPr>
        <w:spacing w:after="40"/>
        <w:rPr>
          <w:rFonts w:ascii="Times New Roman" w:hAnsi="Times New Roman" w:cs="Times New Roman"/>
        </w:rPr>
      </w:pPr>
      <w:r>
        <w:rPr>
          <w:rFonts w:ascii="Times New Roman" w:hAnsi="Times New Roman" w:cs="Times New Roman"/>
        </w:rPr>
        <w:t>Table 3: Proposed job design architecture for Helios</w:t>
      </w:r>
    </w:p>
    <w:p w14:paraId="22203045" w14:textId="77777777" w:rsidR="00C63E0C" w:rsidRPr="0034594F" w:rsidRDefault="00000000" w:rsidP="001E64C5">
      <w:pPr>
        <w:spacing w:after="40"/>
        <w:rPr>
          <w:rFonts w:ascii="Times New Roman" w:hAnsi="Times New Roman" w:cs="Times New Roman"/>
        </w:rPr>
      </w:pPr>
      <w:r>
        <w:rPr>
          <w:rFonts w:ascii="Times New Roman" w:hAnsi="Times New Roman" w:cs="Times New Roman"/>
        </w:rPr>
        <w:t>Table 4: Personal capability development plan</w:t>
      </w:r>
    </w:p>
    <w:p w14:paraId="47E89478" w14:textId="77777777" w:rsidR="00C63E0C" w:rsidRPr="0034594F" w:rsidRDefault="00000000" w:rsidP="001E64C5">
      <w:pPr>
        <w:rPr>
          <w:rFonts w:ascii="Times New Roman" w:hAnsi="Times New Roman" w:cs="Times New Roman"/>
        </w:rPr>
      </w:pPr>
      <w:r>
        <w:rPr>
          <w:rFonts w:ascii="Times New Roman" w:hAnsi="Times New Roman" w:cs="Times New Roman"/>
        </w:rPr>
        <w:br w:type="page"/>
      </w:r>
    </w:p>
    <w:p w14:paraId="40948B6C" w14:textId="6261BAAE" w:rsidR="00C63E0C" w:rsidRPr="001E64C5" w:rsidRDefault="00000000" w:rsidP="001E64C5">
      <w:pPr>
        <w:pStyle w:val="Heading1"/>
      </w:pPr>
      <w:bookmarkStart w:id="0" w:name="_Toc235148770"/>
      <w:r>
        <w:t>Introduction</w:t>
      </w:r>
      <w:bookmarkEnd w:id="0"/>
    </w:p>
    <w:p w14:paraId="74199CA6" w14:textId="77777777" w:rsidR="00F90678" w:rsidRPr="001E64C5" w:rsidRDefault="00F90678" w:rsidP="001E64C5">
      <w:pPr>
        <w:jc w:val="both"/>
        <w:rPr>
          <w:rFonts w:ascii="Times New Roman" w:hAnsi="Times New Roman" w:cs="Times New Roman"/>
        </w:rPr>
      </w:pPr>
      <w:r>
        <w:rPr>
          <w:rFonts w:ascii="Times New Roman" w:hAnsi="Times New Roman" w:cs="Times New Roman"/>
        </w:rPr>
        <w:t>Helios Urban Mobility (HUM) has come to a place where the people architecture that helped it do so is no longer suited to where it needs to go. Now, a 450-person, three-office business that sells AI-powered mobility systems to cities says it has seen a 54% engagement score, an eight-month ramp-up in new hires and disproportionate attrition rates among its high-potential graduates that serve as the foundation of its technical pipeline. Instead, this report suggests that they're not three problems, but one: Helios has grown its staff, and its technology, without growing the processes by which people get role clarity, identity and voice.</w:t>
      </w:r>
    </w:p>
    <w:p w14:paraId="5DF15A32" w14:textId="00C92B06" w:rsidR="00F90678" w:rsidRPr="001E64C5" w:rsidRDefault="00F90678" w:rsidP="001E64C5">
      <w:pPr>
        <w:jc w:val="both"/>
        <w:rPr>
          <w:rFonts w:ascii="Times New Roman" w:hAnsi="Times New Roman" w:cs="Times New Roman"/>
        </w:rPr>
      </w:pPr>
      <w:r>
        <w:rPr>
          <w:rFonts w:ascii="Times New Roman" w:hAnsi="Times New Roman" w:cs="Times New Roman"/>
        </w:rPr>
        <w:t>At the beginning a word of caution considering the data is in order. Helios's 54% cannot be compared to Gallup's global engagement figure (20%) or the figure for Europe (13%) as internal favourability surveys are not the same instruments as Gallup's Q12 threshold measure. On the internal benchmark of 70% and above, which is indicative of a high functioning knowledge organisation, however, 54% is a poor performance rating and it is the direction and not the level that should be of concern to the Board. The diagnostic baseline is outlined in Figure 1.</w:t>
      </w:r>
    </w:p>
    <w:p w14:paraId="72B15CD9" w14:textId="0C32D01A" w:rsidR="00C63E0C" w:rsidRPr="001E64C5" w:rsidRDefault="001E64C5" w:rsidP="001E64C5">
      <w:pPr>
        <w:jc w:val="both"/>
        <w:rPr>
          <w:rFonts w:ascii="Times New Roman" w:hAnsi="Times New Roman" w:cs="Times New Roman"/>
        </w:rPr>
      </w:pPr>
      <w:r>
        <w:rPr>
          <w:rFonts w:ascii="Times New Roman" w:hAnsi="Times New Roman" w:cs="Times New Roman"/>
          <w:noProof/>
        </w:rPr>
        <w:drawing>
          <wp:inline distT="0" distB="0" distL="0" distR="0" wp14:anchorId="1762651E" wp14:editId="37D1D5FD">
            <wp:extent cx="5731510" cy="3820795"/>
            <wp:effectExtent l="0" t="0" r="2540" b="8255"/>
            <wp:docPr id="17049856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943E952" w14:textId="64408E0C" w:rsidR="00C63E0C" w:rsidRPr="001E64C5" w:rsidRDefault="00000000" w:rsidP="001E64C5">
      <w:pPr>
        <w:jc w:val="center"/>
        <w:rPr>
          <w:rFonts w:ascii="Times New Roman" w:hAnsi="Times New Roman" w:cs="Times New Roman"/>
          <w:b/>
          <w:bCs/>
          <w:sz w:val="20"/>
          <w:szCs w:val="20"/>
        </w:rPr>
      </w:pPr>
      <w:r>
        <w:rPr>
          <w:rFonts w:ascii="Times New Roman" w:hAnsi="Times New Roman" w:cs="Times New Roman"/>
          <w:b/>
          <w:bCs/>
          <w:i/>
          <w:iCs/>
          <w:sz w:val="20"/>
          <w:szCs w:val="20"/>
        </w:rPr>
        <w:t>Figure 1: Helios Urban Mobility – human capital diagnostic against external benchmarks. (Gallup, 2026.)</w:t>
      </w:r>
    </w:p>
    <w:p w14:paraId="5D5AA543" w14:textId="11C950BC" w:rsidR="00C63E0C" w:rsidRPr="001E64C5" w:rsidRDefault="00000000" w:rsidP="001E64C5">
      <w:pPr>
        <w:pStyle w:val="Heading1"/>
      </w:pPr>
      <w:bookmarkStart w:id="1" w:name="_Toc235148771"/>
      <w:r>
        <w:t>Task A: Socialisation, Identity and Business Activism</w:t>
      </w:r>
      <w:bookmarkEnd w:id="1"/>
    </w:p>
    <w:p w14:paraId="7982D733" w14:textId="0E451FC9" w:rsidR="00C63E0C" w:rsidRPr="001E64C5" w:rsidRDefault="00000000" w:rsidP="001E64C5">
      <w:pPr>
        <w:pStyle w:val="Heading2"/>
      </w:pPr>
      <w:bookmarkStart w:id="2" w:name="_Toc235148772"/>
      <w:r>
        <w:t>Traditional onboarding versus strategic socialisation: a critical evaluation</w:t>
      </w:r>
      <w:bookmarkEnd w:id="2"/>
    </w:p>
    <w:p w14:paraId="2A59617B" w14:textId="415F3DEB" w:rsidR="00F90678" w:rsidRPr="001E64C5" w:rsidRDefault="00CC6722" w:rsidP="001E64C5">
      <w:pPr>
        <w:jc w:val="both"/>
        <w:rPr>
          <w:rFonts w:ascii="Times New Roman" w:hAnsi="Times New Roman" w:cs="Times New Roman"/>
        </w:rPr>
      </w:pPr>
      <w:r>
        <w:rPr>
          <w:rFonts w:ascii="Times New Roman" w:hAnsi="Times New Roman" w:cs="Times New Roman"/>
        </w:rPr>
        <w:t>Onboarding and socialisation are connected and different. While onboarding is about administrative tasks like contracts, access to systems and compliance training, socialisation is the more general process by which new staff become effective members of the organisation (Van Maanen and Schein, 1979). Studies show that the indirect effect of socialisation on outcomes is mediated by role clarity, self-efficacy and social acceptance of the role, which in turn positively impact on job satisfaction, commitment, job performance and retention (Bauer et al., 2007). The 8-month ramp-up period for Helios is therefore indicative of a lack of role clarity, not just in induction activities, but in the whole process. Moreover, Saks and Gruman (2018) believe that socialisation is a continuous, resource-based process that lasts for the entire first year on the job. Workers might experience breach when recruitment promises are not fulfilled, which can lead to greater levels of employee withdrawal as indicated by psychological contract theory (Rousseau, 1995). Also, socialisation processes in which the expression of oneself is encouraged rather than conformity lead to better retention and performance, which is especially important in an innovation-driven organization (Cable, Gino and Staats, 2013). The difference is summarised in table 1.</w:t>
      </w:r>
    </w:p>
    <w:p w14:paraId="25E6FC1C" w14:textId="15466A25" w:rsidR="00C63E0C" w:rsidRPr="001E64C5" w:rsidRDefault="00000000" w:rsidP="001E64C5">
      <w:pPr>
        <w:jc w:val="center"/>
        <w:rPr>
          <w:rFonts w:ascii="Times New Roman" w:hAnsi="Times New Roman" w:cs="Times New Roman"/>
          <w:b/>
          <w:bCs/>
          <w:sz w:val="20"/>
          <w:szCs w:val="20"/>
        </w:rPr>
      </w:pPr>
      <w:r>
        <w:rPr>
          <w:rFonts w:ascii="Times New Roman" w:hAnsi="Times New Roman" w:cs="Times New Roman"/>
          <w:b/>
          <w:bCs/>
          <w:i/>
          <w:iCs/>
          <w:sz w:val="20"/>
          <w:szCs w:val="20"/>
        </w:rPr>
        <w:t>Table 1: Traditional onboarding versus strategic organisational socialisation. (Source; Bauer et al., 2007; Cable, Gino and Staats, 2013; Saks and Gruman, 2018.)</w:t>
      </w:r>
    </w:p>
    <w:tbl>
      <w:tblPr>
        <w:tblStyle w:val="GridTable2"/>
        <w:tblW w:w="9026" w:type="dxa"/>
        <w:tblLook w:val="0000" w:firstRow="0" w:lastRow="0" w:firstColumn="0" w:lastColumn="0" w:noHBand="0" w:noVBand="0"/>
      </w:tblPr>
      <w:tblGrid>
        <w:gridCol w:w="2100"/>
        <w:gridCol w:w="3400"/>
        <w:gridCol w:w="3526"/>
      </w:tblGrid>
      <w:tr w:rsidR="00C63E0C" w:rsidRPr="001E64C5" w14:paraId="7910A30C" w14:textId="77777777" w:rsidTr="001E64C5">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100" w:type="dxa"/>
          </w:tcPr>
          <w:p w14:paraId="29627745"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b/>
                <w:bCs/>
              </w:rPr>
              <w:t>Dimension</w:t>
            </w:r>
          </w:p>
        </w:tc>
        <w:tc>
          <w:tcPr>
            <w:tcW w:w="3400" w:type="dxa"/>
          </w:tcPr>
          <w:p w14:paraId="41865547"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b/>
                <w:bCs/>
              </w:rPr>
              <w:t>Traditional onboarding</w:t>
            </w:r>
          </w:p>
        </w:tc>
        <w:tc>
          <w:tcPr>
            <w:cnfStyle w:val="000010000000" w:firstRow="0" w:lastRow="0" w:firstColumn="0" w:lastColumn="0" w:oddVBand="1" w:evenVBand="0" w:oddHBand="0" w:evenHBand="0" w:firstRowFirstColumn="0" w:firstRowLastColumn="0" w:lastRowFirstColumn="0" w:lastRowLastColumn="0"/>
            <w:tcW w:w="3526" w:type="dxa"/>
          </w:tcPr>
          <w:p w14:paraId="59825C02"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b/>
                <w:bCs/>
              </w:rPr>
              <w:t>Strategic socialisation</w:t>
            </w:r>
          </w:p>
        </w:tc>
      </w:tr>
      <w:tr w:rsidR="00C63E0C" w:rsidRPr="001E64C5" w14:paraId="633A3709" w14:textId="77777777" w:rsidTr="001E64C5">
        <w:tc>
          <w:tcPr>
            <w:cnfStyle w:val="000010000000" w:firstRow="0" w:lastRow="0" w:firstColumn="0" w:lastColumn="0" w:oddVBand="1" w:evenVBand="0" w:oddHBand="0" w:evenHBand="0" w:firstRowFirstColumn="0" w:firstRowLastColumn="0" w:lastRowFirstColumn="0" w:lastRowLastColumn="0"/>
            <w:tcW w:w="2100" w:type="dxa"/>
          </w:tcPr>
          <w:p w14:paraId="0E4BF9E6"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Purpose</w:t>
            </w:r>
          </w:p>
        </w:tc>
        <w:tc>
          <w:tcPr>
            <w:tcW w:w="3400" w:type="dxa"/>
          </w:tcPr>
          <w:p w14:paraId="13BEADD2"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Administrative compliance and orientation</w:t>
            </w:r>
          </w:p>
        </w:tc>
        <w:tc>
          <w:tcPr>
            <w:cnfStyle w:val="000010000000" w:firstRow="0" w:lastRow="0" w:firstColumn="0" w:lastColumn="0" w:oddVBand="1" w:evenVBand="0" w:oddHBand="0" w:evenHBand="0" w:firstRowFirstColumn="0" w:firstRowLastColumn="0" w:lastRowFirstColumn="0" w:lastRowLastColumn="0"/>
            <w:tcW w:w="3526" w:type="dxa"/>
          </w:tcPr>
          <w:p w14:paraId="151F0CC9"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Conversion of an outsider into a committed organisational citizen</w:t>
            </w:r>
          </w:p>
        </w:tc>
      </w:tr>
      <w:tr w:rsidR="00C63E0C" w:rsidRPr="001E64C5" w14:paraId="76894598" w14:textId="77777777" w:rsidTr="001E64C5">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100" w:type="dxa"/>
          </w:tcPr>
          <w:p w14:paraId="4B5E4111"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Time horizon</w:t>
            </w:r>
          </w:p>
        </w:tc>
        <w:tc>
          <w:tcPr>
            <w:tcW w:w="3400" w:type="dxa"/>
          </w:tcPr>
          <w:p w14:paraId="79F2F91F"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Days one to five</w:t>
            </w:r>
          </w:p>
        </w:tc>
        <w:tc>
          <w:tcPr>
            <w:cnfStyle w:val="000010000000" w:firstRow="0" w:lastRow="0" w:firstColumn="0" w:lastColumn="0" w:oddVBand="1" w:evenVBand="0" w:oddHBand="0" w:evenHBand="0" w:firstRowFirstColumn="0" w:firstRowLastColumn="0" w:lastRowFirstColumn="0" w:lastRowLastColumn="0"/>
            <w:tcW w:w="3526" w:type="dxa"/>
          </w:tcPr>
          <w:p w14:paraId="794C1331"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Offer acceptance to month twelve</w:t>
            </w:r>
          </w:p>
        </w:tc>
      </w:tr>
      <w:tr w:rsidR="00C63E0C" w:rsidRPr="001E64C5" w14:paraId="5036E814" w14:textId="77777777" w:rsidTr="001E64C5">
        <w:tc>
          <w:tcPr>
            <w:cnfStyle w:val="000010000000" w:firstRow="0" w:lastRow="0" w:firstColumn="0" w:lastColumn="0" w:oddVBand="1" w:evenVBand="0" w:oddHBand="0" w:evenHBand="0" w:firstRowFirstColumn="0" w:firstRowLastColumn="0" w:lastRowFirstColumn="0" w:lastRowLastColumn="0"/>
            <w:tcW w:w="2100" w:type="dxa"/>
          </w:tcPr>
          <w:p w14:paraId="0B3FCFBC"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Theory of change</w:t>
            </w:r>
          </w:p>
        </w:tc>
        <w:tc>
          <w:tcPr>
            <w:tcW w:w="3400" w:type="dxa"/>
          </w:tcPr>
          <w:p w14:paraId="2A1107FC"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Information transfer reduces confusion</w:t>
            </w:r>
          </w:p>
        </w:tc>
        <w:tc>
          <w:tcPr>
            <w:cnfStyle w:val="000010000000" w:firstRow="0" w:lastRow="0" w:firstColumn="0" w:lastColumn="0" w:oddVBand="1" w:evenVBand="0" w:oddHBand="0" w:evenHBand="0" w:firstRowFirstColumn="0" w:firstRowLastColumn="0" w:lastRowFirstColumn="0" w:lastRowLastColumn="0"/>
            <w:tcW w:w="3526" w:type="dxa"/>
          </w:tcPr>
          <w:p w14:paraId="6A6C1A39"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Adjustment (role clarity, self-efficacy, social acceptance) mediates all outcomes (Bauer et al., 2007)</w:t>
            </w:r>
          </w:p>
        </w:tc>
      </w:tr>
      <w:tr w:rsidR="00C63E0C" w:rsidRPr="001E64C5" w14:paraId="73F0A756" w14:textId="77777777" w:rsidTr="001E64C5">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100" w:type="dxa"/>
          </w:tcPr>
          <w:p w14:paraId="65722C44"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Treatment of identity</w:t>
            </w:r>
          </w:p>
        </w:tc>
        <w:tc>
          <w:tcPr>
            <w:tcW w:w="3400" w:type="dxa"/>
          </w:tcPr>
          <w:p w14:paraId="68192735"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Divestiture: fit in, adopt our norms</w:t>
            </w:r>
          </w:p>
        </w:tc>
        <w:tc>
          <w:tcPr>
            <w:cnfStyle w:val="000010000000" w:firstRow="0" w:lastRow="0" w:firstColumn="0" w:lastColumn="0" w:oddVBand="1" w:evenVBand="0" w:oddHBand="0" w:evenHBand="0" w:firstRowFirstColumn="0" w:firstRowLastColumn="0" w:lastRowFirstColumn="0" w:lastRowLastColumn="0"/>
            <w:tcW w:w="3526" w:type="dxa"/>
          </w:tcPr>
          <w:p w14:paraId="28021BC9"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Investiture: authentic self-expression is elicited and used (Cable, Gino and Staats, 2013)</w:t>
            </w:r>
          </w:p>
        </w:tc>
      </w:tr>
      <w:tr w:rsidR="00C63E0C" w:rsidRPr="001E64C5" w14:paraId="7526BF08" w14:textId="77777777" w:rsidTr="001E64C5">
        <w:tc>
          <w:tcPr>
            <w:cnfStyle w:val="000010000000" w:firstRow="0" w:lastRow="0" w:firstColumn="0" w:lastColumn="0" w:oddVBand="1" w:evenVBand="0" w:oddHBand="0" w:evenHBand="0" w:firstRowFirstColumn="0" w:firstRowLastColumn="0" w:lastRowFirstColumn="0" w:lastRowLastColumn="0"/>
            <w:tcW w:w="2100" w:type="dxa"/>
          </w:tcPr>
          <w:p w14:paraId="72508CB8"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Owner</w:t>
            </w:r>
          </w:p>
        </w:tc>
        <w:tc>
          <w:tcPr>
            <w:tcW w:w="3400" w:type="dxa"/>
          </w:tcPr>
          <w:p w14:paraId="17336010"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HR operations</w:t>
            </w:r>
          </w:p>
        </w:tc>
        <w:tc>
          <w:tcPr>
            <w:cnfStyle w:val="000010000000" w:firstRow="0" w:lastRow="0" w:firstColumn="0" w:lastColumn="0" w:oddVBand="1" w:evenVBand="0" w:oddHBand="0" w:evenHBand="0" w:firstRowFirstColumn="0" w:firstRowLastColumn="0" w:lastRowFirstColumn="0" w:lastRowLastColumn="0"/>
            <w:tcW w:w="3526" w:type="dxa"/>
          </w:tcPr>
          <w:p w14:paraId="28F90AF9"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Line manager, buddy, cohort and HR jointly</w:t>
            </w:r>
          </w:p>
        </w:tc>
      </w:tr>
      <w:tr w:rsidR="00C63E0C" w:rsidRPr="001E64C5" w14:paraId="09C52E54" w14:textId="77777777" w:rsidTr="001E64C5">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100" w:type="dxa"/>
          </w:tcPr>
          <w:p w14:paraId="6A7B882B"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Typical metric</w:t>
            </w:r>
          </w:p>
        </w:tc>
        <w:tc>
          <w:tcPr>
            <w:tcW w:w="3400" w:type="dxa"/>
          </w:tcPr>
          <w:p w14:paraId="2023D9FA"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Induction completion rate</w:t>
            </w:r>
          </w:p>
        </w:tc>
        <w:tc>
          <w:tcPr>
            <w:cnfStyle w:val="000010000000" w:firstRow="0" w:lastRow="0" w:firstColumn="0" w:lastColumn="0" w:oddVBand="1" w:evenVBand="0" w:oddHBand="0" w:evenHBand="0" w:firstRowFirstColumn="0" w:firstRowLastColumn="0" w:lastRowFirstColumn="0" w:lastRowLastColumn="0"/>
            <w:tcW w:w="3526" w:type="dxa"/>
          </w:tcPr>
          <w:p w14:paraId="1A6E0511"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Time-to-proficiency; 12-month retention; identification; contract fulfilment</w:t>
            </w:r>
          </w:p>
        </w:tc>
      </w:tr>
      <w:tr w:rsidR="00C63E0C" w:rsidRPr="001E64C5" w14:paraId="351A1E08" w14:textId="77777777" w:rsidTr="001E64C5">
        <w:tc>
          <w:tcPr>
            <w:cnfStyle w:val="000010000000" w:firstRow="0" w:lastRow="0" w:firstColumn="0" w:lastColumn="0" w:oddVBand="1" w:evenVBand="0" w:oddHBand="0" w:evenHBand="0" w:firstRowFirstColumn="0" w:firstRowLastColumn="0" w:lastRowFirstColumn="0" w:lastRowLastColumn="0"/>
            <w:tcW w:w="2100" w:type="dxa"/>
          </w:tcPr>
          <w:p w14:paraId="6C8EF520"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Failure mode at Helios</w:t>
            </w:r>
          </w:p>
        </w:tc>
        <w:tc>
          <w:tcPr>
            <w:tcW w:w="3400" w:type="dxa"/>
          </w:tcPr>
          <w:p w14:paraId="435EB7B3"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Eight-month ramp; graduate exit at month 9-12</w:t>
            </w:r>
          </w:p>
        </w:tc>
        <w:tc>
          <w:tcPr>
            <w:cnfStyle w:val="000010000000" w:firstRow="0" w:lastRow="0" w:firstColumn="0" w:lastColumn="0" w:oddVBand="1" w:evenVBand="0" w:oddHBand="0" w:evenHBand="0" w:firstRowFirstColumn="0" w:firstRowLastColumn="0" w:lastRowFirstColumn="0" w:lastRowLastColumn="0"/>
            <w:tcW w:w="3526" w:type="dxa"/>
          </w:tcPr>
          <w:p w14:paraId="23BA173C"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Mitigated by front-loaded adjustment and contract review points</w:t>
            </w:r>
          </w:p>
        </w:tc>
      </w:tr>
    </w:tbl>
    <w:p w14:paraId="45FEEC74" w14:textId="75BC3912" w:rsidR="00C63E0C" w:rsidRPr="001E64C5" w:rsidRDefault="00000000" w:rsidP="001E64C5">
      <w:pPr>
        <w:pStyle w:val="Heading2"/>
      </w:pPr>
      <w:bookmarkStart w:id="3" w:name="_Toc235148773"/>
      <w:r>
        <w:t>A structured socialisation framework for Helios</w:t>
      </w:r>
      <w:bookmarkEnd w:id="3"/>
    </w:p>
    <w:p w14:paraId="755C565E" w14:textId="2705C2B0" w:rsidR="00F90678" w:rsidRPr="001E64C5" w:rsidRDefault="00F90678" w:rsidP="001E64C5">
      <w:pPr>
        <w:jc w:val="both"/>
        <w:rPr>
          <w:rFonts w:ascii="Times New Roman" w:hAnsi="Times New Roman" w:cs="Times New Roman"/>
        </w:rPr>
      </w:pPr>
      <w:r>
        <w:rPr>
          <w:rFonts w:ascii="Times New Roman" w:hAnsi="Times New Roman" w:cs="Times New Roman"/>
        </w:rPr>
        <w:t>The suggested architecture is deliberately hybrid and is shown in Figure 2 and detailed in Table 2. It is institutionalized, sequential, fixed and serial – on the content dimensions of Van Maanen's and Schein's taxonomy since that is what it offers in terms of clarity of role and solving the ramp-up problem. Social and identity aspects are individualised-investiture based, as they help safeguard authentic elements essential for Helios' innovation. Most practice views these as one thing or another that can be rotated in either direction; the case for their separate consideration is that role ambiguity and identity suppression are two different pathologies that have different treatments.</w:t>
      </w:r>
    </w:p>
    <w:p w14:paraId="2C9E6906" w14:textId="3B251324" w:rsidR="00C63E0C" w:rsidRPr="001E64C5" w:rsidRDefault="00CC6722" w:rsidP="001E64C5">
      <w:pPr>
        <w:jc w:val="both"/>
        <w:rPr>
          <w:rFonts w:ascii="Times New Roman" w:hAnsi="Times New Roman" w:cs="Times New Roman"/>
        </w:rPr>
      </w:pPr>
      <w:r>
        <w:rPr>
          <w:rFonts w:ascii="Times New Roman" w:hAnsi="Times New Roman" w:cs="Times New Roman"/>
          <w:noProof/>
        </w:rPr>
        <w:drawing>
          <wp:inline distT="0" distB="0" distL="0" distR="0" wp14:anchorId="491081EA" wp14:editId="61132DD3">
            <wp:extent cx="5829831" cy="3200400"/>
            <wp:effectExtent l="0" t="0" r="0" b="0"/>
            <wp:docPr id="11387516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35676" cy="3203608"/>
                    </a:xfrm>
                    <a:prstGeom prst="rect">
                      <a:avLst/>
                    </a:prstGeom>
                    <a:noFill/>
                    <a:ln>
                      <a:noFill/>
                    </a:ln>
                  </pic:spPr>
                </pic:pic>
              </a:graphicData>
            </a:graphic>
          </wp:inline>
        </w:drawing>
      </w:r>
    </w:p>
    <w:p w14:paraId="542FE04C" w14:textId="21D7625C" w:rsidR="00C63E0C" w:rsidRPr="001E64C5" w:rsidRDefault="00000000" w:rsidP="001E64C5">
      <w:pPr>
        <w:jc w:val="center"/>
        <w:rPr>
          <w:rFonts w:ascii="Times New Roman" w:hAnsi="Times New Roman" w:cs="Times New Roman"/>
          <w:b/>
          <w:bCs/>
          <w:i/>
          <w:iCs/>
          <w:sz w:val="20"/>
          <w:szCs w:val="20"/>
        </w:rPr>
      </w:pPr>
      <w:r>
        <w:rPr>
          <w:rFonts w:ascii="Times New Roman" w:hAnsi="Times New Roman" w:cs="Times New Roman"/>
          <w:b/>
          <w:bCs/>
          <w:i/>
          <w:iCs/>
          <w:sz w:val="20"/>
          <w:szCs w:val="20"/>
        </w:rPr>
        <w:t>Figure 2: Proposed strategic socialisation architecture for Helios (pre-boarding to year one).</w:t>
      </w:r>
    </w:p>
    <w:p w14:paraId="1E21976C" w14:textId="4A1AF9A4" w:rsidR="00F90678" w:rsidRPr="001E64C5" w:rsidRDefault="00F90678" w:rsidP="001E64C5">
      <w:pPr>
        <w:jc w:val="both"/>
        <w:rPr>
          <w:rFonts w:ascii="Times New Roman" w:hAnsi="Times New Roman" w:cs="Times New Roman"/>
        </w:rPr>
      </w:pPr>
      <w:r>
        <w:rPr>
          <w:rFonts w:ascii="Times New Roman" w:hAnsi="Times New Roman" w:cs="Times New Roman"/>
        </w:rPr>
        <w:t>Pre-boarding (weeks 4 to 0) is the end of the offer-to-start period during which psychological contract breach is gradually taking place. Newcomers are handed an identity-first pack and they are asked to fill out a brief 'best-self' reflection, which is read to them by their manager and their buddy, operationalising Cable et al. (2013) finding at low costs. The three adjustment variables – role clarity (written role charter with outcomes for 30/60/90 days), self-efficacy (living with a client micro-project in week 2) and task significance (client micro-project in week 2) – are front-loaded in the first ninety days, along with a cross-site London–Berlin–Singapore cohort which acts as a direct counterweight to geographic silos (social acceptance). Two obvious checkpoints for the psychological contract in the course of the contract - at weeks 6 and 12 - ask what was expected and what has been received - making the implicit contract manageable (Rousseau, 1995). Once in Year one, it no longer is about adjustment; it is about citizenship, with an Ethics Clinic, a first internal talent-marketplace assignment, a city-impact sprint at month nine and a re-contracting conversation at month twelve.</w:t>
      </w:r>
    </w:p>
    <w:p w14:paraId="1FEAFFB1" w14:textId="68E04564" w:rsidR="00C63E0C" w:rsidRPr="001E64C5" w:rsidRDefault="00000000" w:rsidP="001E64C5">
      <w:pPr>
        <w:jc w:val="center"/>
        <w:rPr>
          <w:rFonts w:ascii="Times New Roman" w:hAnsi="Times New Roman" w:cs="Times New Roman"/>
          <w:b/>
          <w:bCs/>
          <w:sz w:val="20"/>
          <w:szCs w:val="20"/>
        </w:rPr>
      </w:pPr>
      <w:r>
        <w:rPr>
          <w:rFonts w:ascii="Times New Roman" w:hAnsi="Times New Roman" w:cs="Times New Roman"/>
          <w:b/>
          <w:bCs/>
          <w:i/>
          <w:iCs/>
          <w:sz w:val="20"/>
          <w:szCs w:val="20"/>
        </w:rPr>
        <w:t>Table 2: The Helios socialisation framework – phases, mechanisms, theory and measures.</w:t>
      </w:r>
    </w:p>
    <w:tbl>
      <w:tblPr>
        <w:tblStyle w:val="GridTable5Dark-Accent5"/>
        <w:tblW w:w="9026" w:type="dxa"/>
        <w:tblLook w:val="0000" w:firstRow="0" w:lastRow="0" w:firstColumn="0" w:lastColumn="0" w:noHBand="0" w:noVBand="0"/>
      </w:tblPr>
      <w:tblGrid>
        <w:gridCol w:w="1500"/>
        <w:gridCol w:w="2900"/>
        <w:gridCol w:w="2300"/>
        <w:gridCol w:w="2326"/>
      </w:tblGrid>
      <w:tr w:rsidR="00C63E0C" w:rsidRPr="001E64C5" w14:paraId="602EF3A9" w14:textId="77777777" w:rsidTr="001E64C5">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500" w:type="dxa"/>
          </w:tcPr>
          <w:p w14:paraId="155FDFED"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b/>
                <w:bCs/>
              </w:rPr>
              <w:t>Phase</w:t>
            </w:r>
          </w:p>
        </w:tc>
        <w:tc>
          <w:tcPr>
            <w:tcW w:w="2900" w:type="dxa"/>
          </w:tcPr>
          <w:p w14:paraId="1A1E4A89"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b/>
                <w:bCs/>
              </w:rPr>
              <w:t>Core mechanisms</w:t>
            </w:r>
          </w:p>
        </w:tc>
        <w:tc>
          <w:tcPr>
            <w:cnfStyle w:val="000010000000" w:firstRow="0" w:lastRow="0" w:firstColumn="0" w:lastColumn="0" w:oddVBand="1" w:evenVBand="0" w:oddHBand="0" w:evenHBand="0" w:firstRowFirstColumn="0" w:firstRowLastColumn="0" w:lastRowFirstColumn="0" w:lastRowLastColumn="0"/>
            <w:tcW w:w="2300" w:type="dxa"/>
          </w:tcPr>
          <w:p w14:paraId="171E2F88"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b/>
                <w:bCs/>
              </w:rPr>
              <w:t>Theoretical justification</w:t>
            </w:r>
          </w:p>
        </w:tc>
        <w:tc>
          <w:tcPr>
            <w:tcW w:w="2326" w:type="dxa"/>
          </w:tcPr>
          <w:p w14:paraId="7C122C00"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b/>
                <w:bCs/>
              </w:rPr>
              <w:t>Measure (target)</w:t>
            </w:r>
          </w:p>
        </w:tc>
      </w:tr>
      <w:tr w:rsidR="00C63E0C" w:rsidRPr="001E64C5" w14:paraId="5280AD2E" w14:textId="77777777" w:rsidTr="001E64C5">
        <w:tc>
          <w:tcPr>
            <w:cnfStyle w:val="000010000000" w:firstRow="0" w:lastRow="0" w:firstColumn="0" w:lastColumn="0" w:oddVBand="1" w:evenVBand="0" w:oddHBand="0" w:evenHBand="0" w:firstRowFirstColumn="0" w:firstRowLastColumn="0" w:lastRowFirstColumn="0" w:lastRowLastColumn="0"/>
            <w:tcW w:w="1500" w:type="dxa"/>
          </w:tcPr>
          <w:p w14:paraId="04467762"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Pre-boarding (weeks −4 to 0)</w:t>
            </w:r>
          </w:p>
        </w:tc>
        <w:tc>
          <w:tcPr>
            <w:tcW w:w="2900" w:type="dxa"/>
          </w:tcPr>
          <w:p w14:paraId="1E5EAE0A"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Identity-first pack; 'best-self' reflection; buddy assigned; equipment shipped</w:t>
            </w:r>
          </w:p>
        </w:tc>
        <w:tc>
          <w:tcPr>
            <w:cnfStyle w:val="000010000000" w:firstRow="0" w:lastRow="0" w:firstColumn="0" w:lastColumn="0" w:oddVBand="1" w:evenVBand="0" w:oddHBand="0" w:evenHBand="0" w:firstRowFirstColumn="0" w:firstRowLastColumn="0" w:lastRowFirstColumn="0" w:lastRowLastColumn="0"/>
            <w:tcW w:w="2300" w:type="dxa"/>
          </w:tcPr>
          <w:p w14:paraId="31477B64"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Authentic self-expression (Cable, Gino and Staats, 2013); early contract formation (Rousseau, 1995)</w:t>
            </w:r>
          </w:p>
        </w:tc>
        <w:tc>
          <w:tcPr>
            <w:tcW w:w="2326" w:type="dxa"/>
          </w:tcPr>
          <w:p w14:paraId="1E55894A"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Offer-to-start dropout (&lt;2%); day-1 readiness (100%)</w:t>
            </w:r>
          </w:p>
        </w:tc>
      </w:tr>
      <w:tr w:rsidR="00C63E0C" w:rsidRPr="001E64C5" w14:paraId="032C4205" w14:textId="77777777" w:rsidTr="001E64C5">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500" w:type="dxa"/>
          </w:tcPr>
          <w:p w14:paraId="2D809AA0"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First 90 days</w:t>
            </w:r>
          </w:p>
        </w:tc>
        <w:tc>
          <w:tcPr>
            <w:tcW w:w="2900" w:type="dxa"/>
          </w:tcPr>
          <w:p w14:paraId="39B8A898"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Role charter with 30/60/90 outcomes; live city micro-project by week 2; cross-site cohort; contract review at wk 6 and 12</w:t>
            </w:r>
          </w:p>
        </w:tc>
        <w:tc>
          <w:tcPr>
            <w:cnfStyle w:val="000010000000" w:firstRow="0" w:lastRow="0" w:firstColumn="0" w:lastColumn="0" w:oddVBand="1" w:evenVBand="0" w:oddHBand="0" w:evenHBand="0" w:firstRowFirstColumn="0" w:firstRowLastColumn="0" w:lastRowFirstColumn="0" w:lastRowLastColumn="0"/>
            <w:tcW w:w="2300" w:type="dxa"/>
          </w:tcPr>
          <w:p w14:paraId="7C289918"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Adjustment mediators – role clarity, self-efficacy, social acceptance (Bauer et al., 2007); socialisation resources (Saks and Gruman, 2018)</w:t>
            </w:r>
          </w:p>
        </w:tc>
        <w:tc>
          <w:tcPr>
            <w:tcW w:w="2326" w:type="dxa"/>
          </w:tcPr>
          <w:p w14:paraId="3C8631AB"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Time-to-proficiency (8 → 4 months); role-clarity score (&gt;4.5/5)</w:t>
            </w:r>
          </w:p>
        </w:tc>
      </w:tr>
      <w:tr w:rsidR="00C63E0C" w:rsidRPr="001E64C5" w14:paraId="16BE0B5C" w14:textId="77777777" w:rsidTr="001E64C5">
        <w:tc>
          <w:tcPr>
            <w:cnfStyle w:val="000010000000" w:firstRow="0" w:lastRow="0" w:firstColumn="0" w:lastColumn="0" w:oddVBand="1" w:evenVBand="0" w:oddHBand="0" w:evenHBand="0" w:firstRowFirstColumn="0" w:firstRowLastColumn="0" w:lastRowFirstColumn="0" w:lastRowLastColumn="0"/>
            <w:tcW w:w="1500" w:type="dxa"/>
          </w:tcPr>
          <w:p w14:paraId="53ED6593"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Year one</w:t>
            </w:r>
          </w:p>
        </w:tc>
        <w:tc>
          <w:tcPr>
            <w:tcW w:w="2900" w:type="dxa"/>
          </w:tcPr>
          <w:p w14:paraId="555E953D"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Ethics clinic; talent-marketplace gig; licensed job crafting; month-9 city-impact sprint; month-12 re-contracting</w:t>
            </w:r>
          </w:p>
        </w:tc>
        <w:tc>
          <w:tcPr>
            <w:cnfStyle w:val="000010000000" w:firstRow="0" w:lastRow="0" w:firstColumn="0" w:lastColumn="0" w:oddVBand="1" w:evenVBand="0" w:oddHBand="0" w:evenHBand="0" w:firstRowFirstColumn="0" w:firstRowLastColumn="0" w:lastRowFirstColumn="0" w:lastRowLastColumn="0"/>
            <w:tcW w:w="2300" w:type="dxa"/>
          </w:tcPr>
          <w:p w14:paraId="28903807"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Organisational identification (Ashforth and Mael, 1989); outside-in HR (Ulrich and Dulebohn, 2015)</w:t>
            </w:r>
          </w:p>
        </w:tc>
        <w:tc>
          <w:tcPr>
            <w:tcW w:w="2326" w:type="dxa"/>
          </w:tcPr>
          <w:p w14:paraId="3FC2297A"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12-month graduate retention (61% → 88%); identification score</w:t>
            </w:r>
          </w:p>
        </w:tc>
      </w:tr>
    </w:tbl>
    <w:p w14:paraId="13C67A54" w14:textId="3DB18B15" w:rsidR="00C63E0C" w:rsidRPr="001E64C5" w:rsidRDefault="00000000" w:rsidP="001E64C5">
      <w:pPr>
        <w:pStyle w:val="Heading2"/>
      </w:pPr>
      <w:bookmarkStart w:id="4" w:name="_Toc235148774"/>
      <w:r>
        <w:t>Cultivating identification, ethical professionalism and the business activist mindset</w:t>
      </w:r>
      <w:bookmarkEnd w:id="4"/>
    </w:p>
    <w:p w14:paraId="6E97B535" w14:textId="77777777" w:rsidR="00CC6722" w:rsidRPr="001E64C5" w:rsidRDefault="00CC6722" w:rsidP="001E64C5">
      <w:pPr>
        <w:jc w:val="both"/>
        <w:rPr>
          <w:rFonts w:ascii="Times New Roman" w:hAnsi="Times New Roman" w:cs="Times New Roman"/>
        </w:rPr>
      </w:pPr>
      <w:r>
        <w:rPr>
          <w:rFonts w:ascii="Times New Roman" w:hAnsi="Times New Roman" w:cs="Times New Roman"/>
        </w:rPr>
        <w:t>Building organisational identification through aligning employees' work with tangible outcomes in the city. The more the organisation is distinctive, prestigious and salient, the more identification will increase, following Ashforth and Mael (1989). Every member of staff at Helios would get their first project related to quantifiable results like CO₂ reduction or journey-time savings and the results would be made public internally to boost impact and prestige. Cross-site cohorts would also support the formation of a stronger sense of "Helios-ness" over each specific office.</w:t>
      </w:r>
    </w:p>
    <w:p w14:paraId="11195AFE" w14:textId="4D0FABCA" w:rsidR="00CC6722" w:rsidRPr="001E64C5" w:rsidRDefault="00CC6722" w:rsidP="001E64C5">
      <w:pPr>
        <w:jc w:val="both"/>
        <w:rPr>
          <w:rFonts w:ascii="Times New Roman" w:hAnsi="Times New Roman" w:cs="Times New Roman"/>
        </w:rPr>
      </w:pPr>
      <w:r>
        <w:rPr>
          <w:rFonts w:ascii="Times New Roman" w:hAnsi="Times New Roman" w:cs="Times New Roman"/>
        </w:rPr>
        <w:t xml:space="preserve"> Ethical professionalism is also a key element, as Helios works on the development of AI systems that affect public services. Ethics should not be just a compliance measure, as per the EU Artificial Intelligence Act (European Union, 2024). Ethics clinics (sponsored at board level, with quarterly meetings) would enable staff to have discussions about real deployments challenges, and ethical judgement would be included in promotion criteria, thus ensuring responsible attitudes. Helios may adopt an outside-in stakeholder approach (Ulrich, 1997; Freeman, 1984), to promote entrepreneurial spirit. Rotations of stakeholders in client cities and an internal challenge forum would foster innovative and public-interest thinking. But if employees put in a suggestion, it has to be acted on within 30 days by a formal letter from the board or they will not feel their suggestion was given any credence or they will feel disaffiliated and not engaged.</w:t>
      </w:r>
    </w:p>
    <w:p w14:paraId="15C754BA" w14:textId="56075E9A" w:rsidR="00C63E0C" w:rsidRPr="001E64C5" w:rsidRDefault="00000000" w:rsidP="001E64C5">
      <w:pPr>
        <w:pStyle w:val="Heading1"/>
      </w:pPr>
      <w:bookmarkStart w:id="5" w:name="_Toc235148775"/>
      <w:r>
        <w:t>Task B: Job Design</w:t>
      </w:r>
      <w:bookmarkEnd w:id="5"/>
    </w:p>
    <w:p w14:paraId="1B0A140D" w14:textId="1FE214A0" w:rsidR="00C63E0C" w:rsidRPr="001E64C5" w:rsidRDefault="00000000" w:rsidP="001E64C5">
      <w:pPr>
        <w:pStyle w:val="Heading2"/>
      </w:pPr>
      <w:bookmarkStart w:id="6" w:name="_Toc235148776"/>
      <w:r>
        <w:t>Diagnosing the current design</w:t>
      </w:r>
      <w:bookmarkEnd w:id="6"/>
    </w:p>
    <w:p w14:paraId="021C44E2" w14:textId="43954248" w:rsidR="00F90678" w:rsidRPr="001E64C5" w:rsidRDefault="00F90678" w:rsidP="001E64C5">
      <w:pPr>
        <w:jc w:val="both"/>
        <w:rPr>
          <w:rFonts w:ascii="Times New Roman" w:hAnsi="Times New Roman" w:cs="Times New Roman"/>
        </w:rPr>
      </w:pPr>
      <w:r>
        <w:rPr>
          <w:rFonts w:ascii="Times New Roman" w:hAnsi="Times New Roman" w:cs="Times New Roman"/>
        </w:rPr>
        <w:t>Hackman and Oldham (1976) have suggested that the five Job Characteristics (JC) give rise to three important psychological states (PS): experienced meaningfulness, experienced responsibility, and knowledge of results, which are mediated by growth-need strength (GNS) and lead to intrinsic motivation. Importantly, the Motivating Potential Score is compounded with both autonomy and feedback; that is, if either is poor, the score is poor overall regardless of how good the other is. For Helios, it's the engineering and analytics positions as shown in Figure 3.</w:t>
      </w:r>
    </w:p>
    <w:p w14:paraId="36B7F5AC" w14:textId="0DD20AE2" w:rsidR="00C63E0C" w:rsidRPr="001E64C5" w:rsidRDefault="001E64C5" w:rsidP="001E64C5">
      <w:pPr>
        <w:jc w:val="both"/>
        <w:rPr>
          <w:rFonts w:ascii="Times New Roman" w:hAnsi="Times New Roman" w:cs="Times New Roman"/>
        </w:rPr>
      </w:pPr>
      <w:r>
        <w:rPr>
          <w:noProof/>
        </w:rPr>
        <w:drawing>
          <wp:inline distT="0" distB="0" distL="0" distR="0" wp14:anchorId="45F32CE8" wp14:editId="35BAF9F0">
            <wp:extent cx="5731510" cy="3009900"/>
            <wp:effectExtent l="0" t="0" r="2540" b="0"/>
            <wp:docPr id="18719843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009900"/>
                    </a:xfrm>
                    <a:prstGeom prst="rect">
                      <a:avLst/>
                    </a:prstGeom>
                    <a:noFill/>
                    <a:ln>
                      <a:noFill/>
                    </a:ln>
                  </pic:spPr>
                </pic:pic>
              </a:graphicData>
            </a:graphic>
          </wp:inline>
        </w:drawing>
      </w:r>
    </w:p>
    <w:p w14:paraId="4A5886CC" w14:textId="4D93C69B" w:rsidR="00C63E0C" w:rsidRPr="001E64C5" w:rsidRDefault="00000000" w:rsidP="001E64C5">
      <w:pPr>
        <w:jc w:val="center"/>
        <w:rPr>
          <w:rFonts w:ascii="Times New Roman" w:hAnsi="Times New Roman" w:cs="Times New Roman"/>
          <w:b/>
          <w:bCs/>
          <w:i/>
          <w:iCs/>
          <w:sz w:val="20"/>
          <w:szCs w:val="20"/>
        </w:rPr>
      </w:pPr>
      <w:r>
        <w:rPr>
          <w:rFonts w:ascii="Times New Roman" w:hAnsi="Times New Roman" w:cs="Times New Roman"/>
          <w:b/>
          <w:bCs/>
          <w:i/>
          <w:iCs/>
          <w:sz w:val="20"/>
          <w:szCs w:val="20"/>
        </w:rPr>
        <w:t>Figure 3: Job Characteristics Model profile and Motivating Potential Score – current versus proposed. (Hackman and Oldham, 1976.)</w:t>
      </w:r>
    </w:p>
    <w:p w14:paraId="2E8DB99F" w14:textId="0EF1BEE8" w:rsidR="00F90678" w:rsidRPr="001E64C5" w:rsidRDefault="00F90678" w:rsidP="001E64C5">
      <w:pPr>
        <w:jc w:val="both"/>
        <w:rPr>
          <w:rFonts w:ascii="Times New Roman" w:hAnsi="Times New Roman" w:cs="Times New Roman"/>
        </w:rPr>
      </w:pPr>
      <w:r>
        <w:rPr>
          <w:rFonts w:ascii="Times New Roman" w:hAnsi="Times New Roman" w:cs="Times New Roman"/>
        </w:rPr>
        <w:t xml:space="preserve">The diagnosis is that Helios scores well for those aspects of the mission that do the work, such as skill variety and task significance, and poorly for those same facets of the mission, but with multiplicative terms. Task identity is not consolidated due to sprint-ticket working and no one is responsible for complete deployment. The autonomy is limited by standard public-sector requirements. Feedback comes in quite a few months in a report from a client, that few engineers read. The resulting Motivating Potential Score is approximately a 20% of what a re-designed role could score. Although the JCM is an incomplete diagnostic, Humphrey's et al. (2007) meta-analysis shows that the social work characteristics add incremental variance to the motivational characteristics, so a purely task-level intervention would be under-delivering, which is why the design below is social as well as structural. </w:t>
      </w:r>
    </w:p>
    <w:p w14:paraId="04C732BA" w14:textId="39EB3A96" w:rsidR="00F90678" w:rsidRPr="001E64C5" w:rsidRDefault="00F90678" w:rsidP="001E64C5">
      <w:pPr>
        <w:pStyle w:val="Heading2"/>
      </w:pPr>
      <w:bookmarkStart w:id="7" w:name="_Toc235148777"/>
      <w:r>
        <w:t>Proposed job design architecture:</w:t>
      </w:r>
      <w:bookmarkEnd w:id="7"/>
    </w:p>
    <w:p w14:paraId="7DBEE7C9" w14:textId="72F86286" w:rsidR="00F90678" w:rsidRPr="001E64C5" w:rsidRDefault="00F90678" w:rsidP="001E64C5">
      <w:pPr>
        <w:jc w:val="both"/>
        <w:rPr>
          <w:rFonts w:ascii="Times New Roman" w:hAnsi="Times New Roman" w:cs="Times New Roman"/>
        </w:rPr>
      </w:pPr>
      <w:r>
        <w:rPr>
          <w:rFonts w:ascii="Times New Roman" w:hAnsi="Times New Roman" w:cs="Times New Roman"/>
        </w:rPr>
        <w:t xml:space="preserve"> Helios should adopt a three-layer talent architecture. First, a structure based on skills, and not job titles, would redefine roles in terms of skills and accountability. Deloitte research reveals that skills-based organisations are better at talent placement and at attracting and keeping high performers (Cantrell et al., 2022). This might help to decrease the number of graduate students dropping out because they will be offered a wider range of development opportunities. Secondly, allocate approximately 20% of your organisational resources to cross functional and cross site projects for an 8–12-week period, in an internal talent marketplace. These types of projects boost task identity and skill variety, as staff members are able to handle tasks from beginning to end. A manager release quota and a system for equity monitoring must be implemented to ensure fairness and prevent favouritism. The use of AI to assist in matching should be considered in an advisory capacity only, and managers should make the final decision, as despite the presence of bias controls, algorithmic systems can have adverse effects on work quality (Charlwood and Guenole, 2022). Thirdly, job crafting should be a formal process. Based on the research of Wrzesniewski and Dutton (2001), discussions regarding the enhancement of resources and challenge of work should occur quarterly with all employees and be documented and have development plans.</w:t>
      </w:r>
    </w:p>
    <w:p w14:paraId="32FB82AD" w14:textId="5FB484B6" w:rsidR="00C63E0C" w:rsidRPr="001E64C5" w:rsidRDefault="00000000" w:rsidP="001E64C5">
      <w:pPr>
        <w:jc w:val="center"/>
        <w:rPr>
          <w:rFonts w:ascii="Times New Roman" w:hAnsi="Times New Roman" w:cs="Times New Roman"/>
          <w:b/>
          <w:bCs/>
          <w:sz w:val="20"/>
          <w:szCs w:val="20"/>
        </w:rPr>
      </w:pPr>
      <w:r>
        <w:rPr>
          <w:rFonts w:ascii="Times New Roman" w:hAnsi="Times New Roman" w:cs="Times New Roman"/>
          <w:b/>
          <w:bCs/>
          <w:i/>
          <w:iCs/>
          <w:sz w:val="20"/>
          <w:szCs w:val="20"/>
        </w:rPr>
        <w:t>Table 3: Proposed job design architecture for Helios. (Source: Wrzesniewski and Dutton, 2001; Cantrell et al., 2022.)</w:t>
      </w:r>
    </w:p>
    <w:tbl>
      <w:tblPr>
        <w:tblStyle w:val="GridTable5Dark-Accent6"/>
        <w:tblW w:w="9026" w:type="dxa"/>
        <w:tblLook w:val="0000" w:firstRow="0" w:lastRow="0" w:firstColumn="0" w:lastColumn="0" w:noHBand="0" w:noVBand="0"/>
      </w:tblPr>
      <w:tblGrid>
        <w:gridCol w:w="1900"/>
        <w:gridCol w:w="2600"/>
        <w:gridCol w:w="2200"/>
        <w:gridCol w:w="2326"/>
      </w:tblGrid>
      <w:tr w:rsidR="00C63E0C" w:rsidRPr="001E64C5" w14:paraId="09C794EE" w14:textId="77777777" w:rsidTr="001E64C5">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900" w:type="dxa"/>
          </w:tcPr>
          <w:p w14:paraId="75D0E76F"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b/>
                <w:bCs/>
              </w:rPr>
              <w:t>Layer</w:t>
            </w:r>
          </w:p>
        </w:tc>
        <w:tc>
          <w:tcPr>
            <w:tcW w:w="2600" w:type="dxa"/>
          </w:tcPr>
          <w:p w14:paraId="6A4B7D31"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b/>
                <w:bCs/>
              </w:rPr>
              <w:t>Intervention</w:t>
            </w:r>
          </w:p>
        </w:tc>
        <w:tc>
          <w:tcPr>
            <w:cnfStyle w:val="000010000000" w:firstRow="0" w:lastRow="0" w:firstColumn="0" w:lastColumn="0" w:oddVBand="1" w:evenVBand="0" w:oddHBand="0" w:evenHBand="0" w:firstRowFirstColumn="0" w:firstRowLastColumn="0" w:lastRowFirstColumn="0" w:lastRowLastColumn="0"/>
            <w:tcW w:w="2200" w:type="dxa"/>
          </w:tcPr>
          <w:p w14:paraId="6D0EA1FB"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b/>
                <w:bCs/>
              </w:rPr>
              <w:t>JCM dimension targeted</w:t>
            </w:r>
          </w:p>
        </w:tc>
        <w:tc>
          <w:tcPr>
            <w:tcW w:w="2326" w:type="dxa"/>
          </w:tcPr>
          <w:p w14:paraId="65690A93"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b/>
                <w:bCs/>
              </w:rPr>
              <w:t>Designed-out risk</w:t>
            </w:r>
          </w:p>
        </w:tc>
      </w:tr>
      <w:tr w:rsidR="00C63E0C" w:rsidRPr="001E64C5" w14:paraId="1FDBAB53" w14:textId="77777777" w:rsidTr="001E64C5">
        <w:tc>
          <w:tcPr>
            <w:cnfStyle w:val="000010000000" w:firstRow="0" w:lastRow="0" w:firstColumn="0" w:lastColumn="0" w:oddVBand="1" w:evenVBand="0" w:oddHBand="0" w:evenHBand="0" w:firstRowFirstColumn="0" w:firstRowLastColumn="0" w:lastRowFirstColumn="0" w:lastRowLastColumn="0"/>
            <w:tcW w:w="1900" w:type="dxa"/>
          </w:tcPr>
          <w:p w14:paraId="48A914AD"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Skills-based architecture</w:t>
            </w:r>
          </w:p>
        </w:tc>
        <w:tc>
          <w:tcPr>
            <w:tcW w:w="2600" w:type="dxa"/>
          </w:tcPr>
          <w:p w14:paraId="198AFCC1"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Job titles deconstructed into a skills taxonomy; roles as skill portfolios plus accountabilities</w:t>
            </w:r>
          </w:p>
        </w:tc>
        <w:tc>
          <w:tcPr>
            <w:cnfStyle w:val="000010000000" w:firstRow="0" w:lastRow="0" w:firstColumn="0" w:lastColumn="0" w:oddVBand="1" w:evenVBand="0" w:oddHBand="0" w:evenHBand="0" w:firstRowFirstColumn="0" w:firstRowLastColumn="0" w:lastRowFirstColumn="0" w:lastRowLastColumn="0"/>
            <w:tcW w:w="2200" w:type="dxa"/>
          </w:tcPr>
          <w:p w14:paraId="040F2BAB"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Skill variety; competence signalling</w:t>
            </w:r>
          </w:p>
        </w:tc>
        <w:tc>
          <w:tcPr>
            <w:tcW w:w="2326" w:type="dxa"/>
          </w:tcPr>
          <w:p w14:paraId="550AF166"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Title inflation; credential-led screening of diverse talent</w:t>
            </w:r>
          </w:p>
        </w:tc>
      </w:tr>
      <w:tr w:rsidR="00C63E0C" w:rsidRPr="001E64C5" w14:paraId="2334E697" w14:textId="77777777" w:rsidTr="001E64C5">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900" w:type="dxa"/>
          </w:tcPr>
          <w:p w14:paraId="49485DC0"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Internal talent marketplace</w:t>
            </w:r>
          </w:p>
        </w:tc>
        <w:tc>
          <w:tcPr>
            <w:tcW w:w="2600" w:type="dxa"/>
          </w:tcPr>
          <w:p w14:paraId="78417D57"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~20% of capacity posted as 8–12 week cross-site gigs; human-approved matching</w:t>
            </w:r>
          </w:p>
        </w:tc>
        <w:tc>
          <w:tcPr>
            <w:cnfStyle w:val="000010000000" w:firstRow="0" w:lastRow="0" w:firstColumn="0" w:lastColumn="0" w:oddVBand="1" w:evenVBand="0" w:oddHBand="0" w:evenHBand="0" w:firstRowFirstColumn="0" w:firstRowLastColumn="0" w:lastRowFirstColumn="0" w:lastRowLastColumn="0"/>
            <w:tcW w:w="2200" w:type="dxa"/>
          </w:tcPr>
          <w:p w14:paraId="037276B5"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Task identity; autonomy</w:t>
            </w:r>
          </w:p>
        </w:tc>
        <w:tc>
          <w:tcPr>
            <w:tcW w:w="2326" w:type="dxa"/>
          </w:tcPr>
          <w:p w14:paraId="5940BA38"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Internal gigging; network privilege; algorithmic opacity (Charlwood and Guenole, 2022)</w:t>
            </w:r>
          </w:p>
        </w:tc>
      </w:tr>
      <w:tr w:rsidR="00C63E0C" w:rsidRPr="001E64C5" w14:paraId="3C85709F" w14:textId="77777777" w:rsidTr="001E64C5">
        <w:tc>
          <w:tcPr>
            <w:cnfStyle w:val="000010000000" w:firstRow="0" w:lastRow="0" w:firstColumn="0" w:lastColumn="0" w:oddVBand="1" w:evenVBand="0" w:oddHBand="0" w:evenHBand="0" w:firstRowFirstColumn="0" w:firstRowLastColumn="0" w:lastRowFirstColumn="0" w:lastRowLastColumn="0"/>
            <w:tcW w:w="1900" w:type="dxa"/>
          </w:tcPr>
          <w:p w14:paraId="3F7EE614"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Licensed job crafting</w:t>
            </w:r>
          </w:p>
        </w:tc>
        <w:tc>
          <w:tcPr>
            <w:tcW w:w="2600" w:type="dxa"/>
          </w:tcPr>
          <w:p w14:paraId="024D6217"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Quarterly crafting conversation; documented plan; 10% crafting time</w:t>
            </w:r>
          </w:p>
        </w:tc>
        <w:tc>
          <w:tcPr>
            <w:cnfStyle w:val="000010000000" w:firstRow="0" w:lastRow="0" w:firstColumn="0" w:lastColumn="0" w:oddVBand="1" w:evenVBand="0" w:oddHBand="0" w:evenHBand="0" w:firstRowFirstColumn="0" w:firstRowLastColumn="0" w:lastRowFirstColumn="0" w:lastRowLastColumn="0"/>
            <w:tcW w:w="2200" w:type="dxa"/>
          </w:tcPr>
          <w:p w14:paraId="6DB8B125"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Autonomy; task significance</w:t>
            </w:r>
          </w:p>
        </w:tc>
        <w:tc>
          <w:tcPr>
            <w:tcW w:w="2326" w:type="dxa"/>
          </w:tcPr>
          <w:p w14:paraId="6170B966"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Blanket crafting adds load; approach-crafting only (Rudolph et al., 2017)</w:t>
            </w:r>
          </w:p>
        </w:tc>
      </w:tr>
      <w:tr w:rsidR="00C63E0C" w:rsidRPr="001E64C5" w14:paraId="07D2CCC6" w14:textId="77777777" w:rsidTr="001E64C5">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900" w:type="dxa"/>
          </w:tcPr>
          <w:p w14:paraId="663E532F"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Outcome feedback loop</w:t>
            </w:r>
          </w:p>
        </w:tc>
        <w:tc>
          <w:tcPr>
            <w:tcW w:w="2600" w:type="dxa"/>
          </w:tcPr>
          <w:p w14:paraId="000A2099"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Live city-outcome dashboard visible to delivery teams within the sprint horizon</w:t>
            </w:r>
          </w:p>
        </w:tc>
        <w:tc>
          <w:tcPr>
            <w:cnfStyle w:val="000010000000" w:firstRow="0" w:lastRow="0" w:firstColumn="0" w:lastColumn="0" w:oddVBand="1" w:evenVBand="0" w:oddHBand="0" w:evenHBand="0" w:firstRowFirstColumn="0" w:firstRowLastColumn="0" w:lastRowFirstColumn="0" w:lastRowLastColumn="0"/>
            <w:tcW w:w="2200" w:type="dxa"/>
          </w:tcPr>
          <w:p w14:paraId="1F913DFD"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Feedback from the job itself</w:t>
            </w:r>
          </w:p>
        </w:tc>
        <w:tc>
          <w:tcPr>
            <w:tcW w:w="2326" w:type="dxa"/>
          </w:tcPr>
          <w:p w14:paraId="2203D36D"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Feedback delayed into client reports nobody reads</w:t>
            </w:r>
          </w:p>
        </w:tc>
      </w:tr>
    </w:tbl>
    <w:p w14:paraId="3D06890B" w14:textId="3D1954BF" w:rsidR="00C63E0C" w:rsidRPr="001E64C5" w:rsidRDefault="00000000" w:rsidP="001E64C5">
      <w:pPr>
        <w:pStyle w:val="Heading2"/>
      </w:pPr>
      <w:bookmarkStart w:id="8" w:name="_Toc235148778"/>
      <w:r>
        <w:t>Stimulating intrinsic motivation and innovation</w:t>
      </w:r>
      <w:bookmarkEnd w:id="8"/>
    </w:p>
    <w:p w14:paraId="6C8E936B" w14:textId="72C4B11E" w:rsidR="00CC6722" w:rsidRPr="001E64C5" w:rsidRDefault="00CC6722" w:rsidP="001E64C5">
      <w:pPr>
        <w:jc w:val="both"/>
        <w:rPr>
          <w:rFonts w:ascii="Times New Roman" w:hAnsi="Times New Roman" w:cs="Times New Roman"/>
        </w:rPr>
      </w:pPr>
      <w:r>
        <w:rPr>
          <w:rFonts w:ascii="Times New Roman" w:hAnsi="Times New Roman" w:cs="Times New Roman"/>
        </w:rPr>
        <w:t>The proposed architecture is based on a theory of motivation: Self-Determination Theory (Deci and Ryan, 2000) which emphasizes autonomy, competence and relatedness as three motivational motivators. The autonomy is facilitated by the internal talent marketplace, competence is built through the skills framework and relatedness through cross-site cohorts. Together with the Job Characteristics Model, these factors account for the increased engagement that occurs with enriched work. Innovation should improve as feedback is quicker and more meaningful. The ability to visualize the outcomes of the city in a live dashboard would allow employees to better understand and see the impact of their decisions within short sprint cycles, fostering task identity and accountability. Cross functional marketplace assignments encourage knowledge exchange and access to fresh concepts and ideas, and a shared period of crafting provides room for innovation. But too much bureaucracy should not be associated with challenging work, as the more you remove hindering demands, the more likely engagement is to increase (Bakker and Demerouti, 2017). Job enrichment should be voluntary as it works best for employees who have a high level of growth potential (Hackman and Oldham, 1976). Therefore, planned enhancements are also considered as hypotheses and tested in a small-scale through pilot projects before being scaled up (Tambe et al., 2019).</w:t>
      </w:r>
    </w:p>
    <w:p w14:paraId="259F03C3" w14:textId="40A3580D" w:rsidR="00C63E0C" w:rsidRPr="001E64C5" w:rsidRDefault="001E64C5" w:rsidP="001E64C5">
      <w:pPr>
        <w:jc w:val="both"/>
        <w:rPr>
          <w:rFonts w:ascii="Times New Roman" w:hAnsi="Times New Roman" w:cs="Times New Roman"/>
        </w:rPr>
      </w:pPr>
      <w:r>
        <w:rPr>
          <w:noProof/>
        </w:rPr>
        <w:drawing>
          <wp:inline distT="0" distB="0" distL="0" distR="0" wp14:anchorId="0E755BDA" wp14:editId="4643E528">
            <wp:extent cx="5731510" cy="3019425"/>
            <wp:effectExtent l="0" t="0" r="2540" b="9525"/>
            <wp:docPr id="3607139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019425"/>
                    </a:xfrm>
                    <a:prstGeom prst="rect">
                      <a:avLst/>
                    </a:prstGeom>
                    <a:noFill/>
                    <a:ln>
                      <a:noFill/>
                    </a:ln>
                  </pic:spPr>
                </pic:pic>
              </a:graphicData>
            </a:graphic>
          </wp:inline>
        </w:drawing>
      </w:r>
    </w:p>
    <w:p w14:paraId="60602542" w14:textId="1C54269B" w:rsidR="00C63E0C" w:rsidRPr="001E64C5" w:rsidRDefault="00000000" w:rsidP="001E64C5">
      <w:pPr>
        <w:jc w:val="center"/>
        <w:rPr>
          <w:rFonts w:ascii="Times New Roman" w:hAnsi="Times New Roman" w:cs="Times New Roman"/>
          <w:b/>
          <w:bCs/>
          <w:sz w:val="20"/>
          <w:szCs w:val="20"/>
        </w:rPr>
      </w:pPr>
      <w:r>
        <w:rPr>
          <w:rFonts w:ascii="Times New Roman" w:hAnsi="Times New Roman" w:cs="Times New Roman"/>
          <w:b/>
          <w:bCs/>
          <w:i/>
          <w:iCs/>
          <w:sz w:val="20"/>
          <w:szCs w:val="20"/>
        </w:rPr>
        <w:t>Figure 4: Projected benefits realisation over eight quarters. (Source:</w:t>
      </w:r>
      <w:r>
        <w:rPr>
          <w:rFonts w:ascii="Times New Roman" w:hAnsi="Times New Roman" w:cs="Times New Roman"/>
          <w:b/>
          <w:bCs/>
          <w:sz w:val="20"/>
          <w:szCs w:val="20"/>
        </w:rPr>
        <w:t xml:space="preserve"> Tambe et al., 2019)</w:t>
      </w:r>
      <w:r>
        <w:rPr>
          <w:rFonts w:ascii="Times New Roman" w:hAnsi="Times New Roman" w:cs="Times New Roman"/>
          <w:b/>
          <w:bCs/>
          <w:i/>
          <w:iCs/>
          <w:sz w:val="20"/>
          <w:szCs w:val="20"/>
        </w:rPr>
        <w:t>.</w:t>
      </w:r>
    </w:p>
    <w:p w14:paraId="63823183" w14:textId="28F66D08" w:rsidR="00C63E0C" w:rsidRPr="001E64C5" w:rsidRDefault="00000000" w:rsidP="001E64C5">
      <w:pPr>
        <w:pStyle w:val="Heading1"/>
      </w:pPr>
      <w:bookmarkStart w:id="9" w:name="_Toc235148779"/>
      <w:r>
        <w:t>Task C: Reflective Report</w:t>
      </w:r>
      <w:bookmarkEnd w:id="9"/>
    </w:p>
    <w:p w14:paraId="14B254F2" w14:textId="3B3B554A" w:rsidR="00C63E0C" w:rsidRPr="001E64C5" w:rsidRDefault="00000000" w:rsidP="001E64C5">
      <w:pPr>
        <w:pStyle w:val="Heading2"/>
      </w:pPr>
      <w:bookmarkStart w:id="10" w:name="_Toc235148780"/>
      <w:r>
        <w:t>Using AI as decision support without eroding critical human judgement</w:t>
      </w:r>
      <w:bookmarkEnd w:id="10"/>
    </w:p>
    <w:p w14:paraId="4FCCB17E" w14:textId="77777777" w:rsidR="00CC6722" w:rsidRPr="001E64C5" w:rsidRDefault="00CC6722" w:rsidP="001E64C5">
      <w:pPr>
        <w:jc w:val="both"/>
        <w:rPr>
          <w:rFonts w:ascii="Times New Roman" w:hAnsi="Times New Roman" w:cs="Times New Roman"/>
        </w:rPr>
      </w:pPr>
      <w:r>
        <w:rPr>
          <w:rFonts w:ascii="Times New Roman" w:hAnsi="Times New Roman" w:cs="Times New Roman"/>
        </w:rPr>
        <w:t>I will use AI as a tool to expand my range of possibilities and hone my evidence base, and not as a tool to draw verdicts on people. Tambe et al. (2019) list four factors that temper this stance: HR phenomena are causally complex, data sets are small, decisions have legal and ethical responsibility, and employees are negatively affected when they are algorithmically managed. The small data constraint is key at Helios' size – a 450-person company would train on just a handful of people who had left its business, well short of what's needed for robust individual-level prediction. So I work on the premise that I need to be descriptive, using AI to identify patterns, summarise, sense, draft—rather than predictive about the consequences to a named person.</w:t>
      </w:r>
    </w:p>
    <w:p w14:paraId="7532BA1C" w14:textId="7AC217F8" w:rsidR="00CC6722" w:rsidRPr="001E64C5" w:rsidRDefault="00CC6722" w:rsidP="001E64C5">
      <w:pPr>
        <w:jc w:val="both"/>
        <w:rPr>
          <w:rFonts w:ascii="Times New Roman" w:hAnsi="Times New Roman" w:cs="Times New Roman"/>
        </w:rPr>
      </w:pPr>
      <w:r>
        <w:rPr>
          <w:rFonts w:ascii="Times New Roman" w:hAnsi="Times New Roman" w:cs="Times New Roman"/>
        </w:rPr>
        <w:t>Charlwood and Guenole (2022) draw attention to the fact that the problem of risk: bias is largely a technical one that can be solved, while the problem of eroding work quality – and of judgement – is not. What kind of failure mode do I need to prevent? Automation bias, the inclination to rely on a quick and confident response. My personal rules are: never use the last influence to dismiss, promote or change pay of a person based on an AI output; always ask what is the evidence that would reverse the recommendation; triangulate any insight from an AI against at least one human source of insight and keep AI out of dismissal, promotion and pay decisions. This is not just "warm and fuzzy. A high-risk group in the EU's Artificial Intelligence Act has been identified as employment and worker-management systems, which require effective human oversight (European Union, 2024). The risk is real for me, as I recall a time in my practice. I accepted the ordering of a candidate shortlist that had been ranked using an automated screening tool as it arrived very quickly – looked coherent and included a confidence score. It wasn't until I asked a colleague why a high performing internal candidate was placed last, and discovered that he was getting rewarded for a word that wasn't part of the job requirements, that I looked deeper into the model itself to see what it was being rewarded for. The production wasn't faulty, it was merely unreflective and I'd provided none of my own to make up for it. The easy-to-do but harder-to-do thing I would do is ask "what is this model rewarding? before doing what it recommends, and: treat ranked lists as hypotheses, instead of conclusions.</w:t>
      </w:r>
    </w:p>
    <w:p w14:paraId="07B0E79D" w14:textId="084C3911" w:rsidR="00C63E0C" w:rsidRPr="001E64C5" w:rsidRDefault="00000000" w:rsidP="001E64C5">
      <w:pPr>
        <w:pStyle w:val="Heading2"/>
      </w:pPr>
      <w:bookmarkStart w:id="11" w:name="_Toc235148781"/>
      <w:r>
        <w:t>Personal capability development plan</w:t>
      </w:r>
      <w:bookmarkEnd w:id="11"/>
    </w:p>
    <w:p w14:paraId="28B23120" w14:textId="77777777" w:rsidR="00C63E0C" w:rsidRPr="001E64C5" w:rsidRDefault="00000000" w:rsidP="001E64C5">
      <w:pPr>
        <w:jc w:val="both"/>
        <w:rPr>
          <w:rFonts w:ascii="Times New Roman" w:hAnsi="Times New Roman" w:cs="Times New Roman"/>
        </w:rPr>
      </w:pPr>
      <w:r>
        <w:rPr>
          <w:rFonts w:ascii="Times New Roman" w:hAnsi="Times New Roman" w:cs="Times New Roman"/>
        </w:rPr>
        <w:t>Four capabilities determine whether I could credibly hold the advisory role this report imagines. Table 4 sets out how I will build them.</w:t>
      </w:r>
    </w:p>
    <w:p w14:paraId="57137037" w14:textId="7656A29C" w:rsidR="00C63E0C" w:rsidRPr="001E64C5" w:rsidRDefault="00000000" w:rsidP="001E64C5">
      <w:pPr>
        <w:jc w:val="center"/>
        <w:rPr>
          <w:rFonts w:ascii="Times New Roman" w:hAnsi="Times New Roman" w:cs="Times New Roman"/>
          <w:b/>
          <w:bCs/>
          <w:sz w:val="20"/>
          <w:szCs w:val="20"/>
        </w:rPr>
      </w:pPr>
      <w:r>
        <w:rPr>
          <w:rFonts w:ascii="Times New Roman" w:hAnsi="Times New Roman" w:cs="Times New Roman"/>
          <w:b/>
          <w:bCs/>
          <w:i/>
          <w:iCs/>
          <w:sz w:val="20"/>
          <w:szCs w:val="20"/>
        </w:rPr>
        <w:t>Table 4: Personal capability development plan.</w:t>
      </w:r>
    </w:p>
    <w:tbl>
      <w:tblPr>
        <w:tblStyle w:val="GridTable5Dark-Accent1"/>
        <w:tblW w:w="9026" w:type="dxa"/>
        <w:tblLook w:val="0000" w:firstRow="0" w:lastRow="0" w:firstColumn="0" w:lastColumn="0" w:noHBand="0" w:noVBand="0"/>
      </w:tblPr>
      <w:tblGrid>
        <w:gridCol w:w="1850"/>
        <w:gridCol w:w="2050"/>
        <w:gridCol w:w="2900"/>
        <w:gridCol w:w="2226"/>
      </w:tblGrid>
      <w:tr w:rsidR="00C63E0C" w:rsidRPr="001E64C5" w14:paraId="4A5279FB" w14:textId="77777777" w:rsidTr="001E64C5">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850" w:type="dxa"/>
          </w:tcPr>
          <w:p w14:paraId="1FC4D4C9"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b/>
                <w:bCs/>
              </w:rPr>
              <w:t>Capability</w:t>
            </w:r>
          </w:p>
        </w:tc>
        <w:tc>
          <w:tcPr>
            <w:tcW w:w="2050" w:type="dxa"/>
          </w:tcPr>
          <w:p w14:paraId="5D23DE96"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b/>
                <w:bCs/>
              </w:rPr>
              <w:t>Current baseline</w:t>
            </w:r>
          </w:p>
        </w:tc>
        <w:tc>
          <w:tcPr>
            <w:cnfStyle w:val="000010000000" w:firstRow="0" w:lastRow="0" w:firstColumn="0" w:lastColumn="0" w:oddVBand="1" w:evenVBand="0" w:oddHBand="0" w:evenHBand="0" w:firstRowFirstColumn="0" w:firstRowLastColumn="0" w:lastRowFirstColumn="0" w:lastRowLastColumn="0"/>
            <w:tcW w:w="2900" w:type="dxa"/>
          </w:tcPr>
          <w:p w14:paraId="441F09D7"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b/>
                <w:bCs/>
              </w:rPr>
              <w:t>Action</w:t>
            </w:r>
          </w:p>
        </w:tc>
        <w:tc>
          <w:tcPr>
            <w:tcW w:w="2226" w:type="dxa"/>
          </w:tcPr>
          <w:p w14:paraId="75C965C7"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b/>
                <w:bCs/>
              </w:rPr>
              <w:t>Evidence of achievement (timescale)</w:t>
            </w:r>
          </w:p>
        </w:tc>
      </w:tr>
      <w:tr w:rsidR="00C63E0C" w:rsidRPr="001E64C5" w14:paraId="78EAA467" w14:textId="77777777" w:rsidTr="001E64C5">
        <w:tc>
          <w:tcPr>
            <w:cnfStyle w:val="000010000000" w:firstRow="0" w:lastRow="0" w:firstColumn="0" w:lastColumn="0" w:oddVBand="1" w:evenVBand="0" w:oddHBand="0" w:evenHBand="0" w:firstRowFirstColumn="0" w:firstRowLastColumn="0" w:lastRowFirstColumn="0" w:lastRowLastColumn="0"/>
            <w:tcW w:w="1850" w:type="dxa"/>
          </w:tcPr>
          <w:p w14:paraId="591E613B"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Data literacy</w:t>
            </w:r>
          </w:p>
        </w:tc>
        <w:tc>
          <w:tcPr>
            <w:tcW w:w="2050" w:type="dxa"/>
          </w:tcPr>
          <w:p w14:paraId="7D850679"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Comfortable with descriptive dashboards; weak on inference and causal design</w:t>
            </w:r>
          </w:p>
        </w:tc>
        <w:tc>
          <w:tcPr>
            <w:cnfStyle w:val="000010000000" w:firstRow="0" w:lastRow="0" w:firstColumn="0" w:lastColumn="0" w:oddVBand="1" w:evenVBand="0" w:oddHBand="0" w:evenHBand="0" w:firstRowFirstColumn="0" w:firstRowLastColumn="0" w:lastRowFirstColumn="0" w:lastRowLastColumn="0"/>
            <w:tcW w:w="2900" w:type="dxa"/>
          </w:tcPr>
          <w:p w14:paraId="73563B54"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Complete a people-analytics and applied statistics course; run one difference-in-differences evaluation of a real HR intervention</w:t>
            </w:r>
          </w:p>
        </w:tc>
        <w:tc>
          <w:tcPr>
            <w:tcW w:w="2226" w:type="dxa"/>
          </w:tcPr>
          <w:p w14:paraId="4E2EEA98"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 defensible evaluation memo with stated assumptions and limits (0–6 months)</w:t>
            </w:r>
          </w:p>
        </w:tc>
      </w:tr>
      <w:tr w:rsidR="00C63E0C" w:rsidRPr="001E64C5" w14:paraId="58B6A235" w14:textId="77777777" w:rsidTr="001E64C5">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850" w:type="dxa"/>
          </w:tcPr>
          <w:p w14:paraId="5CB205CB"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AI augmentation in HR</w:t>
            </w:r>
          </w:p>
        </w:tc>
        <w:tc>
          <w:tcPr>
            <w:tcW w:w="2050" w:type="dxa"/>
          </w:tcPr>
          <w:p w14:paraId="349518AF"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Fluent user; no governance experience</w:t>
            </w:r>
          </w:p>
        </w:tc>
        <w:tc>
          <w:tcPr>
            <w:cnfStyle w:val="000010000000" w:firstRow="0" w:lastRow="0" w:firstColumn="0" w:lastColumn="0" w:oddVBand="1" w:evenVBand="0" w:oddHBand="0" w:evenHBand="0" w:firstRowFirstColumn="0" w:firstRowLastColumn="0" w:lastRowFirstColumn="0" w:lastRowLastColumn="0"/>
            <w:tcW w:w="2900" w:type="dxa"/>
          </w:tcPr>
          <w:p w14:paraId="56E0C68B"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Write and test an AI-use protocol for one HR process (CV screening), covering bias testing, human oversight and record-keeping</w:t>
            </w:r>
          </w:p>
        </w:tc>
        <w:tc>
          <w:tcPr>
            <w:tcW w:w="2226" w:type="dxa"/>
          </w:tcPr>
          <w:p w14:paraId="082D9B97"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Protocol adopted or peer-reviewed; documented bias test (3–9 months)</w:t>
            </w:r>
          </w:p>
        </w:tc>
      </w:tr>
      <w:tr w:rsidR="00C63E0C" w:rsidRPr="001E64C5" w14:paraId="55B87EE1" w14:textId="77777777" w:rsidTr="001E64C5">
        <w:tc>
          <w:tcPr>
            <w:cnfStyle w:val="000010000000" w:firstRow="0" w:lastRow="0" w:firstColumn="0" w:lastColumn="0" w:oddVBand="1" w:evenVBand="0" w:oddHBand="0" w:evenHBand="0" w:firstRowFirstColumn="0" w:firstRowLastColumn="0" w:lastRowFirstColumn="0" w:lastRowLastColumn="0"/>
            <w:tcW w:w="1850" w:type="dxa"/>
          </w:tcPr>
          <w:p w14:paraId="7179A77D"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Strategic influencing</w:t>
            </w:r>
          </w:p>
        </w:tc>
        <w:tc>
          <w:tcPr>
            <w:tcW w:w="2050" w:type="dxa"/>
          </w:tcPr>
          <w:p w14:paraId="631B5740"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Present findings; rarely shape the decision</w:t>
            </w:r>
          </w:p>
        </w:tc>
        <w:tc>
          <w:tcPr>
            <w:cnfStyle w:val="000010000000" w:firstRow="0" w:lastRow="0" w:firstColumn="0" w:lastColumn="0" w:oddVBand="1" w:evenVBand="0" w:oddHBand="0" w:evenHBand="0" w:firstRowFirstColumn="0" w:firstRowLastColumn="0" w:lastRowFirstColumn="0" w:lastRowLastColumn="0"/>
            <w:tcW w:w="2900" w:type="dxa"/>
          </w:tcPr>
          <w:p w14:paraId="2AEF215F"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Practise outside-in framing (Ulrich and Dulebohn, 2015): lead with stakeholder value, not HR process; seek board-level exposure</w:t>
            </w:r>
          </w:p>
        </w:tc>
        <w:tc>
          <w:tcPr>
            <w:tcW w:w="2226" w:type="dxa"/>
          </w:tcPr>
          <w:p w14:paraId="32DFFB4D" w14:textId="77777777" w:rsidR="00C63E0C" w:rsidRPr="001E64C5" w:rsidRDefault="00000000" w:rsidP="001E64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Two recommendations adopted by senior stakeholders (6–12 months)</w:t>
            </w:r>
          </w:p>
        </w:tc>
      </w:tr>
      <w:tr w:rsidR="00C63E0C" w:rsidRPr="001E64C5" w14:paraId="2430DA33" w14:textId="77777777" w:rsidTr="001E64C5">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850" w:type="dxa"/>
          </w:tcPr>
          <w:p w14:paraId="21E869A3"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Global mobility awareness</w:t>
            </w:r>
          </w:p>
        </w:tc>
        <w:tc>
          <w:tcPr>
            <w:tcW w:w="2050" w:type="dxa"/>
          </w:tcPr>
          <w:p w14:paraId="6C295B44"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UK-centric</w:t>
            </w:r>
          </w:p>
        </w:tc>
        <w:tc>
          <w:tcPr>
            <w:cnfStyle w:val="000010000000" w:firstRow="0" w:lastRow="0" w:firstColumn="0" w:lastColumn="0" w:oddVBand="1" w:evenVBand="0" w:oddHBand="0" w:evenHBand="0" w:firstRowFirstColumn="0" w:firstRowLastColumn="0" w:lastRowFirstColumn="0" w:lastRowLastColumn="0"/>
            <w:tcW w:w="2900" w:type="dxa"/>
          </w:tcPr>
          <w:p w14:paraId="099F43BB" w14:textId="77777777" w:rsidR="00C63E0C" w:rsidRPr="001E64C5" w:rsidRDefault="00000000" w:rsidP="001E64C5">
            <w:pPr>
              <w:spacing w:line="360" w:lineRule="auto"/>
              <w:jc w:val="both"/>
              <w:rPr>
                <w:rFonts w:ascii="Times New Roman" w:hAnsi="Times New Roman" w:cs="Times New Roman"/>
              </w:rPr>
            </w:pPr>
            <w:r>
              <w:rPr>
                <w:rFonts w:ascii="Times New Roman" w:hAnsi="Times New Roman" w:cs="Times New Roman"/>
              </w:rPr>
              <w:t>Comparative study of German co-determination and Singapore employment law; shadow a works council consultation</w:t>
            </w:r>
          </w:p>
        </w:tc>
        <w:tc>
          <w:tcPr>
            <w:tcW w:w="2226" w:type="dxa"/>
          </w:tcPr>
          <w:p w14:paraId="3DF61282" w14:textId="77777777" w:rsidR="00C63E0C" w:rsidRPr="001E64C5" w:rsidRDefault="00000000" w:rsidP="001E64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A tri-site policy note that survives local legal review (6–18 months)</w:t>
            </w:r>
          </w:p>
        </w:tc>
      </w:tr>
    </w:tbl>
    <w:p w14:paraId="542B6BFB" w14:textId="77777777" w:rsidR="00CC6722" w:rsidRPr="001E64C5" w:rsidRDefault="00CC6722" w:rsidP="001E64C5">
      <w:pPr>
        <w:jc w:val="both"/>
        <w:rPr>
          <w:rFonts w:ascii="Times New Roman" w:hAnsi="Times New Roman" w:cs="Times New Roman"/>
        </w:rPr>
      </w:pPr>
      <w:r>
        <w:rPr>
          <w:rFonts w:ascii="Times New Roman" w:hAnsi="Times New Roman" w:cs="Times New Roman"/>
        </w:rPr>
        <w:t>All four share the same thread. No capability is good unless coupled with a willingness to be contradicted – contradicted by the data, contradicted by employees, contradicted by a works council. The easier skill and the one I need to acquire, and probably overrate, is the skill of holding my opinions loosely enough to be changed. My greatest ability is strategic influencing. In my own experience, I think with analysts, I should always start with the analysis and let the evidence carry the argument, but not with the boards. Becoming a stakeholder's problem, instead of my own, feels, unpleasantly, like a step back from rigour, but it is rigour's condition on which it gets heard at all.</w:t>
      </w:r>
    </w:p>
    <w:p w14:paraId="20DA5FD7" w14:textId="4199DF41" w:rsidR="00CC6722" w:rsidRPr="001E64C5" w:rsidRDefault="00CC6722" w:rsidP="001E64C5">
      <w:pPr>
        <w:pStyle w:val="Heading1"/>
      </w:pPr>
      <w:bookmarkStart w:id="12" w:name="_Toc235148782"/>
      <w:r>
        <w:t>Conclusion</w:t>
      </w:r>
      <w:bookmarkEnd w:id="12"/>
    </w:p>
    <w:p w14:paraId="29C39F18" w14:textId="749B84E8" w:rsidR="00C63E0C" w:rsidRPr="001E64C5" w:rsidRDefault="00CC6722" w:rsidP="001E64C5">
      <w:pPr>
        <w:jc w:val="both"/>
        <w:rPr>
          <w:rFonts w:ascii="Times New Roman" w:hAnsi="Times New Roman" w:cs="Times New Roman"/>
        </w:rPr>
      </w:pPr>
      <w:r>
        <w:rPr>
          <w:rFonts w:ascii="Times New Roman" w:hAnsi="Times New Roman" w:cs="Times New Roman"/>
        </w:rPr>
        <w:t>The three presenting symptoms of Helios are all caused by the same problem - growth has outstripped people's abilities to develop clarity, identity and voice. It is not a better induction week, it's a socialisation architecture that extends from offer to month 12, institutionalised through content and personalized through identity; it's a job design that reinvigorates the multiplicative dimensions (autonomy, feedback) through skills-based jobs, internal talent marketplace and licensed crafting. While the direction is supported by the evidence, the size of the projected gains is uncertain and the Board should not provide funding for a rollout across all of the Board's schools; it should provide funding for a pilot in Berlin with a comparison school in London. Human capital architecture, like the mobility systems Helios sells to cities, should be instrumented, tested and revised.</w:t>
      </w:r>
      <w:r>
        <w:rPr>
          <w:rFonts w:ascii="Times New Roman" w:hAnsi="Times New Roman" w:cs="Times New Roman"/>
        </w:rPr>
        <w:br w:type="page"/>
      </w:r>
    </w:p>
    <w:p w14:paraId="50BB32F9" w14:textId="77777777" w:rsidR="00C63E0C" w:rsidRPr="0034594F" w:rsidRDefault="00000000" w:rsidP="001E64C5">
      <w:pPr>
        <w:pStyle w:val="Heading1"/>
      </w:pPr>
      <w:bookmarkStart w:id="13" w:name="_Toc235148783"/>
      <w:r>
        <w:t>Reference List</w:t>
      </w:r>
      <w:bookmarkEnd w:id="13"/>
    </w:p>
    <w:p w14:paraId="389F5515"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Ashforth, B.E. and Mael, F. (1989) 'Social identity theory and the organization', Academy of Management Review, 14(1), pp. 20–39. </w:t>
      </w:r>
      <w:hyperlink r:id="rId12" w:history="1">
        <w:r w:rsidR="00C63E0C" w:rsidRPr="00A52705">
          <w:rPr>
            <w:rStyle w:val="Hyperlink"/>
            <w:rFonts w:ascii="Times New Roman" w:hAnsi="Times New Roman" w:cs="Times New Roman"/>
          </w:rPr>
          <w:t>https://doi.org/10.5465/amr.1989.4278999</w:t>
        </w:r>
      </w:hyperlink>
    </w:p>
    <w:p w14:paraId="538FE7E3"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Bakker, A.B. and Demerouti, E. (2017) 'Job demands–resources theory: taking stock and looking forward', Journal of Occupational Health Psychology, 22(3), pp. 273–285. </w:t>
      </w:r>
      <w:hyperlink r:id="rId13" w:history="1">
        <w:r w:rsidR="00C63E0C" w:rsidRPr="00A52705">
          <w:rPr>
            <w:rStyle w:val="Hyperlink"/>
            <w:rFonts w:ascii="Times New Roman" w:hAnsi="Times New Roman" w:cs="Times New Roman"/>
          </w:rPr>
          <w:t>https://doi.org/10.1037/ocp0000056</w:t>
        </w:r>
      </w:hyperlink>
    </w:p>
    <w:p w14:paraId="52BFC076"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Bauer, T.N., Bodner, T., Erdogan, B., Truxillo, D.M. and Tucker, J.S. (2007) 'Newcomer adjustment during organizational socialization: a meta-analytic review of antecedents, outcomes, and methods', Journal of Applied Psychology, 92(3), pp. 707–721. </w:t>
      </w:r>
      <w:hyperlink r:id="rId14" w:history="1">
        <w:r w:rsidR="00C63E0C" w:rsidRPr="00A52705">
          <w:rPr>
            <w:rStyle w:val="Hyperlink"/>
            <w:rFonts w:ascii="Times New Roman" w:hAnsi="Times New Roman" w:cs="Times New Roman"/>
          </w:rPr>
          <w:t>https://doi.org/10.1037/0021-9010.92.3.707</w:t>
        </w:r>
      </w:hyperlink>
    </w:p>
    <w:p w14:paraId="21475645"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Cable, D.M., Gino, F. and Staats, B.R. (2013) 'Breaking them in or eliciting their best? Reframing socialization around newcomers' authentic self-expression', Administrative Science Quarterly, 58(1), pp. 1–36. </w:t>
      </w:r>
      <w:hyperlink r:id="rId15" w:history="1">
        <w:r w:rsidR="00C63E0C" w:rsidRPr="00A52705">
          <w:rPr>
            <w:rStyle w:val="Hyperlink"/>
            <w:rFonts w:ascii="Times New Roman" w:hAnsi="Times New Roman" w:cs="Times New Roman"/>
          </w:rPr>
          <w:t>https://doi.org/10.1177/0001839213477098</w:t>
        </w:r>
      </w:hyperlink>
    </w:p>
    <w:p w14:paraId="48C56204"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Cantrell, S., Griffiths, M., Jones, R. and Hiipakka, J. (2022) The skills-based organization: a new operating model for work and the workforce. Deloitte Insights. Available at: </w:t>
      </w:r>
      <w:hyperlink r:id="rId16" w:history="1">
        <w:r w:rsidR="00C63E0C" w:rsidRPr="00A52705">
          <w:rPr>
            <w:rStyle w:val="Hyperlink"/>
            <w:rFonts w:ascii="Times New Roman" w:hAnsi="Times New Roman" w:cs="Times New Roman"/>
          </w:rPr>
          <w:t>https://www.deloitte.com/us/en/insights/topics/talent/organizational-skill-based-hiring.html</w:t>
        </w:r>
      </w:hyperlink>
      <w:r w:rsidRPr="00A52705">
        <w:rPr>
          <w:rFonts w:ascii="Times New Roman" w:hAnsi="Times New Roman" w:cs="Times New Roman"/>
        </w:rPr>
        <w:t xml:space="preserve"> (Accessed: 12 July 2026).</w:t>
      </w:r>
    </w:p>
    <w:p w14:paraId="574E2232"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Charlwood, A. and Guenole, N. (2022) 'Can HR adapt to the paradoxes of artificial intelligence?', Human Resource Management Journal, 32(4), pp. 729–742. </w:t>
      </w:r>
      <w:hyperlink r:id="rId17" w:history="1">
        <w:r w:rsidR="00C63E0C" w:rsidRPr="00A52705">
          <w:rPr>
            <w:rStyle w:val="Hyperlink"/>
            <w:rFonts w:ascii="Times New Roman" w:hAnsi="Times New Roman" w:cs="Times New Roman"/>
          </w:rPr>
          <w:t>https://doi.org/10.1111/1748-8583.12433</w:t>
        </w:r>
      </w:hyperlink>
    </w:p>
    <w:p w14:paraId="6B82C3D5"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Deci, E.L. and Ryan, R.M. (2000) 'The “what” and “why” of goal pursuits: human needs and the self-determination of behavior', Psychological Inquiry, 11(4), pp. 227–268. </w:t>
      </w:r>
      <w:hyperlink r:id="rId18" w:history="1">
        <w:r w:rsidR="00C63E0C" w:rsidRPr="00A52705">
          <w:rPr>
            <w:rStyle w:val="Hyperlink"/>
            <w:rFonts w:ascii="Times New Roman" w:hAnsi="Times New Roman" w:cs="Times New Roman"/>
          </w:rPr>
          <w:t>https://doi.org/10.1207/S15327965PLI1104_01</w:t>
        </w:r>
      </w:hyperlink>
    </w:p>
    <w:p w14:paraId="129FC342"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European Union (2024) Regulation (EU) 2024/1689 of the European Parliament and of the Council of 13 June 2024 laying down harmonised rules on artificial intelligence (Artificial Intelligence Act). Official Journal of the European Union, L, 12 July. Available at: </w:t>
      </w:r>
      <w:hyperlink r:id="rId19" w:history="1">
        <w:r w:rsidR="00C63E0C" w:rsidRPr="00A52705">
          <w:rPr>
            <w:rStyle w:val="Hyperlink"/>
            <w:rFonts w:ascii="Times New Roman" w:hAnsi="Times New Roman" w:cs="Times New Roman"/>
          </w:rPr>
          <w:t>https://eur-lex.europa.eu/eli/reg/2024/1689/oj</w:t>
        </w:r>
      </w:hyperlink>
      <w:r w:rsidRPr="00A52705">
        <w:rPr>
          <w:rFonts w:ascii="Times New Roman" w:hAnsi="Times New Roman" w:cs="Times New Roman"/>
        </w:rPr>
        <w:t xml:space="preserve"> (Accessed: 12 July 2026).</w:t>
      </w:r>
    </w:p>
    <w:p w14:paraId="16127EA4"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Freeman, R.E. (1984) Strategic management: a stakeholder approach. Boston: Pitman.</w:t>
      </w:r>
    </w:p>
    <w:p w14:paraId="5E910DE0"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Gallup (2025) State of the global workplace: 2025 report. Washington, DC: Gallup, Inc. Available at: </w:t>
      </w:r>
      <w:hyperlink r:id="rId20" w:history="1">
        <w:r w:rsidR="00C63E0C" w:rsidRPr="00A52705">
          <w:rPr>
            <w:rStyle w:val="Hyperlink"/>
            <w:rFonts w:ascii="Times New Roman" w:hAnsi="Times New Roman" w:cs="Times New Roman"/>
          </w:rPr>
          <w:t>https://www.gallup.com/workplace/349484/state-of-the-global-workplace.aspx</w:t>
        </w:r>
      </w:hyperlink>
      <w:r w:rsidRPr="00A52705">
        <w:rPr>
          <w:rFonts w:ascii="Times New Roman" w:hAnsi="Times New Roman" w:cs="Times New Roman"/>
        </w:rPr>
        <w:t xml:space="preserve"> (Accessed: 12 July 2026).</w:t>
      </w:r>
    </w:p>
    <w:p w14:paraId="7DCE4255"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Gallup (2026) State of the global workplace: 2026 report. Washington, DC: Gallup, Inc. Available at: </w:t>
      </w:r>
      <w:hyperlink r:id="rId21" w:history="1">
        <w:r w:rsidR="00C63E0C" w:rsidRPr="00A52705">
          <w:rPr>
            <w:rStyle w:val="Hyperlink"/>
            <w:rFonts w:ascii="Times New Roman" w:hAnsi="Times New Roman" w:cs="Times New Roman"/>
          </w:rPr>
          <w:t>https://www.gallup.com/workplace/349484/state-of-the-global-workplace.aspx</w:t>
        </w:r>
      </w:hyperlink>
      <w:r w:rsidRPr="00A52705">
        <w:rPr>
          <w:rFonts w:ascii="Times New Roman" w:hAnsi="Times New Roman" w:cs="Times New Roman"/>
        </w:rPr>
        <w:t xml:space="preserve"> (Accessed: 12 July 2026).</w:t>
      </w:r>
    </w:p>
    <w:p w14:paraId="6CD3AFA9"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Hackman, J.R. and Oldham, G.R. (1976) 'Motivation through the design of work: test of a theory', Organizational Behavior and Human Performance, 16(2), pp. 250–279. </w:t>
      </w:r>
      <w:hyperlink r:id="rId22" w:history="1">
        <w:r w:rsidR="00C63E0C" w:rsidRPr="00A52705">
          <w:rPr>
            <w:rStyle w:val="Hyperlink"/>
            <w:rFonts w:ascii="Times New Roman" w:hAnsi="Times New Roman" w:cs="Times New Roman"/>
          </w:rPr>
          <w:t>https://doi.org/10.1016/0030-5073(76)90016-7</w:t>
        </w:r>
      </w:hyperlink>
    </w:p>
    <w:p w14:paraId="1006DF1B"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Humphrey, S.E., Nahrgang, J.D. and Morgeson, F.P. (2007) 'Integrating motivational, social, and contextual work design features: a meta-analytic summary and theoretical extension of the work design literature', Journal of Applied Psychology, 92(5), pp. 1332–1356. </w:t>
      </w:r>
      <w:hyperlink r:id="rId23" w:history="1">
        <w:r w:rsidR="00C63E0C" w:rsidRPr="00A52705">
          <w:rPr>
            <w:rStyle w:val="Hyperlink"/>
            <w:rFonts w:ascii="Times New Roman" w:hAnsi="Times New Roman" w:cs="Times New Roman"/>
          </w:rPr>
          <w:t>https://doi.org/10.1037/0021-9010.92.5.1332</w:t>
        </w:r>
      </w:hyperlink>
    </w:p>
    <w:p w14:paraId="72A9DA42"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Rousseau, D.M. (1995) Psychological contracts in organizations: understanding written and unwritten agreements. Thousand Oaks, CA: Sage.</w:t>
      </w:r>
    </w:p>
    <w:p w14:paraId="792712CE"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Rudolph, C.W., Katz, I.M., Lavigne, K.N. and Zacher, H. (2017) 'Job crafting: a meta-analysis of relationships with individual differences, job characteristics, and work outcomes', Journal of Vocational Behavior, 102, pp. 112–138. </w:t>
      </w:r>
      <w:hyperlink r:id="rId24" w:history="1">
        <w:r w:rsidR="00C63E0C" w:rsidRPr="00A52705">
          <w:rPr>
            <w:rStyle w:val="Hyperlink"/>
            <w:rFonts w:ascii="Times New Roman" w:hAnsi="Times New Roman" w:cs="Times New Roman"/>
          </w:rPr>
          <w:t>https://doi.org/10.1016/j.jvb.2017.05.008</w:t>
        </w:r>
      </w:hyperlink>
    </w:p>
    <w:p w14:paraId="6B095A5A"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Saks, A.M. and Gruman, J.A. (2018) 'Socialization resources theory and newcomers' work engagement: a new pathway to newcomer socialization', Career Development International, 23(1), pp. 12–32. </w:t>
      </w:r>
      <w:hyperlink r:id="rId25" w:history="1">
        <w:r w:rsidR="00C63E0C" w:rsidRPr="00A52705">
          <w:rPr>
            <w:rStyle w:val="Hyperlink"/>
            <w:rFonts w:ascii="Times New Roman" w:hAnsi="Times New Roman" w:cs="Times New Roman"/>
          </w:rPr>
          <w:t>https://doi.org/10.1108/CDI-12-2016-0214</w:t>
        </w:r>
      </w:hyperlink>
    </w:p>
    <w:p w14:paraId="60DC0FBA"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Tambe, P., Cappelli, P. and Yakubovich, V. (2019) 'Artificial intelligence in human resources management: challenges and a path forward', California Management Review, 61(4), pp. 15–42. </w:t>
      </w:r>
      <w:hyperlink r:id="rId26" w:history="1">
        <w:r w:rsidR="00C63E0C" w:rsidRPr="00A52705">
          <w:rPr>
            <w:rStyle w:val="Hyperlink"/>
            <w:rFonts w:ascii="Times New Roman" w:hAnsi="Times New Roman" w:cs="Times New Roman"/>
          </w:rPr>
          <w:t>https://doi.org/10.1177/0008125619867910</w:t>
        </w:r>
      </w:hyperlink>
    </w:p>
    <w:p w14:paraId="75543519"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Tims, M., Bakker, A.B. and Derks, D. (2012) 'Development and validation of the job crafting scale', Journal of Vocational Behavior, 80(1), pp. 173–186. </w:t>
      </w:r>
      <w:hyperlink r:id="rId27" w:history="1">
        <w:r w:rsidR="00C63E0C" w:rsidRPr="00A52705">
          <w:rPr>
            <w:rStyle w:val="Hyperlink"/>
            <w:rFonts w:ascii="Times New Roman" w:hAnsi="Times New Roman" w:cs="Times New Roman"/>
          </w:rPr>
          <w:t>https://doi.org/10.1016/j.jvb.2011.05.009</w:t>
        </w:r>
      </w:hyperlink>
    </w:p>
    <w:p w14:paraId="3A85FAD1"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Ulrich, D. (1997) Human resource champions: the next agenda for adding value and delivering results. Boston, MA: Harvard Business School Press.</w:t>
      </w:r>
    </w:p>
    <w:p w14:paraId="40F3EBC8"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 xml:space="preserve">Ulrich, D. and Dulebohn, J.H. (2015) 'Are we there yet? What's next for HR?', Human Resource Management Review, 25(2), pp. 188–204. </w:t>
      </w:r>
      <w:hyperlink r:id="rId28" w:history="1">
        <w:r w:rsidR="00C63E0C" w:rsidRPr="00A52705">
          <w:rPr>
            <w:rStyle w:val="Hyperlink"/>
            <w:rFonts w:ascii="Times New Roman" w:hAnsi="Times New Roman" w:cs="Times New Roman"/>
          </w:rPr>
          <w:t>https://doi.org/10.1016/j.hrmr.2015.01.004</w:t>
        </w:r>
      </w:hyperlink>
    </w:p>
    <w:p w14:paraId="68A938E9" w14:textId="77777777" w:rsidR="00C63E0C" w:rsidRPr="00A52705" w:rsidRDefault="00000000">
      <w:pPr>
        <w:spacing w:after="120"/>
        <w:ind w:left="720" w:hanging="720"/>
        <w:rPr>
          <w:rFonts w:ascii="Times New Roman" w:hAnsi="Times New Roman" w:cs="Times New Roman"/>
        </w:rPr>
      </w:pPr>
      <w:r w:rsidRPr="00A52705">
        <w:rPr>
          <w:rFonts w:ascii="Times New Roman" w:hAnsi="Times New Roman" w:cs="Times New Roman"/>
        </w:rPr>
        <w:t>Van Maanen, J. and Schein, E.H. (1979) 'Toward a theory of organizational socialization', Research in Organizational Behavior, 1, pp. 209–264.</w:t>
      </w:r>
    </w:p>
    <w:p w14:paraId="3EF93A01" w14:textId="77777777" w:rsidR="00C63E0C" w:rsidRPr="0034594F" w:rsidRDefault="00000000">
      <w:pPr>
        <w:spacing w:after="120"/>
        <w:ind w:left="720" w:hanging="720"/>
        <w:rPr>
          <w:rFonts w:ascii="Times New Roman" w:hAnsi="Times New Roman" w:cs="Times New Roman"/>
        </w:rPr>
      </w:pPr>
      <w:r w:rsidRPr="00A52705">
        <w:rPr>
          <w:rFonts w:ascii="Times New Roman" w:hAnsi="Times New Roman" w:cs="Times New Roman"/>
        </w:rPr>
        <w:t xml:space="preserve">Wrzesniewski, A. and Dutton, J.E. (2001) 'Crafting a job: revisioning employees as active crafters of their work', Academy of Management Review, 26(2), pp. 179–201. </w:t>
      </w:r>
      <w:hyperlink r:id="rId29" w:history="1">
        <w:r w:rsidR="00C63E0C" w:rsidRPr="00A52705">
          <w:rPr>
            <w:rStyle w:val="Hyperlink"/>
            <w:rFonts w:ascii="Times New Roman" w:hAnsi="Times New Roman" w:cs="Times New Roman"/>
          </w:rPr>
          <w:t>https://doi.org/10.5465/amr.2001.4378011</w:t>
        </w:r>
      </w:hyperlink>
    </w:p>
    <w:sectPr w:rsidR="00C63E0C" w:rsidRPr="0034594F" w:rsidSect="0034594F">
      <w:footerReference w:type="defaul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AD6DC51" w14:textId="77777777" w:rsidR="00713769" w:rsidRDefault="00713769">
      <w:pPr>
        <w:spacing w:line="240" w:lineRule="auto"/>
      </w:pPr>
      <w:r>
        <w:separator/>
      </w:r>
    </w:p>
  </w:endnote>
  <w:endnote w:type="continuationSeparator" w:id="0">
    <w:p w14:paraId="0B067EDC" w14:textId="77777777" w:rsidR="00713769" w:rsidRDefault="007137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2B5558D" w14:textId="77777777" w:rsidR="00C63E0C" w:rsidRDefault="00000000">
    <w:pPr>
      <w:jc w:val="center"/>
    </w:pPr>
    <w:r>
      <w:rPr>
        <w:sz w:val="20"/>
        <w:szCs w:val="20"/>
      </w:rPr>
      <w:fldChar w:fldCharType="begin"/>
    </w:r>
    <w:r>
      <w:rPr>
        <w:sz w:val="20"/>
        <w:szCs w:val="20"/>
      </w:rPr>
      <w:instrText>PAGE</w:instrText>
    </w:r>
    <w:r>
      <w:rPr>
        <w:sz w:val="20"/>
        <w:szCs w:val="20"/>
      </w:rPr>
      <w:fldChar w:fldCharType="separate"/>
    </w:r>
    <w:r w:rsidR="0034594F">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4AEE544" w14:textId="77777777" w:rsidR="00713769" w:rsidRDefault="00713769">
      <w:pPr>
        <w:spacing w:line="240" w:lineRule="auto"/>
      </w:pPr>
      <w:r>
        <w:separator/>
      </w:r>
    </w:p>
  </w:footnote>
  <w:footnote w:type="continuationSeparator" w:id="0">
    <w:p w14:paraId="7A165EEC" w14:textId="77777777" w:rsidR="00713769" w:rsidRDefault="0071376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4327E4C"/>
    <w:multiLevelType w:val="hybridMultilevel"/>
    <w:tmpl w:val="631EE1BA"/>
    <w:lvl w:ilvl="0" w:tplc="3DFE8E5A">
      <w:start w:val="1"/>
      <w:numFmt w:val="bullet"/>
      <w:lvlText w:val="●"/>
      <w:lvlJc w:val="left"/>
      <w:pPr>
        <w:ind w:left="720" w:hanging="360"/>
      </w:pPr>
    </w:lvl>
    <w:lvl w:ilvl="1" w:tplc="8F44A326">
      <w:start w:val="1"/>
      <w:numFmt w:val="bullet"/>
      <w:lvlText w:val="○"/>
      <w:lvlJc w:val="left"/>
      <w:pPr>
        <w:ind w:left="1440" w:hanging="360"/>
      </w:pPr>
    </w:lvl>
    <w:lvl w:ilvl="2" w:tplc="9A6CC5D2">
      <w:start w:val="1"/>
      <w:numFmt w:val="bullet"/>
      <w:lvlText w:val="■"/>
      <w:lvlJc w:val="left"/>
      <w:pPr>
        <w:ind w:left="2160" w:hanging="360"/>
      </w:pPr>
    </w:lvl>
    <w:lvl w:ilvl="3" w:tplc="8D5EC524">
      <w:start w:val="1"/>
      <w:numFmt w:val="bullet"/>
      <w:lvlText w:val="●"/>
      <w:lvlJc w:val="left"/>
      <w:pPr>
        <w:ind w:left="2880" w:hanging="360"/>
      </w:pPr>
    </w:lvl>
    <w:lvl w:ilvl="4" w:tplc="AA16AAF2">
      <w:start w:val="1"/>
      <w:numFmt w:val="bullet"/>
      <w:lvlText w:val="○"/>
      <w:lvlJc w:val="left"/>
      <w:pPr>
        <w:ind w:left="3600" w:hanging="360"/>
      </w:pPr>
    </w:lvl>
    <w:lvl w:ilvl="5" w:tplc="B1AA3578">
      <w:start w:val="1"/>
      <w:numFmt w:val="bullet"/>
      <w:lvlText w:val="■"/>
      <w:lvlJc w:val="left"/>
      <w:pPr>
        <w:ind w:left="4320" w:hanging="360"/>
      </w:pPr>
    </w:lvl>
    <w:lvl w:ilvl="6" w:tplc="A87640B0">
      <w:start w:val="1"/>
      <w:numFmt w:val="bullet"/>
      <w:lvlText w:val="●"/>
      <w:lvlJc w:val="left"/>
      <w:pPr>
        <w:ind w:left="5040" w:hanging="360"/>
      </w:pPr>
    </w:lvl>
    <w:lvl w:ilvl="7" w:tplc="ED6A96F6">
      <w:start w:val="1"/>
      <w:numFmt w:val="bullet"/>
      <w:lvlText w:val="●"/>
      <w:lvlJc w:val="left"/>
      <w:pPr>
        <w:ind w:left="5760" w:hanging="360"/>
      </w:pPr>
    </w:lvl>
    <w:lvl w:ilvl="8" w:tplc="CD4A46E0">
      <w:start w:val="1"/>
      <w:numFmt w:val="bullet"/>
      <w:lvlText w:val="●"/>
      <w:lvlJc w:val="left"/>
      <w:pPr>
        <w:ind w:left="6480" w:hanging="360"/>
      </w:pPr>
    </w:lvl>
  </w:abstractNum>
  <w:abstractNum w:abstractNumId="1" w15:restartNumberingAfterBreak="0">
    <w:nsid w:val="7A3649E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86665404">
    <w:abstractNumId w:val="0"/>
    <w:lvlOverride w:ilvl="0">
      <w:startOverride w:val="1"/>
    </w:lvlOverride>
  </w:num>
  <w:num w:numId="2" w16cid:durableId="214257437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E0C"/>
    <w:rsid w:val="00066E08"/>
    <w:rsid w:val="00067CD4"/>
    <w:rsid w:val="001E64C5"/>
    <w:rsid w:val="0034594F"/>
    <w:rsid w:val="004649EE"/>
    <w:rsid w:val="00640C2D"/>
    <w:rsid w:val="00713769"/>
    <w:rsid w:val="00840AE1"/>
    <w:rsid w:val="00870DD1"/>
    <w:rsid w:val="0090428D"/>
    <w:rsid w:val="00994AE8"/>
    <w:rsid w:val="00A52705"/>
    <w:rsid w:val="00C63E0C"/>
    <w:rsid w:val="00CC6722"/>
    <w:rsid w:val="00D14FC1"/>
    <w:rsid w:val="00D43154"/>
    <w:rsid w:val="00DB733F"/>
    <w:rsid w:val="00F518C9"/>
    <w:rsid w:val="00F90678"/>
    <w:rsid w:val="00FC075E"/>
    <w:rsid w:val="00FC51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7F3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34594F"/>
    <w:pPr>
      <w:numPr>
        <w:numId w:val="2"/>
      </w:numPr>
      <w:outlineLvl w:val="0"/>
    </w:pPr>
    <w:rPr>
      <w:rFonts w:ascii="Times New Roman" w:hAnsi="Times New Roman"/>
      <w:b/>
      <w:bCs/>
      <w:sz w:val="28"/>
      <w:szCs w:val="30"/>
    </w:rPr>
  </w:style>
  <w:style w:type="paragraph" w:styleId="Heading2">
    <w:name w:val="heading 2"/>
    <w:uiPriority w:val="9"/>
    <w:unhideWhenUsed/>
    <w:qFormat/>
    <w:rsid w:val="001E64C5"/>
    <w:pPr>
      <w:numPr>
        <w:ilvl w:val="1"/>
        <w:numId w:val="2"/>
      </w:numPr>
      <w:outlineLvl w:val="1"/>
    </w:pPr>
    <w:rPr>
      <w:rFonts w:ascii="Times New Roman" w:hAnsi="Times New Roman"/>
      <w:b/>
      <w:bCs/>
      <w:szCs w:val="26"/>
    </w:rPr>
  </w:style>
  <w:style w:type="paragraph" w:styleId="Heading3">
    <w:name w:val="heading 3"/>
    <w:uiPriority w:val="9"/>
    <w:semiHidden/>
    <w:unhideWhenUsed/>
    <w:qFormat/>
    <w:pPr>
      <w:numPr>
        <w:ilvl w:val="2"/>
        <w:numId w:val="2"/>
      </w:numPr>
      <w:outlineLvl w:val="2"/>
    </w:pPr>
    <w:rPr>
      <w:color w:val="1F4D78"/>
    </w:rPr>
  </w:style>
  <w:style w:type="paragraph" w:styleId="Heading4">
    <w:name w:val="heading 4"/>
    <w:uiPriority w:val="9"/>
    <w:semiHidden/>
    <w:unhideWhenUsed/>
    <w:qFormat/>
    <w:pPr>
      <w:numPr>
        <w:ilvl w:val="3"/>
        <w:numId w:val="2"/>
      </w:numPr>
      <w:outlineLvl w:val="3"/>
    </w:pPr>
    <w:rPr>
      <w:i/>
      <w:iCs/>
      <w:color w:val="2E74B5"/>
    </w:rPr>
  </w:style>
  <w:style w:type="paragraph" w:styleId="Heading5">
    <w:name w:val="heading 5"/>
    <w:uiPriority w:val="9"/>
    <w:semiHidden/>
    <w:unhideWhenUsed/>
    <w:qFormat/>
    <w:pPr>
      <w:numPr>
        <w:ilvl w:val="4"/>
        <w:numId w:val="2"/>
      </w:numPr>
      <w:outlineLvl w:val="4"/>
    </w:pPr>
    <w:rPr>
      <w:color w:val="2E74B5"/>
    </w:rPr>
  </w:style>
  <w:style w:type="paragraph" w:styleId="Heading6">
    <w:name w:val="heading 6"/>
    <w:uiPriority w:val="9"/>
    <w:semiHidden/>
    <w:unhideWhenUsed/>
    <w:qFormat/>
    <w:pPr>
      <w:numPr>
        <w:ilvl w:val="5"/>
        <w:numId w:val="2"/>
      </w:numPr>
      <w:outlineLvl w:val="5"/>
    </w:pPr>
    <w:rPr>
      <w:color w:val="1F4D78"/>
    </w:rPr>
  </w:style>
  <w:style w:type="paragraph" w:styleId="Heading7">
    <w:name w:val="heading 7"/>
    <w:basedOn w:val="Normal"/>
    <w:next w:val="Normal"/>
    <w:link w:val="Heading7Char"/>
    <w:uiPriority w:val="9"/>
    <w:semiHidden/>
    <w:unhideWhenUsed/>
    <w:qFormat/>
    <w:rsid w:val="001E64C5"/>
    <w:pPr>
      <w:keepNext/>
      <w:keepLines/>
      <w:numPr>
        <w:ilvl w:val="6"/>
        <w:numId w:val="2"/>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1E64C5"/>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64C5"/>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34594F"/>
    <w:pPr>
      <w:spacing w:after="100"/>
    </w:pPr>
  </w:style>
  <w:style w:type="paragraph" w:styleId="TOC2">
    <w:name w:val="toc 2"/>
    <w:basedOn w:val="Normal"/>
    <w:next w:val="Normal"/>
    <w:autoRedefine/>
    <w:uiPriority w:val="39"/>
    <w:unhideWhenUsed/>
    <w:rsid w:val="0034594F"/>
    <w:pPr>
      <w:spacing w:after="100"/>
      <w:ind w:left="240"/>
    </w:pPr>
  </w:style>
  <w:style w:type="table" w:styleId="TableGrid">
    <w:name w:val="Table Grid"/>
    <w:basedOn w:val="TableNormal"/>
    <w:uiPriority w:val="39"/>
    <w:rsid w:val="0034594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18C9"/>
    <w:pPr>
      <w:tabs>
        <w:tab w:val="center" w:pos="4680"/>
        <w:tab w:val="right" w:pos="9360"/>
      </w:tabs>
      <w:spacing w:line="240" w:lineRule="auto"/>
    </w:pPr>
  </w:style>
  <w:style w:type="character" w:customStyle="1" w:styleId="HeaderChar">
    <w:name w:val="Header Char"/>
    <w:basedOn w:val="DefaultParagraphFont"/>
    <w:link w:val="Header"/>
    <w:uiPriority w:val="99"/>
    <w:rsid w:val="00F518C9"/>
  </w:style>
  <w:style w:type="paragraph" w:styleId="Footer">
    <w:name w:val="footer"/>
    <w:basedOn w:val="Normal"/>
    <w:link w:val="FooterChar"/>
    <w:uiPriority w:val="99"/>
    <w:unhideWhenUsed/>
    <w:rsid w:val="00F518C9"/>
    <w:pPr>
      <w:tabs>
        <w:tab w:val="center" w:pos="4680"/>
        <w:tab w:val="right" w:pos="9360"/>
      </w:tabs>
      <w:spacing w:line="240" w:lineRule="auto"/>
    </w:pPr>
  </w:style>
  <w:style w:type="character" w:customStyle="1" w:styleId="FooterChar">
    <w:name w:val="Footer Char"/>
    <w:basedOn w:val="DefaultParagraphFont"/>
    <w:link w:val="Footer"/>
    <w:uiPriority w:val="99"/>
    <w:rsid w:val="00F518C9"/>
  </w:style>
  <w:style w:type="table" w:styleId="GridTable2">
    <w:name w:val="Grid Table 2"/>
    <w:basedOn w:val="TableNormal"/>
    <w:uiPriority w:val="47"/>
    <w:rsid w:val="001E64C5"/>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5">
    <w:name w:val="Grid Table 2 Accent 5"/>
    <w:basedOn w:val="TableNormal"/>
    <w:uiPriority w:val="47"/>
    <w:rsid w:val="001E64C5"/>
    <w:pPr>
      <w:spacing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5">
    <w:name w:val="Grid Table 5 Dark Accent 5"/>
    <w:basedOn w:val="TableNormal"/>
    <w:uiPriority w:val="50"/>
    <w:rsid w:val="001E64C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6">
    <w:name w:val="Grid Table 5 Dark Accent 6"/>
    <w:basedOn w:val="TableNormal"/>
    <w:uiPriority w:val="50"/>
    <w:rsid w:val="001E64C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5Dark-Accent1">
    <w:name w:val="Grid Table 5 Dark Accent 1"/>
    <w:basedOn w:val="TableNormal"/>
    <w:uiPriority w:val="50"/>
    <w:rsid w:val="001E64C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customStyle="1" w:styleId="Heading7Char">
    <w:name w:val="Heading 7 Char"/>
    <w:basedOn w:val="DefaultParagraphFont"/>
    <w:link w:val="Heading7"/>
    <w:uiPriority w:val="9"/>
    <w:semiHidden/>
    <w:rsid w:val="001E64C5"/>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1E64C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E64C5"/>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37/ocp0000056" TargetMode="External"/><Relationship Id="rId18" Type="http://schemas.openxmlformats.org/officeDocument/2006/relationships/hyperlink" Target="https://doi.org/10.1207/S15327965PLI1104_01" TargetMode="External"/><Relationship Id="rId26" Type="http://schemas.openxmlformats.org/officeDocument/2006/relationships/hyperlink" Target="https://doi.org/10.1177/0008125619867910" TargetMode="External"/><Relationship Id="rId3" Type="http://schemas.openxmlformats.org/officeDocument/2006/relationships/settings" Target="settings.xml"/><Relationship Id="rId21" Type="http://schemas.openxmlformats.org/officeDocument/2006/relationships/hyperlink" Target="https://www.gallup.com/workplace/349484/state-of-the-global-workplace.aspx" TargetMode="External"/><Relationship Id="rId7" Type="http://schemas.openxmlformats.org/officeDocument/2006/relationships/image" Target="media/image1.png"/><Relationship Id="rId12" Type="http://schemas.openxmlformats.org/officeDocument/2006/relationships/hyperlink" Target="https://doi.org/10.5465/amr.1989.4278999" TargetMode="External"/><Relationship Id="rId17" Type="http://schemas.openxmlformats.org/officeDocument/2006/relationships/hyperlink" Target="https://doi.org/10.1111/1748-8583.12433" TargetMode="External"/><Relationship Id="rId25" Type="http://schemas.openxmlformats.org/officeDocument/2006/relationships/hyperlink" Target="https://doi.org/10.1108/CDI-12-2016-0214" TargetMode="External"/><Relationship Id="rId2" Type="http://schemas.openxmlformats.org/officeDocument/2006/relationships/styles" Target="styles.xml"/><Relationship Id="rId16" Type="http://schemas.openxmlformats.org/officeDocument/2006/relationships/hyperlink" Target="https://www.deloitte.com/us/en/insights/topics/talent/organizational-skill-based-hiring.html" TargetMode="External"/><Relationship Id="rId20" Type="http://schemas.openxmlformats.org/officeDocument/2006/relationships/hyperlink" Target="https://www.gallup.com/workplace/349484/state-of-the-global-workplace.aspx" TargetMode="External"/><Relationship Id="rId29" Type="http://schemas.openxmlformats.org/officeDocument/2006/relationships/hyperlink" Target="https://doi.org/10.5465/amr.2001.437801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016/j.jvb.2017.05.008"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77/0001839213477098" TargetMode="External"/><Relationship Id="rId23" Type="http://schemas.openxmlformats.org/officeDocument/2006/relationships/hyperlink" Target="https://doi.org/10.1037/0021-9010.92.5.1332" TargetMode="External"/><Relationship Id="rId28" Type="http://schemas.openxmlformats.org/officeDocument/2006/relationships/hyperlink" Target="https://doi.org/10.1016/j.hrmr.2015.01.004" TargetMode="External"/><Relationship Id="rId10" Type="http://schemas.openxmlformats.org/officeDocument/2006/relationships/image" Target="media/image4.png"/><Relationship Id="rId19" Type="http://schemas.openxmlformats.org/officeDocument/2006/relationships/hyperlink" Target="https://eur-lex.europa.eu/eli/reg/2024/1689/oj"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37/0021-9010.92.3.707" TargetMode="External"/><Relationship Id="rId22" Type="http://schemas.openxmlformats.org/officeDocument/2006/relationships/hyperlink" Target="https://doi.org/10.1016/0030-5073(76)90016-7" TargetMode="External"/><Relationship Id="rId27" Type="http://schemas.openxmlformats.org/officeDocument/2006/relationships/hyperlink" Target="https://doi.org/10.1016/j.jvb.2011.05.009"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4232</Words>
  <Characters>24128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2026-07-16T21:53:00Z</dcterms:created>
  <dcterms:modified xsi:type="dcterms:W3CDTF">2026-07-17T00:06:00Z</dcterms:modified>
</cp:coreProperties>
</file>