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C235F5" w14:textId="468722F8" w:rsidR="008F42DF" w:rsidRPr="00203808" w:rsidRDefault="008F42DF" w:rsidP="00203808">
      <w:pPr>
        <w:spacing w:line="360" w:lineRule="auto"/>
        <w:jc w:val="center"/>
        <w:rPr>
          <w:rFonts w:cs="Arial"/>
          <w:sz w:val="22"/>
        </w:rPr>
      </w:pPr>
      <w:bookmarkStart w:id="0" w:name="_Hlk237302599"/>
      <w:bookmarkEnd w:id="0"/>
      <w:r w:rsidRPr="00203808">
        <w:rPr>
          <w:rFonts w:cs="Arial"/>
          <w:noProof/>
          <w:sz w:val="22"/>
        </w:rPr>
        <w:drawing>
          <wp:inline distT="0" distB="0" distL="0" distR="0" wp14:anchorId="55326DEE" wp14:editId="0AB038E1">
            <wp:extent cx="3381378" cy="1352553"/>
            <wp:effectExtent l="0" t="0" r="9522" b="0"/>
            <wp:docPr id="189656480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381378" cy="1352553"/>
                    </a:xfrm>
                    <a:prstGeom prst="rect">
                      <a:avLst/>
                    </a:prstGeom>
                    <a:noFill/>
                    <a:ln>
                      <a:noFill/>
                      <a:prstDash/>
                    </a:ln>
                  </pic:spPr>
                </pic:pic>
              </a:graphicData>
            </a:graphic>
          </wp:inline>
        </w:drawing>
      </w:r>
    </w:p>
    <w:p w14:paraId="719CD6DC" w14:textId="77777777" w:rsidR="008F42DF" w:rsidRPr="00203808" w:rsidRDefault="008F42DF" w:rsidP="00203808">
      <w:pPr>
        <w:spacing w:line="360" w:lineRule="auto"/>
        <w:jc w:val="center"/>
        <w:rPr>
          <w:rFonts w:cs="Arial"/>
          <w:sz w:val="22"/>
        </w:rPr>
      </w:pPr>
    </w:p>
    <w:p w14:paraId="28EBB4A1" w14:textId="77777777" w:rsidR="008F42DF" w:rsidRPr="00203808" w:rsidRDefault="008F42DF" w:rsidP="00203808">
      <w:pPr>
        <w:spacing w:line="360" w:lineRule="auto"/>
        <w:jc w:val="center"/>
        <w:rPr>
          <w:rFonts w:cs="Arial"/>
          <w:b/>
          <w:bCs/>
          <w:sz w:val="22"/>
        </w:rPr>
      </w:pPr>
      <w:r w:rsidRPr="00203808">
        <w:rPr>
          <w:rFonts w:cs="Arial"/>
          <w:b/>
          <w:bCs/>
          <w:sz w:val="22"/>
        </w:rPr>
        <w:t>Student Name: Boubacar Sidiki Ouedraogo</w:t>
      </w:r>
    </w:p>
    <w:p w14:paraId="757D3DF5" w14:textId="77777777" w:rsidR="008F42DF" w:rsidRPr="00203808" w:rsidRDefault="008F42DF" w:rsidP="00203808">
      <w:pPr>
        <w:spacing w:line="360" w:lineRule="auto"/>
        <w:jc w:val="center"/>
        <w:rPr>
          <w:rFonts w:cs="Arial"/>
          <w:b/>
          <w:bCs/>
          <w:sz w:val="22"/>
        </w:rPr>
      </w:pPr>
    </w:p>
    <w:p w14:paraId="11C0F037" w14:textId="495568F2" w:rsidR="008F42DF" w:rsidRPr="00203808" w:rsidRDefault="008F42DF" w:rsidP="00203808">
      <w:pPr>
        <w:spacing w:line="360" w:lineRule="auto"/>
        <w:jc w:val="center"/>
        <w:rPr>
          <w:rFonts w:cs="Arial"/>
          <w:b/>
          <w:bCs/>
          <w:sz w:val="22"/>
        </w:rPr>
      </w:pPr>
      <w:r w:rsidRPr="00203808">
        <w:rPr>
          <w:rFonts w:cs="Arial"/>
          <w:b/>
          <w:bCs/>
          <w:sz w:val="22"/>
        </w:rPr>
        <w:t>Student ID: 2543702</w:t>
      </w:r>
    </w:p>
    <w:p w14:paraId="31CC1B63" w14:textId="77777777" w:rsidR="008F42DF" w:rsidRPr="00203808" w:rsidRDefault="008F42DF" w:rsidP="00203808">
      <w:pPr>
        <w:spacing w:line="360" w:lineRule="auto"/>
        <w:jc w:val="center"/>
        <w:rPr>
          <w:rFonts w:cs="Arial"/>
          <w:sz w:val="22"/>
        </w:rPr>
      </w:pPr>
    </w:p>
    <w:p w14:paraId="7E4381A6" w14:textId="32DEA48E" w:rsidR="008F42DF" w:rsidRPr="00203808" w:rsidRDefault="008F42DF" w:rsidP="00203808">
      <w:pPr>
        <w:spacing w:line="360" w:lineRule="auto"/>
        <w:jc w:val="center"/>
        <w:rPr>
          <w:rFonts w:cs="Arial"/>
          <w:b/>
          <w:bCs/>
          <w:sz w:val="22"/>
        </w:rPr>
      </w:pPr>
      <w:r w:rsidRPr="00203808">
        <w:rPr>
          <w:rFonts w:cs="Arial"/>
          <w:b/>
          <w:bCs/>
          <w:sz w:val="22"/>
        </w:rPr>
        <w:t>Module Name: Financial Management</w:t>
      </w:r>
    </w:p>
    <w:p w14:paraId="7ED1B197" w14:textId="77777777" w:rsidR="008F42DF" w:rsidRPr="00203808" w:rsidRDefault="008F42DF" w:rsidP="00203808">
      <w:pPr>
        <w:spacing w:line="360" w:lineRule="auto"/>
        <w:jc w:val="center"/>
        <w:rPr>
          <w:rFonts w:cs="Arial"/>
          <w:b/>
          <w:bCs/>
          <w:sz w:val="22"/>
        </w:rPr>
      </w:pPr>
    </w:p>
    <w:p w14:paraId="7E6FFA0C" w14:textId="2771896D" w:rsidR="008F42DF" w:rsidRPr="00203808" w:rsidRDefault="008F42DF" w:rsidP="00203808">
      <w:pPr>
        <w:spacing w:line="360" w:lineRule="auto"/>
        <w:jc w:val="center"/>
        <w:rPr>
          <w:rFonts w:cs="Arial"/>
          <w:b/>
          <w:bCs/>
          <w:sz w:val="22"/>
        </w:rPr>
      </w:pPr>
      <w:r w:rsidRPr="00203808">
        <w:rPr>
          <w:rFonts w:cs="Arial"/>
          <w:b/>
          <w:bCs/>
          <w:sz w:val="22"/>
        </w:rPr>
        <w:t>Module Code: LCMB7002</w:t>
      </w:r>
    </w:p>
    <w:p w14:paraId="486EBBB7" w14:textId="77777777" w:rsidR="008F42DF" w:rsidRPr="00203808" w:rsidRDefault="008F42DF" w:rsidP="00203808">
      <w:pPr>
        <w:spacing w:line="360" w:lineRule="auto"/>
        <w:jc w:val="center"/>
        <w:rPr>
          <w:rFonts w:cs="Arial"/>
          <w:b/>
          <w:bCs/>
          <w:sz w:val="22"/>
        </w:rPr>
      </w:pPr>
    </w:p>
    <w:p w14:paraId="28D8A070" w14:textId="77777777" w:rsidR="008F42DF" w:rsidRPr="00203808" w:rsidRDefault="008F42DF" w:rsidP="00203808">
      <w:pPr>
        <w:spacing w:line="360" w:lineRule="auto"/>
        <w:jc w:val="center"/>
        <w:rPr>
          <w:rFonts w:cs="Arial"/>
          <w:b/>
          <w:bCs/>
          <w:sz w:val="22"/>
        </w:rPr>
      </w:pPr>
    </w:p>
    <w:p w14:paraId="198FA8C1" w14:textId="3EFB6AAF" w:rsidR="008F42DF" w:rsidRPr="00203808" w:rsidRDefault="008F42DF" w:rsidP="00203808">
      <w:pPr>
        <w:spacing w:line="360" w:lineRule="auto"/>
        <w:jc w:val="center"/>
        <w:rPr>
          <w:rFonts w:cs="Arial"/>
          <w:b/>
          <w:bCs/>
          <w:sz w:val="22"/>
        </w:rPr>
      </w:pPr>
      <w:r w:rsidRPr="00203808">
        <w:rPr>
          <w:rFonts w:cs="Arial"/>
          <w:b/>
          <w:bCs/>
          <w:sz w:val="22"/>
        </w:rPr>
        <w:t>Lecturer’s Name: Md Kalam</w:t>
      </w:r>
    </w:p>
    <w:p w14:paraId="3749B334" w14:textId="77777777" w:rsidR="008F42DF" w:rsidRPr="00203808" w:rsidRDefault="008F42DF" w:rsidP="00203808">
      <w:pPr>
        <w:spacing w:line="360" w:lineRule="auto"/>
        <w:jc w:val="center"/>
        <w:rPr>
          <w:rFonts w:cs="Arial"/>
          <w:b/>
          <w:bCs/>
          <w:sz w:val="22"/>
        </w:rPr>
      </w:pPr>
    </w:p>
    <w:p w14:paraId="216CA97C" w14:textId="77777777" w:rsidR="008F42DF" w:rsidRPr="00203808" w:rsidRDefault="008F42DF" w:rsidP="00203808">
      <w:pPr>
        <w:spacing w:line="360" w:lineRule="auto"/>
        <w:jc w:val="center"/>
        <w:rPr>
          <w:rFonts w:cs="Arial"/>
          <w:b/>
          <w:bCs/>
          <w:sz w:val="22"/>
        </w:rPr>
      </w:pPr>
    </w:p>
    <w:p w14:paraId="60AEBA7C" w14:textId="08052303" w:rsidR="008F42DF" w:rsidRPr="00203808" w:rsidRDefault="008F42DF" w:rsidP="00203808">
      <w:pPr>
        <w:spacing w:line="360" w:lineRule="auto"/>
        <w:jc w:val="center"/>
        <w:rPr>
          <w:rFonts w:cs="Arial"/>
          <w:b/>
          <w:bCs/>
          <w:sz w:val="22"/>
        </w:rPr>
      </w:pPr>
      <w:r w:rsidRPr="00203808">
        <w:rPr>
          <w:rFonts w:cs="Arial"/>
          <w:b/>
          <w:bCs/>
          <w:sz w:val="22"/>
        </w:rPr>
        <w:t xml:space="preserve">Work Count: </w:t>
      </w:r>
      <w:r w:rsidR="006763BE">
        <w:rPr>
          <w:rFonts w:cs="Arial"/>
          <w:b/>
          <w:bCs/>
          <w:sz w:val="22"/>
        </w:rPr>
        <w:t>5088 words</w:t>
      </w:r>
    </w:p>
    <w:p w14:paraId="2A3508FB" w14:textId="77777777" w:rsidR="008F42DF" w:rsidRPr="00203808" w:rsidRDefault="008F42DF" w:rsidP="00203808">
      <w:pPr>
        <w:spacing w:line="360" w:lineRule="auto"/>
        <w:jc w:val="center"/>
        <w:rPr>
          <w:rFonts w:cs="Arial"/>
          <w:b/>
          <w:bCs/>
          <w:sz w:val="22"/>
        </w:rPr>
      </w:pPr>
    </w:p>
    <w:p w14:paraId="4FA6482B" w14:textId="225B9728" w:rsidR="008F42DF" w:rsidRPr="00203808" w:rsidRDefault="008F42DF" w:rsidP="00203808">
      <w:pPr>
        <w:spacing w:line="360" w:lineRule="auto"/>
        <w:jc w:val="center"/>
        <w:rPr>
          <w:rFonts w:cs="Arial"/>
          <w:b/>
          <w:bCs/>
          <w:sz w:val="22"/>
        </w:rPr>
      </w:pPr>
      <w:r w:rsidRPr="00203808">
        <w:rPr>
          <w:rFonts w:cs="Arial"/>
          <w:b/>
          <w:bCs/>
          <w:sz w:val="22"/>
        </w:rPr>
        <w:t>Term 1</w:t>
      </w:r>
    </w:p>
    <w:p w14:paraId="392B824C" w14:textId="77777777" w:rsidR="008F42DF" w:rsidRPr="00203808" w:rsidRDefault="008F42DF" w:rsidP="00203808">
      <w:pPr>
        <w:spacing w:line="360" w:lineRule="auto"/>
        <w:jc w:val="center"/>
        <w:rPr>
          <w:rFonts w:cs="Arial"/>
          <w:sz w:val="22"/>
        </w:rPr>
      </w:pPr>
    </w:p>
    <w:p w14:paraId="59A4EA05" w14:textId="2D549728" w:rsidR="00DE3397" w:rsidRPr="00203808" w:rsidRDefault="008F42DF" w:rsidP="00203808">
      <w:pPr>
        <w:spacing w:line="360" w:lineRule="auto"/>
        <w:jc w:val="center"/>
        <w:rPr>
          <w:rFonts w:cs="Arial"/>
          <w:b/>
          <w:bCs/>
          <w:sz w:val="22"/>
          <w:lang w:val="en-GB"/>
        </w:rPr>
      </w:pPr>
      <w:r w:rsidRPr="00203808">
        <w:rPr>
          <w:rFonts w:cs="Arial"/>
          <w:b/>
          <w:bCs/>
          <w:sz w:val="22"/>
          <w:lang w:val="en-GB"/>
        </w:rPr>
        <w:t>ASSESSMENT COMPONENT: FINANCIAL PERFORMANCE AND MANAGEMENT</w:t>
      </w:r>
    </w:p>
    <w:p w14:paraId="374F0AD5" w14:textId="3FB6C925" w:rsidR="00861346" w:rsidRPr="00203808" w:rsidRDefault="00861346" w:rsidP="00203808">
      <w:pPr>
        <w:pStyle w:val="Titre1"/>
        <w:spacing w:line="360" w:lineRule="auto"/>
        <w:jc w:val="both"/>
        <w:rPr>
          <w:rFonts w:ascii="Arial" w:hAnsi="Arial" w:cs="Arial"/>
          <w:b w:val="0"/>
          <w:bCs w:val="0"/>
          <w:color w:val="auto"/>
          <w:sz w:val="22"/>
          <w:szCs w:val="22"/>
          <w:u w:val="single"/>
          <w:lang w:val="en-GB"/>
        </w:rPr>
      </w:pPr>
      <w:bookmarkStart w:id="1" w:name="_Toc237478453"/>
      <w:r w:rsidRPr="00203808">
        <w:rPr>
          <w:rFonts w:ascii="Arial" w:hAnsi="Arial" w:cs="Arial"/>
          <w:color w:val="auto"/>
          <w:sz w:val="22"/>
          <w:szCs w:val="22"/>
          <w:u w:val="single"/>
          <w:lang w:val="en-GB"/>
        </w:rPr>
        <w:lastRenderedPageBreak/>
        <w:t>Executive Summary</w:t>
      </w:r>
      <w:bookmarkEnd w:id="1"/>
    </w:p>
    <w:p w14:paraId="0176120E" w14:textId="627AE4AD" w:rsidR="00DE3397" w:rsidRPr="00203808" w:rsidRDefault="00861346" w:rsidP="00203808">
      <w:pPr>
        <w:spacing w:after="0" w:line="360" w:lineRule="auto"/>
        <w:jc w:val="both"/>
        <w:rPr>
          <w:rFonts w:cs="Arial"/>
          <w:sz w:val="22"/>
        </w:rPr>
      </w:pPr>
      <w:r w:rsidRPr="00203808">
        <w:rPr>
          <w:rFonts w:cs="Arial"/>
          <w:sz w:val="22"/>
          <w:lang w:val="en-GB"/>
        </w:rPr>
        <w:t xml:space="preserve">This report looks at Marriott International’s financial position and performance over the 2021–2025 period, with particular attention to profitability, liquidity, working capital, debt management and investment decisions. </w:t>
      </w:r>
      <w:r w:rsidR="00DE3397" w:rsidRPr="00203808">
        <w:rPr>
          <w:rFonts w:cs="Arial"/>
          <w:sz w:val="22"/>
        </w:rPr>
        <w:t>Th</w:t>
      </w:r>
      <w:r w:rsidR="00DE3397" w:rsidRPr="00203808">
        <w:rPr>
          <w:rFonts w:cs="Arial"/>
          <w:sz w:val="22"/>
        </w:rPr>
        <w:t>is</w:t>
      </w:r>
      <w:r w:rsidR="00DE3397" w:rsidRPr="00203808">
        <w:rPr>
          <w:rFonts w:cs="Arial"/>
          <w:sz w:val="22"/>
        </w:rPr>
        <w:t xml:space="preserve"> period marked a strong recovery for Marriott International. After the impact of COVID-19, the company bounced back and continued to benefit from its asset-light business model, where Marriott manages and franchises hotels rather than owning them.</w:t>
      </w:r>
    </w:p>
    <w:p w14:paraId="62A2EEA5" w14:textId="2BB36647" w:rsidR="00DE3397" w:rsidRPr="00203808" w:rsidRDefault="00DE3397" w:rsidP="00203808">
      <w:pPr>
        <w:spacing w:after="0" w:line="360" w:lineRule="auto"/>
        <w:jc w:val="both"/>
        <w:rPr>
          <w:rFonts w:cs="Arial"/>
          <w:sz w:val="22"/>
        </w:rPr>
      </w:pPr>
      <w:r w:rsidRPr="00203808">
        <w:rPr>
          <w:rFonts w:cs="Arial"/>
          <w:sz w:val="22"/>
        </w:rPr>
        <w:t>The financial results show clear progress. Revenue nearly doubled, rising from $13.857 billion in 2021 to $26.186 billion in 2025. Operating income also more than doubled, from $1.750 billion to $4.141 billion. By the end of 2025, Marriott operated 9,805 properties and 1.78 million rooms across 145 countries, with less than 1% owned directly. The development pipeline of approximately 610,000 rooms signals continued growth potential.</w:t>
      </w:r>
    </w:p>
    <w:p w14:paraId="5C8359FB" w14:textId="1C678BEF" w:rsidR="00DE3397" w:rsidRPr="00203808" w:rsidRDefault="00DE3397" w:rsidP="00203808">
      <w:pPr>
        <w:spacing w:after="0" w:line="360" w:lineRule="auto"/>
        <w:jc w:val="both"/>
        <w:rPr>
          <w:rFonts w:cs="Arial"/>
          <w:sz w:val="22"/>
        </w:rPr>
      </w:pPr>
      <w:r w:rsidRPr="00203808">
        <w:rPr>
          <w:rFonts w:cs="Arial"/>
          <w:sz w:val="22"/>
        </w:rPr>
        <w:t>However, this growth came with increased financial pressure. Total debt rose significantly from $10.138 billion to $16.204 billion, largely to fund expansion and share buybacks. As a result, shareholders’ equity turned negative at around -$3.771 billion. Liquidity remains tight, with a current ratio of just 0.43 in 2025. Interest coverage also declined to 5.12 times. While Marriott can still meet its interest obligations, its financial flexibility has reduced. This risk is partly offset by strong operating cash flow of $3.212 billion and access to a $4.5 billion revolving credit facility.</w:t>
      </w:r>
    </w:p>
    <w:p w14:paraId="7C58DA0E" w14:textId="4B701701" w:rsidR="00DE3397" w:rsidRPr="00203808" w:rsidRDefault="00DE3397" w:rsidP="00203808">
      <w:pPr>
        <w:spacing w:after="0" w:line="360" w:lineRule="auto"/>
        <w:jc w:val="both"/>
        <w:rPr>
          <w:rFonts w:cs="Arial"/>
          <w:sz w:val="22"/>
        </w:rPr>
      </w:pPr>
      <w:r w:rsidRPr="00203808">
        <w:rPr>
          <w:rFonts w:cs="Arial"/>
          <w:sz w:val="22"/>
        </w:rPr>
        <w:t>Working capital is another key area. Marriott consistently operated with negative net working capital, which is normal for an asset-light franchisor. The positive trend is in receivables management: DSO improved from 52.2 days in 2021 to 40.5 days in 2025. To strengthen liquidity further, the report recommends continuing to improve collections through electronic invoicing and automated payment systems, while carefully managing supplier payment terms.</w:t>
      </w:r>
    </w:p>
    <w:p w14:paraId="0ED3DE10" w14:textId="262F70A2" w:rsidR="00DE3397" w:rsidRPr="00203808" w:rsidRDefault="00DE3397" w:rsidP="00203808">
      <w:pPr>
        <w:spacing w:after="0" w:line="360" w:lineRule="auto"/>
        <w:jc w:val="both"/>
        <w:rPr>
          <w:rFonts w:cs="Arial"/>
          <w:sz w:val="22"/>
        </w:rPr>
      </w:pPr>
      <w:r w:rsidRPr="00203808">
        <w:rPr>
          <w:rFonts w:cs="Arial"/>
          <w:sz w:val="22"/>
        </w:rPr>
        <w:t>In terms of financial strategy, no major restructuring is needed. Marriott should maintain its asset-light model, refinance debt ahead of maturities, and slow the pace of share buybacks when leverage is high. A major equity injection is not necessary given the company’s strong profitability and cash generation.</w:t>
      </w:r>
    </w:p>
    <w:p w14:paraId="5FD0FCCF" w14:textId="0500C694" w:rsidR="00DE3397" w:rsidRPr="00203808" w:rsidRDefault="00DE3397" w:rsidP="00203808">
      <w:pPr>
        <w:spacing w:after="0" w:line="360" w:lineRule="auto"/>
        <w:jc w:val="both"/>
        <w:rPr>
          <w:rFonts w:cs="Arial"/>
          <w:sz w:val="22"/>
        </w:rPr>
      </w:pPr>
      <w:r w:rsidRPr="00203808">
        <w:rPr>
          <w:rFonts w:cs="Arial"/>
          <w:sz w:val="22"/>
        </w:rPr>
        <w:t xml:space="preserve">The investment appraisal evaluated three projects, each requiring an initial investment of £50 million at an 8% required rate of return. Project C is the clear choice. It has the shortest payback period at 3.60 years, the highest ARR at 12%, a positive NPV of approximately £0.86 million, a PI of 1.02, and an IRR of 8.6%. Projects A and B do not meet the required return and should be rejected. Under the £100 million capital limit, the best decision is to </w:t>
      </w:r>
      <w:r w:rsidRPr="00203808">
        <w:rPr>
          <w:rFonts w:cs="Arial"/>
          <w:sz w:val="22"/>
        </w:rPr>
        <w:lastRenderedPageBreak/>
        <w:t>invest £50 million in Project C and retain the remaining £50 million for liquidity, debt management, or future opportunities.</w:t>
      </w:r>
    </w:p>
    <w:p w14:paraId="7D0B9E68" w14:textId="6F7F8782" w:rsidR="00DE3397" w:rsidRPr="00203808" w:rsidRDefault="00DE3397" w:rsidP="00203808">
      <w:pPr>
        <w:spacing w:after="0" w:line="360" w:lineRule="auto"/>
        <w:jc w:val="both"/>
        <w:rPr>
          <w:rFonts w:cs="Arial"/>
          <w:sz w:val="22"/>
        </w:rPr>
      </w:pPr>
      <w:r w:rsidRPr="00203808">
        <w:rPr>
          <w:rFonts w:cs="Arial"/>
          <w:sz w:val="22"/>
        </w:rPr>
        <w:t>Overall recommendation: Marriott is in a strong operating position, but must manage higher debt and limited liquidity carefully. The priorities are to protect cash generation, control debt growth, refinance upcoming maturities early, and be more selective with shareholder distributions during periods of financial pressure. At the same time, Marriott should continue to invest in value-creating projects while considering risks such as foreign exchange, interest rates, international regulation, and ESG factors.</w:t>
      </w:r>
    </w:p>
    <w:p w14:paraId="63AF1DE6" w14:textId="27086D24" w:rsidR="00FD5F42" w:rsidRPr="00203808" w:rsidRDefault="00DE3397" w:rsidP="00203808">
      <w:pPr>
        <w:spacing w:after="0" w:line="360" w:lineRule="auto"/>
        <w:jc w:val="both"/>
        <w:rPr>
          <w:rFonts w:cs="Arial"/>
          <w:b/>
          <w:bCs/>
          <w:sz w:val="22"/>
        </w:rPr>
      </w:pPr>
      <w:r w:rsidRPr="00203808">
        <w:rPr>
          <w:rFonts w:cs="Arial"/>
          <w:b/>
          <w:bCs/>
          <w:sz w:val="22"/>
          <w:u w:val="single"/>
        </w:rPr>
        <w:t>Keywords:</w:t>
      </w:r>
      <w:r w:rsidRPr="00203808">
        <w:rPr>
          <w:rFonts w:cs="Arial"/>
          <w:b/>
          <w:bCs/>
          <w:sz w:val="22"/>
        </w:rPr>
        <w:t xml:space="preserve"> </w:t>
      </w:r>
      <w:r w:rsidRPr="00203808">
        <w:rPr>
          <w:rFonts w:cs="Arial"/>
          <w:b/>
          <w:bCs/>
          <w:sz w:val="22"/>
        </w:rPr>
        <w:t xml:space="preserve"> </w:t>
      </w:r>
      <w:r w:rsidRPr="00203808">
        <w:rPr>
          <w:rFonts w:cs="Arial"/>
          <w:b/>
          <w:bCs/>
          <w:sz w:val="22"/>
        </w:rPr>
        <w:t>Financial performance, Profitability, Liquidity, Working capital, Debt management, Operating cash flow, Investment appraisal,</w:t>
      </w:r>
      <w:r w:rsidR="00EA3B33" w:rsidRPr="00203808">
        <w:rPr>
          <w:rFonts w:cs="Arial"/>
          <w:b/>
          <w:bCs/>
          <w:sz w:val="22"/>
        </w:rPr>
        <w:t xml:space="preserve"> </w:t>
      </w:r>
      <w:r w:rsidRPr="00203808">
        <w:rPr>
          <w:rFonts w:cs="Arial"/>
          <w:b/>
          <w:bCs/>
          <w:sz w:val="22"/>
        </w:rPr>
        <w:t xml:space="preserve">Capital rationing, </w:t>
      </w:r>
      <w:proofErr w:type="gramStart"/>
      <w:r w:rsidRPr="00203808">
        <w:rPr>
          <w:rFonts w:cs="Arial"/>
          <w:b/>
          <w:bCs/>
          <w:sz w:val="22"/>
        </w:rPr>
        <w:t>Financial</w:t>
      </w:r>
      <w:proofErr w:type="gramEnd"/>
      <w:r w:rsidRPr="00203808">
        <w:rPr>
          <w:rFonts w:cs="Arial"/>
          <w:b/>
          <w:bCs/>
          <w:sz w:val="22"/>
        </w:rPr>
        <w:t xml:space="preserve"> restructuring</w:t>
      </w:r>
    </w:p>
    <w:p w14:paraId="3466A1C4" w14:textId="77777777" w:rsidR="00FD5F42" w:rsidRPr="00203808" w:rsidRDefault="00FD5F42" w:rsidP="00203808">
      <w:pPr>
        <w:spacing w:after="0" w:line="360" w:lineRule="auto"/>
        <w:jc w:val="both"/>
        <w:rPr>
          <w:rFonts w:cs="Arial"/>
          <w:sz w:val="22"/>
        </w:rPr>
      </w:pPr>
    </w:p>
    <w:p w14:paraId="43EE10F5" w14:textId="77777777" w:rsidR="00FD5F42" w:rsidRPr="00203808" w:rsidRDefault="00FD5F42" w:rsidP="00203808">
      <w:pPr>
        <w:spacing w:after="0" w:line="360" w:lineRule="auto"/>
        <w:jc w:val="both"/>
        <w:rPr>
          <w:rFonts w:cs="Arial"/>
          <w:sz w:val="22"/>
        </w:rPr>
      </w:pPr>
    </w:p>
    <w:p w14:paraId="672F2D08" w14:textId="77777777" w:rsidR="00DE3397" w:rsidRPr="00203808" w:rsidRDefault="00DE3397" w:rsidP="00203808">
      <w:pPr>
        <w:spacing w:after="0" w:line="360" w:lineRule="auto"/>
        <w:jc w:val="both"/>
        <w:rPr>
          <w:rFonts w:cs="Arial"/>
          <w:sz w:val="22"/>
        </w:rPr>
      </w:pPr>
    </w:p>
    <w:p w14:paraId="7414F69A" w14:textId="77777777" w:rsidR="00DE3397" w:rsidRPr="00203808" w:rsidRDefault="00DE3397" w:rsidP="00203808">
      <w:pPr>
        <w:spacing w:after="0" w:line="360" w:lineRule="auto"/>
        <w:jc w:val="both"/>
        <w:rPr>
          <w:rFonts w:cs="Arial"/>
          <w:sz w:val="22"/>
        </w:rPr>
      </w:pPr>
    </w:p>
    <w:p w14:paraId="799DB488" w14:textId="77777777" w:rsidR="00DE3397" w:rsidRPr="00203808" w:rsidRDefault="00DE3397" w:rsidP="00203808">
      <w:pPr>
        <w:spacing w:after="0" w:line="360" w:lineRule="auto"/>
        <w:jc w:val="both"/>
        <w:rPr>
          <w:rFonts w:cs="Arial"/>
          <w:sz w:val="22"/>
        </w:rPr>
      </w:pPr>
    </w:p>
    <w:p w14:paraId="2135A549" w14:textId="77777777" w:rsidR="00DE3397" w:rsidRPr="00203808" w:rsidRDefault="00DE3397" w:rsidP="00203808">
      <w:pPr>
        <w:spacing w:after="0" w:line="360" w:lineRule="auto"/>
        <w:jc w:val="both"/>
        <w:rPr>
          <w:rFonts w:cs="Arial"/>
          <w:sz w:val="22"/>
        </w:rPr>
      </w:pPr>
    </w:p>
    <w:p w14:paraId="415D449B" w14:textId="77777777" w:rsidR="00DE3397" w:rsidRPr="00203808" w:rsidRDefault="00DE3397" w:rsidP="00203808">
      <w:pPr>
        <w:spacing w:after="0" w:line="360" w:lineRule="auto"/>
        <w:jc w:val="both"/>
        <w:rPr>
          <w:rFonts w:cs="Arial"/>
          <w:sz w:val="22"/>
        </w:rPr>
      </w:pPr>
    </w:p>
    <w:p w14:paraId="3BA28AD5" w14:textId="77777777" w:rsidR="00DE3397" w:rsidRPr="00203808" w:rsidRDefault="00DE3397" w:rsidP="00203808">
      <w:pPr>
        <w:spacing w:after="0" w:line="360" w:lineRule="auto"/>
        <w:jc w:val="both"/>
        <w:rPr>
          <w:rFonts w:cs="Arial"/>
          <w:sz w:val="22"/>
        </w:rPr>
      </w:pPr>
    </w:p>
    <w:p w14:paraId="64EF655B" w14:textId="77777777" w:rsidR="00DE3397" w:rsidRPr="00203808" w:rsidRDefault="00DE3397" w:rsidP="00203808">
      <w:pPr>
        <w:spacing w:after="0" w:line="360" w:lineRule="auto"/>
        <w:jc w:val="both"/>
        <w:rPr>
          <w:rFonts w:cs="Arial"/>
          <w:sz w:val="22"/>
        </w:rPr>
      </w:pPr>
    </w:p>
    <w:p w14:paraId="3BBD76B8" w14:textId="77777777" w:rsidR="00DE3397" w:rsidRDefault="00DE3397" w:rsidP="00203808">
      <w:pPr>
        <w:spacing w:after="0" w:line="360" w:lineRule="auto"/>
        <w:jc w:val="both"/>
        <w:rPr>
          <w:rFonts w:cs="Arial"/>
          <w:sz w:val="22"/>
        </w:rPr>
      </w:pPr>
    </w:p>
    <w:p w14:paraId="7AFB5CA0" w14:textId="77777777" w:rsidR="00203808" w:rsidRDefault="00203808" w:rsidP="00203808">
      <w:pPr>
        <w:spacing w:after="0" w:line="360" w:lineRule="auto"/>
        <w:jc w:val="both"/>
        <w:rPr>
          <w:rFonts w:cs="Arial"/>
          <w:sz w:val="22"/>
        </w:rPr>
      </w:pPr>
    </w:p>
    <w:p w14:paraId="4826B510" w14:textId="77777777" w:rsidR="00203808" w:rsidRDefault="00203808" w:rsidP="00203808">
      <w:pPr>
        <w:spacing w:after="0" w:line="360" w:lineRule="auto"/>
        <w:jc w:val="both"/>
        <w:rPr>
          <w:rFonts w:cs="Arial"/>
          <w:sz w:val="22"/>
        </w:rPr>
      </w:pPr>
    </w:p>
    <w:p w14:paraId="77CF9B2F" w14:textId="77777777" w:rsidR="00203808" w:rsidRDefault="00203808" w:rsidP="00203808">
      <w:pPr>
        <w:spacing w:after="0" w:line="360" w:lineRule="auto"/>
        <w:jc w:val="both"/>
        <w:rPr>
          <w:rFonts w:cs="Arial"/>
          <w:sz w:val="22"/>
        </w:rPr>
      </w:pPr>
    </w:p>
    <w:p w14:paraId="63B6D279" w14:textId="77777777" w:rsidR="00203808" w:rsidRDefault="00203808" w:rsidP="00203808">
      <w:pPr>
        <w:spacing w:after="0" w:line="360" w:lineRule="auto"/>
        <w:jc w:val="both"/>
        <w:rPr>
          <w:rFonts w:cs="Arial"/>
          <w:sz w:val="22"/>
        </w:rPr>
      </w:pPr>
    </w:p>
    <w:p w14:paraId="0511BD6F" w14:textId="77777777" w:rsidR="00203808" w:rsidRDefault="00203808" w:rsidP="00203808">
      <w:pPr>
        <w:spacing w:after="0" w:line="360" w:lineRule="auto"/>
        <w:jc w:val="both"/>
        <w:rPr>
          <w:rFonts w:cs="Arial"/>
          <w:sz w:val="22"/>
        </w:rPr>
      </w:pPr>
    </w:p>
    <w:p w14:paraId="65FECF1C" w14:textId="77777777" w:rsidR="00203808" w:rsidRDefault="00203808" w:rsidP="00203808">
      <w:pPr>
        <w:spacing w:after="0" w:line="360" w:lineRule="auto"/>
        <w:jc w:val="both"/>
        <w:rPr>
          <w:rFonts w:cs="Arial"/>
          <w:sz w:val="22"/>
        </w:rPr>
      </w:pPr>
    </w:p>
    <w:p w14:paraId="1DA7DF3B" w14:textId="77777777" w:rsidR="00203808" w:rsidRDefault="00203808" w:rsidP="00203808">
      <w:pPr>
        <w:spacing w:after="0" w:line="360" w:lineRule="auto"/>
        <w:jc w:val="both"/>
        <w:rPr>
          <w:rFonts w:cs="Arial"/>
          <w:sz w:val="22"/>
        </w:rPr>
      </w:pPr>
    </w:p>
    <w:p w14:paraId="3D5A7C0B" w14:textId="77777777" w:rsidR="00203808" w:rsidRDefault="00203808" w:rsidP="00203808">
      <w:pPr>
        <w:spacing w:after="0" w:line="360" w:lineRule="auto"/>
        <w:jc w:val="both"/>
        <w:rPr>
          <w:rFonts w:cs="Arial"/>
          <w:sz w:val="22"/>
        </w:rPr>
      </w:pPr>
    </w:p>
    <w:p w14:paraId="116FBE9C" w14:textId="77777777" w:rsidR="00203808" w:rsidRDefault="00203808" w:rsidP="00203808">
      <w:pPr>
        <w:spacing w:after="0" w:line="360" w:lineRule="auto"/>
        <w:jc w:val="both"/>
        <w:rPr>
          <w:rFonts w:cs="Arial"/>
          <w:sz w:val="22"/>
        </w:rPr>
      </w:pPr>
    </w:p>
    <w:p w14:paraId="7599CC1D" w14:textId="77777777" w:rsidR="00203808" w:rsidRPr="00203808" w:rsidRDefault="00203808" w:rsidP="00203808">
      <w:pPr>
        <w:spacing w:after="0" w:line="360" w:lineRule="auto"/>
        <w:jc w:val="both"/>
        <w:rPr>
          <w:rFonts w:cs="Arial"/>
          <w:sz w:val="22"/>
        </w:rPr>
      </w:pPr>
    </w:p>
    <w:p w14:paraId="4773B323" w14:textId="77777777" w:rsidR="00DE3397" w:rsidRPr="00203808" w:rsidRDefault="00DE3397" w:rsidP="00203808">
      <w:pPr>
        <w:spacing w:after="0" w:line="360" w:lineRule="auto"/>
        <w:jc w:val="both"/>
        <w:rPr>
          <w:rFonts w:cs="Arial"/>
          <w:sz w:val="22"/>
        </w:rPr>
      </w:pPr>
    </w:p>
    <w:p w14:paraId="5D4C4708" w14:textId="77777777" w:rsidR="00FD5F42" w:rsidRPr="00203808" w:rsidRDefault="00FD5F42" w:rsidP="00203808">
      <w:pPr>
        <w:spacing w:after="0" w:line="360" w:lineRule="auto"/>
        <w:jc w:val="both"/>
        <w:rPr>
          <w:rFonts w:cs="Arial"/>
          <w:sz w:val="22"/>
        </w:rPr>
      </w:pPr>
    </w:p>
    <w:p w14:paraId="7C307667" w14:textId="77777777" w:rsidR="003E59E5" w:rsidRPr="00203808" w:rsidRDefault="003E59E5" w:rsidP="00203808">
      <w:pPr>
        <w:spacing w:after="0" w:line="360" w:lineRule="auto"/>
        <w:jc w:val="both"/>
        <w:rPr>
          <w:rFonts w:cs="Arial"/>
          <w:sz w:val="22"/>
        </w:rPr>
      </w:pPr>
    </w:p>
    <w:sdt>
      <w:sdtPr>
        <w:rPr>
          <w:rFonts w:ascii="Arial" w:hAnsi="Arial" w:cs="Arial"/>
          <w:color w:val="auto"/>
          <w:sz w:val="22"/>
          <w:szCs w:val="22"/>
          <w:lang w:val="fr-FR"/>
        </w:rPr>
        <w:id w:val="-579515982"/>
        <w:docPartObj>
          <w:docPartGallery w:val="Table of Contents"/>
          <w:docPartUnique/>
        </w:docPartObj>
      </w:sdtPr>
      <w:sdtEndPr>
        <w:rPr>
          <w:rFonts w:eastAsiaTheme="minorEastAsia"/>
        </w:rPr>
      </w:sdtEndPr>
      <w:sdtContent>
        <w:p w14:paraId="3C4918B6" w14:textId="758411A5" w:rsidR="00900317" w:rsidRPr="006763BE" w:rsidRDefault="00900317" w:rsidP="006763BE">
          <w:pPr>
            <w:pStyle w:val="En-ttedetabledesmatires"/>
            <w:spacing w:line="360" w:lineRule="auto"/>
            <w:jc w:val="both"/>
            <w:rPr>
              <w:rFonts w:ascii="Arial" w:hAnsi="Arial" w:cs="Arial"/>
              <w:color w:val="auto"/>
              <w:sz w:val="24"/>
              <w:szCs w:val="24"/>
              <w:u w:val="single"/>
            </w:rPr>
          </w:pPr>
          <w:r w:rsidRPr="006763BE">
            <w:rPr>
              <w:rFonts w:ascii="Arial" w:hAnsi="Arial" w:cs="Arial"/>
              <w:color w:val="auto"/>
              <w:sz w:val="24"/>
              <w:szCs w:val="24"/>
              <w:u w:val="single"/>
              <w:lang w:val="fr-FR"/>
            </w:rPr>
            <w:t>Table des matières</w:t>
          </w:r>
        </w:p>
        <w:p w14:paraId="02905172" w14:textId="7844C225" w:rsidR="006763BE" w:rsidRPr="006763BE" w:rsidRDefault="00900317" w:rsidP="006763BE">
          <w:pPr>
            <w:pStyle w:val="TM1"/>
            <w:rPr>
              <w:rFonts w:asciiTheme="minorHAnsi" w:hAnsiTheme="minorHAnsi"/>
              <w:b/>
              <w:bCs/>
              <w:noProof/>
              <w:kern w:val="2"/>
              <w:sz w:val="24"/>
              <w:szCs w:val="24"/>
              <w:lang w:val="en-GB" w:eastAsia="en-GB"/>
              <w14:ligatures w14:val="standardContextual"/>
            </w:rPr>
          </w:pPr>
          <w:r w:rsidRPr="006763BE">
            <w:rPr>
              <w:rFonts w:cs="Arial"/>
              <w:b/>
              <w:bCs/>
              <w:sz w:val="24"/>
              <w:szCs w:val="24"/>
            </w:rPr>
            <w:fldChar w:fldCharType="begin"/>
          </w:r>
          <w:r w:rsidRPr="006763BE">
            <w:rPr>
              <w:rFonts w:cs="Arial"/>
              <w:b/>
              <w:bCs/>
              <w:sz w:val="24"/>
              <w:szCs w:val="24"/>
            </w:rPr>
            <w:instrText xml:space="preserve"> TOC \o "1-3" \h \z \u </w:instrText>
          </w:r>
          <w:r w:rsidRPr="006763BE">
            <w:rPr>
              <w:rFonts w:cs="Arial"/>
              <w:b/>
              <w:bCs/>
              <w:sz w:val="24"/>
              <w:szCs w:val="24"/>
            </w:rPr>
            <w:fldChar w:fldCharType="separate"/>
          </w:r>
          <w:hyperlink w:anchor="_Toc237478453" w:history="1">
            <w:r w:rsidR="006763BE" w:rsidRPr="006763BE">
              <w:rPr>
                <w:rStyle w:val="Lienhypertexte"/>
                <w:rFonts w:cs="Arial"/>
                <w:b/>
                <w:bCs/>
                <w:noProof/>
                <w:sz w:val="24"/>
                <w:szCs w:val="24"/>
                <w:lang w:val="en-GB"/>
              </w:rPr>
              <w:t>Executive Summary</w:t>
            </w:r>
            <w:r w:rsidR="006763BE" w:rsidRPr="006763BE">
              <w:rPr>
                <w:b/>
                <w:bCs/>
                <w:noProof/>
                <w:webHidden/>
                <w:sz w:val="24"/>
                <w:szCs w:val="24"/>
              </w:rPr>
              <w:tab/>
            </w:r>
            <w:r w:rsidR="006763BE" w:rsidRPr="006763BE">
              <w:rPr>
                <w:b/>
                <w:bCs/>
                <w:noProof/>
                <w:webHidden/>
                <w:sz w:val="24"/>
                <w:szCs w:val="24"/>
              </w:rPr>
              <w:fldChar w:fldCharType="begin"/>
            </w:r>
            <w:r w:rsidR="006763BE" w:rsidRPr="006763BE">
              <w:rPr>
                <w:b/>
                <w:bCs/>
                <w:noProof/>
                <w:webHidden/>
                <w:sz w:val="24"/>
                <w:szCs w:val="24"/>
              </w:rPr>
              <w:instrText xml:space="preserve"> PAGEREF _Toc237478453 \h </w:instrText>
            </w:r>
            <w:r w:rsidR="006763BE" w:rsidRPr="006763BE">
              <w:rPr>
                <w:b/>
                <w:bCs/>
                <w:noProof/>
                <w:webHidden/>
                <w:sz w:val="24"/>
                <w:szCs w:val="24"/>
              </w:rPr>
            </w:r>
            <w:r w:rsidR="006763BE" w:rsidRPr="006763BE">
              <w:rPr>
                <w:b/>
                <w:bCs/>
                <w:noProof/>
                <w:webHidden/>
                <w:sz w:val="24"/>
                <w:szCs w:val="24"/>
              </w:rPr>
              <w:fldChar w:fldCharType="separate"/>
            </w:r>
            <w:r w:rsidR="006763BE" w:rsidRPr="006763BE">
              <w:rPr>
                <w:b/>
                <w:bCs/>
                <w:noProof/>
                <w:webHidden/>
                <w:sz w:val="24"/>
                <w:szCs w:val="24"/>
              </w:rPr>
              <w:t>ii</w:t>
            </w:r>
            <w:r w:rsidR="006763BE" w:rsidRPr="006763BE">
              <w:rPr>
                <w:b/>
                <w:bCs/>
                <w:noProof/>
                <w:webHidden/>
                <w:sz w:val="24"/>
                <w:szCs w:val="24"/>
              </w:rPr>
              <w:fldChar w:fldCharType="end"/>
            </w:r>
          </w:hyperlink>
        </w:p>
        <w:p w14:paraId="759138BC" w14:textId="21FF2E00" w:rsidR="006763BE" w:rsidRPr="006763BE" w:rsidRDefault="006763BE" w:rsidP="006763BE">
          <w:pPr>
            <w:pStyle w:val="TM1"/>
            <w:rPr>
              <w:rFonts w:asciiTheme="minorHAnsi" w:hAnsiTheme="minorHAnsi"/>
              <w:b/>
              <w:bCs/>
              <w:noProof/>
              <w:kern w:val="2"/>
              <w:sz w:val="24"/>
              <w:szCs w:val="24"/>
              <w:lang w:val="en-GB" w:eastAsia="en-GB"/>
              <w14:ligatures w14:val="standardContextual"/>
            </w:rPr>
          </w:pPr>
          <w:hyperlink w:anchor="_Toc237478454" w:history="1">
            <w:r w:rsidRPr="006763BE">
              <w:rPr>
                <w:rStyle w:val="Lienhypertexte"/>
                <w:rFonts w:cs="Arial"/>
                <w:b/>
                <w:bCs/>
                <w:noProof/>
                <w:sz w:val="24"/>
                <w:szCs w:val="24"/>
                <w:lang w:val="en-GB"/>
              </w:rPr>
              <w:t>List of Abbreviations</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_Toc237478454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v</w:t>
            </w:r>
            <w:r w:rsidRPr="006763BE">
              <w:rPr>
                <w:b/>
                <w:bCs/>
                <w:noProof/>
                <w:webHidden/>
                <w:sz w:val="24"/>
                <w:szCs w:val="24"/>
              </w:rPr>
              <w:fldChar w:fldCharType="end"/>
            </w:r>
          </w:hyperlink>
        </w:p>
        <w:p w14:paraId="5F3A7896" w14:textId="3E81B23D" w:rsidR="006763BE" w:rsidRPr="006763BE" w:rsidRDefault="006763BE" w:rsidP="006763BE">
          <w:pPr>
            <w:pStyle w:val="TM1"/>
            <w:rPr>
              <w:rFonts w:asciiTheme="minorHAnsi" w:hAnsiTheme="minorHAnsi"/>
              <w:b/>
              <w:bCs/>
              <w:noProof/>
              <w:kern w:val="2"/>
              <w:sz w:val="24"/>
              <w:szCs w:val="24"/>
              <w:lang w:val="en-GB" w:eastAsia="en-GB"/>
              <w14:ligatures w14:val="standardContextual"/>
            </w:rPr>
          </w:pPr>
          <w:hyperlink w:anchor="_Toc237478455" w:history="1">
            <w:r w:rsidRPr="006763BE">
              <w:rPr>
                <w:rStyle w:val="Lienhypertexte"/>
                <w:rFonts w:cs="Arial"/>
                <w:b/>
                <w:bCs/>
                <w:noProof/>
                <w:sz w:val="24"/>
                <w:szCs w:val="24"/>
              </w:rPr>
              <w:t>LIST OF FIGURES</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_Toc237478455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vi</w:t>
            </w:r>
            <w:r w:rsidRPr="006763BE">
              <w:rPr>
                <w:b/>
                <w:bCs/>
                <w:noProof/>
                <w:webHidden/>
                <w:sz w:val="24"/>
                <w:szCs w:val="24"/>
              </w:rPr>
              <w:fldChar w:fldCharType="end"/>
            </w:r>
          </w:hyperlink>
        </w:p>
        <w:p w14:paraId="6130FFD0" w14:textId="55EED156" w:rsidR="006763BE" w:rsidRPr="006763BE" w:rsidRDefault="006763BE" w:rsidP="006763BE">
          <w:pPr>
            <w:pStyle w:val="TM1"/>
            <w:rPr>
              <w:rFonts w:asciiTheme="minorHAnsi" w:hAnsiTheme="minorHAnsi"/>
              <w:b/>
              <w:bCs/>
              <w:noProof/>
              <w:kern w:val="2"/>
              <w:sz w:val="24"/>
              <w:szCs w:val="24"/>
              <w:lang w:val="en-GB" w:eastAsia="en-GB"/>
              <w14:ligatures w14:val="standardContextual"/>
            </w:rPr>
          </w:pPr>
          <w:hyperlink w:anchor="_Toc237478456" w:history="1">
            <w:r w:rsidRPr="006763BE">
              <w:rPr>
                <w:rStyle w:val="Lienhypertexte"/>
                <w:rFonts w:cs="Arial"/>
                <w:b/>
                <w:bCs/>
                <w:noProof/>
                <w:sz w:val="24"/>
                <w:szCs w:val="24"/>
              </w:rPr>
              <w:t>LIST OF TABLES</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_Toc237478456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vii</w:t>
            </w:r>
            <w:r w:rsidRPr="006763BE">
              <w:rPr>
                <w:b/>
                <w:bCs/>
                <w:noProof/>
                <w:webHidden/>
                <w:sz w:val="24"/>
                <w:szCs w:val="24"/>
              </w:rPr>
              <w:fldChar w:fldCharType="end"/>
            </w:r>
          </w:hyperlink>
        </w:p>
        <w:p w14:paraId="2FD2A8ED" w14:textId="00FE2E80" w:rsidR="006763BE" w:rsidRPr="006763BE" w:rsidRDefault="006763BE" w:rsidP="006763BE">
          <w:pPr>
            <w:pStyle w:val="TM1"/>
            <w:rPr>
              <w:rFonts w:asciiTheme="minorHAnsi" w:hAnsiTheme="minorHAnsi"/>
              <w:b/>
              <w:bCs/>
              <w:noProof/>
              <w:kern w:val="2"/>
              <w:sz w:val="24"/>
              <w:szCs w:val="24"/>
              <w:lang w:val="en-GB" w:eastAsia="en-GB"/>
              <w14:ligatures w14:val="standardContextual"/>
            </w:rPr>
          </w:pPr>
          <w:hyperlink w:anchor="_Toc237478457" w:history="1">
            <w:r w:rsidRPr="006763BE">
              <w:rPr>
                <w:rStyle w:val="Lienhypertexte"/>
                <w:rFonts w:cs="Arial"/>
                <w:b/>
                <w:bCs/>
                <w:noProof/>
                <w:sz w:val="24"/>
                <w:szCs w:val="24"/>
              </w:rPr>
              <w:t>1. Financial Health Check</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_Toc237478457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8</w:t>
            </w:r>
            <w:r w:rsidRPr="006763BE">
              <w:rPr>
                <w:b/>
                <w:bCs/>
                <w:noProof/>
                <w:webHidden/>
                <w:sz w:val="24"/>
                <w:szCs w:val="24"/>
              </w:rPr>
              <w:fldChar w:fldCharType="end"/>
            </w:r>
          </w:hyperlink>
        </w:p>
        <w:p w14:paraId="3FA7682F" w14:textId="6F70A920"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58" w:history="1">
            <w:r w:rsidRPr="006763BE">
              <w:rPr>
                <w:rStyle w:val="Lienhypertexte"/>
                <w:rFonts w:cs="Arial"/>
                <w:b/>
                <w:bCs/>
                <w:noProof/>
                <w:sz w:val="24"/>
                <w:szCs w:val="24"/>
                <w:lang w:val="en-GB"/>
              </w:rPr>
              <w:t xml:space="preserve">1.a Analysis of the Financial Statements </w:t>
            </w:r>
            <w:r w:rsidRPr="006763BE">
              <w:rPr>
                <w:rStyle w:val="Lienhypertexte"/>
                <w:rFonts w:cs="Arial"/>
                <w:b/>
                <w:bCs/>
                <w:noProof/>
                <w:sz w:val="24"/>
                <w:szCs w:val="24"/>
              </w:rPr>
              <w:t>over the past five years</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_Toc237478458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8</w:t>
            </w:r>
            <w:r w:rsidRPr="006763BE">
              <w:rPr>
                <w:b/>
                <w:bCs/>
                <w:noProof/>
                <w:webHidden/>
                <w:sz w:val="24"/>
                <w:szCs w:val="24"/>
              </w:rPr>
              <w:fldChar w:fldCharType="end"/>
            </w:r>
          </w:hyperlink>
        </w:p>
        <w:p w14:paraId="1454B5FC" w14:textId="556594AA"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59" w:history="1">
            <w:r w:rsidRPr="006763BE">
              <w:rPr>
                <w:rStyle w:val="Lienhypertexte"/>
                <w:rFonts w:cs="Arial"/>
                <w:b/>
                <w:bCs/>
                <w:noProof/>
                <w:sz w:val="24"/>
                <w:szCs w:val="24"/>
                <w:lang w:val="en-GB"/>
              </w:rPr>
              <w:t>1.b Comprehensive Ratio Analysis</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_Toc237478459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9</w:t>
            </w:r>
            <w:r w:rsidRPr="006763BE">
              <w:rPr>
                <w:b/>
                <w:bCs/>
                <w:noProof/>
                <w:webHidden/>
                <w:sz w:val="24"/>
                <w:szCs w:val="24"/>
              </w:rPr>
              <w:fldChar w:fldCharType="end"/>
            </w:r>
          </w:hyperlink>
        </w:p>
        <w:p w14:paraId="10D62F09" w14:textId="1F197DBF"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60" w:history="1">
            <w:r w:rsidRPr="006763BE">
              <w:rPr>
                <w:rStyle w:val="Lienhypertexte"/>
                <w:rFonts w:cs="Arial"/>
                <w:b/>
                <w:bCs/>
                <w:noProof/>
                <w:sz w:val="24"/>
                <w:szCs w:val="24"/>
              </w:rPr>
              <w:t>1.c Identification of Trends, Strengths, and Potential Threats</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_Toc237478460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16</w:t>
            </w:r>
            <w:r w:rsidRPr="006763BE">
              <w:rPr>
                <w:b/>
                <w:bCs/>
                <w:noProof/>
                <w:webHidden/>
                <w:sz w:val="24"/>
                <w:szCs w:val="24"/>
              </w:rPr>
              <w:fldChar w:fldCharType="end"/>
            </w:r>
          </w:hyperlink>
        </w:p>
        <w:p w14:paraId="03D71F60" w14:textId="1FC4C41E"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61" w:history="1">
            <w:r w:rsidRPr="006763BE">
              <w:rPr>
                <w:rStyle w:val="Lienhypertexte"/>
                <w:rFonts w:cs="Arial"/>
                <w:b/>
                <w:bCs/>
                <w:noProof/>
                <w:sz w:val="24"/>
                <w:szCs w:val="24"/>
                <w:lang w:val="en-GB"/>
              </w:rPr>
              <w:t>1.d. Comparison of Liquidity Ratios with Industry Benchmarks</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_Toc237478461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16</w:t>
            </w:r>
            <w:r w:rsidRPr="006763BE">
              <w:rPr>
                <w:b/>
                <w:bCs/>
                <w:noProof/>
                <w:webHidden/>
                <w:sz w:val="24"/>
                <w:szCs w:val="24"/>
              </w:rPr>
              <w:fldChar w:fldCharType="end"/>
            </w:r>
          </w:hyperlink>
        </w:p>
        <w:p w14:paraId="6EDB54B4" w14:textId="709C1B2C" w:rsidR="006763BE" w:rsidRPr="006763BE" w:rsidRDefault="006763BE" w:rsidP="006763BE">
          <w:pPr>
            <w:pStyle w:val="TM1"/>
            <w:rPr>
              <w:rFonts w:asciiTheme="minorHAnsi" w:hAnsiTheme="minorHAnsi"/>
              <w:b/>
              <w:bCs/>
              <w:noProof/>
              <w:kern w:val="2"/>
              <w:sz w:val="24"/>
              <w:szCs w:val="24"/>
              <w:lang w:val="en-GB" w:eastAsia="en-GB"/>
              <w14:ligatures w14:val="standardContextual"/>
            </w:rPr>
          </w:pPr>
          <w:hyperlink w:anchor="_Toc237478462" w:history="1">
            <w:r w:rsidRPr="006763BE">
              <w:rPr>
                <w:rStyle w:val="Lienhypertexte"/>
                <w:rFonts w:cs="Arial"/>
                <w:b/>
                <w:bCs/>
                <w:noProof/>
                <w:sz w:val="24"/>
                <w:szCs w:val="24"/>
                <w:lang w:val="en-GB"/>
              </w:rPr>
              <w:t>2. WORKING CAPITAL MANAGEMENT ANALYSIS</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_Toc237478462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17</w:t>
            </w:r>
            <w:r w:rsidRPr="006763BE">
              <w:rPr>
                <w:b/>
                <w:bCs/>
                <w:noProof/>
                <w:webHidden/>
                <w:sz w:val="24"/>
                <w:szCs w:val="24"/>
              </w:rPr>
              <w:fldChar w:fldCharType="end"/>
            </w:r>
          </w:hyperlink>
        </w:p>
        <w:p w14:paraId="6F4D6B62" w14:textId="287C172F"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63" w:history="1">
            <w:r w:rsidRPr="006763BE">
              <w:rPr>
                <w:rStyle w:val="Lienhypertexte"/>
                <w:rFonts w:cs="Arial"/>
                <w:b/>
                <w:bCs/>
                <w:noProof/>
                <w:sz w:val="24"/>
                <w:szCs w:val="24"/>
                <w:lang w:val="en-GB"/>
              </w:rPr>
              <w:t>2.a. Assessment of the Cash Operating Cycle</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_Toc237478463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17</w:t>
            </w:r>
            <w:r w:rsidRPr="006763BE">
              <w:rPr>
                <w:b/>
                <w:bCs/>
                <w:noProof/>
                <w:webHidden/>
                <w:sz w:val="24"/>
                <w:szCs w:val="24"/>
              </w:rPr>
              <w:fldChar w:fldCharType="end"/>
            </w:r>
          </w:hyperlink>
        </w:p>
        <w:p w14:paraId="081D8152" w14:textId="734EF553"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64" w:history="1">
            <w:r w:rsidRPr="006763BE">
              <w:rPr>
                <w:rStyle w:val="Lienhypertexte"/>
                <w:rFonts w:cs="Arial"/>
                <w:b/>
                <w:bCs/>
                <w:noProof/>
                <w:sz w:val="24"/>
                <w:szCs w:val="24"/>
                <w:lang w:val="en-GB"/>
              </w:rPr>
              <w:t>2.b. Strategies to Improve Liquidity Through Working Capital Reforms</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_Toc237478464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18</w:t>
            </w:r>
            <w:r w:rsidRPr="006763BE">
              <w:rPr>
                <w:b/>
                <w:bCs/>
                <w:noProof/>
                <w:webHidden/>
                <w:sz w:val="24"/>
                <w:szCs w:val="24"/>
              </w:rPr>
              <w:fldChar w:fldCharType="end"/>
            </w:r>
          </w:hyperlink>
        </w:p>
        <w:p w14:paraId="6EF6DDDC" w14:textId="58C362A2"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65" w:history="1">
            <w:r w:rsidRPr="006763BE">
              <w:rPr>
                <w:rStyle w:val="Lienhypertexte"/>
                <w:rFonts w:cs="Arial"/>
                <w:b/>
                <w:bCs/>
                <w:noProof/>
                <w:sz w:val="24"/>
                <w:szCs w:val="24"/>
                <w:lang w:val="en-GB"/>
              </w:rPr>
              <w:t>2.c. Short-Term versus Long-Term Financing Options</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_Toc237478465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19</w:t>
            </w:r>
            <w:r w:rsidRPr="006763BE">
              <w:rPr>
                <w:b/>
                <w:bCs/>
                <w:noProof/>
                <w:webHidden/>
                <w:sz w:val="24"/>
                <w:szCs w:val="24"/>
              </w:rPr>
              <w:fldChar w:fldCharType="end"/>
            </w:r>
          </w:hyperlink>
        </w:p>
        <w:p w14:paraId="0FAA2E2C" w14:textId="0D6758F6" w:rsidR="006763BE" w:rsidRPr="006763BE" w:rsidRDefault="006763BE" w:rsidP="006763BE">
          <w:pPr>
            <w:pStyle w:val="TM1"/>
            <w:rPr>
              <w:rFonts w:asciiTheme="minorHAnsi" w:hAnsiTheme="minorHAnsi"/>
              <w:b/>
              <w:bCs/>
              <w:noProof/>
              <w:kern w:val="2"/>
              <w:sz w:val="24"/>
              <w:szCs w:val="24"/>
              <w:lang w:val="en-GB" w:eastAsia="en-GB"/>
              <w14:ligatures w14:val="standardContextual"/>
            </w:rPr>
          </w:pPr>
          <w:hyperlink w:anchor="_Toc237478466" w:history="1">
            <w:r w:rsidRPr="006763BE">
              <w:rPr>
                <w:rStyle w:val="Lienhypertexte"/>
                <w:rFonts w:cs="Arial"/>
                <w:b/>
                <w:bCs/>
                <w:noProof/>
                <w:sz w:val="24"/>
                <w:szCs w:val="24"/>
                <w:lang w:val="en-GB"/>
              </w:rPr>
              <w:t>3. Strategic Financial Restructuring Plan</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_Toc237478466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20</w:t>
            </w:r>
            <w:r w:rsidRPr="006763BE">
              <w:rPr>
                <w:b/>
                <w:bCs/>
                <w:noProof/>
                <w:webHidden/>
                <w:sz w:val="24"/>
                <w:szCs w:val="24"/>
              </w:rPr>
              <w:fldChar w:fldCharType="end"/>
            </w:r>
          </w:hyperlink>
        </w:p>
        <w:p w14:paraId="0EB9FB2B" w14:textId="533FE5E8"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67" w:history="1">
            <w:r w:rsidRPr="006763BE">
              <w:rPr>
                <w:rStyle w:val="Lienhypertexte"/>
                <w:rFonts w:cs="Arial"/>
                <w:b/>
                <w:bCs/>
                <w:noProof/>
                <w:sz w:val="24"/>
                <w:szCs w:val="24"/>
                <w:lang w:val="en-GB"/>
              </w:rPr>
              <w:t>3.a. Recommended Financial Restructuring Options</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_Toc237478467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20</w:t>
            </w:r>
            <w:r w:rsidRPr="006763BE">
              <w:rPr>
                <w:b/>
                <w:bCs/>
                <w:noProof/>
                <w:webHidden/>
                <w:sz w:val="24"/>
                <w:szCs w:val="24"/>
              </w:rPr>
              <w:fldChar w:fldCharType="end"/>
            </w:r>
          </w:hyperlink>
        </w:p>
        <w:p w14:paraId="0FE56868" w14:textId="7024D468"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68" w:history="1">
            <w:r w:rsidRPr="006763BE">
              <w:rPr>
                <w:rStyle w:val="Lienhypertexte"/>
                <w:rFonts w:cs="Arial"/>
                <w:b/>
                <w:bCs/>
                <w:noProof/>
                <w:sz w:val="24"/>
                <w:szCs w:val="24"/>
                <w:lang w:val="en-GB"/>
              </w:rPr>
              <w:t>3.b. Impact on Shareholder Value, Debt Structure and Operational Flexibility</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_Toc237478468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21</w:t>
            </w:r>
            <w:r w:rsidRPr="006763BE">
              <w:rPr>
                <w:b/>
                <w:bCs/>
                <w:noProof/>
                <w:webHidden/>
                <w:sz w:val="24"/>
                <w:szCs w:val="24"/>
              </w:rPr>
              <w:fldChar w:fldCharType="end"/>
            </w:r>
          </w:hyperlink>
        </w:p>
        <w:p w14:paraId="6EE311B4" w14:textId="1A581EC9"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69" w:history="1">
            <w:r w:rsidRPr="006763BE">
              <w:rPr>
                <w:rStyle w:val="Lienhypertexte"/>
                <w:rFonts w:cs="Arial"/>
                <w:b/>
                <w:bCs/>
                <w:noProof/>
                <w:sz w:val="24"/>
                <w:szCs w:val="24"/>
                <w:lang w:val="en-GB"/>
              </w:rPr>
              <w:t>3.c. International and Ethical Considerations</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_Toc237478469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21</w:t>
            </w:r>
            <w:r w:rsidRPr="006763BE">
              <w:rPr>
                <w:b/>
                <w:bCs/>
                <w:noProof/>
                <w:webHidden/>
                <w:sz w:val="24"/>
                <w:szCs w:val="24"/>
              </w:rPr>
              <w:fldChar w:fldCharType="end"/>
            </w:r>
          </w:hyperlink>
        </w:p>
        <w:p w14:paraId="182B21E0" w14:textId="74944D47" w:rsidR="006763BE" w:rsidRPr="006763BE" w:rsidRDefault="006763BE" w:rsidP="006763BE">
          <w:pPr>
            <w:pStyle w:val="TM1"/>
            <w:rPr>
              <w:rFonts w:asciiTheme="minorHAnsi" w:hAnsiTheme="minorHAnsi"/>
              <w:b/>
              <w:bCs/>
              <w:noProof/>
              <w:kern w:val="2"/>
              <w:sz w:val="24"/>
              <w:szCs w:val="24"/>
              <w:lang w:val="en-GB" w:eastAsia="en-GB"/>
              <w14:ligatures w14:val="standardContextual"/>
            </w:rPr>
          </w:pPr>
          <w:hyperlink w:anchor="_Toc237478470" w:history="1">
            <w:r w:rsidRPr="006763BE">
              <w:rPr>
                <w:rStyle w:val="Lienhypertexte"/>
                <w:rFonts w:cs="Arial"/>
                <w:b/>
                <w:bCs/>
                <w:noProof/>
                <w:sz w:val="24"/>
                <w:szCs w:val="24"/>
              </w:rPr>
              <w:t>4. INVESTMENT APPRAISAL AND CAPITAL BUDGETING</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_Toc237478470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22</w:t>
            </w:r>
            <w:r w:rsidRPr="006763BE">
              <w:rPr>
                <w:b/>
                <w:bCs/>
                <w:noProof/>
                <w:webHidden/>
                <w:sz w:val="24"/>
                <w:szCs w:val="24"/>
              </w:rPr>
              <w:fldChar w:fldCharType="end"/>
            </w:r>
          </w:hyperlink>
        </w:p>
        <w:p w14:paraId="49BF4F0A" w14:textId="6E95052D"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71" w:history="1">
            <w:r w:rsidRPr="006763BE">
              <w:rPr>
                <w:rStyle w:val="Lienhypertexte"/>
                <w:rFonts w:cs="Arial"/>
                <w:b/>
                <w:bCs/>
                <w:noProof/>
                <w:sz w:val="24"/>
                <w:szCs w:val="24"/>
              </w:rPr>
              <w:t>4.a Calculation of PBP, ARR, NPV, PI, and IRR.</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_Toc237478471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23</w:t>
            </w:r>
            <w:r w:rsidRPr="006763BE">
              <w:rPr>
                <w:b/>
                <w:bCs/>
                <w:noProof/>
                <w:webHidden/>
                <w:sz w:val="24"/>
                <w:szCs w:val="24"/>
              </w:rPr>
              <w:fldChar w:fldCharType="end"/>
            </w:r>
          </w:hyperlink>
        </w:p>
        <w:p w14:paraId="4B48031B" w14:textId="6EE10C3F"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72" w:history="1">
            <w:r w:rsidRPr="006763BE">
              <w:rPr>
                <w:rStyle w:val="Lienhypertexte"/>
                <w:rFonts w:cs="Arial"/>
                <w:b/>
                <w:bCs/>
                <w:noProof/>
                <w:sz w:val="24"/>
                <w:szCs w:val="24"/>
                <w:lang w:val="en-GB"/>
              </w:rPr>
              <w:t>4.b Recommended Project</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_Toc237478472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24</w:t>
            </w:r>
            <w:r w:rsidRPr="006763BE">
              <w:rPr>
                <w:b/>
                <w:bCs/>
                <w:noProof/>
                <w:webHidden/>
                <w:sz w:val="24"/>
                <w:szCs w:val="24"/>
              </w:rPr>
              <w:fldChar w:fldCharType="end"/>
            </w:r>
          </w:hyperlink>
        </w:p>
        <w:p w14:paraId="24ABFFCC" w14:textId="6F5ADF60"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73" w:history="1">
            <w:r w:rsidRPr="006763BE">
              <w:rPr>
                <w:rStyle w:val="Lienhypertexte"/>
                <w:rFonts w:cs="Arial"/>
                <w:b/>
                <w:bCs/>
                <w:noProof/>
                <w:sz w:val="24"/>
                <w:szCs w:val="24"/>
                <w:lang w:val="en-GB"/>
              </w:rPr>
              <w:t>4.c Financial and Non-Financial Risks</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_Toc237478473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25</w:t>
            </w:r>
            <w:r w:rsidRPr="006763BE">
              <w:rPr>
                <w:b/>
                <w:bCs/>
                <w:noProof/>
                <w:webHidden/>
                <w:sz w:val="24"/>
                <w:szCs w:val="24"/>
              </w:rPr>
              <w:fldChar w:fldCharType="end"/>
            </w:r>
          </w:hyperlink>
        </w:p>
        <w:p w14:paraId="7580F88B" w14:textId="65F6B588"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74" w:history="1">
            <w:r w:rsidRPr="006763BE">
              <w:rPr>
                <w:rStyle w:val="Lienhypertexte"/>
                <w:rFonts w:cs="Arial"/>
                <w:b/>
                <w:bCs/>
                <w:noProof/>
                <w:sz w:val="24"/>
                <w:szCs w:val="24"/>
                <w:lang w:val="en-GB"/>
              </w:rPr>
              <w:t>4.d. Capital Rationing - Maximum Investment of £100 Million</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_Toc237478474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26</w:t>
            </w:r>
            <w:r w:rsidRPr="006763BE">
              <w:rPr>
                <w:b/>
                <w:bCs/>
                <w:noProof/>
                <w:webHidden/>
                <w:sz w:val="24"/>
                <w:szCs w:val="24"/>
              </w:rPr>
              <w:fldChar w:fldCharType="end"/>
            </w:r>
          </w:hyperlink>
        </w:p>
        <w:p w14:paraId="6FCBD89D" w14:textId="258FC869"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75" w:history="1">
            <w:r w:rsidRPr="006763BE">
              <w:rPr>
                <w:rStyle w:val="Lienhypertexte"/>
                <w:rFonts w:cs="Arial"/>
                <w:b/>
                <w:bCs/>
                <w:noProof/>
                <w:sz w:val="24"/>
                <w:szCs w:val="24"/>
                <w:lang w:val="en-GB"/>
              </w:rPr>
              <w:t>4.e Final Recommendation</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_Toc237478475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26</w:t>
            </w:r>
            <w:r w:rsidRPr="006763BE">
              <w:rPr>
                <w:b/>
                <w:bCs/>
                <w:noProof/>
                <w:webHidden/>
                <w:sz w:val="24"/>
                <w:szCs w:val="24"/>
              </w:rPr>
              <w:fldChar w:fldCharType="end"/>
            </w:r>
          </w:hyperlink>
        </w:p>
        <w:p w14:paraId="7A42036E" w14:textId="0B36CCA6" w:rsidR="006763BE" w:rsidRPr="006763BE" w:rsidRDefault="006763BE" w:rsidP="006763BE">
          <w:pPr>
            <w:pStyle w:val="TM1"/>
            <w:rPr>
              <w:rFonts w:asciiTheme="minorHAnsi" w:hAnsiTheme="minorHAnsi"/>
              <w:b/>
              <w:bCs/>
              <w:noProof/>
              <w:kern w:val="2"/>
              <w:sz w:val="24"/>
              <w:szCs w:val="24"/>
              <w:lang w:val="en-GB" w:eastAsia="en-GB"/>
              <w14:ligatures w14:val="standardContextual"/>
            </w:rPr>
          </w:pPr>
          <w:hyperlink w:anchor="_Toc237478476" w:history="1">
            <w:r w:rsidRPr="006763BE">
              <w:rPr>
                <w:rStyle w:val="Lienhypertexte"/>
                <w:rFonts w:cs="Arial"/>
                <w:b/>
                <w:bCs/>
                <w:noProof/>
                <w:sz w:val="24"/>
                <w:szCs w:val="24"/>
              </w:rPr>
              <w:t>5. Critical reflection on ai usage</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_Toc237478476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27</w:t>
            </w:r>
            <w:r w:rsidRPr="006763BE">
              <w:rPr>
                <w:b/>
                <w:bCs/>
                <w:noProof/>
                <w:webHidden/>
                <w:sz w:val="24"/>
                <w:szCs w:val="24"/>
              </w:rPr>
              <w:fldChar w:fldCharType="end"/>
            </w:r>
          </w:hyperlink>
        </w:p>
        <w:p w14:paraId="518A91AA" w14:textId="0572D8BC"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77" w:history="1">
            <w:r w:rsidRPr="006763BE">
              <w:rPr>
                <w:rStyle w:val="Lienhypertexte"/>
                <w:rFonts w:cs="Arial"/>
                <w:b/>
                <w:bCs/>
                <w:noProof/>
                <w:sz w:val="24"/>
                <w:szCs w:val="24"/>
              </w:rPr>
              <w:t>5.1 How AI Was Used</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_Toc237478477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27</w:t>
            </w:r>
            <w:r w:rsidRPr="006763BE">
              <w:rPr>
                <w:b/>
                <w:bCs/>
                <w:noProof/>
                <w:webHidden/>
                <w:sz w:val="24"/>
                <w:szCs w:val="24"/>
              </w:rPr>
              <w:fldChar w:fldCharType="end"/>
            </w:r>
          </w:hyperlink>
        </w:p>
        <w:p w14:paraId="4C030697" w14:textId="406293E4" w:rsidR="006763BE" w:rsidRPr="006763BE" w:rsidRDefault="006763BE" w:rsidP="006763BE">
          <w:pPr>
            <w:pStyle w:val="TM2"/>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78" w:history="1">
            <w:r w:rsidRPr="006763BE">
              <w:rPr>
                <w:rStyle w:val="Lienhypertexte"/>
                <w:rFonts w:cs="Arial"/>
                <w:b/>
                <w:bCs/>
                <w:noProof/>
                <w:sz w:val="24"/>
                <w:szCs w:val="24"/>
              </w:rPr>
              <w:t>5.2 Critical Evaluation and Contribution</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_Toc237478478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28</w:t>
            </w:r>
            <w:r w:rsidRPr="006763BE">
              <w:rPr>
                <w:b/>
                <w:bCs/>
                <w:noProof/>
                <w:webHidden/>
                <w:sz w:val="24"/>
                <w:szCs w:val="24"/>
              </w:rPr>
              <w:fldChar w:fldCharType="end"/>
            </w:r>
          </w:hyperlink>
        </w:p>
        <w:p w14:paraId="2B20B4E9" w14:textId="74C287AE" w:rsidR="006763BE" w:rsidRPr="006763BE" w:rsidRDefault="006763BE" w:rsidP="006763BE">
          <w:pPr>
            <w:pStyle w:val="TM3"/>
            <w:tabs>
              <w:tab w:val="right" w:leader="dot" w:pos="8630"/>
            </w:tabs>
            <w:spacing w:line="360" w:lineRule="auto"/>
            <w:jc w:val="both"/>
            <w:rPr>
              <w:rFonts w:asciiTheme="minorHAnsi" w:hAnsiTheme="minorHAnsi"/>
              <w:b/>
              <w:bCs/>
              <w:noProof/>
              <w:kern w:val="2"/>
              <w:sz w:val="24"/>
              <w:szCs w:val="24"/>
              <w:lang w:val="en-GB" w:eastAsia="en-GB"/>
              <w14:ligatures w14:val="standardContextual"/>
            </w:rPr>
          </w:pPr>
          <w:hyperlink w:anchor="_Toc237478479" w:history="1">
            <w:r w:rsidRPr="006763BE">
              <w:rPr>
                <w:rStyle w:val="Lienhypertexte"/>
                <w:rFonts w:cs="Arial"/>
                <w:b/>
                <w:bCs/>
                <w:noProof/>
                <w:sz w:val="24"/>
                <w:szCs w:val="24"/>
              </w:rPr>
              <w:t>5.3 Ethical Reflection</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_Toc237478479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28</w:t>
            </w:r>
            <w:r w:rsidRPr="006763BE">
              <w:rPr>
                <w:b/>
                <w:bCs/>
                <w:noProof/>
                <w:webHidden/>
                <w:sz w:val="24"/>
                <w:szCs w:val="24"/>
              </w:rPr>
              <w:fldChar w:fldCharType="end"/>
            </w:r>
          </w:hyperlink>
        </w:p>
        <w:p w14:paraId="20C91142" w14:textId="488A7A0D" w:rsidR="006763BE" w:rsidRPr="006763BE" w:rsidRDefault="006763BE" w:rsidP="006763BE">
          <w:pPr>
            <w:pStyle w:val="TM1"/>
            <w:rPr>
              <w:rFonts w:asciiTheme="minorHAnsi" w:hAnsiTheme="minorHAnsi"/>
              <w:b/>
              <w:bCs/>
              <w:noProof/>
              <w:kern w:val="2"/>
              <w:sz w:val="24"/>
              <w:szCs w:val="24"/>
              <w:lang w:val="en-GB" w:eastAsia="en-GB"/>
              <w14:ligatures w14:val="standardContextual"/>
            </w:rPr>
          </w:pPr>
          <w:hyperlink w:anchor="_Toc237478480" w:history="1">
            <w:r w:rsidRPr="006763BE">
              <w:rPr>
                <w:rStyle w:val="Lienhypertexte"/>
                <w:rFonts w:cs="Arial"/>
                <w:b/>
                <w:bCs/>
                <w:noProof/>
                <w:sz w:val="24"/>
                <w:szCs w:val="24"/>
                <w:lang w:val="en-GB"/>
              </w:rPr>
              <w:t xml:space="preserve">6. </w:t>
            </w:r>
            <w:r w:rsidRPr="006763BE">
              <w:rPr>
                <w:rStyle w:val="Lienhypertexte"/>
                <w:rFonts w:cs="Arial"/>
                <w:b/>
                <w:bCs/>
                <w:noProof/>
                <w:sz w:val="24"/>
                <w:szCs w:val="24"/>
                <w:lang w:val="fr-FR"/>
              </w:rPr>
              <w:t>Appendices</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_Toc237478480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29</w:t>
            </w:r>
            <w:r w:rsidRPr="006763BE">
              <w:rPr>
                <w:b/>
                <w:bCs/>
                <w:noProof/>
                <w:webHidden/>
                <w:sz w:val="24"/>
                <w:szCs w:val="24"/>
              </w:rPr>
              <w:fldChar w:fldCharType="end"/>
            </w:r>
          </w:hyperlink>
        </w:p>
        <w:p w14:paraId="5CA7D6CF" w14:textId="57E6F3DF" w:rsidR="006763BE" w:rsidRPr="006763BE" w:rsidRDefault="006763BE" w:rsidP="006763BE">
          <w:pPr>
            <w:pStyle w:val="TM1"/>
            <w:rPr>
              <w:rFonts w:asciiTheme="minorHAnsi" w:hAnsiTheme="minorHAnsi"/>
              <w:b/>
              <w:bCs/>
              <w:noProof/>
              <w:kern w:val="2"/>
              <w:sz w:val="24"/>
              <w:szCs w:val="24"/>
              <w:lang w:val="en-GB" w:eastAsia="en-GB"/>
              <w14:ligatures w14:val="standardContextual"/>
            </w:rPr>
          </w:pPr>
          <w:hyperlink w:anchor="_Toc237478481" w:history="1">
            <w:r w:rsidRPr="006763BE">
              <w:rPr>
                <w:rStyle w:val="Lienhypertexte"/>
                <w:rFonts w:cs="Arial"/>
                <w:b/>
                <w:bCs/>
                <w:noProof/>
                <w:sz w:val="24"/>
                <w:szCs w:val="24"/>
                <w:lang w:val="en-GB"/>
              </w:rPr>
              <w:t>References</w:t>
            </w:r>
            <w:r w:rsidRPr="006763BE">
              <w:rPr>
                <w:b/>
                <w:bCs/>
                <w:noProof/>
                <w:webHidden/>
                <w:sz w:val="24"/>
                <w:szCs w:val="24"/>
              </w:rPr>
              <w:tab/>
            </w:r>
            <w:r w:rsidRPr="006763BE">
              <w:rPr>
                <w:b/>
                <w:bCs/>
                <w:noProof/>
                <w:webHidden/>
                <w:sz w:val="24"/>
                <w:szCs w:val="24"/>
              </w:rPr>
              <w:fldChar w:fldCharType="begin"/>
            </w:r>
            <w:r w:rsidRPr="006763BE">
              <w:rPr>
                <w:b/>
                <w:bCs/>
                <w:noProof/>
                <w:webHidden/>
                <w:sz w:val="24"/>
                <w:szCs w:val="24"/>
              </w:rPr>
              <w:instrText xml:space="preserve"> PAGEREF _Toc237478481 \h </w:instrText>
            </w:r>
            <w:r w:rsidRPr="006763BE">
              <w:rPr>
                <w:b/>
                <w:bCs/>
                <w:noProof/>
                <w:webHidden/>
                <w:sz w:val="24"/>
                <w:szCs w:val="24"/>
              </w:rPr>
            </w:r>
            <w:r w:rsidRPr="006763BE">
              <w:rPr>
                <w:b/>
                <w:bCs/>
                <w:noProof/>
                <w:webHidden/>
                <w:sz w:val="24"/>
                <w:szCs w:val="24"/>
              </w:rPr>
              <w:fldChar w:fldCharType="separate"/>
            </w:r>
            <w:r w:rsidRPr="006763BE">
              <w:rPr>
                <w:b/>
                <w:bCs/>
                <w:noProof/>
                <w:webHidden/>
                <w:sz w:val="24"/>
                <w:szCs w:val="24"/>
              </w:rPr>
              <w:t>74</w:t>
            </w:r>
            <w:r w:rsidRPr="006763BE">
              <w:rPr>
                <w:b/>
                <w:bCs/>
                <w:noProof/>
                <w:webHidden/>
                <w:sz w:val="24"/>
                <w:szCs w:val="24"/>
              </w:rPr>
              <w:fldChar w:fldCharType="end"/>
            </w:r>
          </w:hyperlink>
        </w:p>
        <w:p w14:paraId="5B45D7E1" w14:textId="2DE8A821" w:rsidR="00900317" w:rsidRPr="006763BE" w:rsidRDefault="00900317" w:rsidP="006763BE">
          <w:pPr>
            <w:spacing w:line="360" w:lineRule="auto"/>
            <w:jc w:val="both"/>
            <w:rPr>
              <w:rFonts w:cs="Arial"/>
              <w:b/>
              <w:bCs/>
              <w:sz w:val="22"/>
            </w:rPr>
          </w:pPr>
          <w:r w:rsidRPr="006763BE">
            <w:rPr>
              <w:rFonts w:cs="Arial"/>
              <w:b/>
              <w:bCs/>
              <w:sz w:val="24"/>
              <w:szCs w:val="24"/>
              <w:lang w:val="fr-FR"/>
            </w:rPr>
            <w:fldChar w:fldCharType="end"/>
          </w:r>
        </w:p>
      </w:sdtContent>
    </w:sdt>
    <w:p w14:paraId="1A6F27D0" w14:textId="77777777" w:rsidR="00900317" w:rsidRDefault="00900317" w:rsidP="00203808">
      <w:pPr>
        <w:spacing w:after="0" w:line="360" w:lineRule="auto"/>
        <w:jc w:val="both"/>
        <w:rPr>
          <w:rFonts w:cs="Arial"/>
          <w:sz w:val="22"/>
        </w:rPr>
      </w:pPr>
    </w:p>
    <w:p w14:paraId="16EF1EEA" w14:textId="77777777" w:rsidR="00203808" w:rsidRDefault="00203808" w:rsidP="00203808">
      <w:pPr>
        <w:spacing w:after="0" w:line="360" w:lineRule="auto"/>
        <w:jc w:val="both"/>
        <w:rPr>
          <w:rFonts w:cs="Arial"/>
          <w:sz w:val="22"/>
        </w:rPr>
      </w:pPr>
    </w:p>
    <w:p w14:paraId="7EAA11E6" w14:textId="77777777" w:rsidR="00203808" w:rsidRDefault="00203808" w:rsidP="00203808">
      <w:pPr>
        <w:spacing w:after="0" w:line="360" w:lineRule="auto"/>
        <w:jc w:val="both"/>
        <w:rPr>
          <w:rFonts w:cs="Arial"/>
          <w:sz w:val="22"/>
        </w:rPr>
      </w:pPr>
    </w:p>
    <w:p w14:paraId="412AEA8C" w14:textId="77777777" w:rsidR="00203808" w:rsidRDefault="00203808" w:rsidP="00203808">
      <w:pPr>
        <w:spacing w:after="0" w:line="360" w:lineRule="auto"/>
        <w:jc w:val="both"/>
        <w:rPr>
          <w:rFonts w:cs="Arial"/>
          <w:sz w:val="22"/>
        </w:rPr>
      </w:pPr>
    </w:p>
    <w:p w14:paraId="60F87402" w14:textId="77777777" w:rsidR="00203808" w:rsidRDefault="00203808" w:rsidP="00203808">
      <w:pPr>
        <w:spacing w:after="0" w:line="360" w:lineRule="auto"/>
        <w:jc w:val="both"/>
        <w:rPr>
          <w:rFonts w:cs="Arial"/>
          <w:sz w:val="22"/>
        </w:rPr>
      </w:pPr>
    </w:p>
    <w:p w14:paraId="63D29187" w14:textId="77777777" w:rsidR="00203808" w:rsidRDefault="00203808" w:rsidP="00203808">
      <w:pPr>
        <w:spacing w:after="0" w:line="360" w:lineRule="auto"/>
        <w:jc w:val="both"/>
        <w:rPr>
          <w:rFonts w:cs="Arial"/>
          <w:sz w:val="22"/>
        </w:rPr>
      </w:pPr>
    </w:p>
    <w:p w14:paraId="346FDC16" w14:textId="77777777" w:rsidR="00203808" w:rsidRDefault="00203808" w:rsidP="00203808">
      <w:pPr>
        <w:spacing w:after="0" w:line="360" w:lineRule="auto"/>
        <w:jc w:val="both"/>
        <w:rPr>
          <w:rFonts w:cs="Arial"/>
          <w:sz w:val="22"/>
        </w:rPr>
      </w:pPr>
    </w:p>
    <w:p w14:paraId="2992B655" w14:textId="77777777" w:rsidR="00203808" w:rsidRDefault="00203808" w:rsidP="00203808">
      <w:pPr>
        <w:spacing w:after="0" w:line="360" w:lineRule="auto"/>
        <w:jc w:val="both"/>
        <w:rPr>
          <w:rFonts w:cs="Arial"/>
          <w:sz w:val="22"/>
        </w:rPr>
      </w:pPr>
    </w:p>
    <w:p w14:paraId="2199AD28" w14:textId="77777777" w:rsidR="00203808" w:rsidRDefault="00203808" w:rsidP="00203808">
      <w:pPr>
        <w:spacing w:after="0" w:line="360" w:lineRule="auto"/>
        <w:jc w:val="both"/>
        <w:rPr>
          <w:rFonts w:cs="Arial"/>
          <w:sz w:val="22"/>
        </w:rPr>
      </w:pPr>
    </w:p>
    <w:p w14:paraId="78DC26E2" w14:textId="77777777" w:rsidR="00203808" w:rsidRDefault="00203808" w:rsidP="00203808">
      <w:pPr>
        <w:spacing w:after="0" w:line="360" w:lineRule="auto"/>
        <w:jc w:val="both"/>
        <w:rPr>
          <w:rFonts w:cs="Arial"/>
          <w:sz w:val="22"/>
        </w:rPr>
      </w:pPr>
    </w:p>
    <w:p w14:paraId="6D9833A7" w14:textId="77777777" w:rsidR="00203808" w:rsidRDefault="00203808" w:rsidP="00203808">
      <w:pPr>
        <w:spacing w:after="0" w:line="360" w:lineRule="auto"/>
        <w:jc w:val="both"/>
        <w:rPr>
          <w:rFonts w:cs="Arial"/>
          <w:sz w:val="22"/>
        </w:rPr>
      </w:pPr>
    </w:p>
    <w:p w14:paraId="182FAB0C" w14:textId="77777777" w:rsidR="00203808" w:rsidRDefault="00203808" w:rsidP="00203808">
      <w:pPr>
        <w:spacing w:after="0" w:line="360" w:lineRule="auto"/>
        <w:jc w:val="both"/>
        <w:rPr>
          <w:rFonts w:cs="Arial"/>
          <w:sz w:val="22"/>
        </w:rPr>
      </w:pPr>
    </w:p>
    <w:p w14:paraId="7EB5A749" w14:textId="77777777" w:rsidR="00203808" w:rsidRDefault="00203808" w:rsidP="00203808">
      <w:pPr>
        <w:spacing w:after="0" w:line="360" w:lineRule="auto"/>
        <w:jc w:val="both"/>
        <w:rPr>
          <w:rFonts w:cs="Arial"/>
          <w:sz w:val="22"/>
        </w:rPr>
      </w:pPr>
    </w:p>
    <w:p w14:paraId="4080312B" w14:textId="77777777" w:rsidR="00203808" w:rsidRDefault="00203808" w:rsidP="00203808">
      <w:pPr>
        <w:spacing w:after="0" w:line="360" w:lineRule="auto"/>
        <w:jc w:val="both"/>
        <w:rPr>
          <w:rFonts w:cs="Arial"/>
          <w:sz w:val="22"/>
        </w:rPr>
      </w:pPr>
    </w:p>
    <w:p w14:paraId="31F45429" w14:textId="77777777" w:rsidR="00203808" w:rsidRDefault="00203808" w:rsidP="00203808">
      <w:pPr>
        <w:spacing w:after="0" w:line="360" w:lineRule="auto"/>
        <w:jc w:val="both"/>
        <w:rPr>
          <w:rFonts w:cs="Arial"/>
          <w:sz w:val="22"/>
        </w:rPr>
      </w:pPr>
    </w:p>
    <w:p w14:paraId="78AB3C18" w14:textId="77777777" w:rsidR="00203808" w:rsidRDefault="00203808" w:rsidP="00203808">
      <w:pPr>
        <w:spacing w:after="0" w:line="360" w:lineRule="auto"/>
        <w:jc w:val="both"/>
        <w:rPr>
          <w:rFonts w:cs="Arial"/>
          <w:sz w:val="22"/>
        </w:rPr>
      </w:pPr>
    </w:p>
    <w:p w14:paraId="251F8954" w14:textId="77777777" w:rsidR="00203808" w:rsidRDefault="00203808" w:rsidP="00203808">
      <w:pPr>
        <w:spacing w:after="0" w:line="360" w:lineRule="auto"/>
        <w:jc w:val="both"/>
        <w:rPr>
          <w:rFonts w:cs="Arial"/>
          <w:sz w:val="22"/>
        </w:rPr>
      </w:pPr>
    </w:p>
    <w:p w14:paraId="102C3906" w14:textId="77777777" w:rsidR="00203808" w:rsidRDefault="00203808" w:rsidP="00203808">
      <w:pPr>
        <w:spacing w:after="0" w:line="360" w:lineRule="auto"/>
        <w:jc w:val="both"/>
        <w:rPr>
          <w:rFonts w:cs="Arial"/>
          <w:sz w:val="22"/>
        </w:rPr>
      </w:pPr>
    </w:p>
    <w:p w14:paraId="3755B1CD" w14:textId="77777777" w:rsidR="00203808" w:rsidRDefault="00203808" w:rsidP="00203808">
      <w:pPr>
        <w:spacing w:after="0" w:line="360" w:lineRule="auto"/>
        <w:jc w:val="both"/>
        <w:rPr>
          <w:rFonts w:cs="Arial"/>
          <w:sz w:val="22"/>
        </w:rPr>
      </w:pPr>
    </w:p>
    <w:p w14:paraId="2963A38B" w14:textId="77777777" w:rsidR="00203808" w:rsidRDefault="00203808" w:rsidP="00203808">
      <w:pPr>
        <w:spacing w:after="0" w:line="360" w:lineRule="auto"/>
        <w:jc w:val="both"/>
        <w:rPr>
          <w:rFonts w:cs="Arial"/>
          <w:sz w:val="22"/>
        </w:rPr>
      </w:pPr>
    </w:p>
    <w:p w14:paraId="69DADED6" w14:textId="77777777" w:rsidR="00203808" w:rsidRDefault="00203808" w:rsidP="00203808">
      <w:pPr>
        <w:spacing w:after="0" w:line="360" w:lineRule="auto"/>
        <w:jc w:val="both"/>
        <w:rPr>
          <w:rFonts w:cs="Arial"/>
          <w:sz w:val="22"/>
        </w:rPr>
      </w:pPr>
    </w:p>
    <w:p w14:paraId="473FFE8C" w14:textId="77777777" w:rsidR="00203808" w:rsidRDefault="00203808" w:rsidP="00203808">
      <w:pPr>
        <w:spacing w:after="0" w:line="360" w:lineRule="auto"/>
        <w:jc w:val="both"/>
        <w:rPr>
          <w:rFonts w:cs="Arial"/>
          <w:sz w:val="22"/>
        </w:rPr>
      </w:pPr>
    </w:p>
    <w:p w14:paraId="5AE89337" w14:textId="77777777" w:rsidR="00203808" w:rsidRDefault="00203808" w:rsidP="00203808">
      <w:pPr>
        <w:spacing w:after="0" w:line="360" w:lineRule="auto"/>
        <w:jc w:val="both"/>
        <w:rPr>
          <w:rFonts w:cs="Arial"/>
          <w:sz w:val="22"/>
        </w:rPr>
      </w:pPr>
    </w:p>
    <w:p w14:paraId="3B033FCD" w14:textId="77777777" w:rsidR="00203808" w:rsidRDefault="00203808" w:rsidP="00203808">
      <w:pPr>
        <w:spacing w:after="0" w:line="360" w:lineRule="auto"/>
        <w:jc w:val="both"/>
        <w:rPr>
          <w:rFonts w:cs="Arial"/>
          <w:sz w:val="22"/>
        </w:rPr>
      </w:pPr>
    </w:p>
    <w:p w14:paraId="3E4E7B3C" w14:textId="77777777" w:rsidR="00203808" w:rsidRPr="00203808" w:rsidRDefault="00203808" w:rsidP="00203808">
      <w:pPr>
        <w:spacing w:after="0" w:line="360" w:lineRule="auto"/>
        <w:jc w:val="both"/>
        <w:rPr>
          <w:rFonts w:cs="Arial"/>
          <w:sz w:val="22"/>
        </w:rPr>
      </w:pPr>
    </w:p>
    <w:p w14:paraId="1567E177" w14:textId="77777777" w:rsidR="00861346" w:rsidRPr="00203808" w:rsidRDefault="00861346" w:rsidP="00203808">
      <w:pPr>
        <w:pStyle w:val="Titre1"/>
        <w:spacing w:line="360" w:lineRule="auto"/>
        <w:jc w:val="both"/>
        <w:rPr>
          <w:rFonts w:ascii="Arial" w:hAnsi="Arial" w:cs="Arial"/>
          <w:b w:val="0"/>
          <w:bCs w:val="0"/>
          <w:color w:val="auto"/>
          <w:sz w:val="22"/>
          <w:szCs w:val="22"/>
          <w:u w:val="single"/>
          <w:lang w:val="en-GB"/>
        </w:rPr>
      </w:pPr>
      <w:bookmarkStart w:id="2" w:name="_Toc237478454"/>
      <w:r w:rsidRPr="00203808">
        <w:rPr>
          <w:rFonts w:ascii="Arial" w:hAnsi="Arial" w:cs="Arial"/>
          <w:color w:val="auto"/>
          <w:sz w:val="22"/>
          <w:szCs w:val="22"/>
          <w:u w:val="single"/>
          <w:lang w:val="en-GB"/>
        </w:rPr>
        <w:lastRenderedPageBreak/>
        <w:t>List of Abbreviations</w:t>
      </w:r>
      <w:bookmarkEnd w:id="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28"/>
        <w:gridCol w:w="4259"/>
      </w:tblGrid>
      <w:tr w:rsidR="00203808" w:rsidRPr="00203808" w14:paraId="416FB375" w14:textId="77777777" w:rsidTr="00B159BB">
        <w:trPr>
          <w:tblHeader/>
          <w:tblCellSpacing w:w="15" w:type="dxa"/>
        </w:trPr>
        <w:tc>
          <w:tcPr>
            <w:tcW w:w="3783" w:type="dxa"/>
            <w:vAlign w:val="center"/>
            <w:hideMark/>
          </w:tcPr>
          <w:p w14:paraId="4D4146C1"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Abbreviation</w:t>
            </w:r>
          </w:p>
        </w:tc>
        <w:tc>
          <w:tcPr>
            <w:tcW w:w="4214" w:type="dxa"/>
            <w:vAlign w:val="center"/>
            <w:hideMark/>
          </w:tcPr>
          <w:p w14:paraId="5C44409D"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Full term</w:t>
            </w:r>
          </w:p>
        </w:tc>
      </w:tr>
      <w:tr w:rsidR="00203808" w:rsidRPr="00203808" w14:paraId="1D981257" w14:textId="77777777" w:rsidTr="00B159BB">
        <w:trPr>
          <w:tblCellSpacing w:w="15" w:type="dxa"/>
        </w:trPr>
        <w:tc>
          <w:tcPr>
            <w:tcW w:w="3783" w:type="dxa"/>
            <w:vAlign w:val="center"/>
            <w:hideMark/>
          </w:tcPr>
          <w:p w14:paraId="754462F9"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AI</w:t>
            </w:r>
          </w:p>
        </w:tc>
        <w:tc>
          <w:tcPr>
            <w:tcW w:w="4214" w:type="dxa"/>
            <w:vAlign w:val="center"/>
            <w:hideMark/>
          </w:tcPr>
          <w:p w14:paraId="5B95D1A2" w14:textId="77777777" w:rsidR="00861346" w:rsidRPr="00203808" w:rsidRDefault="00861346" w:rsidP="00203808">
            <w:pPr>
              <w:spacing w:after="0" w:line="360" w:lineRule="auto"/>
              <w:jc w:val="both"/>
              <w:rPr>
                <w:rFonts w:cs="Arial"/>
                <w:sz w:val="22"/>
                <w:lang w:val="en-GB"/>
              </w:rPr>
            </w:pPr>
            <w:r w:rsidRPr="00203808">
              <w:rPr>
                <w:rFonts w:cs="Arial"/>
                <w:sz w:val="22"/>
                <w:lang w:val="en-GB"/>
              </w:rPr>
              <w:t>Artificial Intelligence</w:t>
            </w:r>
          </w:p>
        </w:tc>
      </w:tr>
      <w:tr w:rsidR="00203808" w:rsidRPr="00203808" w14:paraId="163634B5" w14:textId="77777777" w:rsidTr="00B159BB">
        <w:trPr>
          <w:tblCellSpacing w:w="15" w:type="dxa"/>
        </w:trPr>
        <w:tc>
          <w:tcPr>
            <w:tcW w:w="3783" w:type="dxa"/>
            <w:vAlign w:val="center"/>
            <w:hideMark/>
          </w:tcPr>
          <w:p w14:paraId="6E0448F4"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ARR</w:t>
            </w:r>
          </w:p>
        </w:tc>
        <w:tc>
          <w:tcPr>
            <w:tcW w:w="4214" w:type="dxa"/>
            <w:vAlign w:val="center"/>
            <w:hideMark/>
          </w:tcPr>
          <w:p w14:paraId="356F9F12" w14:textId="77777777" w:rsidR="00861346" w:rsidRPr="00203808" w:rsidRDefault="00861346" w:rsidP="00203808">
            <w:pPr>
              <w:spacing w:after="0" w:line="360" w:lineRule="auto"/>
              <w:jc w:val="both"/>
              <w:rPr>
                <w:rFonts w:cs="Arial"/>
                <w:sz w:val="22"/>
                <w:lang w:val="en-GB"/>
              </w:rPr>
            </w:pPr>
            <w:r w:rsidRPr="00203808">
              <w:rPr>
                <w:rFonts w:cs="Arial"/>
                <w:sz w:val="22"/>
                <w:lang w:val="en-GB"/>
              </w:rPr>
              <w:t>Accounting Rate of Return</w:t>
            </w:r>
          </w:p>
        </w:tc>
      </w:tr>
      <w:tr w:rsidR="00203808" w:rsidRPr="00203808" w14:paraId="16140850" w14:textId="77777777" w:rsidTr="00B159BB">
        <w:trPr>
          <w:tblCellSpacing w:w="15" w:type="dxa"/>
        </w:trPr>
        <w:tc>
          <w:tcPr>
            <w:tcW w:w="3783" w:type="dxa"/>
            <w:vAlign w:val="center"/>
            <w:hideMark/>
          </w:tcPr>
          <w:p w14:paraId="3890BBF3"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Bonvoy</w:t>
            </w:r>
          </w:p>
        </w:tc>
        <w:tc>
          <w:tcPr>
            <w:tcW w:w="4214" w:type="dxa"/>
            <w:vAlign w:val="center"/>
            <w:hideMark/>
          </w:tcPr>
          <w:p w14:paraId="23873BF6" w14:textId="77777777" w:rsidR="00861346" w:rsidRPr="00203808" w:rsidRDefault="00861346" w:rsidP="00203808">
            <w:pPr>
              <w:spacing w:after="0" w:line="360" w:lineRule="auto"/>
              <w:jc w:val="both"/>
              <w:rPr>
                <w:rFonts w:cs="Arial"/>
                <w:sz w:val="22"/>
                <w:lang w:val="en-GB"/>
              </w:rPr>
            </w:pPr>
            <w:r w:rsidRPr="00203808">
              <w:rPr>
                <w:rFonts w:cs="Arial"/>
                <w:sz w:val="22"/>
                <w:lang w:val="en-GB"/>
              </w:rPr>
              <w:t>Marriott Bonvoy Loyalty Programme</w:t>
            </w:r>
          </w:p>
        </w:tc>
      </w:tr>
      <w:tr w:rsidR="00203808" w:rsidRPr="00203808" w14:paraId="582961BB" w14:textId="77777777" w:rsidTr="00B159BB">
        <w:trPr>
          <w:tblCellSpacing w:w="15" w:type="dxa"/>
        </w:trPr>
        <w:tc>
          <w:tcPr>
            <w:tcW w:w="3783" w:type="dxa"/>
            <w:vAlign w:val="center"/>
            <w:hideMark/>
          </w:tcPr>
          <w:p w14:paraId="198FA488"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CSR</w:t>
            </w:r>
          </w:p>
        </w:tc>
        <w:tc>
          <w:tcPr>
            <w:tcW w:w="4214" w:type="dxa"/>
            <w:vAlign w:val="center"/>
            <w:hideMark/>
          </w:tcPr>
          <w:p w14:paraId="36A7A31D" w14:textId="77777777" w:rsidR="00861346" w:rsidRPr="00203808" w:rsidRDefault="00861346" w:rsidP="00203808">
            <w:pPr>
              <w:spacing w:after="0" w:line="360" w:lineRule="auto"/>
              <w:jc w:val="both"/>
              <w:rPr>
                <w:rFonts w:cs="Arial"/>
                <w:sz w:val="22"/>
                <w:lang w:val="en-GB"/>
              </w:rPr>
            </w:pPr>
            <w:r w:rsidRPr="00203808">
              <w:rPr>
                <w:rFonts w:cs="Arial"/>
                <w:sz w:val="22"/>
                <w:lang w:val="en-GB"/>
              </w:rPr>
              <w:t>Corporate Social Responsibility</w:t>
            </w:r>
          </w:p>
        </w:tc>
      </w:tr>
      <w:tr w:rsidR="00203808" w:rsidRPr="00203808" w14:paraId="730755CA" w14:textId="77777777" w:rsidTr="00B159BB">
        <w:trPr>
          <w:tblCellSpacing w:w="15" w:type="dxa"/>
        </w:trPr>
        <w:tc>
          <w:tcPr>
            <w:tcW w:w="3783" w:type="dxa"/>
            <w:vAlign w:val="center"/>
            <w:hideMark/>
          </w:tcPr>
          <w:p w14:paraId="469726BD"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DPO</w:t>
            </w:r>
          </w:p>
        </w:tc>
        <w:tc>
          <w:tcPr>
            <w:tcW w:w="4214" w:type="dxa"/>
            <w:vAlign w:val="center"/>
            <w:hideMark/>
          </w:tcPr>
          <w:p w14:paraId="2FB5F867" w14:textId="77777777" w:rsidR="00861346" w:rsidRPr="00203808" w:rsidRDefault="00861346" w:rsidP="00203808">
            <w:pPr>
              <w:spacing w:after="0" w:line="360" w:lineRule="auto"/>
              <w:jc w:val="both"/>
              <w:rPr>
                <w:rFonts w:cs="Arial"/>
                <w:sz w:val="22"/>
                <w:lang w:val="en-GB"/>
              </w:rPr>
            </w:pPr>
            <w:r w:rsidRPr="00203808">
              <w:rPr>
                <w:rFonts w:cs="Arial"/>
                <w:sz w:val="22"/>
                <w:lang w:val="en-GB"/>
              </w:rPr>
              <w:t>Days Payable Outstanding</w:t>
            </w:r>
          </w:p>
        </w:tc>
      </w:tr>
      <w:tr w:rsidR="00203808" w:rsidRPr="00203808" w14:paraId="221AA2D0" w14:textId="77777777" w:rsidTr="00B159BB">
        <w:trPr>
          <w:tblCellSpacing w:w="15" w:type="dxa"/>
        </w:trPr>
        <w:tc>
          <w:tcPr>
            <w:tcW w:w="3783" w:type="dxa"/>
            <w:vAlign w:val="center"/>
            <w:hideMark/>
          </w:tcPr>
          <w:p w14:paraId="7B73266F"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DSI</w:t>
            </w:r>
          </w:p>
        </w:tc>
        <w:tc>
          <w:tcPr>
            <w:tcW w:w="4214" w:type="dxa"/>
            <w:vAlign w:val="center"/>
            <w:hideMark/>
          </w:tcPr>
          <w:p w14:paraId="0B965A80" w14:textId="77777777" w:rsidR="00861346" w:rsidRPr="00203808" w:rsidRDefault="00861346" w:rsidP="00203808">
            <w:pPr>
              <w:spacing w:after="0" w:line="360" w:lineRule="auto"/>
              <w:jc w:val="both"/>
              <w:rPr>
                <w:rFonts w:cs="Arial"/>
                <w:sz w:val="22"/>
                <w:lang w:val="en-GB"/>
              </w:rPr>
            </w:pPr>
            <w:r w:rsidRPr="00203808">
              <w:rPr>
                <w:rFonts w:cs="Arial"/>
                <w:sz w:val="22"/>
                <w:lang w:val="en-GB"/>
              </w:rPr>
              <w:t>Days Sales Inventory / Days Inventory Outstanding</w:t>
            </w:r>
          </w:p>
        </w:tc>
      </w:tr>
      <w:tr w:rsidR="00203808" w:rsidRPr="00203808" w14:paraId="006177B6" w14:textId="77777777" w:rsidTr="00B159BB">
        <w:trPr>
          <w:tblCellSpacing w:w="15" w:type="dxa"/>
        </w:trPr>
        <w:tc>
          <w:tcPr>
            <w:tcW w:w="3783" w:type="dxa"/>
            <w:vAlign w:val="center"/>
            <w:hideMark/>
          </w:tcPr>
          <w:p w14:paraId="72E4D5E2"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DSO</w:t>
            </w:r>
          </w:p>
        </w:tc>
        <w:tc>
          <w:tcPr>
            <w:tcW w:w="4214" w:type="dxa"/>
            <w:vAlign w:val="center"/>
            <w:hideMark/>
          </w:tcPr>
          <w:p w14:paraId="4FEE3483" w14:textId="77777777" w:rsidR="00861346" w:rsidRPr="00203808" w:rsidRDefault="00861346" w:rsidP="00203808">
            <w:pPr>
              <w:spacing w:after="0" w:line="360" w:lineRule="auto"/>
              <w:jc w:val="both"/>
              <w:rPr>
                <w:rFonts w:cs="Arial"/>
                <w:sz w:val="22"/>
                <w:lang w:val="en-GB"/>
              </w:rPr>
            </w:pPr>
            <w:r w:rsidRPr="00203808">
              <w:rPr>
                <w:rFonts w:cs="Arial"/>
                <w:sz w:val="22"/>
                <w:lang w:val="en-GB"/>
              </w:rPr>
              <w:t>Days Sales Outstanding</w:t>
            </w:r>
          </w:p>
        </w:tc>
      </w:tr>
      <w:tr w:rsidR="00203808" w:rsidRPr="00203808" w14:paraId="66E198D4" w14:textId="77777777" w:rsidTr="00B159BB">
        <w:trPr>
          <w:tblCellSpacing w:w="15" w:type="dxa"/>
        </w:trPr>
        <w:tc>
          <w:tcPr>
            <w:tcW w:w="3783" w:type="dxa"/>
            <w:vAlign w:val="center"/>
            <w:hideMark/>
          </w:tcPr>
          <w:p w14:paraId="363A26BB"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EBITDA</w:t>
            </w:r>
          </w:p>
        </w:tc>
        <w:tc>
          <w:tcPr>
            <w:tcW w:w="4214" w:type="dxa"/>
            <w:vAlign w:val="center"/>
            <w:hideMark/>
          </w:tcPr>
          <w:p w14:paraId="6FECB4D1" w14:textId="77777777" w:rsidR="00861346" w:rsidRPr="00203808" w:rsidRDefault="00861346" w:rsidP="00203808">
            <w:pPr>
              <w:spacing w:after="0" w:line="360" w:lineRule="auto"/>
              <w:jc w:val="both"/>
              <w:rPr>
                <w:rFonts w:cs="Arial"/>
                <w:sz w:val="22"/>
                <w:lang w:val="en-GB"/>
              </w:rPr>
            </w:pPr>
            <w:r w:rsidRPr="00203808">
              <w:rPr>
                <w:rFonts w:cs="Arial"/>
                <w:sz w:val="22"/>
                <w:lang w:val="en-GB"/>
              </w:rPr>
              <w:t>Earnings Before Interest, Tax, Depreciation and Amortisation</w:t>
            </w:r>
          </w:p>
        </w:tc>
      </w:tr>
      <w:tr w:rsidR="00203808" w:rsidRPr="00203808" w14:paraId="4E84131D" w14:textId="77777777" w:rsidTr="00B159BB">
        <w:trPr>
          <w:tblCellSpacing w:w="15" w:type="dxa"/>
        </w:trPr>
        <w:tc>
          <w:tcPr>
            <w:tcW w:w="3783" w:type="dxa"/>
            <w:vAlign w:val="center"/>
            <w:hideMark/>
          </w:tcPr>
          <w:p w14:paraId="77B0F439"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EPS</w:t>
            </w:r>
          </w:p>
        </w:tc>
        <w:tc>
          <w:tcPr>
            <w:tcW w:w="4214" w:type="dxa"/>
            <w:vAlign w:val="center"/>
            <w:hideMark/>
          </w:tcPr>
          <w:p w14:paraId="5A962E89" w14:textId="77777777" w:rsidR="00861346" w:rsidRPr="00203808" w:rsidRDefault="00861346" w:rsidP="00203808">
            <w:pPr>
              <w:spacing w:after="0" w:line="360" w:lineRule="auto"/>
              <w:jc w:val="both"/>
              <w:rPr>
                <w:rFonts w:cs="Arial"/>
                <w:sz w:val="22"/>
                <w:lang w:val="en-GB"/>
              </w:rPr>
            </w:pPr>
            <w:r w:rsidRPr="00203808">
              <w:rPr>
                <w:rFonts w:cs="Arial"/>
                <w:sz w:val="22"/>
                <w:lang w:val="en-GB"/>
              </w:rPr>
              <w:t>Earnings Per Share</w:t>
            </w:r>
          </w:p>
        </w:tc>
      </w:tr>
      <w:tr w:rsidR="00203808" w:rsidRPr="00203808" w14:paraId="10E4C57C" w14:textId="77777777" w:rsidTr="00B159BB">
        <w:trPr>
          <w:tblCellSpacing w:w="15" w:type="dxa"/>
        </w:trPr>
        <w:tc>
          <w:tcPr>
            <w:tcW w:w="3783" w:type="dxa"/>
            <w:vAlign w:val="center"/>
            <w:hideMark/>
          </w:tcPr>
          <w:p w14:paraId="3BDE151B"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ESG</w:t>
            </w:r>
          </w:p>
        </w:tc>
        <w:tc>
          <w:tcPr>
            <w:tcW w:w="4214" w:type="dxa"/>
            <w:vAlign w:val="center"/>
            <w:hideMark/>
          </w:tcPr>
          <w:p w14:paraId="51DC70EB" w14:textId="77777777" w:rsidR="00861346" w:rsidRPr="00203808" w:rsidRDefault="00861346" w:rsidP="00203808">
            <w:pPr>
              <w:spacing w:after="0" w:line="360" w:lineRule="auto"/>
              <w:jc w:val="both"/>
              <w:rPr>
                <w:rFonts w:cs="Arial"/>
                <w:sz w:val="22"/>
                <w:lang w:val="en-GB"/>
              </w:rPr>
            </w:pPr>
            <w:r w:rsidRPr="00203808">
              <w:rPr>
                <w:rFonts w:cs="Arial"/>
                <w:sz w:val="22"/>
                <w:lang w:val="en-GB"/>
              </w:rPr>
              <w:t>Environmental, Social and Governance</w:t>
            </w:r>
          </w:p>
        </w:tc>
      </w:tr>
      <w:tr w:rsidR="00203808" w:rsidRPr="00203808" w14:paraId="65170D36" w14:textId="77777777" w:rsidTr="00B159BB">
        <w:trPr>
          <w:tblCellSpacing w:w="15" w:type="dxa"/>
        </w:trPr>
        <w:tc>
          <w:tcPr>
            <w:tcW w:w="3783" w:type="dxa"/>
            <w:vAlign w:val="center"/>
            <w:hideMark/>
          </w:tcPr>
          <w:p w14:paraId="3378DEEB"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FX</w:t>
            </w:r>
          </w:p>
        </w:tc>
        <w:tc>
          <w:tcPr>
            <w:tcW w:w="4214" w:type="dxa"/>
            <w:vAlign w:val="center"/>
            <w:hideMark/>
          </w:tcPr>
          <w:p w14:paraId="3F0CB20A" w14:textId="77777777" w:rsidR="00861346" w:rsidRPr="00203808" w:rsidRDefault="00861346" w:rsidP="00203808">
            <w:pPr>
              <w:spacing w:after="0" w:line="360" w:lineRule="auto"/>
              <w:jc w:val="both"/>
              <w:rPr>
                <w:rFonts w:cs="Arial"/>
                <w:sz w:val="22"/>
                <w:lang w:val="en-GB"/>
              </w:rPr>
            </w:pPr>
            <w:r w:rsidRPr="00203808">
              <w:rPr>
                <w:rFonts w:cs="Arial"/>
                <w:sz w:val="22"/>
                <w:lang w:val="en-GB"/>
              </w:rPr>
              <w:t>Foreign Exchange</w:t>
            </w:r>
          </w:p>
        </w:tc>
      </w:tr>
      <w:tr w:rsidR="00203808" w:rsidRPr="00203808" w14:paraId="7FD28F52" w14:textId="77777777" w:rsidTr="00B159BB">
        <w:trPr>
          <w:tblCellSpacing w:w="15" w:type="dxa"/>
        </w:trPr>
        <w:tc>
          <w:tcPr>
            <w:tcW w:w="3783" w:type="dxa"/>
            <w:vAlign w:val="center"/>
            <w:hideMark/>
          </w:tcPr>
          <w:p w14:paraId="4062B9D1"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IRR</w:t>
            </w:r>
          </w:p>
        </w:tc>
        <w:tc>
          <w:tcPr>
            <w:tcW w:w="4214" w:type="dxa"/>
            <w:vAlign w:val="center"/>
            <w:hideMark/>
          </w:tcPr>
          <w:p w14:paraId="267F61AA" w14:textId="77777777" w:rsidR="00861346" w:rsidRPr="00203808" w:rsidRDefault="00861346" w:rsidP="00203808">
            <w:pPr>
              <w:spacing w:after="0" w:line="360" w:lineRule="auto"/>
              <w:jc w:val="both"/>
              <w:rPr>
                <w:rFonts w:cs="Arial"/>
                <w:sz w:val="22"/>
                <w:lang w:val="en-GB"/>
              </w:rPr>
            </w:pPr>
            <w:r w:rsidRPr="00203808">
              <w:rPr>
                <w:rFonts w:cs="Arial"/>
                <w:sz w:val="22"/>
                <w:lang w:val="en-GB"/>
              </w:rPr>
              <w:t>Internal Rate of Return</w:t>
            </w:r>
          </w:p>
        </w:tc>
      </w:tr>
      <w:tr w:rsidR="00203808" w:rsidRPr="00203808" w14:paraId="784E2302" w14:textId="77777777" w:rsidTr="00B159BB">
        <w:trPr>
          <w:tblCellSpacing w:w="15" w:type="dxa"/>
        </w:trPr>
        <w:tc>
          <w:tcPr>
            <w:tcW w:w="3783" w:type="dxa"/>
            <w:vAlign w:val="center"/>
            <w:hideMark/>
          </w:tcPr>
          <w:p w14:paraId="4BD13174"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N/A</w:t>
            </w:r>
          </w:p>
        </w:tc>
        <w:tc>
          <w:tcPr>
            <w:tcW w:w="4214" w:type="dxa"/>
            <w:vAlign w:val="center"/>
            <w:hideMark/>
          </w:tcPr>
          <w:p w14:paraId="336301F0" w14:textId="77777777" w:rsidR="00861346" w:rsidRPr="00203808" w:rsidRDefault="00861346" w:rsidP="00203808">
            <w:pPr>
              <w:spacing w:after="0" w:line="360" w:lineRule="auto"/>
              <w:jc w:val="both"/>
              <w:rPr>
                <w:rFonts w:cs="Arial"/>
                <w:sz w:val="22"/>
                <w:lang w:val="en-GB"/>
              </w:rPr>
            </w:pPr>
            <w:r w:rsidRPr="00203808">
              <w:rPr>
                <w:rFonts w:cs="Arial"/>
                <w:sz w:val="22"/>
                <w:lang w:val="en-GB"/>
              </w:rPr>
              <w:t>Not Applicable</w:t>
            </w:r>
          </w:p>
        </w:tc>
      </w:tr>
      <w:tr w:rsidR="00203808" w:rsidRPr="00203808" w14:paraId="229F6BCE" w14:textId="77777777" w:rsidTr="00B159BB">
        <w:trPr>
          <w:tblCellSpacing w:w="15" w:type="dxa"/>
        </w:trPr>
        <w:tc>
          <w:tcPr>
            <w:tcW w:w="3783" w:type="dxa"/>
            <w:vAlign w:val="center"/>
            <w:hideMark/>
          </w:tcPr>
          <w:p w14:paraId="68A20739"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NPV</w:t>
            </w:r>
          </w:p>
        </w:tc>
        <w:tc>
          <w:tcPr>
            <w:tcW w:w="4214" w:type="dxa"/>
            <w:vAlign w:val="center"/>
            <w:hideMark/>
          </w:tcPr>
          <w:p w14:paraId="2AFC0D85" w14:textId="77777777" w:rsidR="00861346" w:rsidRPr="00203808" w:rsidRDefault="00861346" w:rsidP="00203808">
            <w:pPr>
              <w:spacing w:after="0" w:line="360" w:lineRule="auto"/>
              <w:jc w:val="both"/>
              <w:rPr>
                <w:rFonts w:cs="Arial"/>
                <w:sz w:val="22"/>
                <w:lang w:val="en-GB"/>
              </w:rPr>
            </w:pPr>
            <w:r w:rsidRPr="00203808">
              <w:rPr>
                <w:rFonts w:cs="Arial"/>
                <w:sz w:val="22"/>
                <w:lang w:val="en-GB"/>
              </w:rPr>
              <w:t>Net Present Value</w:t>
            </w:r>
          </w:p>
        </w:tc>
      </w:tr>
      <w:tr w:rsidR="00203808" w:rsidRPr="00203808" w14:paraId="4834B798" w14:textId="77777777" w:rsidTr="00B159BB">
        <w:trPr>
          <w:tblCellSpacing w:w="15" w:type="dxa"/>
        </w:trPr>
        <w:tc>
          <w:tcPr>
            <w:tcW w:w="3783" w:type="dxa"/>
            <w:vAlign w:val="center"/>
            <w:hideMark/>
          </w:tcPr>
          <w:p w14:paraId="58F7720F"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PBP</w:t>
            </w:r>
          </w:p>
        </w:tc>
        <w:tc>
          <w:tcPr>
            <w:tcW w:w="4214" w:type="dxa"/>
            <w:vAlign w:val="center"/>
            <w:hideMark/>
          </w:tcPr>
          <w:p w14:paraId="27DF9A71" w14:textId="77777777" w:rsidR="00861346" w:rsidRPr="00203808" w:rsidRDefault="00861346" w:rsidP="00203808">
            <w:pPr>
              <w:spacing w:after="0" w:line="360" w:lineRule="auto"/>
              <w:jc w:val="both"/>
              <w:rPr>
                <w:rFonts w:cs="Arial"/>
                <w:sz w:val="22"/>
                <w:lang w:val="en-GB"/>
              </w:rPr>
            </w:pPr>
            <w:r w:rsidRPr="00203808">
              <w:rPr>
                <w:rFonts w:cs="Arial"/>
                <w:sz w:val="22"/>
                <w:lang w:val="en-GB"/>
              </w:rPr>
              <w:t>Payback Period</w:t>
            </w:r>
          </w:p>
        </w:tc>
      </w:tr>
      <w:tr w:rsidR="00203808" w:rsidRPr="00203808" w14:paraId="1A053922" w14:textId="77777777" w:rsidTr="00B159BB">
        <w:trPr>
          <w:tblCellSpacing w:w="15" w:type="dxa"/>
        </w:trPr>
        <w:tc>
          <w:tcPr>
            <w:tcW w:w="3783" w:type="dxa"/>
            <w:vAlign w:val="center"/>
            <w:hideMark/>
          </w:tcPr>
          <w:p w14:paraId="29741431"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P/E</w:t>
            </w:r>
          </w:p>
        </w:tc>
        <w:tc>
          <w:tcPr>
            <w:tcW w:w="4214" w:type="dxa"/>
            <w:vAlign w:val="center"/>
            <w:hideMark/>
          </w:tcPr>
          <w:p w14:paraId="65376AB3" w14:textId="77777777" w:rsidR="00861346" w:rsidRPr="00203808" w:rsidRDefault="00861346" w:rsidP="00203808">
            <w:pPr>
              <w:spacing w:after="0" w:line="360" w:lineRule="auto"/>
              <w:jc w:val="both"/>
              <w:rPr>
                <w:rFonts w:cs="Arial"/>
                <w:sz w:val="22"/>
                <w:lang w:val="en-GB"/>
              </w:rPr>
            </w:pPr>
            <w:r w:rsidRPr="00203808">
              <w:rPr>
                <w:rFonts w:cs="Arial"/>
                <w:sz w:val="22"/>
                <w:lang w:val="en-GB"/>
              </w:rPr>
              <w:t>Price-to-Earnings Ratio</w:t>
            </w:r>
          </w:p>
        </w:tc>
      </w:tr>
      <w:tr w:rsidR="00203808" w:rsidRPr="00203808" w14:paraId="31B581B7" w14:textId="77777777" w:rsidTr="00B159BB">
        <w:trPr>
          <w:tblCellSpacing w:w="15" w:type="dxa"/>
        </w:trPr>
        <w:tc>
          <w:tcPr>
            <w:tcW w:w="3783" w:type="dxa"/>
            <w:vAlign w:val="center"/>
            <w:hideMark/>
          </w:tcPr>
          <w:p w14:paraId="556D9A9A"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PI</w:t>
            </w:r>
          </w:p>
        </w:tc>
        <w:tc>
          <w:tcPr>
            <w:tcW w:w="4214" w:type="dxa"/>
            <w:vAlign w:val="center"/>
            <w:hideMark/>
          </w:tcPr>
          <w:p w14:paraId="68D0EA32" w14:textId="77777777" w:rsidR="00861346" w:rsidRPr="00203808" w:rsidRDefault="00861346" w:rsidP="00203808">
            <w:pPr>
              <w:spacing w:after="0" w:line="360" w:lineRule="auto"/>
              <w:jc w:val="both"/>
              <w:rPr>
                <w:rFonts w:cs="Arial"/>
                <w:sz w:val="22"/>
                <w:lang w:val="en-GB"/>
              </w:rPr>
            </w:pPr>
            <w:r w:rsidRPr="00203808">
              <w:rPr>
                <w:rFonts w:cs="Arial"/>
                <w:sz w:val="22"/>
                <w:lang w:val="en-GB"/>
              </w:rPr>
              <w:t>Profitability Index</w:t>
            </w:r>
          </w:p>
        </w:tc>
      </w:tr>
      <w:tr w:rsidR="00203808" w:rsidRPr="00203808" w14:paraId="0BD9D117" w14:textId="77777777" w:rsidTr="00B159BB">
        <w:trPr>
          <w:tblCellSpacing w:w="15" w:type="dxa"/>
        </w:trPr>
        <w:tc>
          <w:tcPr>
            <w:tcW w:w="3783" w:type="dxa"/>
            <w:vAlign w:val="center"/>
            <w:hideMark/>
          </w:tcPr>
          <w:p w14:paraId="1B3E257F" w14:textId="77777777" w:rsidR="00861346" w:rsidRPr="00203808" w:rsidRDefault="00861346" w:rsidP="00203808">
            <w:pPr>
              <w:spacing w:after="0" w:line="360" w:lineRule="auto"/>
              <w:jc w:val="both"/>
              <w:rPr>
                <w:rFonts w:cs="Arial"/>
                <w:b/>
                <w:bCs/>
                <w:sz w:val="22"/>
                <w:lang w:val="en-GB"/>
              </w:rPr>
            </w:pPr>
            <w:r w:rsidRPr="00203808">
              <w:rPr>
                <w:rFonts w:cs="Arial"/>
                <w:b/>
                <w:bCs/>
                <w:sz w:val="22"/>
                <w:lang w:val="en-GB"/>
              </w:rPr>
              <w:t>ROCE</w:t>
            </w:r>
          </w:p>
        </w:tc>
        <w:tc>
          <w:tcPr>
            <w:tcW w:w="4214" w:type="dxa"/>
            <w:vAlign w:val="center"/>
            <w:hideMark/>
          </w:tcPr>
          <w:p w14:paraId="3A312EB6" w14:textId="77777777" w:rsidR="00861346" w:rsidRPr="00203808" w:rsidRDefault="00861346" w:rsidP="00203808">
            <w:pPr>
              <w:spacing w:after="0" w:line="360" w:lineRule="auto"/>
              <w:jc w:val="both"/>
              <w:rPr>
                <w:rFonts w:cs="Arial"/>
                <w:sz w:val="22"/>
                <w:lang w:val="en-GB"/>
              </w:rPr>
            </w:pPr>
            <w:r w:rsidRPr="00203808">
              <w:rPr>
                <w:rFonts w:cs="Arial"/>
                <w:sz w:val="22"/>
                <w:lang w:val="en-GB"/>
              </w:rPr>
              <w:t>Return on Capital Employed</w:t>
            </w:r>
          </w:p>
        </w:tc>
      </w:tr>
    </w:tbl>
    <w:p w14:paraId="7FD2E1DE" w14:textId="77777777" w:rsidR="003E59E5" w:rsidRPr="00203808" w:rsidRDefault="003E59E5" w:rsidP="00203808">
      <w:pPr>
        <w:spacing w:after="0" w:line="360" w:lineRule="auto"/>
        <w:jc w:val="both"/>
        <w:rPr>
          <w:rFonts w:cs="Arial"/>
          <w:sz w:val="22"/>
          <w:lang w:val="en-GB"/>
        </w:rPr>
      </w:pPr>
    </w:p>
    <w:p w14:paraId="448D3C53" w14:textId="77777777" w:rsidR="003E59E5" w:rsidRPr="00203808" w:rsidRDefault="003E59E5" w:rsidP="00203808">
      <w:pPr>
        <w:spacing w:after="0" w:line="360" w:lineRule="auto"/>
        <w:jc w:val="both"/>
        <w:rPr>
          <w:rFonts w:cs="Arial"/>
          <w:b/>
          <w:bCs/>
          <w:sz w:val="22"/>
        </w:rPr>
      </w:pPr>
    </w:p>
    <w:p w14:paraId="2779FC08" w14:textId="77777777" w:rsidR="00FD5F42" w:rsidRPr="00203808" w:rsidRDefault="00FD5F42" w:rsidP="00203808">
      <w:pPr>
        <w:spacing w:after="0" w:line="360" w:lineRule="auto"/>
        <w:jc w:val="both"/>
        <w:rPr>
          <w:rFonts w:cs="Arial"/>
          <w:b/>
          <w:bCs/>
          <w:sz w:val="22"/>
        </w:rPr>
      </w:pPr>
    </w:p>
    <w:p w14:paraId="1689AD73" w14:textId="77777777" w:rsidR="00B159BB" w:rsidRDefault="00B159BB" w:rsidP="00203808">
      <w:pPr>
        <w:spacing w:after="0" w:line="360" w:lineRule="auto"/>
        <w:jc w:val="both"/>
        <w:rPr>
          <w:rFonts w:cs="Arial"/>
          <w:b/>
          <w:bCs/>
          <w:sz w:val="22"/>
        </w:rPr>
      </w:pPr>
    </w:p>
    <w:p w14:paraId="31ED1372" w14:textId="77777777" w:rsidR="00203808" w:rsidRDefault="00203808" w:rsidP="00203808">
      <w:pPr>
        <w:spacing w:after="0" w:line="360" w:lineRule="auto"/>
        <w:jc w:val="both"/>
        <w:rPr>
          <w:rFonts w:cs="Arial"/>
          <w:b/>
          <w:bCs/>
          <w:sz w:val="22"/>
        </w:rPr>
      </w:pPr>
    </w:p>
    <w:p w14:paraId="4D19F31B" w14:textId="77777777" w:rsidR="00203808" w:rsidRPr="00203808" w:rsidRDefault="00203808" w:rsidP="00203808">
      <w:pPr>
        <w:spacing w:after="0" w:line="360" w:lineRule="auto"/>
        <w:jc w:val="both"/>
        <w:rPr>
          <w:rFonts w:cs="Arial"/>
          <w:b/>
          <w:bCs/>
          <w:sz w:val="22"/>
        </w:rPr>
      </w:pPr>
    </w:p>
    <w:p w14:paraId="44A1BFDE" w14:textId="77777777" w:rsidR="00900317" w:rsidRPr="00203808" w:rsidRDefault="00900317" w:rsidP="00203808">
      <w:pPr>
        <w:spacing w:after="0" w:line="360" w:lineRule="auto"/>
        <w:jc w:val="both"/>
        <w:rPr>
          <w:rFonts w:cs="Arial"/>
          <w:b/>
          <w:bCs/>
          <w:sz w:val="22"/>
        </w:rPr>
      </w:pPr>
    </w:p>
    <w:p w14:paraId="242E43A3" w14:textId="59CCC3AF" w:rsidR="00DE3397" w:rsidRPr="00203808" w:rsidRDefault="00DE3397" w:rsidP="00203808">
      <w:pPr>
        <w:pStyle w:val="Titre1"/>
        <w:spacing w:line="360" w:lineRule="auto"/>
        <w:jc w:val="both"/>
        <w:rPr>
          <w:rFonts w:ascii="Arial" w:hAnsi="Arial" w:cs="Arial"/>
          <w:color w:val="auto"/>
          <w:sz w:val="22"/>
          <w:szCs w:val="22"/>
          <w:u w:val="single"/>
        </w:rPr>
      </w:pPr>
      <w:bookmarkStart w:id="3" w:name="_Toc237478455"/>
      <w:r w:rsidRPr="00203808">
        <w:rPr>
          <w:rFonts w:ascii="Arial" w:hAnsi="Arial" w:cs="Arial"/>
          <w:color w:val="auto"/>
          <w:sz w:val="22"/>
          <w:szCs w:val="22"/>
          <w:u w:val="single"/>
        </w:rPr>
        <w:lastRenderedPageBreak/>
        <w:t>LIST OF FIGURES</w:t>
      </w:r>
      <w:bookmarkEnd w:id="3"/>
    </w:p>
    <w:p w14:paraId="1DE59AFC" w14:textId="709A6DA4" w:rsidR="00DE3397" w:rsidRPr="00203808" w:rsidRDefault="00DE3397" w:rsidP="00203808">
      <w:pPr>
        <w:spacing w:after="0" w:line="360" w:lineRule="auto"/>
        <w:jc w:val="both"/>
        <w:rPr>
          <w:rFonts w:cs="Arial"/>
          <w:sz w:val="22"/>
        </w:rPr>
      </w:pPr>
      <w:r w:rsidRPr="006763BE">
        <w:rPr>
          <w:rFonts w:cs="Arial"/>
          <w:b/>
          <w:bCs/>
          <w:sz w:val="22"/>
        </w:rPr>
        <w:t>Figure 1</w:t>
      </w:r>
      <w:r w:rsidRPr="00203808">
        <w:rPr>
          <w:rFonts w:cs="Arial"/>
          <w:sz w:val="22"/>
        </w:rPr>
        <w:t xml:space="preserve">: Profitability Ratios Trend 2021-2025  </w:t>
      </w:r>
    </w:p>
    <w:p w14:paraId="0C777610" w14:textId="49C64D21" w:rsidR="00DE3397" w:rsidRPr="00203808" w:rsidRDefault="00DE3397" w:rsidP="00203808">
      <w:pPr>
        <w:spacing w:after="0" w:line="360" w:lineRule="auto"/>
        <w:jc w:val="both"/>
        <w:rPr>
          <w:rFonts w:cs="Arial"/>
          <w:sz w:val="22"/>
        </w:rPr>
      </w:pPr>
      <w:r w:rsidRPr="006763BE">
        <w:rPr>
          <w:rFonts w:cs="Arial"/>
          <w:b/>
          <w:bCs/>
          <w:sz w:val="22"/>
        </w:rPr>
        <w:t>Figure 2:</w:t>
      </w:r>
      <w:r w:rsidRPr="00203808">
        <w:rPr>
          <w:rFonts w:cs="Arial"/>
          <w:sz w:val="22"/>
        </w:rPr>
        <w:t xml:space="preserve"> Liquidity Ratios Trend 2021-2025  </w:t>
      </w:r>
    </w:p>
    <w:p w14:paraId="5DF90659" w14:textId="59EC5AB9" w:rsidR="00DE3397" w:rsidRPr="00203808" w:rsidRDefault="00DE3397" w:rsidP="00203808">
      <w:pPr>
        <w:spacing w:after="0" w:line="360" w:lineRule="auto"/>
        <w:jc w:val="both"/>
        <w:rPr>
          <w:rFonts w:cs="Arial"/>
          <w:sz w:val="22"/>
        </w:rPr>
      </w:pPr>
      <w:r w:rsidRPr="006763BE">
        <w:rPr>
          <w:rFonts w:cs="Arial"/>
          <w:b/>
          <w:bCs/>
          <w:sz w:val="22"/>
        </w:rPr>
        <w:t>Figure 3:</w:t>
      </w:r>
      <w:r w:rsidRPr="00203808">
        <w:rPr>
          <w:rFonts w:cs="Arial"/>
          <w:sz w:val="22"/>
        </w:rPr>
        <w:t xml:space="preserve"> DSO and DPO Ratios Trend 2021-2025  </w:t>
      </w:r>
    </w:p>
    <w:p w14:paraId="35756990" w14:textId="3F68DA99" w:rsidR="00DE3397" w:rsidRPr="00203808" w:rsidRDefault="00DE3397" w:rsidP="00203808">
      <w:pPr>
        <w:spacing w:after="0" w:line="360" w:lineRule="auto"/>
        <w:jc w:val="both"/>
        <w:rPr>
          <w:rFonts w:cs="Arial"/>
          <w:sz w:val="22"/>
        </w:rPr>
      </w:pPr>
      <w:r w:rsidRPr="006763BE">
        <w:rPr>
          <w:rFonts w:cs="Arial"/>
          <w:b/>
          <w:bCs/>
          <w:sz w:val="22"/>
        </w:rPr>
        <w:t>Figure 4:</w:t>
      </w:r>
      <w:r w:rsidRPr="00203808">
        <w:rPr>
          <w:rFonts w:cs="Arial"/>
          <w:sz w:val="22"/>
        </w:rPr>
        <w:t xml:space="preserve"> Leverage Ratios Trend 2021-2025  </w:t>
      </w:r>
    </w:p>
    <w:p w14:paraId="745F7BFF" w14:textId="1F0274E0" w:rsidR="00DE3397" w:rsidRPr="00203808" w:rsidRDefault="00DE3397" w:rsidP="00203808">
      <w:pPr>
        <w:spacing w:after="0" w:line="360" w:lineRule="auto"/>
        <w:jc w:val="both"/>
        <w:rPr>
          <w:rFonts w:cs="Arial"/>
          <w:sz w:val="22"/>
        </w:rPr>
      </w:pPr>
      <w:r w:rsidRPr="006763BE">
        <w:rPr>
          <w:rFonts w:cs="Arial"/>
          <w:b/>
          <w:bCs/>
          <w:sz w:val="22"/>
        </w:rPr>
        <w:t>Figure 5:</w:t>
      </w:r>
      <w:r w:rsidRPr="00203808">
        <w:rPr>
          <w:rFonts w:cs="Arial"/>
          <w:sz w:val="22"/>
        </w:rPr>
        <w:t xml:space="preserve"> Investment Ratios Trend 2021-2025  </w:t>
      </w:r>
    </w:p>
    <w:p w14:paraId="0E24D8CE" w14:textId="0E62FC56" w:rsidR="00DE3397" w:rsidRPr="00203808" w:rsidRDefault="00DE3397" w:rsidP="00203808">
      <w:pPr>
        <w:spacing w:after="0" w:line="360" w:lineRule="auto"/>
        <w:jc w:val="both"/>
        <w:rPr>
          <w:rFonts w:cs="Arial"/>
          <w:sz w:val="22"/>
        </w:rPr>
      </w:pPr>
      <w:r w:rsidRPr="006763BE">
        <w:rPr>
          <w:rFonts w:cs="Arial"/>
          <w:b/>
          <w:bCs/>
          <w:sz w:val="22"/>
        </w:rPr>
        <w:t>Figure 6:</w:t>
      </w:r>
      <w:r w:rsidRPr="00203808">
        <w:rPr>
          <w:rFonts w:cs="Arial"/>
          <w:sz w:val="22"/>
        </w:rPr>
        <w:t xml:space="preserve"> Net Working Capital Trend 2021-2025  </w:t>
      </w:r>
    </w:p>
    <w:p w14:paraId="369E115B" w14:textId="094FBAD9" w:rsidR="00DE3397" w:rsidRPr="00203808" w:rsidRDefault="00EA3B33" w:rsidP="00203808">
      <w:pPr>
        <w:tabs>
          <w:tab w:val="left" w:pos="1690"/>
        </w:tabs>
        <w:spacing w:after="0" w:line="360" w:lineRule="auto"/>
        <w:jc w:val="both"/>
        <w:rPr>
          <w:rFonts w:cs="Arial"/>
          <w:sz w:val="22"/>
        </w:rPr>
      </w:pPr>
      <w:r w:rsidRPr="00203808">
        <w:rPr>
          <w:rFonts w:cs="Arial"/>
          <w:sz w:val="22"/>
        </w:rPr>
        <w:tab/>
      </w:r>
    </w:p>
    <w:p w14:paraId="690CA493" w14:textId="76FB2506" w:rsidR="00DE3397" w:rsidRPr="00203808" w:rsidRDefault="00DE3397" w:rsidP="00203808">
      <w:pPr>
        <w:pStyle w:val="Titre1"/>
        <w:spacing w:line="360" w:lineRule="auto"/>
        <w:jc w:val="both"/>
        <w:rPr>
          <w:rFonts w:ascii="Arial" w:hAnsi="Arial" w:cs="Arial"/>
          <w:color w:val="auto"/>
          <w:sz w:val="22"/>
          <w:szCs w:val="22"/>
          <w:u w:val="single"/>
        </w:rPr>
      </w:pPr>
      <w:bookmarkStart w:id="4" w:name="_Toc237478456"/>
      <w:r w:rsidRPr="00203808">
        <w:rPr>
          <w:rFonts w:ascii="Arial" w:hAnsi="Arial" w:cs="Arial"/>
          <w:color w:val="auto"/>
          <w:sz w:val="22"/>
          <w:szCs w:val="22"/>
          <w:u w:val="single"/>
        </w:rPr>
        <w:t>LIST OF TABLES</w:t>
      </w:r>
      <w:bookmarkEnd w:id="4"/>
    </w:p>
    <w:p w14:paraId="25129769" w14:textId="70E3EFBA" w:rsidR="00DE3397" w:rsidRPr="00203808" w:rsidRDefault="00DE3397" w:rsidP="00203808">
      <w:pPr>
        <w:spacing w:after="0" w:line="360" w:lineRule="auto"/>
        <w:jc w:val="both"/>
        <w:rPr>
          <w:rFonts w:cs="Arial"/>
          <w:sz w:val="22"/>
        </w:rPr>
      </w:pPr>
      <w:r w:rsidRPr="006763BE">
        <w:rPr>
          <w:rFonts w:cs="Arial"/>
          <w:b/>
          <w:bCs/>
          <w:sz w:val="22"/>
        </w:rPr>
        <w:t>Table 1:</w:t>
      </w:r>
      <w:r w:rsidRPr="00203808">
        <w:rPr>
          <w:rFonts w:cs="Arial"/>
          <w:sz w:val="22"/>
        </w:rPr>
        <w:t xml:space="preserve"> Profitability Ratios 2021-2025  </w:t>
      </w:r>
    </w:p>
    <w:p w14:paraId="55476239" w14:textId="430BE455" w:rsidR="00DE3397" w:rsidRPr="00203808" w:rsidRDefault="00DE3397" w:rsidP="00203808">
      <w:pPr>
        <w:spacing w:after="0" w:line="360" w:lineRule="auto"/>
        <w:jc w:val="both"/>
        <w:rPr>
          <w:rFonts w:cs="Arial"/>
          <w:sz w:val="22"/>
        </w:rPr>
      </w:pPr>
      <w:r w:rsidRPr="006763BE">
        <w:rPr>
          <w:rFonts w:cs="Arial"/>
          <w:b/>
          <w:bCs/>
          <w:sz w:val="22"/>
        </w:rPr>
        <w:t>Table 2:</w:t>
      </w:r>
      <w:r w:rsidRPr="00203808">
        <w:rPr>
          <w:rFonts w:cs="Arial"/>
          <w:sz w:val="22"/>
        </w:rPr>
        <w:t xml:space="preserve"> Liquidity Ratios 2021-2025  </w:t>
      </w:r>
    </w:p>
    <w:p w14:paraId="2E8FFEB3" w14:textId="47EBE04F" w:rsidR="00DE3397" w:rsidRPr="00203808" w:rsidRDefault="00DE3397" w:rsidP="00203808">
      <w:pPr>
        <w:spacing w:after="0" w:line="360" w:lineRule="auto"/>
        <w:jc w:val="both"/>
        <w:rPr>
          <w:rFonts w:cs="Arial"/>
          <w:sz w:val="22"/>
        </w:rPr>
      </w:pPr>
      <w:r w:rsidRPr="006763BE">
        <w:rPr>
          <w:rFonts w:cs="Arial"/>
          <w:b/>
          <w:bCs/>
          <w:sz w:val="22"/>
        </w:rPr>
        <w:t>Table 3:</w:t>
      </w:r>
      <w:r w:rsidRPr="00203808">
        <w:rPr>
          <w:rFonts w:cs="Arial"/>
          <w:sz w:val="22"/>
        </w:rPr>
        <w:t xml:space="preserve"> Efficiency Ratios 2021-2025  </w:t>
      </w:r>
    </w:p>
    <w:p w14:paraId="652AD245" w14:textId="58D51AED" w:rsidR="00DE3397" w:rsidRPr="00203808" w:rsidRDefault="00DE3397" w:rsidP="00203808">
      <w:pPr>
        <w:spacing w:after="0" w:line="360" w:lineRule="auto"/>
        <w:jc w:val="both"/>
        <w:rPr>
          <w:rFonts w:cs="Arial"/>
          <w:sz w:val="22"/>
        </w:rPr>
      </w:pPr>
      <w:r w:rsidRPr="006763BE">
        <w:rPr>
          <w:rFonts w:cs="Arial"/>
          <w:b/>
          <w:bCs/>
          <w:sz w:val="22"/>
        </w:rPr>
        <w:t>Table 4:</w:t>
      </w:r>
      <w:r w:rsidRPr="00203808">
        <w:rPr>
          <w:rFonts w:cs="Arial"/>
          <w:sz w:val="22"/>
        </w:rPr>
        <w:t xml:space="preserve"> Gearing Ratios 2021-2025  </w:t>
      </w:r>
    </w:p>
    <w:p w14:paraId="36D19894" w14:textId="24616CDC" w:rsidR="00DE3397" w:rsidRPr="00203808" w:rsidRDefault="00DE3397" w:rsidP="00203808">
      <w:pPr>
        <w:spacing w:after="0" w:line="360" w:lineRule="auto"/>
        <w:jc w:val="both"/>
        <w:rPr>
          <w:rFonts w:cs="Arial"/>
          <w:sz w:val="22"/>
        </w:rPr>
      </w:pPr>
      <w:r w:rsidRPr="006763BE">
        <w:rPr>
          <w:rFonts w:cs="Arial"/>
          <w:b/>
          <w:bCs/>
          <w:sz w:val="22"/>
        </w:rPr>
        <w:t>Table 5:</w:t>
      </w:r>
      <w:r w:rsidRPr="00203808">
        <w:rPr>
          <w:rFonts w:cs="Arial"/>
          <w:sz w:val="22"/>
        </w:rPr>
        <w:t xml:space="preserve"> Investment Ratios 2021-2025  </w:t>
      </w:r>
    </w:p>
    <w:p w14:paraId="21D734BE" w14:textId="565739CF" w:rsidR="00DE3397" w:rsidRPr="00203808" w:rsidRDefault="00DE3397" w:rsidP="00203808">
      <w:pPr>
        <w:spacing w:after="0" w:line="360" w:lineRule="auto"/>
        <w:jc w:val="both"/>
        <w:rPr>
          <w:rFonts w:cs="Arial"/>
          <w:sz w:val="22"/>
        </w:rPr>
      </w:pPr>
      <w:r w:rsidRPr="006763BE">
        <w:rPr>
          <w:rFonts w:cs="Arial"/>
          <w:b/>
          <w:bCs/>
          <w:sz w:val="22"/>
        </w:rPr>
        <w:t>Table 6:</w:t>
      </w:r>
      <w:r w:rsidRPr="00203808">
        <w:rPr>
          <w:rFonts w:cs="Arial"/>
          <w:sz w:val="22"/>
        </w:rPr>
        <w:t xml:space="preserve"> Marriott vs Hilton Liquidity Indicators 2025  </w:t>
      </w:r>
    </w:p>
    <w:p w14:paraId="580F21BB" w14:textId="37F603C6" w:rsidR="00DE3397" w:rsidRPr="00203808" w:rsidRDefault="00DE3397" w:rsidP="00203808">
      <w:pPr>
        <w:spacing w:after="0" w:line="360" w:lineRule="auto"/>
        <w:jc w:val="both"/>
        <w:rPr>
          <w:rFonts w:cs="Arial"/>
          <w:sz w:val="22"/>
        </w:rPr>
      </w:pPr>
      <w:r w:rsidRPr="006763BE">
        <w:rPr>
          <w:rFonts w:cs="Arial"/>
          <w:b/>
          <w:bCs/>
          <w:sz w:val="22"/>
        </w:rPr>
        <w:t>Table 7:</w:t>
      </w:r>
      <w:r w:rsidRPr="00203808">
        <w:rPr>
          <w:rFonts w:cs="Arial"/>
          <w:sz w:val="22"/>
        </w:rPr>
        <w:t xml:space="preserve"> Marriott’s Net Working Capital 2021-2025  </w:t>
      </w:r>
    </w:p>
    <w:p w14:paraId="578DF26D" w14:textId="15D9CD54" w:rsidR="00DE3397" w:rsidRPr="00203808" w:rsidRDefault="00DE3397" w:rsidP="00203808">
      <w:pPr>
        <w:spacing w:after="0" w:line="360" w:lineRule="auto"/>
        <w:jc w:val="both"/>
        <w:rPr>
          <w:rFonts w:cs="Arial"/>
          <w:sz w:val="22"/>
        </w:rPr>
      </w:pPr>
      <w:r w:rsidRPr="006763BE">
        <w:rPr>
          <w:rFonts w:cs="Arial"/>
          <w:b/>
          <w:bCs/>
          <w:sz w:val="22"/>
        </w:rPr>
        <w:t>Table 8:</w:t>
      </w:r>
      <w:r w:rsidRPr="00203808">
        <w:rPr>
          <w:rFonts w:cs="Arial"/>
          <w:sz w:val="22"/>
        </w:rPr>
        <w:t xml:space="preserve"> Summary of PBP, ARR, NPV, PI and IRR for Projects A, B, C  </w:t>
      </w:r>
    </w:p>
    <w:p w14:paraId="16A24BC7" w14:textId="06C5C274" w:rsidR="00FD5F42" w:rsidRPr="00203808" w:rsidRDefault="00DE3397" w:rsidP="00203808">
      <w:pPr>
        <w:spacing w:after="0" w:line="360" w:lineRule="auto"/>
        <w:jc w:val="both"/>
        <w:rPr>
          <w:rFonts w:cs="Arial"/>
          <w:sz w:val="22"/>
        </w:rPr>
      </w:pPr>
      <w:r w:rsidRPr="006763BE">
        <w:rPr>
          <w:rFonts w:cs="Arial"/>
          <w:b/>
          <w:bCs/>
          <w:sz w:val="22"/>
        </w:rPr>
        <w:t xml:space="preserve">Table </w:t>
      </w:r>
      <w:r w:rsidR="00203808" w:rsidRPr="006763BE">
        <w:rPr>
          <w:rFonts w:cs="Arial"/>
          <w:b/>
          <w:bCs/>
          <w:sz w:val="22"/>
        </w:rPr>
        <w:t>9</w:t>
      </w:r>
      <w:r w:rsidRPr="006763BE">
        <w:rPr>
          <w:rFonts w:cs="Arial"/>
          <w:b/>
          <w:bCs/>
          <w:sz w:val="22"/>
        </w:rPr>
        <w:t>:</w:t>
      </w:r>
      <w:r w:rsidRPr="00203808">
        <w:rPr>
          <w:rFonts w:cs="Arial"/>
          <w:sz w:val="22"/>
        </w:rPr>
        <w:t xml:space="preserve"> Capital Rationing Comparison - Project Combinations</w:t>
      </w:r>
    </w:p>
    <w:p w14:paraId="568DDB12" w14:textId="77777777" w:rsidR="00FD5F42" w:rsidRPr="00203808" w:rsidRDefault="00FD5F42" w:rsidP="00203808">
      <w:pPr>
        <w:spacing w:after="0" w:line="360" w:lineRule="auto"/>
        <w:jc w:val="both"/>
        <w:rPr>
          <w:rFonts w:cs="Arial"/>
          <w:b/>
          <w:bCs/>
          <w:sz w:val="22"/>
        </w:rPr>
      </w:pPr>
    </w:p>
    <w:p w14:paraId="13AE2491" w14:textId="77777777" w:rsidR="00B159BB" w:rsidRPr="00203808" w:rsidRDefault="00B159BB" w:rsidP="00203808">
      <w:pPr>
        <w:spacing w:after="0" w:line="360" w:lineRule="auto"/>
        <w:jc w:val="both"/>
        <w:rPr>
          <w:rFonts w:cs="Arial"/>
          <w:b/>
          <w:bCs/>
          <w:sz w:val="22"/>
        </w:rPr>
      </w:pPr>
    </w:p>
    <w:p w14:paraId="754D8BC8" w14:textId="77777777" w:rsidR="00B159BB" w:rsidRPr="00203808" w:rsidRDefault="00B159BB" w:rsidP="00203808">
      <w:pPr>
        <w:spacing w:after="0" w:line="360" w:lineRule="auto"/>
        <w:jc w:val="both"/>
        <w:rPr>
          <w:rFonts w:cs="Arial"/>
          <w:b/>
          <w:bCs/>
          <w:sz w:val="22"/>
        </w:rPr>
      </w:pPr>
    </w:p>
    <w:p w14:paraId="69268426" w14:textId="77777777" w:rsidR="00B159BB" w:rsidRPr="00203808" w:rsidRDefault="00B159BB" w:rsidP="00203808">
      <w:pPr>
        <w:spacing w:after="0" w:line="360" w:lineRule="auto"/>
        <w:jc w:val="both"/>
        <w:rPr>
          <w:rFonts w:cs="Arial"/>
          <w:b/>
          <w:bCs/>
          <w:sz w:val="22"/>
        </w:rPr>
      </w:pPr>
    </w:p>
    <w:p w14:paraId="30771D9A" w14:textId="77777777" w:rsidR="00B159BB" w:rsidRPr="00203808" w:rsidRDefault="00B159BB" w:rsidP="00203808">
      <w:pPr>
        <w:spacing w:after="0" w:line="360" w:lineRule="auto"/>
        <w:jc w:val="both"/>
        <w:rPr>
          <w:rFonts w:cs="Arial"/>
          <w:b/>
          <w:bCs/>
          <w:sz w:val="22"/>
        </w:rPr>
      </w:pPr>
    </w:p>
    <w:p w14:paraId="692A5EAB" w14:textId="77777777" w:rsidR="00B159BB" w:rsidRPr="00203808" w:rsidRDefault="00B159BB" w:rsidP="00203808">
      <w:pPr>
        <w:spacing w:after="0" w:line="360" w:lineRule="auto"/>
        <w:jc w:val="both"/>
        <w:rPr>
          <w:rFonts w:cs="Arial"/>
          <w:b/>
          <w:bCs/>
          <w:sz w:val="22"/>
        </w:rPr>
      </w:pPr>
    </w:p>
    <w:p w14:paraId="1CAC3572" w14:textId="77777777" w:rsidR="008D4277" w:rsidRDefault="008D4277" w:rsidP="00203808">
      <w:pPr>
        <w:spacing w:after="0" w:line="360" w:lineRule="auto"/>
        <w:jc w:val="both"/>
        <w:rPr>
          <w:rFonts w:cs="Arial"/>
          <w:b/>
          <w:bCs/>
          <w:sz w:val="22"/>
        </w:rPr>
        <w:sectPr w:rsidR="008D4277" w:rsidSect="008D4277">
          <w:footerReference w:type="default" r:id="rId9"/>
          <w:pgSz w:w="12240" w:h="15840"/>
          <w:pgMar w:top="1440" w:right="1800" w:bottom="1440" w:left="1800" w:header="720" w:footer="720" w:gutter="0"/>
          <w:pgNumType w:fmt="lowerRoman" w:start="1"/>
          <w:cols w:space="720"/>
          <w:docGrid w:linePitch="360"/>
        </w:sectPr>
      </w:pPr>
    </w:p>
    <w:p w14:paraId="700AF99D" w14:textId="77777777" w:rsidR="00203808" w:rsidRPr="00203808" w:rsidRDefault="00203808" w:rsidP="00203808">
      <w:pPr>
        <w:spacing w:after="0" w:line="360" w:lineRule="auto"/>
        <w:jc w:val="both"/>
        <w:rPr>
          <w:rFonts w:cs="Arial"/>
          <w:b/>
          <w:bCs/>
          <w:sz w:val="22"/>
        </w:rPr>
      </w:pPr>
    </w:p>
    <w:p w14:paraId="45116503" w14:textId="123441C0" w:rsidR="00944AE4" w:rsidRPr="00203808" w:rsidRDefault="00944AE4" w:rsidP="00203808">
      <w:pPr>
        <w:pStyle w:val="Titre1"/>
        <w:spacing w:line="360" w:lineRule="auto"/>
        <w:jc w:val="both"/>
        <w:rPr>
          <w:rFonts w:ascii="Arial" w:hAnsi="Arial" w:cs="Arial"/>
          <w:color w:val="auto"/>
          <w:sz w:val="22"/>
          <w:szCs w:val="22"/>
          <w:u w:val="single"/>
          <w:lang w:val="en-GB"/>
        </w:rPr>
      </w:pPr>
      <w:bookmarkStart w:id="5" w:name="_Toc237478457"/>
      <w:r w:rsidRPr="00203808">
        <w:rPr>
          <w:rFonts w:ascii="Arial" w:hAnsi="Arial" w:cs="Arial"/>
          <w:color w:val="auto"/>
          <w:sz w:val="22"/>
          <w:szCs w:val="22"/>
          <w:u w:val="single"/>
        </w:rPr>
        <w:t>1. Financial Health Check</w:t>
      </w:r>
      <w:bookmarkEnd w:id="5"/>
      <w:r w:rsidRPr="00203808">
        <w:rPr>
          <w:rFonts w:ascii="Arial" w:hAnsi="Arial" w:cs="Arial"/>
          <w:color w:val="auto"/>
          <w:sz w:val="22"/>
          <w:szCs w:val="22"/>
          <w:u w:val="single"/>
        </w:rPr>
        <w:t xml:space="preserve"> </w:t>
      </w:r>
    </w:p>
    <w:p w14:paraId="11DFECC2" w14:textId="64E2DC05" w:rsidR="003E59E5" w:rsidRPr="00203808" w:rsidRDefault="003E59E5" w:rsidP="00203808">
      <w:pPr>
        <w:spacing w:after="0" w:line="360" w:lineRule="auto"/>
        <w:jc w:val="both"/>
        <w:rPr>
          <w:rFonts w:cs="Arial"/>
          <w:sz w:val="22"/>
        </w:rPr>
      </w:pPr>
      <w:r w:rsidRPr="00203808">
        <w:rPr>
          <w:rFonts w:cs="Arial"/>
          <w:sz w:val="22"/>
        </w:rPr>
        <w:t>The evaluation of financial health is critical to assessing a company’s capacity to sustain operations, meet obligations, and create shareholder value. For Marriott International, the period 2021</w:t>
      </w:r>
      <w:r w:rsidR="00ED72CF" w:rsidRPr="00203808">
        <w:rPr>
          <w:rFonts w:cs="Arial"/>
          <w:sz w:val="22"/>
        </w:rPr>
        <w:t>-</w:t>
      </w:r>
      <w:r w:rsidRPr="00203808">
        <w:rPr>
          <w:rFonts w:cs="Arial"/>
          <w:sz w:val="22"/>
        </w:rPr>
        <w:t>2025 encompasses the post</w:t>
      </w:r>
      <w:r w:rsidR="00ED72CF" w:rsidRPr="00203808">
        <w:rPr>
          <w:rFonts w:cs="Arial"/>
          <w:sz w:val="22"/>
        </w:rPr>
        <w:t>-</w:t>
      </w:r>
      <w:r w:rsidRPr="00203808">
        <w:rPr>
          <w:rFonts w:cs="Arial"/>
          <w:sz w:val="22"/>
        </w:rPr>
        <w:t>COVID recovery and the maturation of its asset</w:t>
      </w:r>
      <w:r w:rsidR="00ED72CF" w:rsidRPr="00203808">
        <w:rPr>
          <w:rFonts w:cs="Arial"/>
          <w:sz w:val="22"/>
        </w:rPr>
        <w:t>-</w:t>
      </w:r>
      <w:r w:rsidRPr="00203808">
        <w:rPr>
          <w:rFonts w:cs="Arial"/>
          <w:sz w:val="22"/>
        </w:rPr>
        <w:t>light, fee</w:t>
      </w:r>
      <w:r w:rsidR="00ED72CF" w:rsidRPr="00203808">
        <w:rPr>
          <w:rFonts w:cs="Arial"/>
          <w:sz w:val="22"/>
        </w:rPr>
        <w:t>-</w:t>
      </w:r>
      <w:r w:rsidRPr="00203808">
        <w:rPr>
          <w:rFonts w:cs="Arial"/>
          <w:sz w:val="22"/>
        </w:rPr>
        <w:t>based model. This section analyses Marriott’s performance, financial position, and risk profile using data from audited Annual Reports (Marriott International, 2022</w:t>
      </w:r>
      <w:r w:rsidR="00ED72CF" w:rsidRPr="00203808">
        <w:rPr>
          <w:rFonts w:cs="Arial"/>
          <w:sz w:val="22"/>
        </w:rPr>
        <w:t>-</w:t>
      </w:r>
      <w:r w:rsidRPr="00203808">
        <w:rPr>
          <w:rFonts w:cs="Arial"/>
          <w:sz w:val="22"/>
        </w:rPr>
        <w:t>2026). Trends in revenue, profitability, capital structure, cash flow, and key ratios are examined, with liquidity benchmarked against Hilton</w:t>
      </w:r>
      <w:r w:rsidR="006763BE">
        <w:rPr>
          <w:rFonts w:cs="Arial"/>
          <w:sz w:val="22"/>
        </w:rPr>
        <w:t xml:space="preserve">. </w:t>
      </w:r>
    </w:p>
    <w:p w14:paraId="4C6E72B3" w14:textId="601EE27F" w:rsidR="00944AE4" w:rsidRPr="00203808" w:rsidRDefault="00944AE4" w:rsidP="00203808">
      <w:pPr>
        <w:pStyle w:val="Titre2"/>
        <w:spacing w:line="360" w:lineRule="auto"/>
        <w:jc w:val="both"/>
        <w:rPr>
          <w:rFonts w:ascii="Arial" w:hAnsi="Arial" w:cs="Arial"/>
          <w:b w:val="0"/>
          <w:bCs w:val="0"/>
          <w:color w:val="auto"/>
          <w:sz w:val="22"/>
          <w:szCs w:val="22"/>
          <w:u w:val="single"/>
          <w:lang w:val="en-GB"/>
        </w:rPr>
      </w:pPr>
      <w:bookmarkStart w:id="6" w:name="_Toc237478458"/>
      <w:r w:rsidRPr="00203808">
        <w:rPr>
          <w:rFonts w:ascii="Arial" w:hAnsi="Arial" w:cs="Arial"/>
          <w:color w:val="auto"/>
          <w:sz w:val="22"/>
          <w:szCs w:val="22"/>
          <w:u w:val="single"/>
          <w:lang w:val="en-GB"/>
        </w:rPr>
        <w:t>1.</w:t>
      </w:r>
      <w:proofErr w:type="spellStart"/>
      <w:r w:rsidRPr="00203808">
        <w:rPr>
          <w:rFonts w:ascii="Arial" w:hAnsi="Arial" w:cs="Arial"/>
          <w:color w:val="auto"/>
          <w:sz w:val="22"/>
          <w:szCs w:val="22"/>
          <w:u w:val="single"/>
          <w:lang w:val="en-GB"/>
        </w:rPr>
        <w:t>a</w:t>
      </w:r>
      <w:proofErr w:type="spellEnd"/>
      <w:r w:rsidRPr="00203808">
        <w:rPr>
          <w:rFonts w:ascii="Arial" w:hAnsi="Arial" w:cs="Arial"/>
          <w:color w:val="auto"/>
          <w:sz w:val="22"/>
          <w:szCs w:val="22"/>
          <w:u w:val="single"/>
          <w:lang w:val="en-GB"/>
        </w:rPr>
        <w:t xml:space="preserve"> Analysis of the Financial Statements</w:t>
      </w:r>
      <w:r w:rsidR="003E59E5" w:rsidRPr="00203808">
        <w:rPr>
          <w:rFonts w:ascii="Arial" w:hAnsi="Arial" w:cs="Arial"/>
          <w:color w:val="auto"/>
          <w:sz w:val="22"/>
          <w:szCs w:val="22"/>
          <w:u w:val="single"/>
          <w:lang w:val="en-GB"/>
        </w:rPr>
        <w:t xml:space="preserve"> </w:t>
      </w:r>
      <w:r w:rsidR="003E59E5" w:rsidRPr="00203808">
        <w:rPr>
          <w:rFonts w:ascii="Arial" w:hAnsi="Arial" w:cs="Arial"/>
          <w:color w:val="auto"/>
          <w:sz w:val="22"/>
          <w:szCs w:val="22"/>
          <w:u w:val="single"/>
        </w:rPr>
        <w:t>over the past five years</w:t>
      </w:r>
      <w:bookmarkEnd w:id="6"/>
    </w:p>
    <w:p w14:paraId="02AA3A64" w14:textId="6E1F868D" w:rsidR="008B27CF" w:rsidRPr="00203808" w:rsidRDefault="003E59E5" w:rsidP="00203808">
      <w:pPr>
        <w:spacing w:after="0" w:line="360" w:lineRule="auto"/>
        <w:jc w:val="both"/>
        <w:rPr>
          <w:rFonts w:cs="Arial"/>
          <w:sz w:val="22"/>
        </w:rPr>
      </w:pPr>
      <w:r w:rsidRPr="00203808">
        <w:rPr>
          <w:rFonts w:cs="Arial"/>
          <w:sz w:val="22"/>
        </w:rPr>
        <w:t>The f</w:t>
      </w:r>
      <w:r w:rsidR="008B27CF" w:rsidRPr="00203808">
        <w:rPr>
          <w:rFonts w:cs="Arial"/>
          <w:sz w:val="22"/>
        </w:rPr>
        <w:t>inancial statements provide the empirical foundation for performance assessment.</w:t>
      </w:r>
      <w:r w:rsidR="00B42BA8" w:rsidRPr="00203808">
        <w:rPr>
          <w:rFonts w:cs="Arial"/>
          <w:sz w:val="22"/>
        </w:rPr>
        <w:t xml:space="preserve"> Financial statement analysis provides a basis for assessing profitability, liquidity, financial risk and the efficiency of capital allocation (Brealey, Myers and Allen, 2020).</w:t>
      </w:r>
      <w:r w:rsidR="008B27CF" w:rsidRPr="00203808">
        <w:rPr>
          <w:rFonts w:cs="Arial"/>
          <w:sz w:val="22"/>
        </w:rPr>
        <w:t xml:space="preserve"> </w:t>
      </w:r>
      <w:r w:rsidR="00BC323F" w:rsidRPr="00203808">
        <w:rPr>
          <w:rFonts w:cs="Arial"/>
          <w:sz w:val="22"/>
        </w:rPr>
        <w:t xml:space="preserve">Firs, </w:t>
      </w:r>
      <w:r w:rsidRPr="00203808">
        <w:rPr>
          <w:rFonts w:cs="Arial"/>
          <w:sz w:val="22"/>
        </w:rPr>
        <w:t>t</w:t>
      </w:r>
      <w:r w:rsidR="008B27CF" w:rsidRPr="00203808">
        <w:rPr>
          <w:rFonts w:cs="Arial"/>
          <w:sz w:val="22"/>
        </w:rPr>
        <w:t xml:space="preserve">he income statement shows revenue and profit generation. </w:t>
      </w:r>
      <w:r w:rsidR="00BC323F" w:rsidRPr="00203808">
        <w:rPr>
          <w:rFonts w:cs="Arial"/>
          <w:sz w:val="22"/>
        </w:rPr>
        <w:t>Next, t</w:t>
      </w:r>
      <w:r w:rsidR="008B27CF" w:rsidRPr="00203808">
        <w:rPr>
          <w:rFonts w:cs="Arial"/>
          <w:sz w:val="22"/>
        </w:rPr>
        <w:t>he balance sheet reveals capital structure and solvency.</w:t>
      </w:r>
      <w:r w:rsidR="00BC323F" w:rsidRPr="00203808">
        <w:rPr>
          <w:rFonts w:cs="Arial"/>
          <w:sz w:val="22"/>
        </w:rPr>
        <w:t xml:space="preserve"> Finally, t</w:t>
      </w:r>
      <w:r w:rsidR="008B27CF" w:rsidRPr="00203808">
        <w:rPr>
          <w:rFonts w:cs="Arial"/>
          <w:sz w:val="22"/>
        </w:rPr>
        <w:t xml:space="preserve">he cash flow statement indicates earnings quality and capital allocation. </w:t>
      </w:r>
    </w:p>
    <w:p w14:paraId="578EBA9C" w14:textId="77777777" w:rsidR="008B27CF" w:rsidRPr="00203808" w:rsidRDefault="008B27CF" w:rsidP="00203808">
      <w:pPr>
        <w:spacing w:after="0" w:line="360" w:lineRule="auto"/>
        <w:jc w:val="both"/>
        <w:rPr>
          <w:rFonts w:cs="Arial"/>
          <w:b/>
          <w:bCs/>
          <w:sz w:val="22"/>
        </w:rPr>
      </w:pPr>
      <w:r w:rsidRPr="00203808">
        <w:rPr>
          <w:rFonts w:cs="Arial"/>
          <w:b/>
          <w:bCs/>
          <w:sz w:val="22"/>
        </w:rPr>
        <w:t xml:space="preserve">Revenue and Profitability  </w:t>
      </w:r>
    </w:p>
    <w:p w14:paraId="3E4A2F1E" w14:textId="2666A9D3" w:rsidR="008B27CF" w:rsidRDefault="00BC323F" w:rsidP="00203808">
      <w:pPr>
        <w:spacing w:after="0" w:line="360" w:lineRule="auto"/>
        <w:jc w:val="both"/>
        <w:rPr>
          <w:rFonts w:cs="Arial"/>
          <w:sz w:val="22"/>
        </w:rPr>
      </w:pPr>
      <w:r w:rsidRPr="00203808">
        <w:rPr>
          <w:rFonts w:cs="Arial"/>
          <w:sz w:val="22"/>
        </w:rPr>
        <w:t>Revenue almost doubled, from $13,857m in 2021 to $26,186m in 2025. This was driven by the rebound in travel and 4.3% net rooms growth (Marriott International, 2022; 2026). Operating income also climbed, from $1,750m to $4,141m. There was a dip in 2024 linked to cost inflation, before recovering (Marriott International, 2022; 2025). Net income hit $3,083m in 2023, dropped to $2,375m in 2024, then bounced back to $2,601m in 2025 (Marriott International, 2024</w:t>
      </w:r>
      <w:r w:rsidR="00ED72CF" w:rsidRPr="00203808">
        <w:rPr>
          <w:rFonts w:cs="Arial"/>
          <w:sz w:val="22"/>
        </w:rPr>
        <w:t>-</w:t>
      </w:r>
      <w:r w:rsidRPr="00203808">
        <w:rPr>
          <w:rFonts w:cs="Arial"/>
          <w:sz w:val="22"/>
        </w:rPr>
        <w:t xml:space="preserve">2026). Diluted </w:t>
      </w:r>
      <w:r w:rsidR="00BC3BB6" w:rsidRPr="00203808">
        <w:rPr>
          <w:rFonts w:cs="Arial"/>
          <w:sz w:val="22"/>
          <w:lang w:val="en-GB"/>
        </w:rPr>
        <w:t>Earnings Per Share</w:t>
      </w:r>
      <w:r w:rsidR="00BC3BB6" w:rsidRPr="00203808">
        <w:rPr>
          <w:rFonts w:cs="Arial"/>
          <w:sz w:val="22"/>
        </w:rPr>
        <w:t xml:space="preserve"> </w:t>
      </w:r>
      <w:r w:rsidR="00BC3BB6">
        <w:rPr>
          <w:rFonts w:cs="Arial"/>
          <w:sz w:val="22"/>
        </w:rPr>
        <w:t>(</w:t>
      </w:r>
      <w:r w:rsidRPr="00203808">
        <w:rPr>
          <w:rFonts w:cs="Arial"/>
          <w:sz w:val="22"/>
        </w:rPr>
        <w:t>EPS</w:t>
      </w:r>
      <w:r w:rsidR="00BC3BB6">
        <w:rPr>
          <w:rFonts w:cs="Arial"/>
          <w:sz w:val="22"/>
        </w:rPr>
        <w:t>)</w:t>
      </w:r>
      <w:r w:rsidRPr="00203808">
        <w:rPr>
          <w:rFonts w:cs="Arial"/>
          <w:sz w:val="22"/>
        </w:rPr>
        <w:t xml:space="preserve"> followed a similar path: $3.34 in 2021 up to $9.51 in 2025 (Marriott International, 2022; 2026). Adjusted EBITDA</w:t>
      </w:r>
      <w:r w:rsidR="00BC3BB6">
        <w:rPr>
          <w:rFonts w:cs="Arial"/>
          <w:sz w:val="22"/>
        </w:rPr>
        <w:t xml:space="preserve"> (</w:t>
      </w:r>
      <w:r w:rsidR="00BC3BB6" w:rsidRPr="00203808">
        <w:rPr>
          <w:rFonts w:cs="Arial"/>
          <w:sz w:val="22"/>
          <w:lang w:val="en-GB"/>
        </w:rPr>
        <w:t>Earnings Before Interest, Tax, Depreciation and Amortisation</w:t>
      </w:r>
      <w:r w:rsidR="00BC3BB6">
        <w:rPr>
          <w:rFonts w:cs="Arial"/>
          <w:sz w:val="22"/>
          <w:lang w:val="en-GB"/>
        </w:rPr>
        <w:t>)</w:t>
      </w:r>
      <w:r w:rsidRPr="00203808">
        <w:rPr>
          <w:rFonts w:cs="Arial"/>
          <w:sz w:val="22"/>
        </w:rPr>
        <w:t xml:space="preserve"> reached $5,383m. By year</w:t>
      </w:r>
      <w:r w:rsidR="00ED72CF" w:rsidRPr="00203808">
        <w:rPr>
          <w:rFonts w:cs="Arial"/>
          <w:sz w:val="22"/>
        </w:rPr>
        <w:t>-</w:t>
      </w:r>
      <w:r w:rsidRPr="00203808">
        <w:rPr>
          <w:rFonts w:cs="Arial"/>
          <w:sz w:val="22"/>
        </w:rPr>
        <w:t>end 2025 Marriott ran 9,805 properties with 1.78m rooms, less than 1% owned, plus a pipeline of 610,000 rooms (Marriott International, 2026).</w:t>
      </w:r>
      <w:r w:rsidR="00B42BA8" w:rsidRPr="00203808">
        <w:rPr>
          <w:rFonts w:cs="Arial"/>
          <w:sz w:val="22"/>
        </w:rPr>
        <w:t xml:space="preserve"> The improvement in profitability is particularly important for an asset-light business because the model can generate relatively high returns while requiring less direct investment in hotel assets (Ross, </w:t>
      </w:r>
      <w:proofErr w:type="spellStart"/>
      <w:r w:rsidR="00B42BA8" w:rsidRPr="00203808">
        <w:rPr>
          <w:rFonts w:cs="Arial"/>
          <w:sz w:val="22"/>
        </w:rPr>
        <w:t>Westerfield</w:t>
      </w:r>
      <w:proofErr w:type="spellEnd"/>
      <w:r w:rsidR="00B42BA8" w:rsidRPr="00203808">
        <w:rPr>
          <w:rFonts w:cs="Arial"/>
          <w:sz w:val="22"/>
        </w:rPr>
        <w:t xml:space="preserve"> and Jordan, 2022).</w:t>
      </w:r>
    </w:p>
    <w:p w14:paraId="3ADD98AB" w14:textId="77777777" w:rsidR="00203808" w:rsidRDefault="00203808" w:rsidP="00203808">
      <w:pPr>
        <w:spacing w:after="0" w:line="360" w:lineRule="auto"/>
        <w:jc w:val="both"/>
        <w:rPr>
          <w:rFonts w:cs="Arial"/>
          <w:sz w:val="22"/>
        </w:rPr>
      </w:pPr>
    </w:p>
    <w:p w14:paraId="67C8F6DD" w14:textId="77777777" w:rsidR="00203808" w:rsidRPr="00203808" w:rsidRDefault="00203808" w:rsidP="00203808">
      <w:pPr>
        <w:spacing w:after="0" w:line="360" w:lineRule="auto"/>
        <w:jc w:val="both"/>
        <w:rPr>
          <w:rFonts w:cs="Arial"/>
          <w:sz w:val="22"/>
        </w:rPr>
      </w:pPr>
    </w:p>
    <w:p w14:paraId="3EFE5975" w14:textId="77777777" w:rsidR="008B27CF" w:rsidRPr="00203808" w:rsidRDefault="008B27CF" w:rsidP="00203808">
      <w:pPr>
        <w:spacing w:after="0" w:line="360" w:lineRule="auto"/>
        <w:jc w:val="both"/>
        <w:rPr>
          <w:rFonts w:cs="Arial"/>
          <w:b/>
          <w:bCs/>
          <w:sz w:val="22"/>
        </w:rPr>
      </w:pPr>
      <w:r w:rsidRPr="00203808">
        <w:rPr>
          <w:rFonts w:cs="Arial"/>
          <w:b/>
          <w:bCs/>
          <w:sz w:val="22"/>
        </w:rPr>
        <w:lastRenderedPageBreak/>
        <w:t xml:space="preserve">Balance Sheet and Cash Flow  </w:t>
      </w:r>
    </w:p>
    <w:p w14:paraId="24A27063" w14:textId="656CC943" w:rsidR="008B27CF" w:rsidRPr="00203808" w:rsidRDefault="00BC323F" w:rsidP="00203808">
      <w:pPr>
        <w:spacing w:after="0" w:line="360" w:lineRule="auto"/>
        <w:jc w:val="both"/>
        <w:rPr>
          <w:rFonts w:cs="Arial"/>
          <w:sz w:val="22"/>
        </w:rPr>
      </w:pPr>
      <w:r w:rsidRPr="00203808">
        <w:rPr>
          <w:rFonts w:cs="Arial"/>
          <w:sz w:val="22"/>
        </w:rPr>
        <w:t>Total assets stood at $27,540m in 2025 (Marriott International, 2026). Debt is the main change. It went from $10,138m in 2021 to $16,204m in 2025 after several senior note issues (Marriott International, 2022; 2026). Cash was only $358m. Equity turned negative at $(</w:t>
      </w:r>
      <w:proofErr w:type="gramStart"/>
      <w:r w:rsidRPr="00203808">
        <w:rPr>
          <w:rFonts w:cs="Arial"/>
          <w:sz w:val="22"/>
        </w:rPr>
        <w:t>3,771)m</w:t>
      </w:r>
      <w:proofErr w:type="gramEnd"/>
      <w:r w:rsidRPr="00203808">
        <w:rPr>
          <w:rFonts w:cs="Arial"/>
          <w:sz w:val="22"/>
        </w:rPr>
        <w:t>, largely because Marriott spent $3.3bn on buybacks in 2025 alone (Marriott International, 2026). The current ratio sat at 0.43. On cash, operations generated $3,212m in 2025 versus $1,177m in 2021, while capex stayed low at $604m (Marriott International, 2022; 2026). Between 2023</w:t>
      </w:r>
      <w:r w:rsidR="00ED72CF" w:rsidRPr="00203808">
        <w:rPr>
          <w:rFonts w:cs="Arial"/>
          <w:sz w:val="22"/>
        </w:rPr>
        <w:t>-</w:t>
      </w:r>
      <w:r w:rsidRPr="00203808">
        <w:rPr>
          <w:rFonts w:cs="Arial"/>
          <w:sz w:val="22"/>
        </w:rPr>
        <w:t>2025 the company returned $11.0bn through buybacks and $1.99bn in dividends. A $4.5bn revolving facility backs liquidity (Marriott International, 2026).</w:t>
      </w:r>
    </w:p>
    <w:p w14:paraId="693976AF" w14:textId="5E0DCB1F" w:rsidR="002C7A45" w:rsidRPr="00203808" w:rsidRDefault="00000000" w:rsidP="00203808">
      <w:pPr>
        <w:pStyle w:val="Titre2"/>
        <w:spacing w:line="360" w:lineRule="auto"/>
        <w:jc w:val="both"/>
        <w:rPr>
          <w:rFonts w:ascii="Arial" w:hAnsi="Arial" w:cs="Arial"/>
          <w:b w:val="0"/>
          <w:bCs w:val="0"/>
          <w:color w:val="auto"/>
          <w:sz w:val="22"/>
          <w:szCs w:val="22"/>
          <w:u w:val="single"/>
          <w:lang w:val="en-GB"/>
        </w:rPr>
      </w:pPr>
      <w:bookmarkStart w:id="7" w:name="_Toc237478459"/>
      <w:r w:rsidRPr="00203808">
        <w:rPr>
          <w:rFonts w:ascii="Arial" w:hAnsi="Arial" w:cs="Arial"/>
          <w:color w:val="auto"/>
          <w:sz w:val="22"/>
          <w:szCs w:val="22"/>
          <w:u w:val="single"/>
          <w:lang w:val="en-GB"/>
        </w:rPr>
        <w:t>1.b Comprehensive Ratio Analysis</w:t>
      </w:r>
      <w:bookmarkEnd w:id="7"/>
    </w:p>
    <w:p w14:paraId="17057DB7" w14:textId="3E3ABA54" w:rsidR="002C7A45" w:rsidRPr="00203808" w:rsidRDefault="008B27CF" w:rsidP="00203808">
      <w:pPr>
        <w:spacing w:after="0" w:line="360" w:lineRule="auto"/>
        <w:jc w:val="both"/>
        <w:rPr>
          <w:rFonts w:cs="Arial"/>
          <w:b/>
          <w:bCs/>
          <w:sz w:val="22"/>
          <w:lang w:val="en-GB"/>
        </w:rPr>
      </w:pPr>
      <w:r w:rsidRPr="00203808">
        <w:rPr>
          <w:rFonts w:cs="Arial"/>
          <w:sz w:val="22"/>
        </w:rPr>
        <w:t xml:space="preserve">Ratio analysis provides a structured method to interpret financial statements across key dimensions. By </w:t>
      </w:r>
      <w:proofErr w:type="spellStart"/>
      <w:r w:rsidRPr="00203808">
        <w:rPr>
          <w:rFonts w:cs="Arial"/>
          <w:sz w:val="22"/>
        </w:rPr>
        <w:t>categorising</w:t>
      </w:r>
      <w:proofErr w:type="spellEnd"/>
      <w:r w:rsidRPr="00203808">
        <w:rPr>
          <w:rFonts w:cs="Arial"/>
          <w:sz w:val="22"/>
        </w:rPr>
        <w:t xml:space="preserve"> ratios into profitability, liquidity, efficiency, leverage and investment, this subsection evaluates Marriott’s operational effectiveness, short</w:t>
      </w:r>
      <w:r w:rsidR="00ED72CF" w:rsidRPr="00203808">
        <w:rPr>
          <w:rFonts w:cs="Arial"/>
          <w:sz w:val="22"/>
        </w:rPr>
        <w:t>-</w:t>
      </w:r>
      <w:r w:rsidRPr="00203808">
        <w:rPr>
          <w:rFonts w:cs="Arial"/>
          <w:sz w:val="22"/>
        </w:rPr>
        <w:t xml:space="preserve">term solvency, asset </w:t>
      </w:r>
      <w:proofErr w:type="spellStart"/>
      <w:r w:rsidRPr="00203808">
        <w:rPr>
          <w:rFonts w:cs="Arial"/>
          <w:sz w:val="22"/>
        </w:rPr>
        <w:t>utilisation</w:t>
      </w:r>
      <w:proofErr w:type="spellEnd"/>
      <w:r w:rsidRPr="00203808">
        <w:rPr>
          <w:rFonts w:cs="Arial"/>
          <w:sz w:val="22"/>
        </w:rPr>
        <w:t>, financial risk and market valuation. All ratios are calculated from Marriott</w:t>
      </w:r>
      <w:r w:rsidR="00BC323F" w:rsidRPr="00203808">
        <w:rPr>
          <w:rFonts w:cs="Arial"/>
          <w:sz w:val="22"/>
        </w:rPr>
        <w:t xml:space="preserve"> annual reports </w:t>
      </w:r>
      <w:r w:rsidRPr="00203808">
        <w:rPr>
          <w:rFonts w:cs="Arial"/>
          <w:sz w:val="22"/>
        </w:rPr>
        <w:t>(Marriott International, 2022</w:t>
      </w:r>
      <w:r w:rsidR="00ED72CF" w:rsidRPr="00203808">
        <w:rPr>
          <w:rFonts w:cs="Arial"/>
          <w:sz w:val="22"/>
        </w:rPr>
        <w:t>-</w:t>
      </w:r>
      <w:r w:rsidRPr="00203808">
        <w:rPr>
          <w:rFonts w:cs="Arial"/>
          <w:sz w:val="22"/>
        </w:rPr>
        <w:t xml:space="preserve">2026). </w:t>
      </w:r>
    </w:p>
    <w:p w14:paraId="48B4940C" w14:textId="77777777" w:rsidR="002C7A45" w:rsidRPr="00203808" w:rsidRDefault="002C7A45" w:rsidP="00203808">
      <w:pPr>
        <w:spacing w:after="0" w:line="360" w:lineRule="auto"/>
        <w:jc w:val="both"/>
        <w:rPr>
          <w:rFonts w:cs="Arial"/>
          <w:b/>
          <w:bCs/>
          <w:sz w:val="22"/>
          <w:u w:val="single"/>
          <w:lang w:val="en-GB"/>
        </w:rPr>
      </w:pPr>
      <w:r w:rsidRPr="00203808">
        <w:rPr>
          <w:rFonts w:cs="Arial"/>
          <w:b/>
          <w:bCs/>
          <w:sz w:val="22"/>
          <w:u w:val="single"/>
          <w:lang w:val="en-GB"/>
        </w:rPr>
        <w:t>A. Profitability Ratios</w:t>
      </w:r>
    </w:p>
    <w:p w14:paraId="6CC17E6A" w14:textId="23B370A7" w:rsidR="00900317" w:rsidRDefault="008B27CF" w:rsidP="00203808">
      <w:pPr>
        <w:spacing w:after="0" w:line="360" w:lineRule="auto"/>
        <w:jc w:val="both"/>
        <w:rPr>
          <w:rFonts w:cs="Arial"/>
          <w:sz w:val="22"/>
        </w:rPr>
      </w:pPr>
      <w:r w:rsidRPr="00203808">
        <w:rPr>
          <w:rFonts w:cs="Arial"/>
          <w:sz w:val="22"/>
        </w:rPr>
        <w:t>These ratios assess the ability to convert revenue into earnings and to generate returns on capital. They are central to evaluating the efficiency of Marriott’s fee</w:t>
      </w:r>
      <w:r w:rsidR="00ED72CF" w:rsidRPr="00203808">
        <w:rPr>
          <w:rFonts w:cs="Arial"/>
          <w:sz w:val="22"/>
        </w:rPr>
        <w:t>-</w:t>
      </w:r>
      <w:r w:rsidRPr="00203808">
        <w:rPr>
          <w:rFonts w:cs="Arial"/>
          <w:sz w:val="22"/>
        </w:rPr>
        <w:t>based model.</w:t>
      </w:r>
    </w:p>
    <w:p w14:paraId="2377394C" w14:textId="77777777" w:rsidR="00203808" w:rsidRPr="00203808" w:rsidRDefault="00203808" w:rsidP="00203808">
      <w:pPr>
        <w:spacing w:after="0" w:line="360" w:lineRule="auto"/>
        <w:jc w:val="both"/>
        <w:rPr>
          <w:rFonts w:cs="Arial"/>
          <w:sz w:val="22"/>
        </w:rPr>
      </w:pPr>
    </w:p>
    <w:p w14:paraId="1761F3F9" w14:textId="625570AA" w:rsidR="007A01C8" w:rsidRPr="00203808" w:rsidRDefault="007A01C8" w:rsidP="00203808">
      <w:pPr>
        <w:spacing w:after="0" w:line="360" w:lineRule="auto"/>
        <w:jc w:val="both"/>
        <w:rPr>
          <w:rFonts w:cs="Arial"/>
          <w:b/>
          <w:bCs/>
          <w:sz w:val="22"/>
        </w:rPr>
      </w:pPr>
      <w:bookmarkStart w:id="8" w:name="_Hlk237444509"/>
      <w:r w:rsidRPr="00203808">
        <w:rPr>
          <w:rFonts w:cs="Arial"/>
          <w:b/>
          <w:bCs/>
          <w:sz w:val="22"/>
          <w:u w:val="single"/>
          <w:lang w:val="en-GB"/>
        </w:rPr>
        <w:t>Table</w:t>
      </w:r>
      <w:r w:rsidR="00674BAF" w:rsidRPr="00203808">
        <w:rPr>
          <w:rFonts w:cs="Arial"/>
          <w:b/>
          <w:bCs/>
          <w:sz w:val="22"/>
          <w:u w:val="single"/>
          <w:lang w:val="en-GB"/>
        </w:rPr>
        <w:t xml:space="preserve"> 1</w:t>
      </w:r>
      <w:r w:rsidRPr="00203808">
        <w:rPr>
          <w:rFonts w:cs="Arial"/>
          <w:b/>
          <w:bCs/>
          <w:sz w:val="22"/>
          <w:u w:val="single"/>
          <w:lang w:val="en-GB"/>
        </w:rPr>
        <w:t>:</w:t>
      </w:r>
      <w:r w:rsidRPr="00203808">
        <w:rPr>
          <w:rFonts w:cs="Arial"/>
          <w:b/>
          <w:bCs/>
          <w:sz w:val="22"/>
          <w:lang w:val="en-GB"/>
        </w:rPr>
        <w:t xml:space="preserve"> </w:t>
      </w:r>
      <w:r w:rsidR="00455722" w:rsidRPr="00203808">
        <w:rPr>
          <w:rFonts w:cs="Arial"/>
          <w:b/>
          <w:bCs/>
          <w:sz w:val="22"/>
          <w:lang w:val="en-GB"/>
        </w:rPr>
        <w:t>P</w:t>
      </w:r>
      <w:r w:rsidRPr="00203808">
        <w:rPr>
          <w:rFonts w:cs="Arial"/>
          <w:b/>
          <w:bCs/>
          <w:sz w:val="22"/>
          <w:lang w:val="en-GB"/>
        </w:rPr>
        <w:t>rofitability ratios</w:t>
      </w:r>
      <w:r w:rsidR="008B27CF" w:rsidRPr="00203808">
        <w:rPr>
          <w:rFonts w:cs="Arial"/>
          <w:b/>
          <w:bCs/>
          <w:sz w:val="22"/>
        </w:rPr>
        <w:t xml:space="preserve"> 2021</w:t>
      </w:r>
      <w:r w:rsidR="00ED72CF" w:rsidRPr="00203808">
        <w:rPr>
          <w:rFonts w:cs="Arial"/>
          <w:b/>
          <w:bCs/>
          <w:sz w:val="22"/>
        </w:rPr>
        <w:t>-</w:t>
      </w:r>
      <w:r w:rsidR="008B27CF" w:rsidRPr="00203808">
        <w:rPr>
          <w:rFonts w:cs="Arial"/>
          <w:b/>
          <w:bCs/>
          <w:sz w:val="22"/>
        </w:rPr>
        <w:t xml:space="preserve">2025  </w:t>
      </w:r>
    </w:p>
    <w:tbl>
      <w:tblPr>
        <w:tblW w:w="8740" w:type="dxa"/>
        <w:tblCellSpacing w:w="15" w:type="dxa"/>
        <w:tblCellMar>
          <w:top w:w="15" w:type="dxa"/>
          <w:left w:w="15" w:type="dxa"/>
          <w:bottom w:w="15" w:type="dxa"/>
          <w:right w:w="15" w:type="dxa"/>
        </w:tblCellMar>
        <w:tblLook w:val="04A0" w:firstRow="1" w:lastRow="0" w:firstColumn="1" w:lastColumn="0" w:noHBand="0" w:noVBand="1"/>
      </w:tblPr>
      <w:tblGrid>
        <w:gridCol w:w="4161"/>
        <w:gridCol w:w="912"/>
        <w:gridCol w:w="913"/>
        <w:gridCol w:w="913"/>
        <w:gridCol w:w="913"/>
        <w:gridCol w:w="928"/>
      </w:tblGrid>
      <w:tr w:rsidR="00203808" w:rsidRPr="00203808" w14:paraId="5186D3EF" w14:textId="77777777" w:rsidTr="00F00090">
        <w:trPr>
          <w:trHeight w:val="467"/>
          <w:tblHeader/>
          <w:tblCellSpacing w:w="15" w:type="dxa"/>
        </w:trPr>
        <w:tc>
          <w:tcPr>
            <w:tcW w:w="0" w:type="auto"/>
            <w:tcBorders>
              <w:top w:val="thinThickSmallGap" w:sz="24" w:space="0" w:color="auto"/>
              <w:bottom w:val="thickThinSmallGap" w:sz="24" w:space="0" w:color="auto"/>
            </w:tcBorders>
            <w:vAlign w:val="center"/>
            <w:hideMark/>
          </w:tcPr>
          <w:bookmarkEnd w:id="8"/>
          <w:p w14:paraId="23D94FF4"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Ratio</w:t>
            </w:r>
          </w:p>
        </w:tc>
        <w:tc>
          <w:tcPr>
            <w:tcW w:w="0" w:type="auto"/>
            <w:tcBorders>
              <w:top w:val="thinThickSmallGap" w:sz="24" w:space="0" w:color="auto"/>
              <w:bottom w:val="thickThinSmallGap" w:sz="24" w:space="0" w:color="auto"/>
            </w:tcBorders>
            <w:vAlign w:val="center"/>
            <w:hideMark/>
          </w:tcPr>
          <w:p w14:paraId="62DD1BD4"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2021</w:t>
            </w:r>
          </w:p>
        </w:tc>
        <w:tc>
          <w:tcPr>
            <w:tcW w:w="0" w:type="auto"/>
            <w:tcBorders>
              <w:top w:val="thinThickSmallGap" w:sz="24" w:space="0" w:color="auto"/>
              <w:bottom w:val="thickThinSmallGap" w:sz="24" w:space="0" w:color="auto"/>
            </w:tcBorders>
            <w:vAlign w:val="center"/>
            <w:hideMark/>
          </w:tcPr>
          <w:p w14:paraId="57818C33"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2022</w:t>
            </w:r>
          </w:p>
        </w:tc>
        <w:tc>
          <w:tcPr>
            <w:tcW w:w="0" w:type="auto"/>
            <w:tcBorders>
              <w:top w:val="thinThickSmallGap" w:sz="24" w:space="0" w:color="auto"/>
              <w:bottom w:val="thickThinSmallGap" w:sz="24" w:space="0" w:color="auto"/>
            </w:tcBorders>
            <w:vAlign w:val="center"/>
            <w:hideMark/>
          </w:tcPr>
          <w:p w14:paraId="1FEC67DB"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2023</w:t>
            </w:r>
          </w:p>
        </w:tc>
        <w:tc>
          <w:tcPr>
            <w:tcW w:w="0" w:type="auto"/>
            <w:tcBorders>
              <w:top w:val="thinThickSmallGap" w:sz="24" w:space="0" w:color="auto"/>
              <w:bottom w:val="thickThinSmallGap" w:sz="24" w:space="0" w:color="auto"/>
            </w:tcBorders>
            <w:vAlign w:val="center"/>
            <w:hideMark/>
          </w:tcPr>
          <w:p w14:paraId="4B59028B"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2024</w:t>
            </w:r>
          </w:p>
        </w:tc>
        <w:tc>
          <w:tcPr>
            <w:tcW w:w="0" w:type="auto"/>
            <w:tcBorders>
              <w:top w:val="thinThickSmallGap" w:sz="24" w:space="0" w:color="auto"/>
              <w:bottom w:val="thickThinSmallGap" w:sz="24" w:space="0" w:color="auto"/>
            </w:tcBorders>
            <w:vAlign w:val="center"/>
            <w:hideMark/>
          </w:tcPr>
          <w:p w14:paraId="30C35B00"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2025</w:t>
            </w:r>
          </w:p>
        </w:tc>
      </w:tr>
      <w:tr w:rsidR="00203808" w:rsidRPr="00203808" w14:paraId="38490A5E" w14:textId="77777777" w:rsidTr="00F00090">
        <w:trPr>
          <w:trHeight w:val="477"/>
          <w:tblCellSpacing w:w="15" w:type="dxa"/>
        </w:trPr>
        <w:tc>
          <w:tcPr>
            <w:tcW w:w="0" w:type="auto"/>
            <w:vAlign w:val="center"/>
            <w:hideMark/>
          </w:tcPr>
          <w:p w14:paraId="3C7D55DC"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Net Profit Margin</w:t>
            </w:r>
          </w:p>
        </w:tc>
        <w:tc>
          <w:tcPr>
            <w:tcW w:w="0" w:type="auto"/>
            <w:vAlign w:val="center"/>
            <w:hideMark/>
          </w:tcPr>
          <w:p w14:paraId="2F53B130"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7.93%</w:t>
            </w:r>
          </w:p>
        </w:tc>
        <w:tc>
          <w:tcPr>
            <w:tcW w:w="0" w:type="auto"/>
            <w:vAlign w:val="center"/>
            <w:hideMark/>
          </w:tcPr>
          <w:p w14:paraId="38C1573A"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11.35%</w:t>
            </w:r>
          </w:p>
        </w:tc>
        <w:tc>
          <w:tcPr>
            <w:tcW w:w="0" w:type="auto"/>
            <w:vAlign w:val="center"/>
            <w:hideMark/>
          </w:tcPr>
          <w:p w14:paraId="6C3C2F46"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13.00%</w:t>
            </w:r>
          </w:p>
        </w:tc>
        <w:tc>
          <w:tcPr>
            <w:tcW w:w="0" w:type="auto"/>
            <w:vAlign w:val="center"/>
            <w:hideMark/>
          </w:tcPr>
          <w:p w14:paraId="5BEE7D26"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9.46%</w:t>
            </w:r>
          </w:p>
        </w:tc>
        <w:tc>
          <w:tcPr>
            <w:tcW w:w="0" w:type="auto"/>
            <w:vAlign w:val="center"/>
            <w:hideMark/>
          </w:tcPr>
          <w:p w14:paraId="67440A39"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9.93%</w:t>
            </w:r>
          </w:p>
        </w:tc>
      </w:tr>
      <w:tr w:rsidR="00203808" w:rsidRPr="00203808" w14:paraId="27153DD7" w14:textId="77777777" w:rsidTr="00F00090">
        <w:trPr>
          <w:trHeight w:val="477"/>
          <w:tblCellSpacing w:w="15" w:type="dxa"/>
        </w:trPr>
        <w:tc>
          <w:tcPr>
            <w:tcW w:w="0" w:type="auto"/>
            <w:vAlign w:val="center"/>
            <w:hideMark/>
          </w:tcPr>
          <w:p w14:paraId="651F93EF"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Operating Profit Margin</w:t>
            </w:r>
          </w:p>
        </w:tc>
        <w:tc>
          <w:tcPr>
            <w:tcW w:w="0" w:type="auto"/>
            <w:vAlign w:val="center"/>
            <w:hideMark/>
          </w:tcPr>
          <w:p w14:paraId="077B2539"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12.63%</w:t>
            </w:r>
          </w:p>
        </w:tc>
        <w:tc>
          <w:tcPr>
            <w:tcW w:w="0" w:type="auto"/>
            <w:vAlign w:val="center"/>
            <w:hideMark/>
          </w:tcPr>
          <w:p w14:paraId="1A4FB6AE"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16.67%</w:t>
            </w:r>
          </w:p>
        </w:tc>
        <w:tc>
          <w:tcPr>
            <w:tcW w:w="0" w:type="auto"/>
            <w:vAlign w:val="center"/>
            <w:hideMark/>
          </w:tcPr>
          <w:p w14:paraId="7F1FE2CF"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16.29%</w:t>
            </w:r>
          </w:p>
        </w:tc>
        <w:tc>
          <w:tcPr>
            <w:tcW w:w="0" w:type="auto"/>
            <w:vAlign w:val="center"/>
            <w:hideMark/>
          </w:tcPr>
          <w:p w14:paraId="054D28D9"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15.01%</w:t>
            </w:r>
          </w:p>
        </w:tc>
        <w:tc>
          <w:tcPr>
            <w:tcW w:w="0" w:type="auto"/>
            <w:vAlign w:val="center"/>
            <w:hideMark/>
          </w:tcPr>
          <w:p w14:paraId="7C24B3DE"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15.82%</w:t>
            </w:r>
          </w:p>
        </w:tc>
      </w:tr>
      <w:tr w:rsidR="00203808" w:rsidRPr="00203808" w14:paraId="30E60A68" w14:textId="77777777" w:rsidTr="00F00090">
        <w:trPr>
          <w:trHeight w:val="467"/>
          <w:tblCellSpacing w:w="15" w:type="dxa"/>
        </w:trPr>
        <w:tc>
          <w:tcPr>
            <w:tcW w:w="0" w:type="auto"/>
            <w:vAlign w:val="center"/>
            <w:hideMark/>
          </w:tcPr>
          <w:p w14:paraId="74F2340C"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Gross Profit Margin</w:t>
            </w:r>
          </w:p>
        </w:tc>
        <w:tc>
          <w:tcPr>
            <w:tcW w:w="0" w:type="auto"/>
            <w:vAlign w:val="center"/>
            <w:hideMark/>
          </w:tcPr>
          <w:p w14:paraId="0AC3B37D"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10C97118"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21.94%</w:t>
            </w:r>
          </w:p>
        </w:tc>
        <w:tc>
          <w:tcPr>
            <w:tcW w:w="0" w:type="auto"/>
            <w:vAlign w:val="center"/>
            <w:hideMark/>
          </w:tcPr>
          <w:p w14:paraId="1B045F6B"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21.00%</w:t>
            </w:r>
          </w:p>
        </w:tc>
        <w:tc>
          <w:tcPr>
            <w:tcW w:w="0" w:type="auto"/>
            <w:vAlign w:val="center"/>
            <w:hideMark/>
          </w:tcPr>
          <w:p w14:paraId="11CD3A1B"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19.81%</w:t>
            </w:r>
          </w:p>
        </w:tc>
        <w:tc>
          <w:tcPr>
            <w:tcW w:w="0" w:type="auto"/>
            <w:vAlign w:val="center"/>
            <w:hideMark/>
          </w:tcPr>
          <w:p w14:paraId="093AD40F"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19.94%</w:t>
            </w:r>
          </w:p>
        </w:tc>
      </w:tr>
      <w:tr w:rsidR="00203808" w:rsidRPr="00203808" w14:paraId="69B29BBE" w14:textId="77777777" w:rsidTr="00F00090">
        <w:trPr>
          <w:trHeight w:val="477"/>
          <w:tblCellSpacing w:w="15" w:type="dxa"/>
        </w:trPr>
        <w:tc>
          <w:tcPr>
            <w:tcW w:w="0" w:type="auto"/>
            <w:tcBorders>
              <w:bottom w:val="thickThinSmallGap" w:sz="24" w:space="0" w:color="auto"/>
            </w:tcBorders>
            <w:vAlign w:val="center"/>
            <w:hideMark/>
          </w:tcPr>
          <w:p w14:paraId="042A1226" w14:textId="6CB93179" w:rsidR="007A01C8" w:rsidRPr="00203808" w:rsidRDefault="00715D5F" w:rsidP="00203808">
            <w:pPr>
              <w:spacing w:after="0" w:line="360" w:lineRule="auto"/>
              <w:jc w:val="both"/>
              <w:rPr>
                <w:rFonts w:cs="Arial"/>
                <w:b/>
                <w:bCs/>
                <w:sz w:val="22"/>
                <w:lang w:val="en-GB"/>
              </w:rPr>
            </w:pPr>
            <w:r w:rsidRPr="00203808">
              <w:rPr>
                <w:rFonts w:cs="Arial"/>
                <w:sz w:val="22"/>
                <w:lang w:val="en-GB"/>
              </w:rPr>
              <w:t>Return on Capital Employed</w:t>
            </w:r>
            <w:r w:rsidRPr="00203808">
              <w:rPr>
                <w:rFonts w:cs="Arial"/>
                <w:sz w:val="22"/>
                <w:lang w:val="en-GB"/>
              </w:rPr>
              <w:t xml:space="preserve"> </w:t>
            </w:r>
            <w:r>
              <w:rPr>
                <w:rFonts w:cs="Arial"/>
                <w:sz w:val="22"/>
                <w:lang w:val="en-GB"/>
              </w:rPr>
              <w:t>(</w:t>
            </w:r>
            <w:r w:rsidR="007A01C8" w:rsidRPr="00203808">
              <w:rPr>
                <w:rFonts w:cs="Arial"/>
                <w:sz w:val="22"/>
                <w:lang w:val="en-GB"/>
              </w:rPr>
              <w:t>ROCE</w:t>
            </w:r>
            <w:r>
              <w:rPr>
                <w:rFonts w:cs="Arial"/>
                <w:sz w:val="22"/>
                <w:lang w:val="en-GB"/>
              </w:rPr>
              <w:t>)</w:t>
            </w:r>
          </w:p>
        </w:tc>
        <w:tc>
          <w:tcPr>
            <w:tcW w:w="0" w:type="auto"/>
            <w:tcBorders>
              <w:bottom w:val="thickThinSmallGap" w:sz="24" w:space="0" w:color="auto"/>
            </w:tcBorders>
            <w:vAlign w:val="center"/>
            <w:hideMark/>
          </w:tcPr>
          <w:p w14:paraId="5D06F187"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9.14%</w:t>
            </w:r>
          </w:p>
        </w:tc>
        <w:tc>
          <w:tcPr>
            <w:tcW w:w="0" w:type="auto"/>
            <w:tcBorders>
              <w:bottom w:val="thickThinSmallGap" w:sz="24" w:space="0" w:color="auto"/>
            </w:tcBorders>
            <w:vAlign w:val="center"/>
            <w:hideMark/>
          </w:tcPr>
          <w:p w14:paraId="6E6CAAF2"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19.82%</w:t>
            </w:r>
          </w:p>
        </w:tc>
        <w:tc>
          <w:tcPr>
            <w:tcW w:w="0" w:type="auto"/>
            <w:tcBorders>
              <w:bottom w:val="thickThinSmallGap" w:sz="24" w:space="0" w:color="auto"/>
            </w:tcBorders>
            <w:vAlign w:val="center"/>
            <w:hideMark/>
          </w:tcPr>
          <w:p w14:paraId="59E6FD20"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21.57%</w:t>
            </w:r>
          </w:p>
        </w:tc>
        <w:tc>
          <w:tcPr>
            <w:tcW w:w="0" w:type="auto"/>
            <w:tcBorders>
              <w:bottom w:val="thickThinSmallGap" w:sz="24" w:space="0" w:color="auto"/>
            </w:tcBorders>
            <w:vAlign w:val="center"/>
            <w:hideMark/>
          </w:tcPr>
          <w:p w14:paraId="0D898E2B"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21.49%</w:t>
            </w:r>
          </w:p>
        </w:tc>
        <w:tc>
          <w:tcPr>
            <w:tcW w:w="0" w:type="auto"/>
            <w:tcBorders>
              <w:bottom w:val="thickThinSmallGap" w:sz="24" w:space="0" w:color="auto"/>
            </w:tcBorders>
            <w:vAlign w:val="center"/>
            <w:hideMark/>
          </w:tcPr>
          <w:p w14:paraId="711FBD6B" w14:textId="77777777" w:rsidR="007A01C8" w:rsidRPr="00203808" w:rsidRDefault="007A01C8" w:rsidP="00203808">
            <w:pPr>
              <w:spacing w:after="0" w:line="360" w:lineRule="auto"/>
              <w:jc w:val="both"/>
              <w:rPr>
                <w:rFonts w:cs="Arial"/>
                <w:b/>
                <w:bCs/>
                <w:sz w:val="22"/>
                <w:lang w:val="en-GB"/>
              </w:rPr>
            </w:pPr>
            <w:r w:rsidRPr="00203808">
              <w:rPr>
                <w:rFonts w:cs="Arial"/>
                <w:sz w:val="22"/>
                <w:lang w:val="en-GB"/>
              </w:rPr>
              <w:t>21.63%</w:t>
            </w:r>
          </w:p>
        </w:tc>
      </w:tr>
    </w:tbl>
    <w:p w14:paraId="0E78E04B" w14:textId="063A1BCD" w:rsidR="008B27CF" w:rsidRPr="00203808" w:rsidRDefault="007A01C8" w:rsidP="00203808">
      <w:pPr>
        <w:spacing w:after="0" w:line="360" w:lineRule="auto"/>
        <w:jc w:val="both"/>
        <w:rPr>
          <w:rFonts w:cs="Arial"/>
          <w:b/>
          <w:bCs/>
          <w:sz w:val="22"/>
        </w:rPr>
      </w:pPr>
      <w:r w:rsidRPr="00203808">
        <w:rPr>
          <w:rFonts w:cs="Arial"/>
          <w:b/>
          <w:bCs/>
          <w:sz w:val="22"/>
          <w:u w:val="single"/>
          <w:lang w:val="en-GB"/>
        </w:rPr>
        <w:t>Source:</w:t>
      </w:r>
      <w:r w:rsidR="008B27CF" w:rsidRPr="00203808">
        <w:rPr>
          <w:rFonts w:cs="Arial"/>
          <w:b/>
          <w:bCs/>
          <w:sz w:val="22"/>
          <w:lang w:val="en-GB"/>
        </w:rPr>
        <w:t xml:space="preserve"> Autor</w:t>
      </w:r>
      <w:r w:rsidR="00386400" w:rsidRPr="00203808">
        <w:rPr>
          <w:rFonts w:cs="Arial"/>
          <w:b/>
          <w:bCs/>
          <w:sz w:val="22"/>
          <w:lang w:val="en-GB"/>
        </w:rPr>
        <w:t>’s</w:t>
      </w:r>
      <w:r w:rsidR="008B27CF" w:rsidRPr="00203808">
        <w:rPr>
          <w:rFonts w:cs="Arial"/>
          <w:b/>
          <w:bCs/>
          <w:sz w:val="22"/>
          <w:lang w:val="en-GB"/>
        </w:rPr>
        <w:t xml:space="preserve"> calculation</w:t>
      </w:r>
      <w:r w:rsidR="008719B4" w:rsidRPr="00203808">
        <w:rPr>
          <w:rFonts w:cs="Arial"/>
          <w:b/>
          <w:bCs/>
          <w:sz w:val="22"/>
          <w:lang w:val="en-GB"/>
        </w:rPr>
        <w:t>s</w:t>
      </w:r>
      <w:r w:rsidR="008B27CF" w:rsidRPr="00203808">
        <w:rPr>
          <w:rFonts w:cs="Arial"/>
          <w:b/>
          <w:bCs/>
          <w:sz w:val="22"/>
        </w:rPr>
        <w:t xml:space="preserve"> from Marriott International annual report 202</w:t>
      </w:r>
      <w:r w:rsidR="00ED72CF" w:rsidRPr="00203808">
        <w:rPr>
          <w:rFonts w:cs="Arial"/>
          <w:b/>
          <w:bCs/>
          <w:sz w:val="22"/>
        </w:rPr>
        <w:t>-</w:t>
      </w:r>
      <w:r w:rsidR="008B27CF" w:rsidRPr="00203808">
        <w:rPr>
          <w:rFonts w:cs="Arial"/>
          <w:b/>
          <w:bCs/>
          <w:sz w:val="22"/>
        </w:rPr>
        <w:t>202</w:t>
      </w:r>
      <w:r w:rsidR="00386400" w:rsidRPr="00203808">
        <w:rPr>
          <w:rFonts w:cs="Arial"/>
          <w:b/>
          <w:bCs/>
          <w:sz w:val="22"/>
        </w:rPr>
        <w:t>6</w:t>
      </w:r>
    </w:p>
    <w:p w14:paraId="52BFCE00" w14:textId="77777777" w:rsidR="00C14140" w:rsidRPr="00203808" w:rsidRDefault="00C14140" w:rsidP="00203808">
      <w:pPr>
        <w:spacing w:after="0" w:line="360" w:lineRule="auto"/>
        <w:jc w:val="both"/>
        <w:rPr>
          <w:rFonts w:cs="Arial"/>
          <w:sz w:val="22"/>
        </w:rPr>
      </w:pPr>
    </w:p>
    <w:p w14:paraId="4FF3452D" w14:textId="19232299" w:rsidR="00900317" w:rsidRDefault="00BC323F" w:rsidP="00203808">
      <w:pPr>
        <w:spacing w:after="0" w:line="360" w:lineRule="auto"/>
        <w:jc w:val="both"/>
        <w:rPr>
          <w:rFonts w:cs="Arial"/>
          <w:sz w:val="22"/>
        </w:rPr>
      </w:pPr>
      <w:r w:rsidRPr="00203808">
        <w:rPr>
          <w:rFonts w:cs="Arial"/>
          <w:sz w:val="22"/>
        </w:rPr>
        <w:t>Gross margin peaked at 21.94% in 2022</w:t>
      </w:r>
      <w:r w:rsidR="00386400" w:rsidRPr="00203808">
        <w:rPr>
          <w:rFonts w:cs="Arial"/>
          <w:sz w:val="22"/>
        </w:rPr>
        <w:t xml:space="preserve"> and decreased</w:t>
      </w:r>
      <w:r w:rsidRPr="00203808">
        <w:rPr>
          <w:rFonts w:cs="Arial"/>
          <w:sz w:val="22"/>
        </w:rPr>
        <w:t xml:space="preserve"> to 19.94% in 2025. The reason is the growing share of cost</w:t>
      </w:r>
      <w:r w:rsidR="00ED72CF" w:rsidRPr="00203808">
        <w:rPr>
          <w:rFonts w:cs="Arial"/>
          <w:sz w:val="22"/>
        </w:rPr>
        <w:t>-</w:t>
      </w:r>
      <w:r w:rsidRPr="00203808">
        <w:rPr>
          <w:rFonts w:cs="Arial"/>
          <w:sz w:val="22"/>
        </w:rPr>
        <w:t xml:space="preserve">reimbursement revenue (Marriott International, 2023; 2026). Operating margin recovered to 15.82% in 2025 after falling to 15.01% in 2024. Net margin </w:t>
      </w:r>
      <w:r w:rsidRPr="00203808">
        <w:rPr>
          <w:rFonts w:cs="Arial"/>
          <w:sz w:val="22"/>
        </w:rPr>
        <w:lastRenderedPageBreak/>
        <w:t xml:space="preserve">also fell, from 13.00% in 2023 to 9.93% in 2025, due to higher interest costs (Marriott International, 2024; 2026). </w:t>
      </w:r>
      <w:r w:rsidR="00B42BA8" w:rsidRPr="00203808">
        <w:rPr>
          <w:rFonts w:cs="Arial"/>
          <w:sz w:val="22"/>
        </w:rPr>
        <w:t>ROCE is commonly used to assess how effectively a company generates operating returns from the capital employed in the business (Van Horne and Wachowicz, 2008).</w:t>
      </w:r>
      <w:r w:rsidR="00E2116D" w:rsidRPr="00203808">
        <w:rPr>
          <w:rFonts w:cs="Arial"/>
          <w:sz w:val="22"/>
        </w:rPr>
        <w:t xml:space="preserve"> </w:t>
      </w:r>
      <w:r w:rsidR="00E2116D" w:rsidRPr="00203808">
        <w:rPr>
          <w:rFonts w:cs="Arial"/>
          <w:sz w:val="22"/>
        </w:rPr>
        <w:t>It passed 21% from 2023 and reached 21.63%.</w:t>
      </w:r>
    </w:p>
    <w:p w14:paraId="4F0B984A" w14:textId="77777777" w:rsidR="00203808" w:rsidRPr="00203808" w:rsidRDefault="00203808" w:rsidP="00203808">
      <w:pPr>
        <w:spacing w:after="0" w:line="360" w:lineRule="auto"/>
        <w:jc w:val="both"/>
        <w:rPr>
          <w:rFonts w:cs="Arial"/>
          <w:sz w:val="22"/>
        </w:rPr>
      </w:pPr>
    </w:p>
    <w:p w14:paraId="27BB732B" w14:textId="0AC9C27B" w:rsidR="00057D9C" w:rsidRPr="00203808" w:rsidRDefault="008B27CF" w:rsidP="00203808">
      <w:pPr>
        <w:spacing w:after="0" w:line="360" w:lineRule="auto"/>
        <w:jc w:val="both"/>
        <w:rPr>
          <w:rFonts w:cs="Arial"/>
          <w:b/>
          <w:bCs/>
          <w:sz w:val="22"/>
        </w:rPr>
      </w:pPr>
      <w:r w:rsidRPr="00203808">
        <w:rPr>
          <w:rFonts w:cs="Arial"/>
          <w:b/>
          <w:bCs/>
          <w:sz w:val="22"/>
          <w:u w:val="single"/>
        </w:rPr>
        <w:t>Figure 1:</w:t>
      </w:r>
      <w:r w:rsidRPr="00203808">
        <w:rPr>
          <w:rFonts w:cs="Arial"/>
          <w:b/>
          <w:bCs/>
          <w:sz w:val="22"/>
        </w:rPr>
        <w:t xml:space="preserve"> Profitability Ratios trend 2021</w:t>
      </w:r>
      <w:r w:rsidR="00ED72CF" w:rsidRPr="00203808">
        <w:rPr>
          <w:rFonts w:cs="Arial"/>
          <w:b/>
          <w:bCs/>
          <w:sz w:val="22"/>
        </w:rPr>
        <w:t>-</w:t>
      </w:r>
      <w:r w:rsidRPr="00203808">
        <w:rPr>
          <w:rFonts w:cs="Arial"/>
          <w:b/>
          <w:bCs/>
          <w:sz w:val="22"/>
        </w:rPr>
        <w:t xml:space="preserve">2025  </w:t>
      </w:r>
    </w:p>
    <w:p w14:paraId="2C3565A4" w14:textId="5A544FD4" w:rsidR="00057D9C" w:rsidRPr="00203808" w:rsidRDefault="000D13C8" w:rsidP="00203808">
      <w:pPr>
        <w:spacing w:after="0" w:line="360" w:lineRule="auto"/>
        <w:jc w:val="both"/>
        <w:rPr>
          <w:rFonts w:cs="Arial"/>
          <w:b/>
          <w:bCs/>
          <w:sz w:val="22"/>
          <w:lang w:val="en-GB"/>
        </w:rPr>
      </w:pPr>
      <w:r w:rsidRPr="00203808">
        <w:rPr>
          <w:rFonts w:cs="Arial"/>
          <w:noProof/>
          <w:sz w:val="22"/>
        </w:rPr>
        <w:drawing>
          <wp:inline distT="0" distB="0" distL="0" distR="0" wp14:anchorId="1E8A21EC" wp14:editId="71190DE3">
            <wp:extent cx="2628900" cy="2159000"/>
            <wp:effectExtent l="0" t="0" r="0" b="12700"/>
            <wp:docPr id="1600254595" name="Graphique 1">
              <a:extLst xmlns:a="http://schemas.openxmlformats.org/drawingml/2006/main">
                <a:ext uri="{FF2B5EF4-FFF2-40B4-BE49-F238E27FC236}">
                  <a16:creationId xmlns:a16="http://schemas.microsoft.com/office/drawing/2014/main" id="{FC297D0C-2D99-6594-29EF-F852C42371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Pr="00203808">
        <w:rPr>
          <w:rFonts w:cs="Arial"/>
          <w:noProof/>
          <w:sz w:val="22"/>
        </w:rPr>
        <w:drawing>
          <wp:inline distT="0" distB="0" distL="0" distR="0" wp14:anchorId="2AC02F46" wp14:editId="27DB1C79">
            <wp:extent cx="2800350" cy="2171700"/>
            <wp:effectExtent l="0" t="0" r="0" b="0"/>
            <wp:docPr id="440929387" name="Graphique 1">
              <a:extLst xmlns:a="http://schemas.openxmlformats.org/drawingml/2006/main">
                <a:ext uri="{FF2B5EF4-FFF2-40B4-BE49-F238E27FC236}">
                  <a16:creationId xmlns:a16="http://schemas.microsoft.com/office/drawing/2014/main" id="{EB6BBADF-0CDA-3656-FF93-66832DC6A8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203808">
        <w:rPr>
          <w:rFonts w:cs="Arial"/>
          <w:noProof/>
          <w:sz w:val="22"/>
        </w:rPr>
        <w:drawing>
          <wp:inline distT="0" distB="0" distL="0" distR="0" wp14:anchorId="6154D9CE" wp14:editId="0A5C53F5">
            <wp:extent cx="2628900" cy="2298700"/>
            <wp:effectExtent l="0" t="0" r="0" b="6350"/>
            <wp:docPr id="1829280437" name="Graphique 1">
              <a:extLst xmlns:a="http://schemas.openxmlformats.org/drawingml/2006/main">
                <a:ext uri="{FF2B5EF4-FFF2-40B4-BE49-F238E27FC236}">
                  <a16:creationId xmlns:a16="http://schemas.microsoft.com/office/drawing/2014/main" id="{1FDEF9CA-8AF2-407F-DB18-8F0A19EB59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203808">
        <w:rPr>
          <w:rFonts w:cs="Arial"/>
          <w:noProof/>
          <w:sz w:val="22"/>
        </w:rPr>
        <w:drawing>
          <wp:inline distT="0" distB="0" distL="0" distR="0" wp14:anchorId="6F875B71" wp14:editId="63F89AC9">
            <wp:extent cx="2717800" cy="2222500"/>
            <wp:effectExtent l="0" t="0" r="6350" b="6350"/>
            <wp:docPr id="1677687358" name="Graphique 1">
              <a:extLst xmlns:a="http://schemas.openxmlformats.org/drawingml/2006/main">
                <a:ext uri="{FF2B5EF4-FFF2-40B4-BE49-F238E27FC236}">
                  <a16:creationId xmlns:a16="http://schemas.microsoft.com/office/drawing/2014/main" id="{3FD025AD-59D5-0441-9446-3E8825CEA8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1C3494C" w14:textId="57E59532" w:rsidR="008B27CF" w:rsidRPr="00912DDA" w:rsidRDefault="008B27CF" w:rsidP="00203808">
      <w:pPr>
        <w:spacing w:after="0" w:line="360" w:lineRule="auto"/>
        <w:jc w:val="both"/>
        <w:rPr>
          <w:rFonts w:cs="Arial"/>
          <w:b/>
          <w:bCs/>
          <w:sz w:val="22"/>
        </w:rPr>
      </w:pPr>
      <w:r w:rsidRPr="00912DDA">
        <w:rPr>
          <w:rFonts w:cs="Arial"/>
          <w:b/>
          <w:bCs/>
          <w:sz w:val="22"/>
          <w:u w:val="single"/>
        </w:rPr>
        <w:t>Source:</w:t>
      </w:r>
      <w:r w:rsidRPr="00912DDA">
        <w:rPr>
          <w:rFonts w:cs="Arial"/>
          <w:b/>
          <w:bCs/>
          <w:sz w:val="22"/>
        </w:rPr>
        <w:t xml:space="preserve"> </w:t>
      </w:r>
      <w:r w:rsidR="00386400" w:rsidRPr="00912DDA">
        <w:rPr>
          <w:rFonts w:cs="Arial"/>
          <w:b/>
          <w:bCs/>
          <w:sz w:val="22"/>
          <w:lang w:val="en-GB"/>
        </w:rPr>
        <w:t>Autor</w:t>
      </w:r>
      <w:r w:rsidRPr="00912DDA">
        <w:rPr>
          <w:rFonts w:cs="Arial"/>
          <w:b/>
          <w:bCs/>
          <w:sz w:val="22"/>
        </w:rPr>
        <w:t xml:space="preserve"> from Marriott International annual report</w:t>
      </w:r>
      <w:r w:rsidR="00386400" w:rsidRPr="00912DDA">
        <w:rPr>
          <w:rFonts w:cs="Arial"/>
          <w:b/>
          <w:bCs/>
          <w:sz w:val="22"/>
        </w:rPr>
        <w:t>s</w:t>
      </w:r>
      <w:r w:rsidRPr="00912DDA">
        <w:rPr>
          <w:rFonts w:cs="Arial"/>
          <w:b/>
          <w:bCs/>
          <w:sz w:val="22"/>
        </w:rPr>
        <w:t xml:space="preserve"> 202</w:t>
      </w:r>
      <w:r w:rsidR="00C14140" w:rsidRPr="00912DDA">
        <w:rPr>
          <w:rFonts w:cs="Arial"/>
          <w:b/>
          <w:bCs/>
          <w:sz w:val="22"/>
        </w:rPr>
        <w:t>1</w:t>
      </w:r>
      <w:r w:rsidR="00ED72CF" w:rsidRPr="00912DDA">
        <w:rPr>
          <w:rFonts w:cs="Arial"/>
          <w:b/>
          <w:bCs/>
          <w:sz w:val="22"/>
        </w:rPr>
        <w:t>-</w:t>
      </w:r>
      <w:r w:rsidRPr="00912DDA">
        <w:rPr>
          <w:rFonts w:cs="Arial"/>
          <w:b/>
          <w:bCs/>
          <w:sz w:val="22"/>
        </w:rPr>
        <w:t>202</w:t>
      </w:r>
      <w:r w:rsidR="00C14140" w:rsidRPr="00912DDA">
        <w:rPr>
          <w:rFonts w:cs="Arial"/>
          <w:b/>
          <w:bCs/>
          <w:sz w:val="22"/>
        </w:rPr>
        <w:t>5</w:t>
      </w:r>
    </w:p>
    <w:p w14:paraId="542716A7" w14:textId="77777777" w:rsidR="002C7A45" w:rsidRPr="00912DDA" w:rsidRDefault="002C7A45" w:rsidP="00203808">
      <w:pPr>
        <w:spacing w:after="0" w:line="360" w:lineRule="auto"/>
        <w:jc w:val="both"/>
        <w:rPr>
          <w:rFonts w:cs="Arial"/>
          <w:b/>
          <w:bCs/>
          <w:sz w:val="22"/>
          <w:u w:val="single"/>
          <w:lang w:val="en-GB"/>
        </w:rPr>
      </w:pPr>
      <w:bookmarkStart w:id="9" w:name="_Hlk237444891"/>
      <w:r w:rsidRPr="00912DDA">
        <w:rPr>
          <w:rFonts w:cs="Arial"/>
          <w:b/>
          <w:bCs/>
          <w:sz w:val="22"/>
          <w:u w:val="single"/>
          <w:lang w:val="en-GB"/>
        </w:rPr>
        <w:t>B. Liquidity Ratios</w:t>
      </w:r>
    </w:p>
    <w:bookmarkEnd w:id="9"/>
    <w:p w14:paraId="36CCCAE4" w14:textId="041AB84E" w:rsidR="008B27CF" w:rsidRDefault="008B27CF" w:rsidP="00203808">
      <w:pPr>
        <w:spacing w:after="0" w:line="360" w:lineRule="auto"/>
        <w:jc w:val="both"/>
        <w:rPr>
          <w:rFonts w:cs="Arial"/>
          <w:sz w:val="22"/>
        </w:rPr>
      </w:pPr>
      <w:r w:rsidRPr="00203808">
        <w:rPr>
          <w:rFonts w:cs="Arial"/>
          <w:sz w:val="22"/>
        </w:rPr>
        <w:t>Liquidity ratios measure short</w:t>
      </w:r>
      <w:r w:rsidR="00ED72CF" w:rsidRPr="00203808">
        <w:rPr>
          <w:rFonts w:cs="Arial"/>
          <w:sz w:val="22"/>
        </w:rPr>
        <w:t>-</w:t>
      </w:r>
      <w:r w:rsidRPr="00203808">
        <w:rPr>
          <w:rFonts w:cs="Arial"/>
          <w:sz w:val="22"/>
        </w:rPr>
        <w:t xml:space="preserve">term solvency. </w:t>
      </w:r>
      <w:r w:rsidR="00E2116D" w:rsidRPr="00203808">
        <w:rPr>
          <w:rFonts w:cs="Arial"/>
          <w:sz w:val="22"/>
        </w:rPr>
        <w:t>It</w:t>
      </w:r>
      <w:r w:rsidR="00B42BA8" w:rsidRPr="00203808">
        <w:rPr>
          <w:rFonts w:cs="Arial"/>
          <w:sz w:val="22"/>
        </w:rPr>
        <w:t xml:space="preserve"> is important because a company must be able to meet its short-term obligations without creating unnecessary financial pressure (Berk and DeMarzo, 2020).</w:t>
      </w:r>
    </w:p>
    <w:p w14:paraId="59F427AC" w14:textId="77777777" w:rsidR="00912DDA" w:rsidRDefault="00912DDA" w:rsidP="00203808">
      <w:pPr>
        <w:spacing w:after="0" w:line="360" w:lineRule="auto"/>
        <w:jc w:val="both"/>
        <w:rPr>
          <w:rFonts w:cs="Arial"/>
          <w:sz w:val="22"/>
        </w:rPr>
      </w:pPr>
    </w:p>
    <w:p w14:paraId="2FF72E76" w14:textId="77777777" w:rsidR="00912DDA" w:rsidRDefault="00912DDA" w:rsidP="00203808">
      <w:pPr>
        <w:spacing w:after="0" w:line="360" w:lineRule="auto"/>
        <w:jc w:val="both"/>
        <w:rPr>
          <w:rFonts w:cs="Arial"/>
          <w:sz w:val="22"/>
        </w:rPr>
      </w:pPr>
    </w:p>
    <w:p w14:paraId="73F18903" w14:textId="77777777" w:rsidR="00912DDA" w:rsidRDefault="00912DDA" w:rsidP="00203808">
      <w:pPr>
        <w:spacing w:after="0" w:line="360" w:lineRule="auto"/>
        <w:jc w:val="both"/>
        <w:rPr>
          <w:rFonts w:cs="Arial"/>
          <w:sz w:val="22"/>
        </w:rPr>
      </w:pPr>
    </w:p>
    <w:p w14:paraId="7D8641A1" w14:textId="77777777" w:rsidR="00912DDA" w:rsidRPr="00203808" w:rsidRDefault="00912DDA" w:rsidP="00203808">
      <w:pPr>
        <w:spacing w:after="0" w:line="360" w:lineRule="auto"/>
        <w:jc w:val="both"/>
        <w:rPr>
          <w:rFonts w:cs="Arial"/>
          <w:b/>
          <w:bCs/>
          <w:sz w:val="22"/>
          <w:lang w:val="en-GB"/>
        </w:rPr>
      </w:pPr>
    </w:p>
    <w:p w14:paraId="2D180D93" w14:textId="1A44AE76" w:rsidR="004B1CB3" w:rsidRPr="00912DDA" w:rsidRDefault="004B1CB3" w:rsidP="00203808">
      <w:pPr>
        <w:spacing w:after="0" w:line="360" w:lineRule="auto"/>
        <w:jc w:val="both"/>
        <w:rPr>
          <w:rFonts w:cs="Arial"/>
          <w:b/>
          <w:bCs/>
          <w:sz w:val="22"/>
          <w:lang w:val="en-GB"/>
        </w:rPr>
      </w:pPr>
      <w:r w:rsidRPr="00912DDA">
        <w:rPr>
          <w:rFonts w:cs="Arial"/>
          <w:b/>
          <w:bCs/>
          <w:sz w:val="22"/>
          <w:u w:val="single"/>
          <w:lang w:val="en-GB"/>
        </w:rPr>
        <w:lastRenderedPageBreak/>
        <w:t>Table</w:t>
      </w:r>
      <w:r w:rsidR="00203808" w:rsidRPr="00912DDA">
        <w:rPr>
          <w:rFonts w:cs="Arial"/>
          <w:b/>
          <w:bCs/>
          <w:sz w:val="22"/>
          <w:u w:val="single"/>
          <w:lang w:val="en-GB"/>
        </w:rPr>
        <w:t xml:space="preserve"> 2</w:t>
      </w:r>
      <w:r w:rsidRPr="00912DDA">
        <w:rPr>
          <w:rFonts w:cs="Arial"/>
          <w:b/>
          <w:bCs/>
          <w:sz w:val="22"/>
          <w:u w:val="single"/>
          <w:lang w:val="en-GB"/>
        </w:rPr>
        <w:t>:</w:t>
      </w:r>
      <w:r w:rsidRPr="00912DDA">
        <w:rPr>
          <w:rFonts w:cs="Arial"/>
          <w:b/>
          <w:bCs/>
          <w:sz w:val="22"/>
          <w:lang w:val="en-GB"/>
        </w:rPr>
        <w:t xml:space="preserve"> Liquidity ratios</w:t>
      </w:r>
      <w:r w:rsidR="008B27CF" w:rsidRPr="00912DDA">
        <w:rPr>
          <w:rFonts w:cs="Arial"/>
          <w:b/>
          <w:bCs/>
          <w:sz w:val="22"/>
        </w:rPr>
        <w:t xml:space="preserve"> 2021</w:t>
      </w:r>
      <w:r w:rsidR="00ED72CF" w:rsidRPr="00912DDA">
        <w:rPr>
          <w:rFonts w:cs="Arial"/>
          <w:b/>
          <w:bCs/>
          <w:sz w:val="22"/>
        </w:rPr>
        <w:t>-</w:t>
      </w:r>
      <w:r w:rsidR="008B27CF" w:rsidRPr="00912DDA">
        <w:rPr>
          <w:rFonts w:cs="Arial"/>
          <w:b/>
          <w:bCs/>
          <w:sz w:val="22"/>
        </w:rPr>
        <w:t xml:space="preserve">2025  </w:t>
      </w:r>
    </w:p>
    <w:tbl>
      <w:tblPr>
        <w:tblW w:w="0" w:type="auto"/>
        <w:tblLook w:val="04A0" w:firstRow="1" w:lastRow="0" w:firstColumn="1" w:lastColumn="0" w:noHBand="0" w:noVBand="1"/>
      </w:tblPr>
      <w:tblGrid>
        <w:gridCol w:w="3043"/>
        <w:gridCol w:w="1253"/>
        <w:gridCol w:w="1226"/>
        <w:gridCol w:w="1280"/>
        <w:gridCol w:w="919"/>
        <w:gridCol w:w="919"/>
      </w:tblGrid>
      <w:tr w:rsidR="00203808" w:rsidRPr="00203808" w14:paraId="73FCBEED" w14:textId="77777777" w:rsidTr="0099583A">
        <w:tc>
          <w:tcPr>
            <w:tcW w:w="3043" w:type="dxa"/>
            <w:tcBorders>
              <w:top w:val="thinThickSmallGap" w:sz="24" w:space="0" w:color="auto"/>
              <w:bottom w:val="thickThinSmallGap" w:sz="24" w:space="0" w:color="auto"/>
            </w:tcBorders>
          </w:tcPr>
          <w:p w14:paraId="0ECD9826" w14:textId="77777777" w:rsidR="004B1CB3" w:rsidRPr="00203808" w:rsidRDefault="004B1CB3" w:rsidP="00203808">
            <w:pPr>
              <w:spacing w:after="0" w:line="360" w:lineRule="auto"/>
              <w:jc w:val="both"/>
              <w:rPr>
                <w:rFonts w:cs="Arial"/>
                <w:b/>
                <w:bCs/>
                <w:sz w:val="22"/>
              </w:rPr>
            </w:pPr>
            <w:r w:rsidRPr="00203808">
              <w:rPr>
                <w:rFonts w:cs="Arial"/>
                <w:b/>
                <w:bCs/>
                <w:sz w:val="22"/>
              </w:rPr>
              <w:t>Ratio</w:t>
            </w:r>
          </w:p>
        </w:tc>
        <w:tc>
          <w:tcPr>
            <w:tcW w:w="1253" w:type="dxa"/>
            <w:tcBorders>
              <w:top w:val="thinThickSmallGap" w:sz="24" w:space="0" w:color="auto"/>
              <w:bottom w:val="thickThinSmallGap" w:sz="24" w:space="0" w:color="auto"/>
            </w:tcBorders>
          </w:tcPr>
          <w:p w14:paraId="005291D2" w14:textId="77777777" w:rsidR="004B1CB3" w:rsidRPr="00203808" w:rsidRDefault="004B1CB3" w:rsidP="00203808">
            <w:pPr>
              <w:spacing w:after="0" w:line="360" w:lineRule="auto"/>
              <w:jc w:val="both"/>
              <w:rPr>
                <w:rFonts w:cs="Arial"/>
                <w:b/>
                <w:bCs/>
                <w:sz w:val="22"/>
              </w:rPr>
            </w:pPr>
            <w:r w:rsidRPr="00203808">
              <w:rPr>
                <w:rFonts w:cs="Arial"/>
                <w:b/>
                <w:bCs/>
                <w:sz w:val="22"/>
              </w:rPr>
              <w:t>2022</w:t>
            </w:r>
          </w:p>
        </w:tc>
        <w:tc>
          <w:tcPr>
            <w:tcW w:w="1226" w:type="dxa"/>
            <w:tcBorders>
              <w:top w:val="thinThickSmallGap" w:sz="24" w:space="0" w:color="auto"/>
              <w:bottom w:val="thickThinSmallGap" w:sz="24" w:space="0" w:color="auto"/>
            </w:tcBorders>
          </w:tcPr>
          <w:p w14:paraId="7AB0D89D" w14:textId="77777777" w:rsidR="004B1CB3" w:rsidRPr="00203808" w:rsidRDefault="004B1CB3" w:rsidP="00203808">
            <w:pPr>
              <w:spacing w:after="0" w:line="360" w:lineRule="auto"/>
              <w:jc w:val="both"/>
              <w:rPr>
                <w:rFonts w:cs="Arial"/>
                <w:b/>
                <w:bCs/>
                <w:sz w:val="22"/>
              </w:rPr>
            </w:pPr>
            <w:r w:rsidRPr="00203808">
              <w:rPr>
                <w:rFonts w:cs="Arial"/>
                <w:b/>
                <w:bCs/>
                <w:sz w:val="22"/>
              </w:rPr>
              <w:t>2022</w:t>
            </w:r>
          </w:p>
        </w:tc>
        <w:tc>
          <w:tcPr>
            <w:tcW w:w="1280" w:type="dxa"/>
            <w:tcBorders>
              <w:top w:val="thinThickSmallGap" w:sz="24" w:space="0" w:color="auto"/>
              <w:bottom w:val="thickThinSmallGap" w:sz="24" w:space="0" w:color="auto"/>
            </w:tcBorders>
          </w:tcPr>
          <w:p w14:paraId="6D72E922" w14:textId="77777777" w:rsidR="004B1CB3" w:rsidRPr="00203808" w:rsidRDefault="004B1CB3" w:rsidP="00203808">
            <w:pPr>
              <w:spacing w:after="0" w:line="360" w:lineRule="auto"/>
              <w:jc w:val="both"/>
              <w:rPr>
                <w:rFonts w:cs="Arial"/>
                <w:b/>
                <w:bCs/>
                <w:sz w:val="22"/>
              </w:rPr>
            </w:pPr>
            <w:r w:rsidRPr="00203808">
              <w:rPr>
                <w:rFonts w:cs="Arial"/>
                <w:b/>
                <w:bCs/>
                <w:sz w:val="22"/>
              </w:rPr>
              <w:t>2023</w:t>
            </w:r>
          </w:p>
        </w:tc>
        <w:tc>
          <w:tcPr>
            <w:tcW w:w="919" w:type="dxa"/>
            <w:tcBorders>
              <w:top w:val="thinThickSmallGap" w:sz="24" w:space="0" w:color="auto"/>
              <w:bottom w:val="thickThinSmallGap" w:sz="24" w:space="0" w:color="auto"/>
            </w:tcBorders>
          </w:tcPr>
          <w:p w14:paraId="6C66AD5E" w14:textId="77777777" w:rsidR="004B1CB3" w:rsidRPr="00203808" w:rsidRDefault="004B1CB3" w:rsidP="00203808">
            <w:pPr>
              <w:spacing w:after="0" w:line="360" w:lineRule="auto"/>
              <w:jc w:val="both"/>
              <w:rPr>
                <w:rFonts w:cs="Arial"/>
                <w:b/>
                <w:bCs/>
                <w:sz w:val="22"/>
              </w:rPr>
            </w:pPr>
            <w:r w:rsidRPr="00203808">
              <w:rPr>
                <w:rFonts w:cs="Arial"/>
                <w:b/>
                <w:bCs/>
                <w:sz w:val="22"/>
              </w:rPr>
              <w:t>2024</w:t>
            </w:r>
          </w:p>
        </w:tc>
        <w:tc>
          <w:tcPr>
            <w:tcW w:w="919" w:type="dxa"/>
            <w:tcBorders>
              <w:top w:val="thinThickSmallGap" w:sz="24" w:space="0" w:color="auto"/>
              <w:bottom w:val="thickThinSmallGap" w:sz="24" w:space="0" w:color="auto"/>
            </w:tcBorders>
          </w:tcPr>
          <w:p w14:paraId="3A15DE45" w14:textId="77777777" w:rsidR="004B1CB3" w:rsidRPr="00203808" w:rsidRDefault="004B1CB3" w:rsidP="00203808">
            <w:pPr>
              <w:spacing w:after="0" w:line="360" w:lineRule="auto"/>
              <w:jc w:val="both"/>
              <w:rPr>
                <w:rFonts w:cs="Arial"/>
                <w:b/>
                <w:bCs/>
                <w:sz w:val="22"/>
              </w:rPr>
            </w:pPr>
            <w:r w:rsidRPr="00203808">
              <w:rPr>
                <w:rFonts w:cs="Arial"/>
                <w:b/>
                <w:bCs/>
                <w:sz w:val="22"/>
              </w:rPr>
              <w:t>2025</w:t>
            </w:r>
          </w:p>
        </w:tc>
      </w:tr>
      <w:tr w:rsidR="00203808" w:rsidRPr="00203808" w14:paraId="3D33C4EF" w14:textId="77777777" w:rsidTr="0099583A">
        <w:tc>
          <w:tcPr>
            <w:tcW w:w="3043" w:type="dxa"/>
            <w:tcBorders>
              <w:top w:val="thickThinSmallGap" w:sz="24" w:space="0" w:color="auto"/>
            </w:tcBorders>
          </w:tcPr>
          <w:p w14:paraId="42357D56" w14:textId="77777777" w:rsidR="004B1CB3" w:rsidRPr="00203808" w:rsidRDefault="004B1CB3" w:rsidP="00203808">
            <w:pPr>
              <w:spacing w:after="0" w:line="360" w:lineRule="auto"/>
              <w:jc w:val="both"/>
              <w:rPr>
                <w:rFonts w:cs="Arial"/>
                <w:sz w:val="22"/>
              </w:rPr>
            </w:pPr>
            <w:r w:rsidRPr="00203808">
              <w:rPr>
                <w:rFonts w:cs="Arial"/>
                <w:sz w:val="22"/>
              </w:rPr>
              <w:t>Current ratio</w:t>
            </w:r>
          </w:p>
        </w:tc>
        <w:tc>
          <w:tcPr>
            <w:tcW w:w="1253" w:type="dxa"/>
            <w:tcBorders>
              <w:top w:val="thickThinSmallGap" w:sz="24" w:space="0" w:color="auto"/>
            </w:tcBorders>
          </w:tcPr>
          <w:p w14:paraId="1916342C" w14:textId="77777777" w:rsidR="004B1CB3" w:rsidRPr="00203808" w:rsidRDefault="004B1CB3" w:rsidP="00203808">
            <w:pPr>
              <w:spacing w:after="0" w:line="360" w:lineRule="auto"/>
              <w:jc w:val="both"/>
              <w:rPr>
                <w:rFonts w:cs="Arial"/>
                <w:sz w:val="22"/>
              </w:rPr>
            </w:pPr>
            <w:r w:rsidRPr="00203808">
              <w:rPr>
                <w:rFonts w:cs="Arial"/>
                <w:sz w:val="22"/>
              </w:rPr>
              <w:t>.57</w:t>
            </w:r>
          </w:p>
        </w:tc>
        <w:tc>
          <w:tcPr>
            <w:tcW w:w="1226" w:type="dxa"/>
            <w:tcBorders>
              <w:top w:val="thickThinSmallGap" w:sz="24" w:space="0" w:color="auto"/>
            </w:tcBorders>
          </w:tcPr>
          <w:p w14:paraId="03DC2CFE" w14:textId="77777777" w:rsidR="004B1CB3" w:rsidRPr="00203808" w:rsidRDefault="004B1CB3" w:rsidP="00203808">
            <w:pPr>
              <w:spacing w:after="0" w:line="360" w:lineRule="auto"/>
              <w:jc w:val="both"/>
              <w:rPr>
                <w:rFonts w:cs="Arial"/>
                <w:sz w:val="22"/>
              </w:rPr>
            </w:pPr>
            <w:r w:rsidRPr="00203808">
              <w:rPr>
                <w:rFonts w:cs="Arial"/>
                <w:sz w:val="22"/>
              </w:rPr>
              <w:t>.45</w:t>
            </w:r>
          </w:p>
        </w:tc>
        <w:tc>
          <w:tcPr>
            <w:tcW w:w="1280" w:type="dxa"/>
            <w:tcBorders>
              <w:top w:val="thickThinSmallGap" w:sz="24" w:space="0" w:color="auto"/>
            </w:tcBorders>
          </w:tcPr>
          <w:p w14:paraId="30B6B7CF" w14:textId="77777777" w:rsidR="004B1CB3" w:rsidRPr="00203808" w:rsidRDefault="004B1CB3" w:rsidP="00203808">
            <w:pPr>
              <w:spacing w:after="0" w:line="360" w:lineRule="auto"/>
              <w:jc w:val="both"/>
              <w:rPr>
                <w:rFonts w:cs="Arial"/>
                <w:sz w:val="22"/>
              </w:rPr>
            </w:pPr>
            <w:r w:rsidRPr="00203808">
              <w:rPr>
                <w:rFonts w:cs="Arial"/>
                <w:sz w:val="22"/>
              </w:rPr>
              <w:t>.43</w:t>
            </w:r>
          </w:p>
        </w:tc>
        <w:tc>
          <w:tcPr>
            <w:tcW w:w="919" w:type="dxa"/>
            <w:tcBorders>
              <w:top w:val="thickThinSmallGap" w:sz="24" w:space="0" w:color="auto"/>
            </w:tcBorders>
          </w:tcPr>
          <w:p w14:paraId="6CB64821" w14:textId="77777777" w:rsidR="004B1CB3" w:rsidRPr="00203808" w:rsidRDefault="004B1CB3" w:rsidP="00203808">
            <w:pPr>
              <w:spacing w:after="0" w:line="360" w:lineRule="auto"/>
              <w:jc w:val="both"/>
              <w:rPr>
                <w:rFonts w:cs="Arial"/>
                <w:sz w:val="22"/>
              </w:rPr>
            </w:pPr>
            <w:r w:rsidRPr="00203808">
              <w:rPr>
                <w:rFonts w:cs="Arial"/>
                <w:sz w:val="22"/>
              </w:rPr>
              <w:t>.40</w:t>
            </w:r>
          </w:p>
        </w:tc>
        <w:tc>
          <w:tcPr>
            <w:tcW w:w="919" w:type="dxa"/>
            <w:tcBorders>
              <w:top w:val="thickThinSmallGap" w:sz="24" w:space="0" w:color="auto"/>
            </w:tcBorders>
          </w:tcPr>
          <w:p w14:paraId="27FA0237" w14:textId="77777777" w:rsidR="004B1CB3" w:rsidRPr="00203808" w:rsidRDefault="004B1CB3" w:rsidP="00203808">
            <w:pPr>
              <w:spacing w:after="0" w:line="360" w:lineRule="auto"/>
              <w:jc w:val="both"/>
              <w:rPr>
                <w:rFonts w:cs="Arial"/>
                <w:sz w:val="22"/>
              </w:rPr>
            </w:pPr>
            <w:r w:rsidRPr="00203808">
              <w:rPr>
                <w:rFonts w:cs="Arial"/>
                <w:sz w:val="22"/>
              </w:rPr>
              <w:t>.43</w:t>
            </w:r>
          </w:p>
        </w:tc>
      </w:tr>
      <w:tr w:rsidR="00203808" w:rsidRPr="00203808" w14:paraId="796802DB" w14:textId="77777777" w:rsidTr="0099583A">
        <w:tc>
          <w:tcPr>
            <w:tcW w:w="3043" w:type="dxa"/>
          </w:tcPr>
          <w:p w14:paraId="0616CD35" w14:textId="77777777" w:rsidR="004B1CB3" w:rsidRPr="00203808" w:rsidRDefault="004B1CB3" w:rsidP="00203808">
            <w:pPr>
              <w:spacing w:after="0" w:line="360" w:lineRule="auto"/>
              <w:jc w:val="both"/>
              <w:rPr>
                <w:rFonts w:cs="Arial"/>
                <w:sz w:val="22"/>
              </w:rPr>
            </w:pPr>
            <w:r w:rsidRPr="00203808">
              <w:rPr>
                <w:rFonts w:cs="Arial"/>
                <w:sz w:val="22"/>
              </w:rPr>
              <w:t>Quick ratio</w:t>
            </w:r>
          </w:p>
        </w:tc>
        <w:tc>
          <w:tcPr>
            <w:tcW w:w="1253" w:type="dxa"/>
          </w:tcPr>
          <w:p w14:paraId="33CB2F90" w14:textId="77777777" w:rsidR="004B1CB3" w:rsidRPr="00203808" w:rsidRDefault="004B1CB3" w:rsidP="00203808">
            <w:pPr>
              <w:spacing w:after="0" w:line="360" w:lineRule="auto"/>
              <w:jc w:val="both"/>
              <w:rPr>
                <w:rFonts w:cs="Arial"/>
                <w:sz w:val="22"/>
              </w:rPr>
            </w:pPr>
            <w:r w:rsidRPr="00203808">
              <w:rPr>
                <w:rFonts w:cs="Arial"/>
                <w:sz w:val="22"/>
              </w:rPr>
              <w:t>.53</w:t>
            </w:r>
          </w:p>
        </w:tc>
        <w:tc>
          <w:tcPr>
            <w:tcW w:w="1226" w:type="dxa"/>
          </w:tcPr>
          <w:p w14:paraId="14EC81D4" w14:textId="77777777" w:rsidR="004B1CB3" w:rsidRPr="00203808" w:rsidRDefault="004B1CB3" w:rsidP="00203808">
            <w:pPr>
              <w:spacing w:after="0" w:line="360" w:lineRule="auto"/>
              <w:jc w:val="both"/>
              <w:rPr>
                <w:rFonts w:cs="Arial"/>
                <w:sz w:val="22"/>
              </w:rPr>
            </w:pPr>
            <w:r w:rsidRPr="00203808">
              <w:rPr>
                <w:rFonts w:cs="Arial"/>
                <w:sz w:val="22"/>
              </w:rPr>
              <w:t>.42</w:t>
            </w:r>
          </w:p>
        </w:tc>
        <w:tc>
          <w:tcPr>
            <w:tcW w:w="1280" w:type="dxa"/>
          </w:tcPr>
          <w:p w14:paraId="503D65AD" w14:textId="77777777" w:rsidR="004B1CB3" w:rsidRPr="00203808" w:rsidRDefault="004B1CB3" w:rsidP="00203808">
            <w:pPr>
              <w:spacing w:after="0" w:line="360" w:lineRule="auto"/>
              <w:jc w:val="both"/>
              <w:rPr>
                <w:rFonts w:cs="Arial"/>
                <w:sz w:val="22"/>
              </w:rPr>
            </w:pPr>
            <w:r w:rsidRPr="00203808">
              <w:rPr>
                <w:rFonts w:cs="Arial"/>
                <w:sz w:val="22"/>
              </w:rPr>
              <w:t>.39</w:t>
            </w:r>
          </w:p>
        </w:tc>
        <w:tc>
          <w:tcPr>
            <w:tcW w:w="919" w:type="dxa"/>
          </w:tcPr>
          <w:p w14:paraId="5E727882" w14:textId="77777777" w:rsidR="004B1CB3" w:rsidRPr="00203808" w:rsidRDefault="004B1CB3" w:rsidP="00203808">
            <w:pPr>
              <w:spacing w:after="0" w:line="360" w:lineRule="auto"/>
              <w:jc w:val="both"/>
              <w:rPr>
                <w:rFonts w:cs="Arial"/>
                <w:sz w:val="22"/>
              </w:rPr>
            </w:pPr>
            <w:r w:rsidRPr="00203808">
              <w:rPr>
                <w:rFonts w:cs="Arial"/>
                <w:sz w:val="22"/>
              </w:rPr>
              <w:t>.37</w:t>
            </w:r>
          </w:p>
        </w:tc>
        <w:tc>
          <w:tcPr>
            <w:tcW w:w="919" w:type="dxa"/>
          </w:tcPr>
          <w:p w14:paraId="68860B2F" w14:textId="77777777" w:rsidR="004B1CB3" w:rsidRPr="00203808" w:rsidRDefault="004B1CB3" w:rsidP="00203808">
            <w:pPr>
              <w:spacing w:after="0" w:line="360" w:lineRule="auto"/>
              <w:jc w:val="both"/>
              <w:rPr>
                <w:rFonts w:cs="Arial"/>
                <w:sz w:val="22"/>
              </w:rPr>
            </w:pPr>
            <w:r w:rsidRPr="00203808">
              <w:rPr>
                <w:rFonts w:cs="Arial"/>
                <w:sz w:val="22"/>
              </w:rPr>
              <w:t>.39</w:t>
            </w:r>
          </w:p>
        </w:tc>
      </w:tr>
      <w:tr w:rsidR="004B1CB3" w:rsidRPr="00203808" w14:paraId="31ED6E13" w14:textId="77777777" w:rsidTr="0099583A">
        <w:tc>
          <w:tcPr>
            <w:tcW w:w="3043" w:type="dxa"/>
            <w:tcBorders>
              <w:bottom w:val="thickThinSmallGap" w:sz="24" w:space="0" w:color="auto"/>
            </w:tcBorders>
          </w:tcPr>
          <w:p w14:paraId="26428445" w14:textId="77777777" w:rsidR="004B1CB3" w:rsidRPr="00203808" w:rsidRDefault="004B1CB3" w:rsidP="00203808">
            <w:pPr>
              <w:spacing w:after="0" w:line="360" w:lineRule="auto"/>
              <w:jc w:val="both"/>
              <w:rPr>
                <w:rFonts w:cs="Arial"/>
                <w:sz w:val="22"/>
              </w:rPr>
            </w:pPr>
            <w:r w:rsidRPr="00203808">
              <w:rPr>
                <w:rFonts w:cs="Arial"/>
                <w:sz w:val="22"/>
              </w:rPr>
              <w:t>Cash ratio</w:t>
            </w:r>
          </w:p>
        </w:tc>
        <w:tc>
          <w:tcPr>
            <w:tcW w:w="1253" w:type="dxa"/>
            <w:tcBorders>
              <w:bottom w:val="thickThinSmallGap" w:sz="24" w:space="0" w:color="auto"/>
            </w:tcBorders>
          </w:tcPr>
          <w:p w14:paraId="60D91684" w14:textId="77777777" w:rsidR="004B1CB3" w:rsidRPr="00203808" w:rsidRDefault="004B1CB3" w:rsidP="00203808">
            <w:pPr>
              <w:spacing w:after="0" w:line="360" w:lineRule="auto"/>
              <w:jc w:val="both"/>
              <w:rPr>
                <w:rFonts w:cs="Arial"/>
                <w:sz w:val="22"/>
              </w:rPr>
            </w:pPr>
            <w:r w:rsidRPr="00203808">
              <w:rPr>
                <w:rFonts w:cs="Arial"/>
                <w:sz w:val="22"/>
              </w:rPr>
              <w:t>.22</w:t>
            </w:r>
          </w:p>
        </w:tc>
        <w:tc>
          <w:tcPr>
            <w:tcW w:w="1226" w:type="dxa"/>
            <w:tcBorders>
              <w:bottom w:val="thickThinSmallGap" w:sz="24" w:space="0" w:color="auto"/>
            </w:tcBorders>
          </w:tcPr>
          <w:p w14:paraId="0341C2CA" w14:textId="77777777" w:rsidR="004B1CB3" w:rsidRPr="00203808" w:rsidRDefault="004B1CB3" w:rsidP="00203808">
            <w:pPr>
              <w:spacing w:after="0" w:line="360" w:lineRule="auto"/>
              <w:jc w:val="both"/>
              <w:rPr>
                <w:rFonts w:cs="Arial"/>
                <w:sz w:val="22"/>
              </w:rPr>
            </w:pPr>
            <w:r w:rsidRPr="00203808">
              <w:rPr>
                <w:rFonts w:cs="Arial"/>
                <w:sz w:val="22"/>
              </w:rPr>
              <w:t>.07</w:t>
            </w:r>
          </w:p>
        </w:tc>
        <w:tc>
          <w:tcPr>
            <w:tcW w:w="1280" w:type="dxa"/>
            <w:tcBorders>
              <w:bottom w:val="thickThinSmallGap" w:sz="24" w:space="0" w:color="auto"/>
            </w:tcBorders>
          </w:tcPr>
          <w:p w14:paraId="0CDA6407" w14:textId="77777777" w:rsidR="004B1CB3" w:rsidRPr="00203808" w:rsidRDefault="004B1CB3" w:rsidP="00203808">
            <w:pPr>
              <w:spacing w:after="0" w:line="360" w:lineRule="auto"/>
              <w:jc w:val="both"/>
              <w:rPr>
                <w:rFonts w:cs="Arial"/>
                <w:sz w:val="22"/>
              </w:rPr>
            </w:pPr>
            <w:r w:rsidRPr="00203808">
              <w:rPr>
                <w:rFonts w:cs="Arial"/>
                <w:sz w:val="22"/>
              </w:rPr>
              <w:t>.04</w:t>
            </w:r>
          </w:p>
        </w:tc>
        <w:tc>
          <w:tcPr>
            <w:tcW w:w="919" w:type="dxa"/>
            <w:tcBorders>
              <w:bottom w:val="thickThinSmallGap" w:sz="24" w:space="0" w:color="auto"/>
            </w:tcBorders>
          </w:tcPr>
          <w:p w14:paraId="313C0D34" w14:textId="77777777" w:rsidR="004B1CB3" w:rsidRPr="00203808" w:rsidRDefault="004B1CB3" w:rsidP="00203808">
            <w:pPr>
              <w:spacing w:after="0" w:line="360" w:lineRule="auto"/>
              <w:jc w:val="both"/>
              <w:rPr>
                <w:rFonts w:cs="Arial"/>
                <w:sz w:val="22"/>
              </w:rPr>
            </w:pPr>
            <w:r w:rsidRPr="00203808">
              <w:rPr>
                <w:rFonts w:cs="Arial"/>
                <w:sz w:val="22"/>
              </w:rPr>
              <w:t>.05</w:t>
            </w:r>
          </w:p>
        </w:tc>
        <w:tc>
          <w:tcPr>
            <w:tcW w:w="919" w:type="dxa"/>
            <w:tcBorders>
              <w:bottom w:val="thickThinSmallGap" w:sz="24" w:space="0" w:color="auto"/>
            </w:tcBorders>
          </w:tcPr>
          <w:p w14:paraId="67D35840" w14:textId="77777777" w:rsidR="004B1CB3" w:rsidRPr="00203808" w:rsidRDefault="004B1CB3" w:rsidP="00203808">
            <w:pPr>
              <w:spacing w:after="0" w:line="360" w:lineRule="auto"/>
              <w:jc w:val="both"/>
              <w:rPr>
                <w:rFonts w:cs="Arial"/>
                <w:sz w:val="22"/>
              </w:rPr>
            </w:pPr>
            <w:r w:rsidRPr="00203808">
              <w:rPr>
                <w:rFonts w:cs="Arial"/>
                <w:sz w:val="22"/>
              </w:rPr>
              <w:t>.04</w:t>
            </w:r>
          </w:p>
        </w:tc>
      </w:tr>
    </w:tbl>
    <w:p w14:paraId="7CA49063" w14:textId="44766787" w:rsidR="004B1CB3" w:rsidRPr="00912DDA" w:rsidRDefault="008B27CF" w:rsidP="00203808">
      <w:pPr>
        <w:spacing w:after="0" w:line="360" w:lineRule="auto"/>
        <w:jc w:val="both"/>
        <w:rPr>
          <w:rFonts w:cs="Arial"/>
          <w:b/>
          <w:bCs/>
          <w:sz w:val="22"/>
        </w:rPr>
      </w:pPr>
      <w:r w:rsidRPr="00912DDA">
        <w:rPr>
          <w:rFonts w:cs="Arial"/>
          <w:b/>
          <w:bCs/>
          <w:sz w:val="22"/>
          <w:u w:val="single"/>
        </w:rPr>
        <w:t>Source:</w:t>
      </w:r>
      <w:r w:rsidRPr="00912DDA">
        <w:rPr>
          <w:rFonts w:cs="Arial"/>
          <w:b/>
          <w:bCs/>
          <w:sz w:val="22"/>
        </w:rPr>
        <w:t xml:space="preserve"> </w:t>
      </w:r>
      <w:r w:rsidR="008719B4" w:rsidRPr="00912DDA">
        <w:rPr>
          <w:rFonts w:cs="Arial"/>
          <w:b/>
          <w:bCs/>
          <w:sz w:val="22"/>
          <w:lang w:val="en-GB"/>
        </w:rPr>
        <w:t>Autor’s</w:t>
      </w:r>
      <w:r w:rsidR="004B6D9E" w:rsidRPr="00912DDA">
        <w:rPr>
          <w:rFonts w:cs="Arial"/>
          <w:b/>
          <w:bCs/>
          <w:sz w:val="22"/>
          <w:lang w:val="en-GB"/>
        </w:rPr>
        <w:t xml:space="preserve"> calculation</w:t>
      </w:r>
      <w:r w:rsidR="008719B4" w:rsidRPr="00912DDA">
        <w:rPr>
          <w:rFonts w:cs="Arial"/>
          <w:b/>
          <w:bCs/>
          <w:sz w:val="22"/>
          <w:lang w:val="en-GB"/>
        </w:rPr>
        <w:t>s</w:t>
      </w:r>
      <w:r w:rsidR="004B6D9E" w:rsidRPr="00912DDA">
        <w:rPr>
          <w:rFonts w:cs="Arial"/>
          <w:b/>
          <w:bCs/>
          <w:sz w:val="22"/>
        </w:rPr>
        <w:t xml:space="preserve"> from Marriott International annual report</w:t>
      </w:r>
      <w:r w:rsidR="008719B4" w:rsidRPr="00912DDA">
        <w:rPr>
          <w:rFonts w:cs="Arial"/>
          <w:b/>
          <w:bCs/>
          <w:sz w:val="22"/>
        </w:rPr>
        <w:t xml:space="preserve"> </w:t>
      </w:r>
      <w:r w:rsidR="004B6D9E" w:rsidRPr="00912DDA">
        <w:rPr>
          <w:rFonts w:cs="Arial"/>
          <w:b/>
          <w:bCs/>
          <w:sz w:val="22"/>
        </w:rPr>
        <w:t>2021</w:t>
      </w:r>
      <w:r w:rsidR="00ED72CF" w:rsidRPr="00912DDA">
        <w:rPr>
          <w:rFonts w:cs="Arial"/>
          <w:b/>
          <w:bCs/>
          <w:sz w:val="22"/>
        </w:rPr>
        <w:t>-</w:t>
      </w:r>
      <w:r w:rsidR="004B6D9E" w:rsidRPr="00912DDA">
        <w:rPr>
          <w:rFonts w:cs="Arial"/>
          <w:b/>
          <w:bCs/>
          <w:sz w:val="22"/>
        </w:rPr>
        <w:t>2025</w:t>
      </w:r>
    </w:p>
    <w:p w14:paraId="1E717D9F" w14:textId="2290C928" w:rsidR="008B27CF" w:rsidRPr="00203808" w:rsidRDefault="008B27CF" w:rsidP="00203808">
      <w:pPr>
        <w:spacing w:after="0" w:line="360" w:lineRule="auto"/>
        <w:jc w:val="both"/>
        <w:rPr>
          <w:rFonts w:cs="Arial"/>
          <w:sz w:val="22"/>
        </w:rPr>
      </w:pPr>
      <w:r w:rsidRPr="00203808">
        <w:rPr>
          <w:rFonts w:cs="Arial"/>
          <w:sz w:val="22"/>
        </w:rPr>
        <w:t>All liquidity ratios declined. The Current Ratio fell from 0.57 to 0.43 as liabilities grew faster than assets (Marriott International, 2026). The Quick and Cash ratios also fell, indicating limited liquid assets. This reflects tight short</w:t>
      </w:r>
      <w:r w:rsidR="00ED72CF" w:rsidRPr="00203808">
        <w:rPr>
          <w:rFonts w:cs="Arial"/>
          <w:sz w:val="22"/>
        </w:rPr>
        <w:t>-</w:t>
      </w:r>
      <w:r w:rsidRPr="00203808">
        <w:rPr>
          <w:rFonts w:cs="Arial"/>
          <w:sz w:val="22"/>
        </w:rPr>
        <w:t xml:space="preserve">term liquidity and increased reliance on $3,212m operating cash flow and the $4.5bn Credit Facility (Marriott International, 2026). </w:t>
      </w:r>
    </w:p>
    <w:p w14:paraId="1D171F86" w14:textId="77777777" w:rsidR="008B27CF" w:rsidRPr="00203808" w:rsidRDefault="008B27CF" w:rsidP="00203808">
      <w:pPr>
        <w:spacing w:after="0" w:line="360" w:lineRule="auto"/>
        <w:jc w:val="both"/>
        <w:rPr>
          <w:rFonts w:cs="Arial"/>
          <w:sz w:val="22"/>
        </w:rPr>
      </w:pPr>
    </w:p>
    <w:p w14:paraId="7CE30A88" w14:textId="05048B99" w:rsidR="004B1CB3" w:rsidRPr="00912DDA" w:rsidRDefault="008B27CF" w:rsidP="00203808">
      <w:pPr>
        <w:spacing w:after="0" w:line="360" w:lineRule="auto"/>
        <w:jc w:val="both"/>
        <w:rPr>
          <w:rFonts w:cs="Arial"/>
          <w:b/>
          <w:bCs/>
          <w:sz w:val="22"/>
        </w:rPr>
      </w:pPr>
      <w:r w:rsidRPr="00912DDA">
        <w:rPr>
          <w:rFonts w:cs="Arial"/>
          <w:b/>
          <w:bCs/>
          <w:sz w:val="22"/>
          <w:u w:val="single"/>
        </w:rPr>
        <w:t>Figure 2:</w:t>
      </w:r>
      <w:r w:rsidRPr="00912DDA">
        <w:rPr>
          <w:rFonts w:cs="Arial"/>
          <w:b/>
          <w:bCs/>
          <w:sz w:val="22"/>
        </w:rPr>
        <w:t xml:space="preserve"> Liquidity Ratios trend 2021</w:t>
      </w:r>
      <w:r w:rsidR="00ED72CF" w:rsidRPr="00912DDA">
        <w:rPr>
          <w:rFonts w:cs="Arial"/>
          <w:b/>
          <w:bCs/>
          <w:sz w:val="22"/>
        </w:rPr>
        <w:t>-</w:t>
      </w:r>
      <w:r w:rsidRPr="00912DDA">
        <w:rPr>
          <w:rFonts w:cs="Arial"/>
          <w:b/>
          <w:bCs/>
          <w:sz w:val="22"/>
        </w:rPr>
        <w:t xml:space="preserve">2025  </w:t>
      </w:r>
    </w:p>
    <w:p w14:paraId="18EDC89F" w14:textId="06336A87" w:rsidR="000D13C8" w:rsidRPr="00203808" w:rsidRDefault="000D13C8" w:rsidP="00203808">
      <w:pPr>
        <w:spacing w:after="0" w:line="360" w:lineRule="auto"/>
        <w:jc w:val="both"/>
        <w:rPr>
          <w:rFonts w:cs="Arial"/>
          <w:b/>
          <w:bCs/>
          <w:sz w:val="22"/>
          <w:lang w:val="en-GB"/>
        </w:rPr>
      </w:pPr>
      <w:r w:rsidRPr="00203808">
        <w:rPr>
          <w:rFonts w:cs="Arial"/>
          <w:noProof/>
          <w:sz w:val="22"/>
        </w:rPr>
        <w:drawing>
          <wp:inline distT="0" distB="0" distL="0" distR="0" wp14:anchorId="38D4929B" wp14:editId="214902E5">
            <wp:extent cx="2857500" cy="2476500"/>
            <wp:effectExtent l="0" t="0" r="0" b="0"/>
            <wp:docPr id="927612802" name="Graphique 1">
              <a:extLst xmlns:a="http://schemas.openxmlformats.org/drawingml/2006/main">
                <a:ext uri="{FF2B5EF4-FFF2-40B4-BE49-F238E27FC236}">
                  <a16:creationId xmlns:a16="http://schemas.microsoft.com/office/drawing/2014/main" id="{56FC18B4-7E29-483E-D701-11E3A21810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Pr="00203808">
        <w:rPr>
          <w:rFonts w:cs="Arial"/>
          <w:noProof/>
          <w:sz w:val="22"/>
        </w:rPr>
        <w:drawing>
          <wp:inline distT="0" distB="0" distL="0" distR="0" wp14:anchorId="4B78C1C8" wp14:editId="5DACF6E6">
            <wp:extent cx="2628900" cy="2444750"/>
            <wp:effectExtent l="0" t="0" r="0" b="12700"/>
            <wp:docPr id="2013372560" name="Graphique 1">
              <a:extLst xmlns:a="http://schemas.openxmlformats.org/drawingml/2006/main">
                <a:ext uri="{FF2B5EF4-FFF2-40B4-BE49-F238E27FC236}">
                  <a16:creationId xmlns:a16="http://schemas.microsoft.com/office/drawing/2014/main" id="{113C51A4-F735-9EE3-93A5-181E088242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203808">
        <w:rPr>
          <w:rFonts w:cs="Arial"/>
          <w:noProof/>
          <w:sz w:val="22"/>
        </w:rPr>
        <w:drawing>
          <wp:inline distT="0" distB="0" distL="0" distR="0" wp14:anchorId="7D8A7815" wp14:editId="5476D582">
            <wp:extent cx="5435600" cy="2152650"/>
            <wp:effectExtent l="0" t="0" r="12700" b="0"/>
            <wp:docPr id="297664340" name="Graphique 1">
              <a:extLst xmlns:a="http://schemas.openxmlformats.org/drawingml/2006/main">
                <a:ext uri="{FF2B5EF4-FFF2-40B4-BE49-F238E27FC236}">
                  <a16:creationId xmlns:a16="http://schemas.microsoft.com/office/drawing/2014/main" id="{1931996E-A0B0-66BA-C5F8-4DA91EB530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B00F403" w14:textId="404D7A2D" w:rsidR="004B6D9E" w:rsidRPr="00912DDA" w:rsidRDefault="004B6D9E" w:rsidP="00203808">
      <w:pPr>
        <w:spacing w:after="0" w:line="360" w:lineRule="auto"/>
        <w:jc w:val="both"/>
        <w:rPr>
          <w:rFonts w:cs="Arial"/>
          <w:b/>
          <w:bCs/>
          <w:sz w:val="22"/>
        </w:rPr>
      </w:pPr>
      <w:r w:rsidRPr="00912DDA">
        <w:rPr>
          <w:rFonts w:cs="Arial"/>
          <w:b/>
          <w:bCs/>
          <w:sz w:val="22"/>
          <w:u w:val="single"/>
        </w:rPr>
        <w:t>Source:</w:t>
      </w:r>
      <w:r w:rsidRPr="00912DDA">
        <w:rPr>
          <w:rFonts w:cs="Arial"/>
          <w:b/>
          <w:bCs/>
          <w:sz w:val="22"/>
        </w:rPr>
        <w:t xml:space="preserve"> </w:t>
      </w:r>
      <w:r w:rsidR="008719B4" w:rsidRPr="00912DDA">
        <w:rPr>
          <w:rFonts w:cs="Arial"/>
          <w:b/>
          <w:bCs/>
          <w:sz w:val="22"/>
          <w:lang w:val="en-GB"/>
        </w:rPr>
        <w:t xml:space="preserve">Autor </w:t>
      </w:r>
      <w:r w:rsidRPr="00912DDA">
        <w:rPr>
          <w:rFonts w:cs="Arial"/>
          <w:b/>
          <w:bCs/>
          <w:sz w:val="22"/>
        </w:rPr>
        <w:t>from Marriott International annual report</w:t>
      </w:r>
      <w:r w:rsidR="008719B4" w:rsidRPr="00912DDA">
        <w:rPr>
          <w:rFonts w:cs="Arial"/>
          <w:b/>
          <w:bCs/>
          <w:sz w:val="22"/>
        </w:rPr>
        <w:t xml:space="preserve"> </w:t>
      </w:r>
      <w:r w:rsidRPr="00912DDA">
        <w:rPr>
          <w:rFonts w:cs="Arial"/>
          <w:b/>
          <w:bCs/>
          <w:sz w:val="22"/>
        </w:rPr>
        <w:t>20</w:t>
      </w:r>
      <w:r w:rsidR="008719B4" w:rsidRPr="00912DDA">
        <w:rPr>
          <w:rFonts w:cs="Arial"/>
          <w:b/>
          <w:bCs/>
          <w:sz w:val="22"/>
        </w:rPr>
        <w:t>21</w:t>
      </w:r>
      <w:r w:rsidR="00ED72CF" w:rsidRPr="00912DDA">
        <w:rPr>
          <w:rFonts w:cs="Arial"/>
          <w:b/>
          <w:bCs/>
          <w:sz w:val="22"/>
        </w:rPr>
        <w:t>-</w:t>
      </w:r>
      <w:r w:rsidRPr="00912DDA">
        <w:rPr>
          <w:rFonts w:cs="Arial"/>
          <w:b/>
          <w:bCs/>
          <w:sz w:val="22"/>
        </w:rPr>
        <w:t>202</w:t>
      </w:r>
      <w:r w:rsidR="008719B4" w:rsidRPr="00912DDA">
        <w:rPr>
          <w:rFonts w:cs="Arial"/>
          <w:b/>
          <w:bCs/>
          <w:sz w:val="22"/>
        </w:rPr>
        <w:t>5</w:t>
      </w:r>
    </w:p>
    <w:p w14:paraId="3E85CF0C" w14:textId="5E841BD1" w:rsidR="002C7A45" w:rsidRPr="00203808" w:rsidRDefault="002C7A45" w:rsidP="00203808">
      <w:pPr>
        <w:spacing w:after="0" w:line="360" w:lineRule="auto"/>
        <w:jc w:val="both"/>
        <w:rPr>
          <w:rFonts w:cs="Arial"/>
          <w:b/>
          <w:bCs/>
          <w:sz w:val="22"/>
        </w:rPr>
      </w:pPr>
    </w:p>
    <w:p w14:paraId="2E64CA5D" w14:textId="77777777" w:rsidR="002C7A45" w:rsidRPr="00912DDA" w:rsidRDefault="002C7A45" w:rsidP="00203808">
      <w:pPr>
        <w:spacing w:after="0" w:line="360" w:lineRule="auto"/>
        <w:jc w:val="both"/>
        <w:rPr>
          <w:rFonts w:cs="Arial"/>
          <w:b/>
          <w:bCs/>
          <w:sz w:val="22"/>
          <w:u w:val="single"/>
          <w:lang w:val="en-GB"/>
        </w:rPr>
      </w:pPr>
      <w:r w:rsidRPr="00912DDA">
        <w:rPr>
          <w:rFonts w:cs="Arial"/>
          <w:b/>
          <w:bCs/>
          <w:sz w:val="22"/>
          <w:u w:val="single"/>
          <w:lang w:val="en-GB"/>
        </w:rPr>
        <w:t>C. Efficiency Ratios</w:t>
      </w:r>
    </w:p>
    <w:p w14:paraId="2D58BEF7" w14:textId="77777777" w:rsidR="004B6D9E" w:rsidRPr="00203808" w:rsidRDefault="004B6D9E" w:rsidP="00203808">
      <w:pPr>
        <w:spacing w:after="0" w:line="360" w:lineRule="auto"/>
        <w:jc w:val="both"/>
        <w:rPr>
          <w:rFonts w:cs="Arial"/>
          <w:sz w:val="22"/>
        </w:rPr>
      </w:pPr>
      <w:r w:rsidRPr="00203808">
        <w:rPr>
          <w:rFonts w:cs="Arial"/>
          <w:sz w:val="22"/>
        </w:rPr>
        <w:t>Efficiency ratios evaluate working capital management. For Marriott, the focus is on receivables and payables given the absence of material inventory.</w:t>
      </w:r>
    </w:p>
    <w:p w14:paraId="0AF10499" w14:textId="77777777" w:rsidR="00D862BB" w:rsidRPr="00203808" w:rsidRDefault="00D862BB" w:rsidP="00203808">
      <w:pPr>
        <w:spacing w:after="0" w:line="360" w:lineRule="auto"/>
        <w:jc w:val="both"/>
        <w:rPr>
          <w:rFonts w:cs="Arial"/>
          <w:b/>
          <w:bCs/>
          <w:sz w:val="22"/>
        </w:rPr>
      </w:pPr>
    </w:p>
    <w:p w14:paraId="05798FFA" w14:textId="24ACC290" w:rsidR="00D862BB" w:rsidRPr="00203808" w:rsidRDefault="00D862BB" w:rsidP="00203808">
      <w:pPr>
        <w:spacing w:after="0" w:line="360" w:lineRule="auto"/>
        <w:jc w:val="both"/>
        <w:rPr>
          <w:rFonts w:cs="Arial"/>
          <w:b/>
          <w:bCs/>
          <w:sz w:val="22"/>
          <w:lang w:val="en-GB"/>
        </w:rPr>
      </w:pPr>
      <w:r w:rsidRPr="00203808">
        <w:rPr>
          <w:rFonts w:cs="Arial"/>
          <w:b/>
          <w:bCs/>
          <w:sz w:val="22"/>
          <w:u w:val="single"/>
          <w:lang w:val="en-GB"/>
        </w:rPr>
        <w:t>Table</w:t>
      </w:r>
      <w:r w:rsidR="00203808" w:rsidRPr="00203808">
        <w:rPr>
          <w:rFonts w:cs="Arial"/>
          <w:b/>
          <w:bCs/>
          <w:sz w:val="22"/>
          <w:u w:val="single"/>
          <w:lang w:val="en-GB"/>
        </w:rPr>
        <w:t xml:space="preserve"> 3</w:t>
      </w:r>
      <w:r w:rsidRPr="00203808">
        <w:rPr>
          <w:rFonts w:cs="Arial"/>
          <w:b/>
          <w:bCs/>
          <w:sz w:val="22"/>
          <w:u w:val="single"/>
          <w:lang w:val="en-GB"/>
        </w:rPr>
        <w:t>:</w:t>
      </w:r>
      <w:r w:rsidR="004B1CB3" w:rsidRPr="00203808">
        <w:rPr>
          <w:rFonts w:cs="Arial"/>
          <w:b/>
          <w:bCs/>
          <w:sz w:val="22"/>
          <w:lang w:val="en-GB"/>
        </w:rPr>
        <w:t xml:space="preserve"> E</w:t>
      </w:r>
      <w:r w:rsidRPr="00203808">
        <w:rPr>
          <w:rFonts w:cs="Arial"/>
          <w:b/>
          <w:bCs/>
          <w:sz w:val="22"/>
          <w:lang w:val="en-GB"/>
        </w:rPr>
        <w:t xml:space="preserve">fficiency </w:t>
      </w:r>
      <w:r w:rsidRPr="00912DDA">
        <w:rPr>
          <w:rFonts w:cs="Arial"/>
          <w:b/>
          <w:bCs/>
          <w:sz w:val="22"/>
          <w:lang w:val="en-GB"/>
        </w:rPr>
        <w:t>ratios</w:t>
      </w:r>
      <w:r w:rsidR="004B6D9E" w:rsidRPr="00912DDA">
        <w:rPr>
          <w:rFonts w:cs="Arial"/>
          <w:b/>
          <w:bCs/>
          <w:sz w:val="22"/>
          <w:lang w:val="en-GB"/>
        </w:rPr>
        <w:t xml:space="preserve"> </w:t>
      </w:r>
      <w:r w:rsidR="004B6D9E" w:rsidRPr="00912DDA">
        <w:rPr>
          <w:rFonts w:cs="Arial"/>
          <w:b/>
          <w:bCs/>
          <w:sz w:val="22"/>
        </w:rPr>
        <w:t>2021</w:t>
      </w:r>
      <w:r w:rsidR="00ED72CF" w:rsidRPr="00912DDA">
        <w:rPr>
          <w:rFonts w:cs="Arial"/>
          <w:b/>
          <w:bCs/>
          <w:sz w:val="22"/>
        </w:rPr>
        <w:t>-</w:t>
      </w:r>
      <w:r w:rsidR="004B6D9E" w:rsidRPr="00912DDA">
        <w:rPr>
          <w:rFonts w:cs="Arial"/>
          <w:b/>
          <w:bCs/>
          <w:sz w:val="22"/>
        </w:rPr>
        <w:t>2025</w:t>
      </w:r>
      <w:r w:rsidR="004B6D9E" w:rsidRPr="00203808">
        <w:rPr>
          <w:rFonts w:cs="Arial"/>
          <w:sz w:val="22"/>
        </w:rPr>
        <w:t xml:space="preserve">  </w:t>
      </w:r>
    </w:p>
    <w:tbl>
      <w:tblPr>
        <w:tblW w:w="7077" w:type="dxa"/>
        <w:tblCellSpacing w:w="15" w:type="dxa"/>
        <w:tblCellMar>
          <w:top w:w="15" w:type="dxa"/>
          <w:left w:w="15" w:type="dxa"/>
          <w:bottom w:w="15" w:type="dxa"/>
          <w:right w:w="15" w:type="dxa"/>
        </w:tblCellMar>
        <w:tblLook w:val="04A0" w:firstRow="1" w:lastRow="0" w:firstColumn="1" w:lastColumn="0" w:noHBand="0" w:noVBand="1"/>
      </w:tblPr>
      <w:tblGrid>
        <w:gridCol w:w="3897"/>
        <w:gridCol w:w="633"/>
        <w:gridCol w:w="633"/>
        <w:gridCol w:w="633"/>
        <w:gridCol w:w="633"/>
        <w:gridCol w:w="648"/>
      </w:tblGrid>
      <w:tr w:rsidR="00203808" w:rsidRPr="00203808" w14:paraId="34428B4B" w14:textId="77777777" w:rsidTr="004B1CB3">
        <w:trPr>
          <w:trHeight w:val="565"/>
          <w:tblHeader/>
          <w:tblCellSpacing w:w="15" w:type="dxa"/>
        </w:trPr>
        <w:tc>
          <w:tcPr>
            <w:tcW w:w="0" w:type="auto"/>
            <w:tcBorders>
              <w:top w:val="thinThickSmallGap" w:sz="24" w:space="0" w:color="auto"/>
              <w:bottom w:val="thickThinSmallGap" w:sz="24" w:space="0" w:color="auto"/>
            </w:tcBorders>
            <w:vAlign w:val="center"/>
            <w:hideMark/>
          </w:tcPr>
          <w:p w14:paraId="23950D1D"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Ratio</w:t>
            </w:r>
          </w:p>
        </w:tc>
        <w:tc>
          <w:tcPr>
            <w:tcW w:w="0" w:type="auto"/>
            <w:tcBorders>
              <w:top w:val="thinThickSmallGap" w:sz="24" w:space="0" w:color="auto"/>
              <w:bottom w:val="thickThinSmallGap" w:sz="24" w:space="0" w:color="auto"/>
            </w:tcBorders>
            <w:vAlign w:val="center"/>
            <w:hideMark/>
          </w:tcPr>
          <w:p w14:paraId="2824DA38"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2021</w:t>
            </w:r>
          </w:p>
        </w:tc>
        <w:tc>
          <w:tcPr>
            <w:tcW w:w="0" w:type="auto"/>
            <w:tcBorders>
              <w:top w:val="thinThickSmallGap" w:sz="24" w:space="0" w:color="auto"/>
              <w:bottom w:val="thickThinSmallGap" w:sz="24" w:space="0" w:color="auto"/>
            </w:tcBorders>
            <w:vAlign w:val="center"/>
            <w:hideMark/>
          </w:tcPr>
          <w:p w14:paraId="28D4512A"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2022</w:t>
            </w:r>
          </w:p>
        </w:tc>
        <w:tc>
          <w:tcPr>
            <w:tcW w:w="0" w:type="auto"/>
            <w:tcBorders>
              <w:top w:val="thinThickSmallGap" w:sz="24" w:space="0" w:color="auto"/>
              <w:bottom w:val="thickThinSmallGap" w:sz="24" w:space="0" w:color="auto"/>
            </w:tcBorders>
            <w:vAlign w:val="center"/>
            <w:hideMark/>
          </w:tcPr>
          <w:p w14:paraId="743A8249"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2023</w:t>
            </w:r>
          </w:p>
        </w:tc>
        <w:tc>
          <w:tcPr>
            <w:tcW w:w="0" w:type="auto"/>
            <w:tcBorders>
              <w:top w:val="thinThickSmallGap" w:sz="24" w:space="0" w:color="auto"/>
              <w:bottom w:val="thickThinSmallGap" w:sz="24" w:space="0" w:color="auto"/>
            </w:tcBorders>
            <w:vAlign w:val="center"/>
            <w:hideMark/>
          </w:tcPr>
          <w:p w14:paraId="03A5160C"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2024</w:t>
            </w:r>
          </w:p>
        </w:tc>
        <w:tc>
          <w:tcPr>
            <w:tcW w:w="0" w:type="auto"/>
            <w:tcBorders>
              <w:top w:val="thinThickSmallGap" w:sz="24" w:space="0" w:color="auto"/>
              <w:bottom w:val="thickThinSmallGap" w:sz="24" w:space="0" w:color="auto"/>
            </w:tcBorders>
            <w:vAlign w:val="center"/>
            <w:hideMark/>
          </w:tcPr>
          <w:p w14:paraId="6F4B70A5"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2025</w:t>
            </w:r>
          </w:p>
        </w:tc>
      </w:tr>
      <w:tr w:rsidR="00203808" w:rsidRPr="00203808" w14:paraId="61EEE708" w14:textId="77777777" w:rsidTr="004B1CB3">
        <w:trPr>
          <w:trHeight w:val="576"/>
          <w:tblCellSpacing w:w="15" w:type="dxa"/>
        </w:trPr>
        <w:tc>
          <w:tcPr>
            <w:tcW w:w="0" w:type="auto"/>
            <w:vAlign w:val="center"/>
            <w:hideMark/>
          </w:tcPr>
          <w:p w14:paraId="77E67CD5" w14:textId="7BB5FA3B" w:rsidR="004B1CB3" w:rsidRPr="00203808" w:rsidRDefault="00BC3BB6" w:rsidP="00203808">
            <w:pPr>
              <w:spacing w:after="0" w:line="360" w:lineRule="auto"/>
              <w:jc w:val="both"/>
              <w:rPr>
                <w:rFonts w:cs="Arial"/>
                <w:b/>
                <w:bCs/>
                <w:sz w:val="22"/>
                <w:lang w:val="en-GB"/>
              </w:rPr>
            </w:pPr>
            <w:r w:rsidRPr="00203808">
              <w:rPr>
                <w:rFonts w:cs="Arial"/>
                <w:sz w:val="22"/>
                <w:lang w:val="en-GB"/>
              </w:rPr>
              <w:t xml:space="preserve">Days Sales Inventory </w:t>
            </w:r>
            <w:r>
              <w:rPr>
                <w:rFonts w:cs="Arial"/>
                <w:sz w:val="22"/>
                <w:lang w:val="en-GB"/>
              </w:rPr>
              <w:t>(</w:t>
            </w:r>
            <w:r w:rsidR="004B1CB3" w:rsidRPr="00203808">
              <w:rPr>
                <w:rFonts w:cs="Arial"/>
                <w:sz w:val="22"/>
                <w:lang w:val="en-GB"/>
              </w:rPr>
              <w:t>DSI</w:t>
            </w:r>
            <w:r>
              <w:rPr>
                <w:rFonts w:cs="Arial"/>
                <w:sz w:val="22"/>
                <w:lang w:val="en-GB"/>
              </w:rPr>
              <w:t>)</w:t>
            </w:r>
          </w:p>
        </w:tc>
        <w:tc>
          <w:tcPr>
            <w:tcW w:w="0" w:type="auto"/>
            <w:vAlign w:val="center"/>
            <w:hideMark/>
          </w:tcPr>
          <w:p w14:paraId="604FE73F"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N/A</w:t>
            </w:r>
          </w:p>
        </w:tc>
        <w:tc>
          <w:tcPr>
            <w:tcW w:w="0" w:type="auto"/>
            <w:vAlign w:val="center"/>
            <w:hideMark/>
          </w:tcPr>
          <w:p w14:paraId="74673D11"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N/A</w:t>
            </w:r>
          </w:p>
        </w:tc>
        <w:tc>
          <w:tcPr>
            <w:tcW w:w="0" w:type="auto"/>
            <w:vAlign w:val="center"/>
            <w:hideMark/>
          </w:tcPr>
          <w:p w14:paraId="379EA592"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N/A</w:t>
            </w:r>
          </w:p>
        </w:tc>
        <w:tc>
          <w:tcPr>
            <w:tcW w:w="0" w:type="auto"/>
            <w:vAlign w:val="center"/>
            <w:hideMark/>
          </w:tcPr>
          <w:p w14:paraId="5C429732"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N/A</w:t>
            </w:r>
          </w:p>
        </w:tc>
        <w:tc>
          <w:tcPr>
            <w:tcW w:w="0" w:type="auto"/>
            <w:vAlign w:val="center"/>
            <w:hideMark/>
          </w:tcPr>
          <w:p w14:paraId="01AF4C1C"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N/A</w:t>
            </w:r>
          </w:p>
        </w:tc>
      </w:tr>
      <w:tr w:rsidR="00203808" w:rsidRPr="00203808" w14:paraId="1C11BBCB" w14:textId="77777777" w:rsidTr="004B1CB3">
        <w:trPr>
          <w:trHeight w:val="576"/>
          <w:tblCellSpacing w:w="15" w:type="dxa"/>
        </w:trPr>
        <w:tc>
          <w:tcPr>
            <w:tcW w:w="0" w:type="auto"/>
            <w:vAlign w:val="center"/>
            <w:hideMark/>
          </w:tcPr>
          <w:p w14:paraId="25220D8D" w14:textId="5DF97510" w:rsidR="004B1CB3" w:rsidRPr="00203808" w:rsidRDefault="00BC3BB6" w:rsidP="00203808">
            <w:pPr>
              <w:spacing w:after="0" w:line="360" w:lineRule="auto"/>
              <w:jc w:val="both"/>
              <w:rPr>
                <w:rFonts w:cs="Arial"/>
                <w:b/>
                <w:bCs/>
                <w:sz w:val="22"/>
                <w:lang w:val="en-GB"/>
              </w:rPr>
            </w:pPr>
            <w:r w:rsidRPr="00203808">
              <w:rPr>
                <w:rFonts w:cs="Arial"/>
                <w:sz w:val="22"/>
                <w:lang w:val="en-GB"/>
              </w:rPr>
              <w:t>Days Sales Outstanding</w:t>
            </w:r>
            <w:r w:rsidRPr="00203808">
              <w:rPr>
                <w:rFonts w:cs="Arial"/>
                <w:sz w:val="22"/>
                <w:lang w:val="en-GB"/>
              </w:rPr>
              <w:t xml:space="preserve"> </w:t>
            </w:r>
            <w:r>
              <w:rPr>
                <w:rFonts w:cs="Arial"/>
                <w:sz w:val="22"/>
                <w:lang w:val="en-GB"/>
              </w:rPr>
              <w:t>(</w:t>
            </w:r>
            <w:r w:rsidR="004B1CB3" w:rsidRPr="00203808">
              <w:rPr>
                <w:rFonts w:cs="Arial"/>
                <w:sz w:val="22"/>
                <w:lang w:val="en-GB"/>
              </w:rPr>
              <w:t>DSO</w:t>
            </w:r>
            <w:r>
              <w:rPr>
                <w:rFonts w:cs="Arial"/>
                <w:sz w:val="22"/>
                <w:lang w:val="en-GB"/>
              </w:rPr>
              <w:t>)</w:t>
            </w:r>
          </w:p>
        </w:tc>
        <w:tc>
          <w:tcPr>
            <w:tcW w:w="0" w:type="auto"/>
            <w:vAlign w:val="center"/>
            <w:hideMark/>
          </w:tcPr>
          <w:p w14:paraId="266EA66D"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52.2</w:t>
            </w:r>
          </w:p>
        </w:tc>
        <w:tc>
          <w:tcPr>
            <w:tcW w:w="0" w:type="auto"/>
            <w:vAlign w:val="center"/>
            <w:hideMark/>
          </w:tcPr>
          <w:p w14:paraId="7DF37305"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45.2</w:t>
            </w:r>
          </w:p>
        </w:tc>
        <w:tc>
          <w:tcPr>
            <w:tcW w:w="0" w:type="auto"/>
            <w:vAlign w:val="center"/>
            <w:hideMark/>
          </w:tcPr>
          <w:p w14:paraId="7F907555"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41.7</w:t>
            </w:r>
          </w:p>
        </w:tc>
        <w:tc>
          <w:tcPr>
            <w:tcW w:w="0" w:type="auto"/>
            <w:vAlign w:val="center"/>
            <w:hideMark/>
          </w:tcPr>
          <w:p w14:paraId="63F23B15"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40.6</w:t>
            </w:r>
          </w:p>
        </w:tc>
        <w:tc>
          <w:tcPr>
            <w:tcW w:w="0" w:type="auto"/>
            <w:vAlign w:val="center"/>
            <w:hideMark/>
          </w:tcPr>
          <w:p w14:paraId="5ED1828C"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40.5</w:t>
            </w:r>
          </w:p>
        </w:tc>
      </w:tr>
      <w:tr w:rsidR="00203808" w:rsidRPr="00203808" w14:paraId="2C135C80" w14:textId="77777777" w:rsidTr="004B1CB3">
        <w:trPr>
          <w:trHeight w:val="565"/>
          <w:tblCellSpacing w:w="15" w:type="dxa"/>
        </w:trPr>
        <w:tc>
          <w:tcPr>
            <w:tcW w:w="0" w:type="auto"/>
            <w:tcBorders>
              <w:bottom w:val="thickThinSmallGap" w:sz="24" w:space="0" w:color="auto"/>
            </w:tcBorders>
            <w:vAlign w:val="center"/>
            <w:hideMark/>
          </w:tcPr>
          <w:p w14:paraId="6F5E1A48" w14:textId="19DC4359" w:rsidR="004B1CB3" w:rsidRPr="00203808" w:rsidRDefault="00BC3BB6" w:rsidP="00203808">
            <w:pPr>
              <w:spacing w:after="0" w:line="360" w:lineRule="auto"/>
              <w:jc w:val="both"/>
              <w:rPr>
                <w:rFonts w:cs="Arial"/>
                <w:b/>
                <w:bCs/>
                <w:sz w:val="22"/>
                <w:lang w:val="en-GB"/>
              </w:rPr>
            </w:pPr>
            <w:r w:rsidRPr="00203808">
              <w:rPr>
                <w:rFonts w:cs="Arial"/>
                <w:sz w:val="22"/>
                <w:lang w:val="en-GB"/>
              </w:rPr>
              <w:t>Days Payable Outstanding</w:t>
            </w:r>
            <w:r w:rsidRPr="00203808">
              <w:rPr>
                <w:rFonts w:cs="Arial"/>
                <w:sz w:val="22"/>
                <w:lang w:val="en-GB"/>
              </w:rPr>
              <w:t xml:space="preserve"> </w:t>
            </w:r>
            <w:r>
              <w:rPr>
                <w:rFonts w:cs="Arial"/>
                <w:sz w:val="22"/>
                <w:lang w:val="en-GB"/>
              </w:rPr>
              <w:t>(</w:t>
            </w:r>
            <w:r w:rsidR="004B1CB3" w:rsidRPr="00203808">
              <w:rPr>
                <w:rFonts w:cs="Arial"/>
                <w:sz w:val="22"/>
                <w:lang w:val="en-GB"/>
              </w:rPr>
              <w:t>DPO</w:t>
            </w:r>
            <w:r>
              <w:rPr>
                <w:rFonts w:cs="Arial"/>
                <w:sz w:val="22"/>
                <w:lang w:val="en-GB"/>
              </w:rPr>
              <w:t>)</w:t>
            </w:r>
          </w:p>
        </w:tc>
        <w:tc>
          <w:tcPr>
            <w:tcW w:w="0" w:type="auto"/>
            <w:tcBorders>
              <w:bottom w:val="thickThinSmallGap" w:sz="24" w:space="0" w:color="auto"/>
            </w:tcBorders>
            <w:vAlign w:val="center"/>
            <w:hideMark/>
          </w:tcPr>
          <w:p w14:paraId="08233D90"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24.0</w:t>
            </w:r>
          </w:p>
        </w:tc>
        <w:tc>
          <w:tcPr>
            <w:tcW w:w="0" w:type="auto"/>
            <w:tcBorders>
              <w:bottom w:val="thickThinSmallGap" w:sz="24" w:space="0" w:color="auto"/>
            </w:tcBorders>
            <w:vAlign w:val="center"/>
            <w:hideMark/>
          </w:tcPr>
          <w:p w14:paraId="4AFD6519"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16.8</w:t>
            </w:r>
          </w:p>
        </w:tc>
        <w:tc>
          <w:tcPr>
            <w:tcW w:w="0" w:type="auto"/>
            <w:tcBorders>
              <w:bottom w:val="thickThinSmallGap" w:sz="24" w:space="0" w:color="auto"/>
            </w:tcBorders>
            <w:vAlign w:val="center"/>
            <w:hideMark/>
          </w:tcPr>
          <w:p w14:paraId="761C5B3A"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14.4</w:t>
            </w:r>
          </w:p>
        </w:tc>
        <w:tc>
          <w:tcPr>
            <w:tcW w:w="0" w:type="auto"/>
            <w:tcBorders>
              <w:bottom w:val="thickThinSmallGap" w:sz="24" w:space="0" w:color="auto"/>
            </w:tcBorders>
            <w:vAlign w:val="center"/>
            <w:hideMark/>
          </w:tcPr>
          <w:p w14:paraId="38E4B688"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13.8</w:t>
            </w:r>
          </w:p>
        </w:tc>
        <w:tc>
          <w:tcPr>
            <w:tcW w:w="0" w:type="auto"/>
            <w:tcBorders>
              <w:bottom w:val="thickThinSmallGap" w:sz="24" w:space="0" w:color="auto"/>
            </w:tcBorders>
            <w:vAlign w:val="center"/>
            <w:hideMark/>
          </w:tcPr>
          <w:p w14:paraId="393B5FFD" w14:textId="77777777" w:rsidR="004B1CB3" w:rsidRPr="00203808" w:rsidRDefault="004B1CB3" w:rsidP="00203808">
            <w:pPr>
              <w:spacing w:after="0" w:line="360" w:lineRule="auto"/>
              <w:jc w:val="both"/>
              <w:rPr>
                <w:rFonts w:cs="Arial"/>
                <w:b/>
                <w:bCs/>
                <w:sz w:val="22"/>
                <w:lang w:val="en-GB"/>
              </w:rPr>
            </w:pPr>
            <w:r w:rsidRPr="00203808">
              <w:rPr>
                <w:rFonts w:cs="Arial"/>
                <w:sz w:val="22"/>
                <w:lang w:val="en-GB"/>
              </w:rPr>
              <w:t>14.2</w:t>
            </w:r>
          </w:p>
        </w:tc>
      </w:tr>
    </w:tbl>
    <w:p w14:paraId="49584ABB" w14:textId="08421B30" w:rsidR="004B6D9E" w:rsidRPr="00912DDA" w:rsidRDefault="00D862BB" w:rsidP="00203808">
      <w:pPr>
        <w:spacing w:after="0" w:line="360" w:lineRule="auto"/>
        <w:jc w:val="both"/>
        <w:rPr>
          <w:rFonts w:cs="Arial"/>
          <w:b/>
          <w:bCs/>
          <w:sz w:val="22"/>
        </w:rPr>
      </w:pPr>
      <w:r w:rsidRPr="00912DDA">
        <w:rPr>
          <w:rFonts w:cs="Arial"/>
          <w:b/>
          <w:bCs/>
          <w:sz w:val="22"/>
          <w:u w:val="single"/>
          <w:lang w:val="en-GB"/>
        </w:rPr>
        <w:t>Source:</w:t>
      </w:r>
      <w:r w:rsidRPr="00912DDA">
        <w:rPr>
          <w:rFonts w:cs="Arial"/>
          <w:b/>
          <w:bCs/>
          <w:sz w:val="22"/>
          <w:lang w:val="en-GB"/>
        </w:rPr>
        <w:t xml:space="preserve"> </w:t>
      </w:r>
      <w:r w:rsidR="00E241C5" w:rsidRPr="00912DDA">
        <w:rPr>
          <w:rFonts w:cs="Arial"/>
          <w:b/>
          <w:bCs/>
          <w:sz w:val="22"/>
          <w:lang w:val="en-GB"/>
        </w:rPr>
        <w:t>Autor’s</w:t>
      </w:r>
      <w:r w:rsidR="004B6D9E" w:rsidRPr="00912DDA">
        <w:rPr>
          <w:rFonts w:cs="Arial"/>
          <w:b/>
          <w:bCs/>
          <w:sz w:val="22"/>
          <w:lang w:val="en-GB"/>
        </w:rPr>
        <w:t xml:space="preserve"> calculation</w:t>
      </w:r>
      <w:r w:rsidR="00E241C5" w:rsidRPr="00912DDA">
        <w:rPr>
          <w:rFonts w:cs="Arial"/>
          <w:b/>
          <w:bCs/>
          <w:sz w:val="22"/>
          <w:lang w:val="en-GB"/>
        </w:rPr>
        <w:t>s</w:t>
      </w:r>
      <w:r w:rsidR="004B6D9E" w:rsidRPr="00912DDA">
        <w:rPr>
          <w:rFonts w:cs="Arial"/>
          <w:b/>
          <w:bCs/>
          <w:sz w:val="22"/>
        </w:rPr>
        <w:t xml:space="preserve"> from Marriott International annual report 2021</w:t>
      </w:r>
      <w:r w:rsidR="00ED72CF" w:rsidRPr="00912DDA">
        <w:rPr>
          <w:rFonts w:cs="Arial"/>
          <w:b/>
          <w:bCs/>
          <w:sz w:val="22"/>
        </w:rPr>
        <w:t>-</w:t>
      </w:r>
      <w:r w:rsidR="004B6D9E" w:rsidRPr="00912DDA">
        <w:rPr>
          <w:rFonts w:cs="Arial"/>
          <w:b/>
          <w:bCs/>
          <w:sz w:val="22"/>
        </w:rPr>
        <w:t>2025</w:t>
      </w:r>
    </w:p>
    <w:p w14:paraId="240553E5" w14:textId="5182C76D" w:rsidR="00E241C5" w:rsidRPr="00203808" w:rsidRDefault="00E241C5" w:rsidP="00203808">
      <w:pPr>
        <w:spacing w:after="0" w:line="360" w:lineRule="auto"/>
        <w:jc w:val="both"/>
        <w:rPr>
          <w:rFonts w:cs="Arial"/>
          <w:sz w:val="22"/>
        </w:rPr>
      </w:pPr>
      <w:r w:rsidRPr="00203808">
        <w:rPr>
          <w:rFonts w:cs="Arial"/>
          <w:sz w:val="22"/>
        </w:rPr>
        <w:t>Working capital improved. DSO fell by 11.7 days to 40.5 days in 2025, which suggests faster collection from franchisees. DPO also dropped by 9.8 days to 14.2 days, a result of the cost</w:t>
      </w:r>
      <w:r w:rsidR="00ED72CF" w:rsidRPr="00203808">
        <w:rPr>
          <w:rFonts w:cs="Arial"/>
          <w:sz w:val="22"/>
        </w:rPr>
        <w:t>-</w:t>
      </w:r>
      <w:r w:rsidRPr="00203808">
        <w:rPr>
          <w:rFonts w:cs="Arial"/>
          <w:sz w:val="22"/>
        </w:rPr>
        <w:t>reimbursement model.</w:t>
      </w:r>
    </w:p>
    <w:p w14:paraId="74D45F45" w14:textId="77777777" w:rsidR="004B6D9E" w:rsidRPr="00203808" w:rsidRDefault="004B6D9E" w:rsidP="00203808">
      <w:pPr>
        <w:spacing w:after="0" w:line="360" w:lineRule="auto"/>
        <w:jc w:val="both"/>
        <w:rPr>
          <w:rFonts w:cs="Arial"/>
          <w:sz w:val="22"/>
        </w:rPr>
      </w:pPr>
    </w:p>
    <w:p w14:paraId="6BC25610" w14:textId="4D8A8089" w:rsidR="004B6D9E" w:rsidRPr="00912DDA" w:rsidRDefault="004B6D9E" w:rsidP="00203808">
      <w:pPr>
        <w:spacing w:after="0" w:line="360" w:lineRule="auto"/>
        <w:jc w:val="both"/>
        <w:rPr>
          <w:rFonts w:cs="Arial"/>
          <w:b/>
          <w:bCs/>
          <w:sz w:val="22"/>
        </w:rPr>
      </w:pPr>
      <w:r w:rsidRPr="00912DDA">
        <w:rPr>
          <w:rFonts w:cs="Arial"/>
          <w:b/>
          <w:bCs/>
          <w:sz w:val="22"/>
          <w:u w:val="single"/>
        </w:rPr>
        <w:t>Figure 3:</w:t>
      </w:r>
      <w:r w:rsidRPr="00912DDA">
        <w:rPr>
          <w:rFonts w:cs="Arial"/>
          <w:b/>
          <w:bCs/>
          <w:sz w:val="22"/>
        </w:rPr>
        <w:t xml:space="preserve"> DSO and DPO ratios trend, 2021</w:t>
      </w:r>
      <w:r w:rsidR="00ED72CF" w:rsidRPr="00912DDA">
        <w:rPr>
          <w:rFonts w:cs="Arial"/>
          <w:b/>
          <w:bCs/>
          <w:sz w:val="22"/>
        </w:rPr>
        <w:t>-</w:t>
      </w:r>
      <w:r w:rsidRPr="00912DDA">
        <w:rPr>
          <w:rFonts w:cs="Arial"/>
          <w:b/>
          <w:bCs/>
          <w:sz w:val="22"/>
        </w:rPr>
        <w:t xml:space="preserve">2025  </w:t>
      </w:r>
    </w:p>
    <w:p w14:paraId="48F3771E" w14:textId="3233E742" w:rsidR="0072128D" w:rsidRPr="00203808" w:rsidRDefault="000D13C8" w:rsidP="00203808">
      <w:pPr>
        <w:spacing w:after="0" w:line="360" w:lineRule="auto"/>
        <w:jc w:val="both"/>
        <w:rPr>
          <w:rFonts w:cs="Arial"/>
          <w:b/>
          <w:bCs/>
          <w:sz w:val="22"/>
          <w:lang w:val="en-GB"/>
        </w:rPr>
      </w:pPr>
      <w:r w:rsidRPr="00203808">
        <w:rPr>
          <w:rFonts w:cs="Arial"/>
          <w:noProof/>
          <w:sz w:val="22"/>
        </w:rPr>
        <w:drawing>
          <wp:inline distT="0" distB="0" distL="0" distR="0" wp14:anchorId="729F0127" wp14:editId="1B1FE7D9">
            <wp:extent cx="2889250" cy="2578100"/>
            <wp:effectExtent l="0" t="0" r="6350" b="12700"/>
            <wp:docPr id="464879287" name="Graphique 1">
              <a:extLst xmlns:a="http://schemas.openxmlformats.org/drawingml/2006/main">
                <a:ext uri="{FF2B5EF4-FFF2-40B4-BE49-F238E27FC236}">
                  <a16:creationId xmlns:a16="http://schemas.microsoft.com/office/drawing/2014/main" id="{5CCA573F-0678-AEF9-054A-4509882A59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Pr="00203808">
        <w:rPr>
          <w:rFonts w:cs="Arial"/>
          <w:noProof/>
          <w:sz w:val="22"/>
        </w:rPr>
        <w:drawing>
          <wp:inline distT="0" distB="0" distL="0" distR="0" wp14:anchorId="0C3B95F0" wp14:editId="5B2EFB83">
            <wp:extent cx="2463800" cy="2565400"/>
            <wp:effectExtent l="0" t="0" r="12700" b="6350"/>
            <wp:docPr id="448545258" name="Graphique 1">
              <a:extLst xmlns:a="http://schemas.openxmlformats.org/drawingml/2006/main">
                <a:ext uri="{FF2B5EF4-FFF2-40B4-BE49-F238E27FC236}">
                  <a16:creationId xmlns:a16="http://schemas.microsoft.com/office/drawing/2014/main" id="{D96B2D81-1920-ECD4-EDE2-834AFBAE27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358A9B7" w14:textId="0B734029" w:rsidR="004B6D9E" w:rsidRDefault="004B6D9E" w:rsidP="00203808">
      <w:pPr>
        <w:spacing w:after="0" w:line="360" w:lineRule="auto"/>
        <w:jc w:val="both"/>
        <w:rPr>
          <w:rFonts w:cs="Arial"/>
          <w:b/>
          <w:bCs/>
          <w:sz w:val="22"/>
        </w:rPr>
      </w:pPr>
      <w:r w:rsidRPr="00912DDA">
        <w:rPr>
          <w:rFonts w:cs="Arial"/>
          <w:b/>
          <w:bCs/>
          <w:sz w:val="22"/>
          <w:u w:val="single"/>
        </w:rPr>
        <w:t>Source:</w:t>
      </w:r>
      <w:r w:rsidRPr="00912DDA">
        <w:rPr>
          <w:rFonts w:cs="Arial"/>
          <w:b/>
          <w:bCs/>
          <w:sz w:val="22"/>
        </w:rPr>
        <w:t xml:space="preserve"> </w:t>
      </w:r>
      <w:r w:rsidR="008719B4" w:rsidRPr="00912DDA">
        <w:rPr>
          <w:rFonts w:cs="Arial"/>
          <w:b/>
          <w:bCs/>
          <w:sz w:val="22"/>
          <w:lang w:val="en-GB"/>
        </w:rPr>
        <w:t>Autor</w:t>
      </w:r>
      <w:r w:rsidRPr="00912DDA">
        <w:rPr>
          <w:rFonts w:cs="Arial"/>
          <w:b/>
          <w:bCs/>
          <w:sz w:val="22"/>
        </w:rPr>
        <w:t xml:space="preserve"> from Marriott International annual report 2021</w:t>
      </w:r>
      <w:r w:rsidR="00ED72CF" w:rsidRPr="00912DDA">
        <w:rPr>
          <w:rFonts w:cs="Arial"/>
          <w:b/>
          <w:bCs/>
          <w:sz w:val="22"/>
        </w:rPr>
        <w:t>-</w:t>
      </w:r>
      <w:r w:rsidRPr="00912DDA">
        <w:rPr>
          <w:rFonts w:cs="Arial"/>
          <w:b/>
          <w:bCs/>
          <w:sz w:val="22"/>
        </w:rPr>
        <w:t>2025</w:t>
      </w:r>
      <w:r w:rsidR="008719B4" w:rsidRPr="00912DDA">
        <w:rPr>
          <w:rFonts w:cs="Arial"/>
          <w:b/>
          <w:bCs/>
          <w:sz w:val="22"/>
        </w:rPr>
        <w:t>.</w:t>
      </w:r>
    </w:p>
    <w:p w14:paraId="34B22715" w14:textId="77777777" w:rsidR="00912DDA" w:rsidRDefault="00912DDA" w:rsidP="00203808">
      <w:pPr>
        <w:spacing w:after="0" w:line="360" w:lineRule="auto"/>
        <w:jc w:val="both"/>
        <w:rPr>
          <w:rFonts w:cs="Arial"/>
          <w:b/>
          <w:bCs/>
          <w:sz w:val="22"/>
        </w:rPr>
      </w:pPr>
    </w:p>
    <w:p w14:paraId="4D158A8E" w14:textId="77777777" w:rsidR="00912DDA" w:rsidRPr="00912DDA" w:rsidRDefault="00912DDA" w:rsidP="00203808">
      <w:pPr>
        <w:spacing w:after="0" w:line="360" w:lineRule="auto"/>
        <w:jc w:val="both"/>
        <w:rPr>
          <w:rFonts w:cs="Arial"/>
          <w:b/>
          <w:bCs/>
          <w:sz w:val="22"/>
        </w:rPr>
      </w:pPr>
    </w:p>
    <w:p w14:paraId="1BD71BCB" w14:textId="678B21DA" w:rsidR="002C7A45" w:rsidRPr="00912DDA" w:rsidRDefault="002C7A45" w:rsidP="00203808">
      <w:pPr>
        <w:spacing w:after="0" w:line="360" w:lineRule="auto"/>
        <w:jc w:val="both"/>
        <w:rPr>
          <w:rFonts w:cs="Arial"/>
          <w:b/>
          <w:bCs/>
          <w:sz w:val="22"/>
          <w:u w:val="single"/>
          <w:lang w:val="en-GB"/>
        </w:rPr>
      </w:pPr>
      <w:r w:rsidRPr="00912DDA">
        <w:rPr>
          <w:rFonts w:cs="Arial"/>
          <w:b/>
          <w:bCs/>
          <w:sz w:val="22"/>
          <w:u w:val="single"/>
          <w:lang w:val="en-GB"/>
        </w:rPr>
        <w:lastRenderedPageBreak/>
        <w:t xml:space="preserve">D. </w:t>
      </w:r>
      <w:r w:rsidR="00CD7E93" w:rsidRPr="00912DDA">
        <w:rPr>
          <w:rFonts w:cs="Arial"/>
          <w:b/>
          <w:bCs/>
          <w:sz w:val="22"/>
          <w:u w:val="single"/>
          <w:lang w:val="en-GB"/>
        </w:rPr>
        <w:t>leverage</w:t>
      </w:r>
      <w:r w:rsidRPr="00912DDA">
        <w:rPr>
          <w:rFonts w:cs="Arial"/>
          <w:b/>
          <w:bCs/>
          <w:sz w:val="22"/>
          <w:u w:val="single"/>
          <w:lang w:val="en-GB"/>
        </w:rPr>
        <w:t xml:space="preserve"> Ratios</w:t>
      </w:r>
    </w:p>
    <w:p w14:paraId="041363EB" w14:textId="4E713629" w:rsidR="00203808" w:rsidRDefault="00CD7E93" w:rsidP="00203808">
      <w:pPr>
        <w:spacing w:after="0" w:line="360" w:lineRule="auto"/>
        <w:jc w:val="both"/>
        <w:rPr>
          <w:rFonts w:cs="Arial"/>
          <w:sz w:val="22"/>
        </w:rPr>
      </w:pPr>
      <w:r w:rsidRPr="00203808">
        <w:rPr>
          <w:rFonts w:cs="Arial"/>
          <w:sz w:val="22"/>
        </w:rPr>
        <w:t>Leverage ratios assess financial risk and long</w:t>
      </w:r>
      <w:r w:rsidR="00ED72CF" w:rsidRPr="00203808">
        <w:rPr>
          <w:rFonts w:cs="Arial"/>
          <w:sz w:val="22"/>
        </w:rPr>
        <w:t>-</w:t>
      </w:r>
      <w:r w:rsidRPr="00203808">
        <w:rPr>
          <w:rFonts w:cs="Arial"/>
          <w:sz w:val="22"/>
        </w:rPr>
        <w:t>term solvency. They are critical given Marriott’s increased borrowing to fund shareholder returns.</w:t>
      </w:r>
    </w:p>
    <w:p w14:paraId="3C2DBFCF" w14:textId="77777777" w:rsidR="00912DDA" w:rsidRPr="00203808" w:rsidRDefault="00912DDA" w:rsidP="00203808">
      <w:pPr>
        <w:spacing w:after="0" w:line="360" w:lineRule="auto"/>
        <w:jc w:val="both"/>
        <w:rPr>
          <w:rFonts w:cs="Arial"/>
          <w:sz w:val="22"/>
        </w:rPr>
      </w:pPr>
    </w:p>
    <w:p w14:paraId="6B3E2C43" w14:textId="23ADC10C" w:rsidR="00F9461B" w:rsidRPr="00912DDA" w:rsidRDefault="00F9461B" w:rsidP="00203808">
      <w:pPr>
        <w:spacing w:after="0" w:line="360" w:lineRule="auto"/>
        <w:jc w:val="both"/>
        <w:rPr>
          <w:rFonts w:cs="Arial"/>
          <w:b/>
          <w:bCs/>
          <w:sz w:val="22"/>
          <w:lang w:val="en-GB"/>
        </w:rPr>
      </w:pPr>
      <w:r w:rsidRPr="00912DDA">
        <w:rPr>
          <w:rFonts w:cs="Arial"/>
          <w:b/>
          <w:bCs/>
          <w:sz w:val="22"/>
          <w:u w:val="single"/>
          <w:lang w:val="en-GB"/>
        </w:rPr>
        <w:t>Table</w:t>
      </w:r>
      <w:r w:rsidR="00203808" w:rsidRPr="00912DDA">
        <w:rPr>
          <w:rFonts w:cs="Arial"/>
          <w:b/>
          <w:bCs/>
          <w:sz w:val="22"/>
          <w:u w:val="single"/>
          <w:lang w:val="en-GB"/>
        </w:rPr>
        <w:t xml:space="preserve"> 4</w:t>
      </w:r>
      <w:r w:rsidRPr="00912DDA">
        <w:rPr>
          <w:rFonts w:cs="Arial"/>
          <w:b/>
          <w:bCs/>
          <w:sz w:val="22"/>
          <w:u w:val="single"/>
          <w:lang w:val="en-GB"/>
        </w:rPr>
        <w:t>:</w:t>
      </w:r>
      <w:r w:rsidRPr="00912DDA">
        <w:rPr>
          <w:rFonts w:cs="Arial"/>
          <w:b/>
          <w:bCs/>
          <w:sz w:val="22"/>
          <w:lang w:val="en-GB"/>
        </w:rPr>
        <w:t xml:space="preserve"> </w:t>
      </w:r>
      <w:r w:rsidR="004B1CB3" w:rsidRPr="00912DDA">
        <w:rPr>
          <w:rFonts w:cs="Arial"/>
          <w:b/>
          <w:bCs/>
          <w:sz w:val="22"/>
          <w:lang w:val="en-GB"/>
        </w:rPr>
        <w:t>Gearing Ratios</w:t>
      </w:r>
      <w:r w:rsidRPr="00912DDA">
        <w:rPr>
          <w:rFonts w:cs="Arial"/>
          <w:b/>
          <w:bCs/>
          <w:sz w:val="22"/>
          <w:lang w:val="en-GB"/>
        </w:rPr>
        <w:t>, 2021</w:t>
      </w:r>
      <w:r w:rsidR="00ED72CF" w:rsidRPr="00912DDA">
        <w:rPr>
          <w:rFonts w:cs="Arial"/>
          <w:b/>
          <w:bCs/>
          <w:sz w:val="22"/>
          <w:lang w:val="en-GB"/>
        </w:rPr>
        <w:t>-</w:t>
      </w:r>
      <w:r w:rsidRPr="00912DDA">
        <w:rPr>
          <w:rFonts w:cs="Arial"/>
          <w:b/>
          <w:bCs/>
          <w:sz w:val="22"/>
          <w:lang w:val="en-GB"/>
        </w:rPr>
        <w:t>2025</w:t>
      </w:r>
    </w:p>
    <w:tbl>
      <w:tblPr>
        <w:tblW w:w="5697" w:type="dxa"/>
        <w:tblCellSpacing w:w="15" w:type="dxa"/>
        <w:tblCellMar>
          <w:top w:w="15" w:type="dxa"/>
          <w:left w:w="15" w:type="dxa"/>
          <w:bottom w:w="15" w:type="dxa"/>
          <w:right w:w="15" w:type="dxa"/>
        </w:tblCellMar>
        <w:tblLook w:val="04A0" w:firstRow="1" w:lastRow="0" w:firstColumn="1" w:lastColumn="0" w:noHBand="0" w:noVBand="1"/>
      </w:tblPr>
      <w:tblGrid>
        <w:gridCol w:w="670"/>
        <w:gridCol w:w="1868"/>
        <w:gridCol w:w="1868"/>
        <w:gridCol w:w="1101"/>
        <w:gridCol w:w="95"/>
        <w:gridCol w:w="95"/>
      </w:tblGrid>
      <w:tr w:rsidR="00203808" w:rsidRPr="00203808" w14:paraId="325BEF0F" w14:textId="3446227E" w:rsidTr="0072128D">
        <w:trPr>
          <w:trHeight w:val="467"/>
          <w:tblHeader/>
          <w:tblCellSpacing w:w="15" w:type="dxa"/>
        </w:trPr>
        <w:tc>
          <w:tcPr>
            <w:tcW w:w="0" w:type="auto"/>
            <w:tcBorders>
              <w:top w:val="thinThickSmallGap" w:sz="24" w:space="0" w:color="auto"/>
              <w:bottom w:val="thickThinSmallGap" w:sz="24" w:space="0" w:color="auto"/>
            </w:tcBorders>
            <w:vAlign w:val="center"/>
            <w:hideMark/>
          </w:tcPr>
          <w:p w14:paraId="4B35068B" w14:textId="77777777" w:rsidR="0072128D" w:rsidRPr="00203808" w:rsidRDefault="0072128D" w:rsidP="00203808">
            <w:pPr>
              <w:spacing w:after="0" w:line="360" w:lineRule="auto"/>
              <w:jc w:val="both"/>
              <w:rPr>
                <w:rFonts w:cs="Arial"/>
                <w:b/>
                <w:bCs/>
                <w:sz w:val="22"/>
                <w:lang w:val="en-GB"/>
              </w:rPr>
            </w:pPr>
            <w:r w:rsidRPr="00203808">
              <w:rPr>
                <w:rFonts w:cs="Arial"/>
                <w:sz w:val="22"/>
                <w:lang w:val="en-GB"/>
              </w:rPr>
              <w:t>Year</w:t>
            </w:r>
          </w:p>
        </w:tc>
        <w:tc>
          <w:tcPr>
            <w:tcW w:w="1838" w:type="dxa"/>
            <w:tcBorders>
              <w:top w:val="thinThickSmallGap" w:sz="24" w:space="0" w:color="auto"/>
              <w:bottom w:val="thickThinSmallGap" w:sz="24" w:space="0" w:color="auto"/>
            </w:tcBorders>
            <w:vAlign w:val="center"/>
            <w:hideMark/>
          </w:tcPr>
          <w:p w14:paraId="7E6CE361" w14:textId="2CF10333" w:rsidR="0072128D" w:rsidRPr="00203808" w:rsidRDefault="0072128D" w:rsidP="00203808">
            <w:pPr>
              <w:spacing w:after="0" w:line="360" w:lineRule="auto"/>
              <w:jc w:val="both"/>
              <w:rPr>
                <w:rFonts w:cs="Arial"/>
                <w:b/>
                <w:bCs/>
                <w:sz w:val="22"/>
                <w:lang w:val="en-GB"/>
              </w:rPr>
            </w:pPr>
            <w:r w:rsidRPr="00203808">
              <w:rPr>
                <w:rFonts w:cs="Arial"/>
                <w:sz w:val="22"/>
                <w:lang w:val="en-GB"/>
              </w:rPr>
              <w:t>Debt</w:t>
            </w:r>
            <w:r w:rsidR="00ED72CF" w:rsidRPr="00203808">
              <w:rPr>
                <w:rFonts w:cs="Arial"/>
                <w:sz w:val="22"/>
                <w:lang w:val="en-GB"/>
              </w:rPr>
              <w:t>-</w:t>
            </w:r>
            <w:r w:rsidRPr="00203808">
              <w:rPr>
                <w:rFonts w:cs="Arial"/>
                <w:sz w:val="22"/>
                <w:lang w:val="en-GB"/>
              </w:rPr>
              <w:t>to</w:t>
            </w:r>
            <w:r w:rsidR="00ED72CF" w:rsidRPr="00203808">
              <w:rPr>
                <w:rFonts w:cs="Arial"/>
                <w:sz w:val="22"/>
                <w:lang w:val="en-GB"/>
              </w:rPr>
              <w:t>-</w:t>
            </w:r>
            <w:r w:rsidRPr="00203808">
              <w:rPr>
                <w:rFonts w:cs="Arial"/>
                <w:sz w:val="22"/>
                <w:lang w:val="en-GB"/>
              </w:rPr>
              <w:t>Assets</w:t>
            </w:r>
          </w:p>
        </w:tc>
        <w:tc>
          <w:tcPr>
            <w:tcW w:w="1838" w:type="dxa"/>
            <w:tcBorders>
              <w:top w:val="thinThickSmallGap" w:sz="24" w:space="0" w:color="auto"/>
              <w:bottom w:val="thickThinSmallGap" w:sz="24" w:space="0" w:color="auto"/>
            </w:tcBorders>
            <w:vAlign w:val="center"/>
          </w:tcPr>
          <w:p w14:paraId="01CB929A" w14:textId="0C8977BB" w:rsidR="0072128D" w:rsidRPr="00203808" w:rsidRDefault="0072128D" w:rsidP="00203808">
            <w:pPr>
              <w:spacing w:after="0" w:line="360" w:lineRule="auto"/>
              <w:jc w:val="both"/>
              <w:rPr>
                <w:rFonts w:cs="Arial"/>
                <w:sz w:val="22"/>
                <w:lang w:val="en-GB"/>
              </w:rPr>
            </w:pPr>
            <w:r w:rsidRPr="00203808">
              <w:rPr>
                <w:rFonts w:cs="Arial"/>
                <w:sz w:val="22"/>
                <w:lang w:val="en-GB"/>
              </w:rPr>
              <w:t>Debt</w:t>
            </w:r>
            <w:r w:rsidR="00ED72CF" w:rsidRPr="00203808">
              <w:rPr>
                <w:rFonts w:cs="Arial"/>
                <w:sz w:val="22"/>
                <w:lang w:val="en-GB"/>
              </w:rPr>
              <w:t>-</w:t>
            </w:r>
            <w:r w:rsidRPr="00203808">
              <w:rPr>
                <w:rFonts w:cs="Arial"/>
                <w:sz w:val="22"/>
                <w:lang w:val="en-GB"/>
              </w:rPr>
              <w:t>to</w:t>
            </w:r>
            <w:r w:rsidR="00ED72CF" w:rsidRPr="00203808">
              <w:rPr>
                <w:rFonts w:cs="Arial"/>
                <w:sz w:val="22"/>
                <w:lang w:val="en-GB"/>
              </w:rPr>
              <w:t>-</w:t>
            </w:r>
            <w:r w:rsidRPr="00203808">
              <w:rPr>
                <w:rFonts w:cs="Arial"/>
                <w:sz w:val="22"/>
                <w:lang w:val="en-GB"/>
              </w:rPr>
              <w:t>Equity</w:t>
            </w:r>
          </w:p>
        </w:tc>
        <w:tc>
          <w:tcPr>
            <w:tcW w:w="1071" w:type="dxa"/>
            <w:tcBorders>
              <w:top w:val="thinThickSmallGap" w:sz="24" w:space="0" w:color="auto"/>
              <w:bottom w:val="thickThinSmallGap" w:sz="24" w:space="0" w:color="auto"/>
            </w:tcBorders>
            <w:vAlign w:val="center"/>
          </w:tcPr>
          <w:p w14:paraId="3E59C395" w14:textId="5A0BEF60" w:rsidR="0072128D" w:rsidRPr="00203808" w:rsidRDefault="0072128D" w:rsidP="00203808">
            <w:pPr>
              <w:spacing w:after="0" w:line="360" w:lineRule="auto"/>
              <w:jc w:val="both"/>
              <w:rPr>
                <w:rFonts w:cs="Arial"/>
                <w:sz w:val="22"/>
                <w:lang w:val="en-GB"/>
              </w:rPr>
            </w:pPr>
            <w:r w:rsidRPr="00203808">
              <w:rPr>
                <w:rFonts w:cs="Arial"/>
                <w:sz w:val="22"/>
                <w:lang w:val="en-GB"/>
              </w:rPr>
              <w:t>Interest Coverage</w:t>
            </w:r>
          </w:p>
        </w:tc>
        <w:tc>
          <w:tcPr>
            <w:tcW w:w="65" w:type="dxa"/>
            <w:tcBorders>
              <w:top w:val="thinThickSmallGap" w:sz="24" w:space="0" w:color="auto"/>
              <w:bottom w:val="thickThinSmallGap" w:sz="24" w:space="0" w:color="auto"/>
            </w:tcBorders>
          </w:tcPr>
          <w:p w14:paraId="77D87A86" w14:textId="50288A98" w:rsidR="0072128D" w:rsidRPr="00203808" w:rsidRDefault="0072128D" w:rsidP="00203808">
            <w:pPr>
              <w:spacing w:after="0" w:line="360" w:lineRule="auto"/>
              <w:jc w:val="both"/>
              <w:rPr>
                <w:rFonts w:cs="Arial"/>
                <w:sz w:val="22"/>
                <w:lang w:val="en-GB"/>
              </w:rPr>
            </w:pPr>
          </w:p>
        </w:tc>
        <w:tc>
          <w:tcPr>
            <w:tcW w:w="50" w:type="dxa"/>
            <w:tcBorders>
              <w:top w:val="thinThickSmallGap" w:sz="24" w:space="0" w:color="auto"/>
              <w:bottom w:val="thickThinSmallGap" w:sz="24" w:space="0" w:color="auto"/>
            </w:tcBorders>
          </w:tcPr>
          <w:p w14:paraId="01A61158" w14:textId="39406E69" w:rsidR="0072128D" w:rsidRPr="00203808" w:rsidRDefault="0072128D" w:rsidP="00203808">
            <w:pPr>
              <w:spacing w:after="0" w:line="360" w:lineRule="auto"/>
              <w:jc w:val="both"/>
              <w:rPr>
                <w:rFonts w:cs="Arial"/>
                <w:sz w:val="22"/>
                <w:lang w:val="en-GB"/>
              </w:rPr>
            </w:pPr>
          </w:p>
        </w:tc>
      </w:tr>
      <w:tr w:rsidR="00203808" w:rsidRPr="00203808" w14:paraId="5B78025A" w14:textId="5AF42114" w:rsidTr="0072128D">
        <w:trPr>
          <w:trHeight w:val="477"/>
          <w:tblCellSpacing w:w="15" w:type="dxa"/>
        </w:trPr>
        <w:tc>
          <w:tcPr>
            <w:tcW w:w="0" w:type="auto"/>
            <w:vAlign w:val="center"/>
            <w:hideMark/>
          </w:tcPr>
          <w:p w14:paraId="0BEEDECE" w14:textId="77777777" w:rsidR="0072128D" w:rsidRPr="00203808" w:rsidRDefault="0072128D" w:rsidP="00203808">
            <w:pPr>
              <w:spacing w:after="0" w:line="360" w:lineRule="auto"/>
              <w:jc w:val="both"/>
              <w:rPr>
                <w:rFonts w:cs="Arial"/>
                <w:b/>
                <w:bCs/>
                <w:sz w:val="22"/>
                <w:lang w:val="en-GB"/>
              </w:rPr>
            </w:pPr>
            <w:r w:rsidRPr="00203808">
              <w:rPr>
                <w:rFonts w:cs="Arial"/>
                <w:sz w:val="22"/>
                <w:lang w:val="en-GB"/>
              </w:rPr>
              <w:t>2021</w:t>
            </w:r>
          </w:p>
        </w:tc>
        <w:tc>
          <w:tcPr>
            <w:tcW w:w="1838" w:type="dxa"/>
            <w:vAlign w:val="center"/>
            <w:hideMark/>
          </w:tcPr>
          <w:p w14:paraId="749D8EB1" w14:textId="77777777" w:rsidR="0072128D" w:rsidRPr="00203808" w:rsidRDefault="0072128D" w:rsidP="00203808">
            <w:pPr>
              <w:spacing w:after="0" w:line="360" w:lineRule="auto"/>
              <w:jc w:val="both"/>
              <w:rPr>
                <w:rFonts w:cs="Arial"/>
                <w:b/>
                <w:bCs/>
                <w:sz w:val="22"/>
                <w:lang w:val="en-GB"/>
              </w:rPr>
            </w:pPr>
            <w:r w:rsidRPr="00203808">
              <w:rPr>
                <w:rFonts w:cs="Arial"/>
                <w:sz w:val="22"/>
                <w:lang w:val="en-GB"/>
              </w:rPr>
              <w:t>39.7%</w:t>
            </w:r>
          </w:p>
        </w:tc>
        <w:tc>
          <w:tcPr>
            <w:tcW w:w="1838" w:type="dxa"/>
            <w:vAlign w:val="center"/>
          </w:tcPr>
          <w:p w14:paraId="66298638" w14:textId="66950596" w:rsidR="0072128D" w:rsidRPr="00203808" w:rsidRDefault="0072128D" w:rsidP="00203808">
            <w:pPr>
              <w:spacing w:after="0" w:line="360" w:lineRule="auto"/>
              <w:jc w:val="both"/>
              <w:rPr>
                <w:rFonts w:cs="Arial"/>
                <w:sz w:val="22"/>
                <w:lang w:val="en-GB"/>
              </w:rPr>
            </w:pPr>
            <w:r w:rsidRPr="00203808">
              <w:rPr>
                <w:rFonts w:cs="Arial"/>
                <w:sz w:val="22"/>
                <w:lang w:val="en-GB"/>
              </w:rPr>
              <w:t>716.7%</w:t>
            </w:r>
          </w:p>
        </w:tc>
        <w:tc>
          <w:tcPr>
            <w:tcW w:w="1071" w:type="dxa"/>
            <w:vAlign w:val="center"/>
          </w:tcPr>
          <w:p w14:paraId="666EABE2" w14:textId="413FAC68" w:rsidR="0072128D" w:rsidRPr="00203808" w:rsidRDefault="0072128D" w:rsidP="00203808">
            <w:pPr>
              <w:spacing w:after="0" w:line="360" w:lineRule="auto"/>
              <w:jc w:val="both"/>
              <w:rPr>
                <w:rFonts w:cs="Arial"/>
                <w:sz w:val="22"/>
                <w:lang w:val="en-GB"/>
              </w:rPr>
            </w:pPr>
            <w:r w:rsidRPr="00203808">
              <w:rPr>
                <w:rFonts w:cs="Arial"/>
                <w:sz w:val="22"/>
                <w:lang w:val="en-GB"/>
              </w:rPr>
              <w:t>4.17</w:t>
            </w:r>
          </w:p>
        </w:tc>
        <w:tc>
          <w:tcPr>
            <w:tcW w:w="65" w:type="dxa"/>
          </w:tcPr>
          <w:p w14:paraId="4D212148" w14:textId="14B10738" w:rsidR="0072128D" w:rsidRPr="00203808" w:rsidRDefault="0072128D" w:rsidP="00203808">
            <w:pPr>
              <w:spacing w:after="0" w:line="360" w:lineRule="auto"/>
              <w:jc w:val="both"/>
              <w:rPr>
                <w:rFonts w:cs="Arial"/>
                <w:sz w:val="22"/>
                <w:lang w:val="en-GB"/>
              </w:rPr>
            </w:pPr>
          </w:p>
        </w:tc>
        <w:tc>
          <w:tcPr>
            <w:tcW w:w="50" w:type="dxa"/>
          </w:tcPr>
          <w:p w14:paraId="62A5DA60" w14:textId="46E1525A" w:rsidR="0072128D" w:rsidRPr="00203808" w:rsidRDefault="0072128D" w:rsidP="00203808">
            <w:pPr>
              <w:spacing w:after="0" w:line="360" w:lineRule="auto"/>
              <w:jc w:val="both"/>
              <w:rPr>
                <w:rFonts w:cs="Arial"/>
                <w:sz w:val="22"/>
                <w:lang w:val="en-GB"/>
              </w:rPr>
            </w:pPr>
          </w:p>
        </w:tc>
      </w:tr>
      <w:tr w:rsidR="00203808" w:rsidRPr="00203808" w14:paraId="123E30C1" w14:textId="0FB77F93" w:rsidTr="0072128D">
        <w:trPr>
          <w:trHeight w:val="477"/>
          <w:tblCellSpacing w:w="15" w:type="dxa"/>
        </w:trPr>
        <w:tc>
          <w:tcPr>
            <w:tcW w:w="0" w:type="auto"/>
            <w:vAlign w:val="center"/>
            <w:hideMark/>
          </w:tcPr>
          <w:p w14:paraId="25FF1FD2" w14:textId="77777777" w:rsidR="0072128D" w:rsidRPr="00203808" w:rsidRDefault="0072128D" w:rsidP="00203808">
            <w:pPr>
              <w:spacing w:after="0" w:line="360" w:lineRule="auto"/>
              <w:jc w:val="both"/>
              <w:rPr>
                <w:rFonts w:cs="Arial"/>
                <w:b/>
                <w:bCs/>
                <w:sz w:val="22"/>
                <w:lang w:val="en-GB"/>
              </w:rPr>
            </w:pPr>
            <w:r w:rsidRPr="00203808">
              <w:rPr>
                <w:rFonts w:cs="Arial"/>
                <w:sz w:val="22"/>
                <w:lang w:val="en-GB"/>
              </w:rPr>
              <w:t>2022</w:t>
            </w:r>
          </w:p>
        </w:tc>
        <w:tc>
          <w:tcPr>
            <w:tcW w:w="1838" w:type="dxa"/>
            <w:vAlign w:val="center"/>
            <w:hideMark/>
          </w:tcPr>
          <w:p w14:paraId="3B038CD2" w14:textId="77777777" w:rsidR="0072128D" w:rsidRPr="00203808" w:rsidRDefault="0072128D" w:rsidP="00203808">
            <w:pPr>
              <w:spacing w:after="0" w:line="360" w:lineRule="auto"/>
              <w:jc w:val="both"/>
              <w:rPr>
                <w:rFonts w:cs="Arial"/>
                <w:b/>
                <w:bCs/>
                <w:sz w:val="22"/>
                <w:lang w:val="en-GB"/>
              </w:rPr>
            </w:pPr>
            <w:r w:rsidRPr="00203808">
              <w:rPr>
                <w:rFonts w:cs="Arial"/>
                <w:sz w:val="22"/>
                <w:lang w:val="en-GB"/>
              </w:rPr>
              <w:t>40.6%</w:t>
            </w:r>
          </w:p>
        </w:tc>
        <w:tc>
          <w:tcPr>
            <w:tcW w:w="1838" w:type="dxa"/>
            <w:vAlign w:val="center"/>
          </w:tcPr>
          <w:p w14:paraId="760B24C1" w14:textId="7E04446C" w:rsidR="0072128D" w:rsidRPr="00203808" w:rsidRDefault="0072128D" w:rsidP="00203808">
            <w:pPr>
              <w:spacing w:after="0" w:line="360" w:lineRule="auto"/>
              <w:jc w:val="both"/>
              <w:rPr>
                <w:rFonts w:cs="Arial"/>
                <w:sz w:val="22"/>
                <w:lang w:val="en-GB"/>
              </w:rPr>
            </w:pPr>
            <w:r w:rsidRPr="00203808">
              <w:rPr>
                <w:rFonts w:cs="Arial"/>
                <w:sz w:val="22"/>
                <w:lang w:val="en-GB"/>
              </w:rPr>
              <w:t>1,768.3%</w:t>
            </w:r>
          </w:p>
        </w:tc>
        <w:tc>
          <w:tcPr>
            <w:tcW w:w="1071" w:type="dxa"/>
            <w:vAlign w:val="center"/>
          </w:tcPr>
          <w:p w14:paraId="24DD7A87" w14:textId="42C5D73D" w:rsidR="0072128D" w:rsidRPr="00203808" w:rsidRDefault="0072128D" w:rsidP="00203808">
            <w:pPr>
              <w:spacing w:after="0" w:line="360" w:lineRule="auto"/>
              <w:jc w:val="both"/>
              <w:rPr>
                <w:rFonts w:cs="Arial"/>
                <w:sz w:val="22"/>
                <w:lang w:val="en-GB"/>
              </w:rPr>
            </w:pPr>
            <w:r w:rsidRPr="00203808">
              <w:rPr>
                <w:rFonts w:cs="Arial"/>
                <w:sz w:val="22"/>
                <w:lang w:val="en-GB"/>
              </w:rPr>
              <w:t>8.59</w:t>
            </w:r>
          </w:p>
        </w:tc>
        <w:tc>
          <w:tcPr>
            <w:tcW w:w="65" w:type="dxa"/>
          </w:tcPr>
          <w:p w14:paraId="1BD36059" w14:textId="3EC4F450" w:rsidR="0072128D" w:rsidRPr="00203808" w:rsidRDefault="0072128D" w:rsidP="00203808">
            <w:pPr>
              <w:spacing w:after="0" w:line="360" w:lineRule="auto"/>
              <w:jc w:val="both"/>
              <w:rPr>
                <w:rFonts w:cs="Arial"/>
                <w:sz w:val="22"/>
                <w:lang w:val="en-GB"/>
              </w:rPr>
            </w:pPr>
          </w:p>
        </w:tc>
        <w:tc>
          <w:tcPr>
            <w:tcW w:w="50" w:type="dxa"/>
          </w:tcPr>
          <w:p w14:paraId="0DA5F70F" w14:textId="0B06B827" w:rsidR="0072128D" w:rsidRPr="00203808" w:rsidRDefault="0072128D" w:rsidP="00203808">
            <w:pPr>
              <w:spacing w:after="0" w:line="360" w:lineRule="auto"/>
              <w:jc w:val="both"/>
              <w:rPr>
                <w:rFonts w:cs="Arial"/>
                <w:sz w:val="22"/>
                <w:lang w:val="en-GB"/>
              </w:rPr>
            </w:pPr>
          </w:p>
        </w:tc>
      </w:tr>
      <w:tr w:rsidR="00203808" w:rsidRPr="00203808" w14:paraId="105B9EE1" w14:textId="3303A6F5" w:rsidTr="0072128D">
        <w:trPr>
          <w:trHeight w:val="467"/>
          <w:tblCellSpacing w:w="15" w:type="dxa"/>
        </w:trPr>
        <w:tc>
          <w:tcPr>
            <w:tcW w:w="0" w:type="auto"/>
            <w:vAlign w:val="center"/>
            <w:hideMark/>
          </w:tcPr>
          <w:p w14:paraId="76E11521" w14:textId="77777777" w:rsidR="0072128D" w:rsidRPr="00203808" w:rsidRDefault="0072128D" w:rsidP="00203808">
            <w:pPr>
              <w:spacing w:after="0" w:line="360" w:lineRule="auto"/>
              <w:jc w:val="both"/>
              <w:rPr>
                <w:rFonts w:cs="Arial"/>
                <w:b/>
                <w:bCs/>
                <w:sz w:val="22"/>
                <w:lang w:val="en-GB"/>
              </w:rPr>
            </w:pPr>
            <w:r w:rsidRPr="00203808">
              <w:rPr>
                <w:rFonts w:cs="Arial"/>
                <w:sz w:val="22"/>
                <w:lang w:val="en-GB"/>
              </w:rPr>
              <w:t>2023</w:t>
            </w:r>
          </w:p>
        </w:tc>
        <w:tc>
          <w:tcPr>
            <w:tcW w:w="1838" w:type="dxa"/>
            <w:vAlign w:val="center"/>
            <w:hideMark/>
          </w:tcPr>
          <w:p w14:paraId="0C360B49" w14:textId="77777777" w:rsidR="0072128D" w:rsidRPr="00203808" w:rsidRDefault="0072128D" w:rsidP="00203808">
            <w:pPr>
              <w:spacing w:after="0" w:line="360" w:lineRule="auto"/>
              <w:jc w:val="both"/>
              <w:rPr>
                <w:rFonts w:cs="Arial"/>
                <w:b/>
                <w:bCs/>
                <w:sz w:val="22"/>
                <w:lang w:val="en-GB"/>
              </w:rPr>
            </w:pPr>
            <w:r w:rsidRPr="00203808">
              <w:rPr>
                <w:rFonts w:cs="Arial"/>
                <w:sz w:val="22"/>
                <w:lang w:val="en-GB"/>
              </w:rPr>
              <w:t>46.2%</w:t>
            </w:r>
          </w:p>
        </w:tc>
        <w:tc>
          <w:tcPr>
            <w:tcW w:w="1838" w:type="dxa"/>
            <w:vAlign w:val="center"/>
          </w:tcPr>
          <w:p w14:paraId="758F821A" w14:textId="15D90478" w:rsidR="0072128D" w:rsidRPr="00203808" w:rsidRDefault="0072128D" w:rsidP="00203808">
            <w:pPr>
              <w:spacing w:after="0" w:line="360" w:lineRule="auto"/>
              <w:jc w:val="both"/>
              <w:rPr>
                <w:rFonts w:cs="Arial"/>
                <w:sz w:val="22"/>
                <w:lang w:val="en-GB"/>
              </w:rPr>
            </w:pPr>
            <w:r w:rsidRPr="00203808">
              <w:rPr>
                <w:rFonts w:cs="Arial"/>
                <w:sz w:val="22"/>
                <w:lang w:val="en-GB"/>
              </w:rPr>
              <w:t>N/</w:t>
            </w:r>
            <w:r w:rsidR="00CD7E93" w:rsidRPr="00203808">
              <w:rPr>
                <w:rFonts w:cs="Arial"/>
                <w:sz w:val="22"/>
                <w:lang w:val="en-GB"/>
              </w:rPr>
              <w:t>A</w:t>
            </w:r>
          </w:p>
        </w:tc>
        <w:tc>
          <w:tcPr>
            <w:tcW w:w="1071" w:type="dxa"/>
            <w:vAlign w:val="center"/>
          </w:tcPr>
          <w:p w14:paraId="596F85CA" w14:textId="3ADF279C" w:rsidR="0072128D" w:rsidRPr="00203808" w:rsidRDefault="0072128D" w:rsidP="00203808">
            <w:pPr>
              <w:spacing w:after="0" w:line="360" w:lineRule="auto"/>
              <w:jc w:val="both"/>
              <w:rPr>
                <w:rFonts w:cs="Arial"/>
                <w:sz w:val="22"/>
                <w:lang w:val="en-GB"/>
              </w:rPr>
            </w:pPr>
            <w:r w:rsidRPr="00203808">
              <w:rPr>
                <w:rFonts w:cs="Arial"/>
                <w:sz w:val="22"/>
                <w:lang w:val="en-GB"/>
              </w:rPr>
              <w:t>6.84</w:t>
            </w:r>
          </w:p>
        </w:tc>
        <w:tc>
          <w:tcPr>
            <w:tcW w:w="65" w:type="dxa"/>
          </w:tcPr>
          <w:p w14:paraId="5C5F673C" w14:textId="5FB2623C" w:rsidR="0072128D" w:rsidRPr="00203808" w:rsidRDefault="0072128D" w:rsidP="00203808">
            <w:pPr>
              <w:spacing w:after="0" w:line="360" w:lineRule="auto"/>
              <w:jc w:val="both"/>
              <w:rPr>
                <w:rFonts w:cs="Arial"/>
                <w:sz w:val="22"/>
                <w:lang w:val="en-GB"/>
              </w:rPr>
            </w:pPr>
          </w:p>
        </w:tc>
        <w:tc>
          <w:tcPr>
            <w:tcW w:w="50" w:type="dxa"/>
          </w:tcPr>
          <w:p w14:paraId="2E28DACC" w14:textId="1724084E" w:rsidR="0072128D" w:rsidRPr="00203808" w:rsidRDefault="0072128D" w:rsidP="00203808">
            <w:pPr>
              <w:spacing w:after="0" w:line="360" w:lineRule="auto"/>
              <w:jc w:val="both"/>
              <w:rPr>
                <w:rFonts w:cs="Arial"/>
                <w:sz w:val="22"/>
                <w:lang w:val="en-GB"/>
              </w:rPr>
            </w:pPr>
          </w:p>
        </w:tc>
      </w:tr>
      <w:tr w:rsidR="00203808" w:rsidRPr="00203808" w14:paraId="2A3ADAA8" w14:textId="705E9D1F" w:rsidTr="0072128D">
        <w:trPr>
          <w:trHeight w:val="477"/>
          <w:tblCellSpacing w:w="15" w:type="dxa"/>
        </w:trPr>
        <w:tc>
          <w:tcPr>
            <w:tcW w:w="0" w:type="auto"/>
            <w:vAlign w:val="center"/>
            <w:hideMark/>
          </w:tcPr>
          <w:p w14:paraId="25EAC96C" w14:textId="77777777" w:rsidR="0072128D" w:rsidRPr="00203808" w:rsidRDefault="0072128D" w:rsidP="00203808">
            <w:pPr>
              <w:spacing w:after="0" w:line="360" w:lineRule="auto"/>
              <w:jc w:val="both"/>
              <w:rPr>
                <w:rFonts w:cs="Arial"/>
                <w:b/>
                <w:bCs/>
                <w:sz w:val="22"/>
                <w:lang w:val="en-GB"/>
              </w:rPr>
            </w:pPr>
            <w:r w:rsidRPr="00203808">
              <w:rPr>
                <w:rFonts w:cs="Arial"/>
                <w:sz w:val="22"/>
                <w:lang w:val="en-GB"/>
              </w:rPr>
              <w:t>2024</w:t>
            </w:r>
          </w:p>
        </w:tc>
        <w:tc>
          <w:tcPr>
            <w:tcW w:w="1838" w:type="dxa"/>
            <w:vAlign w:val="center"/>
            <w:hideMark/>
          </w:tcPr>
          <w:p w14:paraId="483EBF39" w14:textId="77777777" w:rsidR="0072128D" w:rsidRPr="00203808" w:rsidRDefault="0072128D" w:rsidP="00203808">
            <w:pPr>
              <w:spacing w:after="0" w:line="360" w:lineRule="auto"/>
              <w:jc w:val="both"/>
              <w:rPr>
                <w:rFonts w:cs="Arial"/>
                <w:b/>
                <w:bCs/>
                <w:sz w:val="22"/>
                <w:lang w:val="en-GB"/>
              </w:rPr>
            </w:pPr>
            <w:r w:rsidRPr="00203808">
              <w:rPr>
                <w:rFonts w:cs="Arial"/>
                <w:sz w:val="22"/>
                <w:lang w:val="en-GB"/>
              </w:rPr>
              <w:t>55.2%</w:t>
            </w:r>
          </w:p>
        </w:tc>
        <w:tc>
          <w:tcPr>
            <w:tcW w:w="1838" w:type="dxa"/>
            <w:vAlign w:val="center"/>
          </w:tcPr>
          <w:p w14:paraId="306C9AF3" w14:textId="603F076C" w:rsidR="0072128D" w:rsidRPr="00203808" w:rsidRDefault="0072128D" w:rsidP="00203808">
            <w:pPr>
              <w:spacing w:after="0" w:line="360" w:lineRule="auto"/>
              <w:jc w:val="both"/>
              <w:rPr>
                <w:rFonts w:cs="Arial"/>
                <w:sz w:val="22"/>
                <w:lang w:val="en-GB"/>
              </w:rPr>
            </w:pPr>
            <w:r w:rsidRPr="00203808">
              <w:rPr>
                <w:rFonts w:cs="Arial"/>
                <w:sz w:val="22"/>
                <w:lang w:val="en-GB"/>
              </w:rPr>
              <w:t>N/</w:t>
            </w:r>
            <w:r w:rsidR="00CD7E93" w:rsidRPr="00203808">
              <w:rPr>
                <w:rFonts w:cs="Arial"/>
                <w:sz w:val="22"/>
                <w:lang w:val="en-GB"/>
              </w:rPr>
              <w:t>A</w:t>
            </w:r>
          </w:p>
        </w:tc>
        <w:tc>
          <w:tcPr>
            <w:tcW w:w="1071" w:type="dxa"/>
            <w:vAlign w:val="center"/>
          </w:tcPr>
          <w:p w14:paraId="2CD46172" w14:textId="1DFF6D75" w:rsidR="0072128D" w:rsidRPr="00203808" w:rsidRDefault="0072128D" w:rsidP="00203808">
            <w:pPr>
              <w:spacing w:after="0" w:line="360" w:lineRule="auto"/>
              <w:jc w:val="both"/>
              <w:rPr>
                <w:rFonts w:cs="Arial"/>
                <w:sz w:val="22"/>
                <w:lang w:val="en-GB"/>
              </w:rPr>
            </w:pPr>
            <w:r w:rsidRPr="00203808">
              <w:rPr>
                <w:rFonts w:cs="Arial"/>
                <w:sz w:val="22"/>
                <w:lang w:val="en-GB"/>
              </w:rPr>
              <w:t>5.42</w:t>
            </w:r>
          </w:p>
        </w:tc>
        <w:tc>
          <w:tcPr>
            <w:tcW w:w="65" w:type="dxa"/>
          </w:tcPr>
          <w:p w14:paraId="007B072C" w14:textId="266C891A" w:rsidR="0072128D" w:rsidRPr="00203808" w:rsidRDefault="0072128D" w:rsidP="00203808">
            <w:pPr>
              <w:spacing w:after="0" w:line="360" w:lineRule="auto"/>
              <w:jc w:val="both"/>
              <w:rPr>
                <w:rFonts w:cs="Arial"/>
                <w:sz w:val="22"/>
                <w:lang w:val="en-GB"/>
              </w:rPr>
            </w:pPr>
          </w:p>
        </w:tc>
        <w:tc>
          <w:tcPr>
            <w:tcW w:w="50" w:type="dxa"/>
          </w:tcPr>
          <w:p w14:paraId="78BEA65E" w14:textId="53084CE6" w:rsidR="0072128D" w:rsidRPr="00203808" w:rsidRDefault="0072128D" w:rsidP="00203808">
            <w:pPr>
              <w:spacing w:after="0" w:line="360" w:lineRule="auto"/>
              <w:jc w:val="both"/>
              <w:rPr>
                <w:rFonts w:cs="Arial"/>
                <w:sz w:val="22"/>
                <w:lang w:val="en-GB"/>
              </w:rPr>
            </w:pPr>
          </w:p>
        </w:tc>
      </w:tr>
      <w:tr w:rsidR="00203808" w:rsidRPr="00203808" w14:paraId="6319AC4D" w14:textId="45016AF2" w:rsidTr="0072128D">
        <w:trPr>
          <w:trHeight w:val="467"/>
          <w:tblCellSpacing w:w="15" w:type="dxa"/>
        </w:trPr>
        <w:tc>
          <w:tcPr>
            <w:tcW w:w="0" w:type="auto"/>
            <w:tcBorders>
              <w:bottom w:val="thickThinSmallGap" w:sz="24" w:space="0" w:color="auto"/>
            </w:tcBorders>
            <w:vAlign w:val="center"/>
            <w:hideMark/>
          </w:tcPr>
          <w:p w14:paraId="2EE3168E" w14:textId="77777777" w:rsidR="0072128D" w:rsidRPr="00203808" w:rsidRDefault="0072128D" w:rsidP="00203808">
            <w:pPr>
              <w:spacing w:after="0" w:line="360" w:lineRule="auto"/>
              <w:jc w:val="both"/>
              <w:rPr>
                <w:rFonts w:cs="Arial"/>
                <w:b/>
                <w:bCs/>
                <w:sz w:val="22"/>
                <w:lang w:val="en-GB"/>
              </w:rPr>
            </w:pPr>
            <w:r w:rsidRPr="00203808">
              <w:rPr>
                <w:rFonts w:cs="Arial"/>
                <w:sz w:val="22"/>
                <w:lang w:val="en-GB"/>
              </w:rPr>
              <w:t>2025</w:t>
            </w:r>
          </w:p>
        </w:tc>
        <w:tc>
          <w:tcPr>
            <w:tcW w:w="1838" w:type="dxa"/>
            <w:tcBorders>
              <w:bottom w:val="thickThinSmallGap" w:sz="24" w:space="0" w:color="auto"/>
            </w:tcBorders>
            <w:vAlign w:val="center"/>
            <w:hideMark/>
          </w:tcPr>
          <w:p w14:paraId="6B5626C1" w14:textId="77777777" w:rsidR="0072128D" w:rsidRPr="00203808" w:rsidRDefault="0072128D" w:rsidP="00203808">
            <w:pPr>
              <w:spacing w:after="0" w:line="360" w:lineRule="auto"/>
              <w:jc w:val="both"/>
              <w:rPr>
                <w:rFonts w:cs="Arial"/>
                <w:b/>
                <w:bCs/>
                <w:sz w:val="22"/>
                <w:lang w:val="en-GB"/>
              </w:rPr>
            </w:pPr>
            <w:r w:rsidRPr="00203808">
              <w:rPr>
                <w:rFonts w:cs="Arial"/>
                <w:sz w:val="22"/>
                <w:lang w:val="en-GB"/>
              </w:rPr>
              <w:t>58.8%</w:t>
            </w:r>
          </w:p>
        </w:tc>
        <w:tc>
          <w:tcPr>
            <w:tcW w:w="1838" w:type="dxa"/>
            <w:tcBorders>
              <w:bottom w:val="thickThinSmallGap" w:sz="24" w:space="0" w:color="auto"/>
            </w:tcBorders>
            <w:vAlign w:val="center"/>
          </w:tcPr>
          <w:p w14:paraId="6057447F" w14:textId="19C6E9FA" w:rsidR="0072128D" w:rsidRPr="00203808" w:rsidRDefault="0072128D" w:rsidP="00203808">
            <w:pPr>
              <w:spacing w:after="0" w:line="360" w:lineRule="auto"/>
              <w:jc w:val="both"/>
              <w:rPr>
                <w:rFonts w:cs="Arial"/>
                <w:sz w:val="22"/>
                <w:lang w:val="en-GB"/>
              </w:rPr>
            </w:pPr>
            <w:r w:rsidRPr="00203808">
              <w:rPr>
                <w:rFonts w:cs="Arial"/>
                <w:sz w:val="22"/>
                <w:lang w:val="en-GB"/>
              </w:rPr>
              <w:t>N/</w:t>
            </w:r>
            <w:r w:rsidR="00CD7E93" w:rsidRPr="00203808">
              <w:rPr>
                <w:rFonts w:cs="Arial"/>
                <w:sz w:val="22"/>
                <w:lang w:val="en-GB"/>
              </w:rPr>
              <w:t>A</w:t>
            </w:r>
          </w:p>
        </w:tc>
        <w:tc>
          <w:tcPr>
            <w:tcW w:w="1071" w:type="dxa"/>
            <w:tcBorders>
              <w:bottom w:val="thickThinSmallGap" w:sz="24" w:space="0" w:color="auto"/>
            </w:tcBorders>
            <w:vAlign w:val="center"/>
          </w:tcPr>
          <w:p w14:paraId="3FEAF808" w14:textId="6B16D68D" w:rsidR="0072128D" w:rsidRPr="00203808" w:rsidRDefault="0072128D" w:rsidP="00203808">
            <w:pPr>
              <w:spacing w:after="0" w:line="360" w:lineRule="auto"/>
              <w:jc w:val="both"/>
              <w:rPr>
                <w:rFonts w:cs="Arial"/>
                <w:sz w:val="22"/>
                <w:lang w:val="en-GB"/>
              </w:rPr>
            </w:pPr>
            <w:r w:rsidRPr="00203808">
              <w:rPr>
                <w:rFonts w:cs="Arial"/>
                <w:sz w:val="22"/>
                <w:lang w:val="en-GB"/>
              </w:rPr>
              <w:t>5.12</w:t>
            </w:r>
          </w:p>
        </w:tc>
        <w:tc>
          <w:tcPr>
            <w:tcW w:w="65" w:type="dxa"/>
            <w:tcBorders>
              <w:bottom w:val="thickThinSmallGap" w:sz="24" w:space="0" w:color="auto"/>
            </w:tcBorders>
          </w:tcPr>
          <w:p w14:paraId="3D95CC90" w14:textId="6AAB1253" w:rsidR="0072128D" w:rsidRPr="00203808" w:rsidRDefault="0072128D" w:rsidP="00203808">
            <w:pPr>
              <w:spacing w:after="0" w:line="360" w:lineRule="auto"/>
              <w:jc w:val="both"/>
              <w:rPr>
                <w:rFonts w:cs="Arial"/>
                <w:sz w:val="22"/>
                <w:lang w:val="en-GB"/>
              </w:rPr>
            </w:pPr>
          </w:p>
        </w:tc>
        <w:tc>
          <w:tcPr>
            <w:tcW w:w="50" w:type="dxa"/>
            <w:tcBorders>
              <w:bottom w:val="thickThinSmallGap" w:sz="24" w:space="0" w:color="auto"/>
            </w:tcBorders>
          </w:tcPr>
          <w:p w14:paraId="6270970F" w14:textId="0ACEE0E1" w:rsidR="0072128D" w:rsidRPr="00203808" w:rsidRDefault="0072128D" w:rsidP="00203808">
            <w:pPr>
              <w:spacing w:after="0" w:line="360" w:lineRule="auto"/>
              <w:jc w:val="both"/>
              <w:rPr>
                <w:rFonts w:cs="Arial"/>
                <w:sz w:val="22"/>
                <w:lang w:val="en-GB"/>
              </w:rPr>
            </w:pPr>
          </w:p>
        </w:tc>
      </w:tr>
    </w:tbl>
    <w:p w14:paraId="554E197B" w14:textId="23AB405C" w:rsidR="00CD7E93" w:rsidRPr="00912DDA" w:rsidRDefault="00F9461B" w:rsidP="00203808">
      <w:pPr>
        <w:spacing w:after="0" w:line="360" w:lineRule="auto"/>
        <w:jc w:val="both"/>
        <w:rPr>
          <w:rFonts w:cs="Arial"/>
          <w:b/>
          <w:bCs/>
          <w:sz w:val="22"/>
        </w:rPr>
      </w:pPr>
      <w:r w:rsidRPr="00912DDA">
        <w:rPr>
          <w:rFonts w:cs="Arial"/>
          <w:b/>
          <w:bCs/>
          <w:sz w:val="22"/>
          <w:u w:val="single"/>
          <w:lang w:val="en-GB"/>
        </w:rPr>
        <w:t>Source:</w:t>
      </w:r>
      <w:r w:rsidRPr="00912DDA">
        <w:rPr>
          <w:rFonts w:cs="Arial"/>
          <w:b/>
          <w:bCs/>
          <w:sz w:val="22"/>
          <w:lang w:val="en-GB"/>
        </w:rPr>
        <w:t xml:space="preserve"> </w:t>
      </w:r>
      <w:r w:rsidR="008719B4" w:rsidRPr="00912DDA">
        <w:rPr>
          <w:rFonts w:cs="Arial"/>
          <w:b/>
          <w:bCs/>
          <w:sz w:val="22"/>
          <w:lang w:val="en-GB"/>
        </w:rPr>
        <w:t>Autor’s</w:t>
      </w:r>
      <w:r w:rsidR="00CD7E93" w:rsidRPr="00912DDA">
        <w:rPr>
          <w:rFonts w:cs="Arial"/>
          <w:b/>
          <w:bCs/>
          <w:sz w:val="22"/>
          <w:lang w:val="en-GB"/>
        </w:rPr>
        <w:t xml:space="preserve"> calculation</w:t>
      </w:r>
      <w:r w:rsidR="008719B4" w:rsidRPr="00912DDA">
        <w:rPr>
          <w:rFonts w:cs="Arial"/>
          <w:b/>
          <w:bCs/>
          <w:sz w:val="22"/>
          <w:lang w:val="en-GB"/>
        </w:rPr>
        <w:t>s</w:t>
      </w:r>
      <w:r w:rsidR="00CD7E93" w:rsidRPr="00912DDA">
        <w:rPr>
          <w:rFonts w:cs="Arial"/>
          <w:b/>
          <w:bCs/>
          <w:sz w:val="22"/>
        </w:rPr>
        <w:t xml:space="preserve"> from Marriott International annual report 2021</w:t>
      </w:r>
      <w:r w:rsidR="00ED72CF" w:rsidRPr="00912DDA">
        <w:rPr>
          <w:rFonts w:cs="Arial"/>
          <w:b/>
          <w:bCs/>
          <w:sz w:val="22"/>
        </w:rPr>
        <w:t>-</w:t>
      </w:r>
      <w:r w:rsidR="00CD7E93" w:rsidRPr="00912DDA">
        <w:rPr>
          <w:rFonts w:cs="Arial"/>
          <w:b/>
          <w:bCs/>
          <w:sz w:val="22"/>
        </w:rPr>
        <w:t>2025</w:t>
      </w:r>
    </w:p>
    <w:p w14:paraId="03D84D61" w14:textId="77777777" w:rsidR="00912DDA" w:rsidRDefault="00912DDA" w:rsidP="00203808">
      <w:pPr>
        <w:spacing w:after="0" w:line="360" w:lineRule="auto"/>
        <w:jc w:val="both"/>
        <w:rPr>
          <w:rFonts w:cs="Arial"/>
          <w:sz w:val="22"/>
        </w:rPr>
      </w:pPr>
    </w:p>
    <w:p w14:paraId="0F5A1EEA" w14:textId="422440D7" w:rsidR="00CD7E93" w:rsidRPr="00203808" w:rsidRDefault="00CD7E93" w:rsidP="00203808">
      <w:pPr>
        <w:spacing w:after="0" w:line="360" w:lineRule="auto"/>
        <w:jc w:val="both"/>
        <w:rPr>
          <w:rFonts w:cs="Arial"/>
          <w:sz w:val="22"/>
        </w:rPr>
      </w:pPr>
      <w:r w:rsidRPr="00203808">
        <w:rPr>
          <w:rFonts w:cs="Arial"/>
          <w:sz w:val="22"/>
        </w:rPr>
        <w:t>Debt</w:t>
      </w:r>
      <w:r w:rsidR="00ED72CF" w:rsidRPr="00203808">
        <w:rPr>
          <w:rFonts w:cs="Arial"/>
          <w:sz w:val="22"/>
        </w:rPr>
        <w:t>-</w:t>
      </w:r>
      <w:r w:rsidRPr="00203808">
        <w:rPr>
          <w:rFonts w:cs="Arial"/>
          <w:sz w:val="22"/>
        </w:rPr>
        <w:t>to</w:t>
      </w:r>
      <w:r w:rsidR="00ED72CF" w:rsidRPr="00203808">
        <w:rPr>
          <w:rFonts w:cs="Arial"/>
          <w:sz w:val="22"/>
        </w:rPr>
        <w:t>-</w:t>
      </w:r>
      <w:r w:rsidRPr="00203808">
        <w:rPr>
          <w:rFonts w:cs="Arial"/>
          <w:sz w:val="22"/>
        </w:rPr>
        <w:t>Assets increased 19.1 points to 58.8% due to senior note issuance (Marriott International, 2026). Debt</w:t>
      </w:r>
      <w:r w:rsidR="00ED72CF" w:rsidRPr="00203808">
        <w:rPr>
          <w:rFonts w:cs="Arial"/>
          <w:sz w:val="22"/>
        </w:rPr>
        <w:t>-</w:t>
      </w:r>
      <w:r w:rsidRPr="00203808">
        <w:rPr>
          <w:rFonts w:cs="Arial"/>
          <w:sz w:val="22"/>
        </w:rPr>
        <w:t>to</w:t>
      </w:r>
      <w:r w:rsidR="00ED72CF" w:rsidRPr="00203808">
        <w:rPr>
          <w:rFonts w:cs="Arial"/>
          <w:sz w:val="22"/>
        </w:rPr>
        <w:t>-</w:t>
      </w:r>
      <w:r w:rsidRPr="00203808">
        <w:rPr>
          <w:rFonts w:cs="Arial"/>
          <w:sz w:val="22"/>
        </w:rPr>
        <w:t>Equity is not meaningful from 2023 due to negative equity of $(</w:t>
      </w:r>
      <w:proofErr w:type="gramStart"/>
      <w:r w:rsidRPr="00203808">
        <w:rPr>
          <w:rFonts w:cs="Arial"/>
          <w:sz w:val="22"/>
        </w:rPr>
        <w:t>3,771)m</w:t>
      </w:r>
      <w:proofErr w:type="gramEnd"/>
      <w:r w:rsidRPr="00203808">
        <w:rPr>
          <w:rFonts w:cs="Arial"/>
          <w:sz w:val="22"/>
        </w:rPr>
        <w:t xml:space="preserve"> caused by buybacks. Interest Coverage declined from 8.59 to 5.12 as interest expense rose to $809m (Marriott International, 2026). Coverage remains adequate but the declining trend reduces financial flexibility</w:t>
      </w:r>
      <w:r w:rsidR="00E241C5" w:rsidRPr="00203808">
        <w:rPr>
          <w:rFonts w:cs="Arial"/>
          <w:sz w:val="22"/>
        </w:rPr>
        <w:t>.</w:t>
      </w:r>
    </w:p>
    <w:p w14:paraId="7A531FF9" w14:textId="77777777" w:rsidR="00203808" w:rsidRPr="00203808" w:rsidRDefault="00203808" w:rsidP="00203808">
      <w:pPr>
        <w:spacing w:after="0" w:line="360" w:lineRule="auto"/>
        <w:jc w:val="both"/>
        <w:rPr>
          <w:rFonts w:cs="Arial"/>
          <w:sz w:val="22"/>
        </w:rPr>
      </w:pPr>
    </w:p>
    <w:p w14:paraId="7D205B66" w14:textId="77777777" w:rsidR="00203808" w:rsidRPr="00203808" w:rsidRDefault="00203808" w:rsidP="00203808">
      <w:pPr>
        <w:spacing w:after="0" w:line="360" w:lineRule="auto"/>
        <w:jc w:val="both"/>
        <w:rPr>
          <w:rFonts w:cs="Arial"/>
          <w:sz w:val="22"/>
        </w:rPr>
      </w:pPr>
    </w:p>
    <w:p w14:paraId="2CE697DE" w14:textId="77777777" w:rsidR="00203808" w:rsidRPr="00203808" w:rsidRDefault="00203808" w:rsidP="00203808">
      <w:pPr>
        <w:spacing w:after="0" w:line="360" w:lineRule="auto"/>
        <w:jc w:val="both"/>
        <w:rPr>
          <w:rFonts w:cs="Arial"/>
          <w:sz w:val="22"/>
        </w:rPr>
      </w:pPr>
    </w:p>
    <w:p w14:paraId="77D6C4DE" w14:textId="77777777" w:rsidR="00203808" w:rsidRPr="00203808" w:rsidRDefault="00203808" w:rsidP="00203808">
      <w:pPr>
        <w:spacing w:after="0" w:line="360" w:lineRule="auto"/>
        <w:jc w:val="both"/>
        <w:rPr>
          <w:rFonts w:cs="Arial"/>
          <w:sz w:val="22"/>
        </w:rPr>
      </w:pPr>
    </w:p>
    <w:p w14:paraId="3ABE7C7F" w14:textId="77777777" w:rsidR="00203808" w:rsidRPr="00203808" w:rsidRDefault="00203808" w:rsidP="00203808">
      <w:pPr>
        <w:spacing w:after="0" w:line="360" w:lineRule="auto"/>
        <w:jc w:val="both"/>
        <w:rPr>
          <w:rFonts w:cs="Arial"/>
          <w:sz w:val="22"/>
        </w:rPr>
      </w:pPr>
    </w:p>
    <w:p w14:paraId="78286BE4" w14:textId="77777777" w:rsidR="00203808" w:rsidRPr="00203808" w:rsidRDefault="00203808" w:rsidP="00203808">
      <w:pPr>
        <w:spacing w:after="0" w:line="360" w:lineRule="auto"/>
        <w:jc w:val="both"/>
        <w:rPr>
          <w:rFonts w:cs="Arial"/>
          <w:sz w:val="22"/>
        </w:rPr>
      </w:pPr>
    </w:p>
    <w:p w14:paraId="7F958357" w14:textId="77777777" w:rsidR="00203808" w:rsidRPr="00203808" w:rsidRDefault="00203808" w:rsidP="00203808">
      <w:pPr>
        <w:spacing w:after="0" w:line="360" w:lineRule="auto"/>
        <w:jc w:val="both"/>
        <w:rPr>
          <w:rFonts w:cs="Arial"/>
          <w:sz w:val="22"/>
        </w:rPr>
      </w:pPr>
    </w:p>
    <w:p w14:paraId="1DCF82FA" w14:textId="77777777" w:rsidR="00203808" w:rsidRPr="00203808" w:rsidRDefault="00203808" w:rsidP="00203808">
      <w:pPr>
        <w:spacing w:after="0" w:line="360" w:lineRule="auto"/>
        <w:jc w:val="both"/>
        <w:rPr>
          <w:rFonts w:cs="Arial"/>
          <w:sz w:val="22"/>
        </w:rPr>
      </w:pPr>
    </w:p>
    <w:p w14:paraId="0B7C7ADB" w14:textId="77777777" w:rsidR="00203808" w:rsidRPr="00203808" w:rsidRDefault="00203808" w:rsidP="00203808">
      <w:pPr>
        <w:spacing w:after="0" w:line="360" w:lineRule="auto"/>
        <w:jc w:val="both"/>
        <w:rPr>
          <w:rFonts w:cs="Arial"/>
          <w:sz w:val="22"/>
        </w:rPr>
      </w:pPr>
    </w:p>
    <w:p w14:paraId="2F9309E1" w14:textId="77777777" w:rsidR="00203808" w:rsidRPr="00203808" w:rsidRDefault="00203808" w:rsidP="00203808">
      <w:pPr>
        <w:spacing w:after="0" w:line="360" w:lineRule="auto"/>
        <w:jc w:val="both"/>
        <w:rPr>
          <w:rFonts w:cs="Arial"/>
          <w:sz w:val="22"/>
        </w:rPr>
      </w:pPr>
    </w:p>
    <w:p w14:paraId="01D072C8" w14:textId="77777777" w:rsidR="00203808" w:rsidRPr="00203808" w:rsidRDefault="00203808" w:rsidP="00203808">
      <w:pPr>
        <w:spacing w:after="0" w:line="360" w:lineRule="auto"/>
        <w:jc w:val="both"/>
        <w:rPr>
          <w:rFonts w:cs="Arial"/>
          <w:sz w:val="22"/>
        </w:rPr>
      </w:pPr>
    </w:p>
    <w:p w14:paraId="1701E931" w14:textId="77777777" w:rsidR="00203808" w:rsidRPr="00203808" w:rsidRDefault="00203808" w:rsidP="00203808">
      <w:pPr>
        <w:spacing w:after="0" w:line="360" w:lineRule="auto"/>
        <w:jc w:val="both"/>
        <w:rPr>
          <w:rFonts w:cs="Arial"/>
          <w:sz w:val="22"/>
        </w:rPr>
      </w:pPr>
    </w:p>
    <w:p w14:paraId="6D384ED2" w14:textId="007EAEBB" w:rsidR="00CD7E93" w:rsidRPr="00912DDA" w:rsidRDefault="00CD7E93" w:rsidP="00203808">
      <w:pPr>
        <w:spacing w:after="0" w:line="360" w:lineRule="auto"/>
        <w:jc w:val="both"/>
        <w:rPr>
          <w:rFonts w:cs="Arial"/>
          <w:b/>
          <w:bCs/>
          <w:sz w:val="22"/>
        </w:rPr>
      </w:pPr>
      <w:r w:rsidRPr="00912DDA">
        <w:rPr>
          <w:rFonts w:cs="Arial"/>
          <w:b/>
          <w:bCs/>
          <w:sz w:val="22"/>
          <w:u w:val="single"/>
        </w:rPr>
        <w:lastRenderedPageBreak/>
        <w:t>Figure 4:</w:t>
      </w:r>
      <w:r w:rsidRPr="00912DDA">
        <w:rPr>
          <w:rFonts w:cs="Arial"/>
          <w:b/>
          <w:bCs/>
          <w:sz w:val="22"/>
        </w:rPr>
        <w:t xml:space="preserve"> Leverage Ratios trend, 2021</w:t>
      </w:r>
      <w:r w:rsidR="00ED72CF" w:rsidRPr="00912DDA">
        <w:rPr>
          <w:rFonts w:cs="Arial"/>
          <w:b/>
          <w:bCs/>
          <w:sz w:val="22"/>
        </w:rPr>
        <w:t>-</w:t>
      </w:r>
      <w:r w:rsidRPr="00912DDA">
        <w:rPr>
          <w:rFonts w:cs="Arial"/>
          <w:b/>
          <w:bCs/>
          <w:sz w:val="22"/>
        </w:rPr>
        <w:t xml:space="preserve">2025  </w:t>
      </w:r>
    </w:p>
    <w:p w14:paraId="2730EB5A" w14:textId="1C8C1F60" w:rsidR="002C7A45" w:rsidRPr="00203808" w:rsidRDefault="000D13C8" w:rsidP="00203808">
      <w:pPr>
        <w:spacing w:after="0" w:line="360" w:lineRule="auto"/>
        <w:jc w:val="both"/>
        <w:rPr>
          <w:rFonts w:cs="Arial"/>
          <w:b/>
          <w:bCs/>
          <w:sz w:val="22"/>
          <w:lang w:val="en-GB"/>
        </w:rPr>
      </w:pPr>
      <w:r w:rsidRPr="00203808">
        <w:rPr>
          <w:rFonts w:cs="Arial"/>
          <w:noProof/>
          <w:sz w:val="22"/>
        </w:rPr>
        <w:drawing>
          <wp:inline distT="0" distB="0" distL="0" distR="0" wp14:anchorId="12AEA054" wp14:editId="3CC0F993">
            <wp:extent cx="2698750" cy="2451100"/>
            <wp:effectExtent l="0" t="0" r="6350" b="6350"/>
            <wp:docPr id="620825079" name="Graphique 1">
              <a:extLst xmlns:a="http://schemas.openxmlformats.org/drawingml/2006/main">
                <a:ext uri="{FF2B5EF4-FFF2-40B4-BE49-F238E27FC236}">
                  <a16:creationId xmlns:a16="http://schemas.microsoft.com/office/drawing/2014/main" id="{167A1F58-77DF-3D51-058C-DF30E2DC7E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Pr="00203808">
        <w:rPr>
          <w:rFonts w:cs="Arial"/>
          <w:noProof/>
          <w:sz w:val="22"/>
        </w:rPr>
        <w:drawing>
          <wp:inline distT="0" distB="0" distL="0" distR="0" wp14:anchorId="02D2EB60" wp14:editId="683349DB">
            <wp:extent cx="2743200" cy="2451100"/>
            <wp:effectExtent l="0" t="0" r="0" b="6350"/>
            <wp:docPr id="1450094445" name="Graphique 1">
              <a:extLst xmlns:a="http://schemas.openxmlformats.org/drawingml/2006/main">
                <a:ext uri="{FF2B5EF4-FFF2-40B4-BE49-F238E27FC236}">
                  <a16:creationId xmlns:a16="http://schemas.microsoft.com/office/drawing/2014/main" id="{140E567D-27B7-6C5E-9149-D255986BCE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Pr="00203808">
        <w:rPr>
          <w:rFonts w:cs="Arial"/>
          <w:noProof/>
          <w:sz w:val="22"/>
        </w:rPr>
        <w:drawing>
          <wp:inline distT="0" distB="0" distL="0" distR="0" wp14:anchorId="469C6B1C" wp14:editId="6626FA0C">
            <wp:extent cx="5416550" cy="2641600"/>
            <wp:effectExtent l="0" t="0" r="12700" b="6350"/>
            <wp:docPr id="732891000" name="Graphique 1">
              <a:extLst xmlns:a="http://schemas.openxmlformats.org/drawingml/2006/main">
                <a:ext uri="{FF2B5EF4-FFF2-40B4-BE49-F238E27FC236}">
                  <a16:creationId xmlns:a16="http://schemas.microsoft.com/office/drawing/2014/main" id="{F690AC2E-4407-0CB7-16C9-17A6CDD07F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71F19C3" w14:textId="1E455F61" w:rsidR="00CD7E93" w:rsidRPr="00912DDA" w:rsidRDefault="00CD7E93" w:rsidP="00203808">
      <w:pPr>
        <w:spacing w:after="0" w:line="360" w:lineRule="auto"/>
        <w:jc w:val="both"/>
        <w:rPr>
          <w:rFonts w:cs="Arial"/>
          <w:b/>
          <w:bCs/>
          <w:sz w:val="22"/>
        </w:rPr>
      </w:pPr>
      <w:r w:rsidRPr="00912DDA">
        <w:rPr>
          <w:rFonts w:cs="Arial"/>
          <w:b/>
          <w:bCs/>
          <w:sz w:val="22"/>
          <w:u w:val="single"/>
        </w:rPr>
        <w:t>Source:</w:t>
      </w:r>
      <w:r w:rsidRPr="00912DDA">
        <w:rPr>
          <w:rFonts w:cs="Arial"/>
          <w:b/>
          <w:bCs/>
          <w:sz w:val="22"/>
        </w:rPr>
        <w:t xml:space="preserve"> </w:t>
      </w:r>
      <w:r w:rsidR="008719B4" w:rsidRPr="00912DDA">
        <w:rPr>
          <w:rFonts w:cs="Arial"/>
          <w:b/>
          <w:bCs/>
          <w:sz w:val="22"/>
          <w:lang w:val="en-GB"/>
        </w:rPr>
        <w:t xml:space="preserve">Autor </w:t>
      </w:r>
      <w:r w:rsidRPr="00912DDA">
        <w:rPr>
          <w:rFonts w:cs="Arial"/>
          <w:b/>
          <w:bCs/>
          <w:sz w:val="22"/>
        </w:rPr>
        <w:t>from Marriott International annual report 2021</w:t>
      </w:r>
      <w:r w:rsidR="00ED72CF" w:rsidRPr="00912DDA">
        <w:rPr>
          <w:rFonts w:cs="Arial"/>
          <w:b/>
          <w:bCs/>
          <w:sz w:val="22"/>
        </w:rPr>
        <w:t>-</w:t>
      </w:r>
      <w:r w:rsidRPr="00912DDA">
        <w:rPr>
          <w:rFonts w:cs="Arial"/>
          <w:b/>
          <w:bCs/>
          <w:sz w:val="22"/>
        </w:rPr>
        <w:t>2025</w:t>
      </w:r>
    </w:p>
    <w:p w14:paraId="1AC19E16" w14:textId="77777777" w:rsidR="002C7A45" w:rsidRPr="00912DDA" w:rsidRDefault="002C7A45" w:rsidP="00203808">
      <w:pPr>
        <w:spacing w:after="0" w:line="360" w:lineRule="auto"/>
        <w:jc w:val="both"/>
        <w:rPr>
          <w:rFonts w:cs="Arial"/>
          <w:b/>
          <w:bCs/>
          <w:sz w:val="22"/>
          <w:u w:val="single"/>
          <w:lang w:val="en-GB"/>
        </w:rPr>
      </w:pPr>
      <w:r w:rsidRPr="00912DDA">
        <w:rPr>
          <w:rFonts w:cs="Arial"/>
          <w:b/>
          <w:bCs/>
          <w:sz w:val="22"/>
          <w:u w:val="single"/>
          <w:lang w:val="en-GB"/>
        </w:rPr>
        <w:t>E. Investment Ratios</w:t>
      </w:r>
    </w:p>
    <w:p w14:paraId="60238139" w14:textId="46E3F9EA" w:rsidR="00CD7E93" w:rsidRPr="00203808" w:rsidRDefault="00CD7E93" w:rsidP="00203808">
      <w:pPr>
        <w:spacing w:after="0" w:line="360" w:lineRule="auto"/>
        <w:jc w:val="both"/>
        <w:rPr>
          <w:rFonts w:cs="Arial"/>
          <w:sz w:val="22"/>
        </w:rPr>
      </w:pPr>
      <w:r w:rsidRPr="00203808">
        <w:rPr>
          <w:rFonts w:cs="Arial"/>
          <w:sz w:val="22"/>
        </w:rPr>
        <w:t>Investment ratios connect financial performance to market valuation and shareholder returns, indicating investor confidence.</w:t>
      </w:r>
    </w:p>
    <w:p w14:paraId="25F3528E" w14:textId="77777777" w:rsidR="00912DDA" w:rsidRDefault="00912DDA" w:rsidP="00203808">
      <w:pPr>
        <w:spacing w:after="0" w:line="360" w:lineRule="auto"/>
        <w:jc w:val="both"/>
        <w:rPr>
          <w:rFonts w:cs="Arial"/>
          <w:sz w:val="22"/>
          <w:lang w:val="en-GB"/>
        </w:rPr>
      </w:pPr>
    </w:p>
    <w:p w14:paraId="1FD441C3" w14:textId="77777777" w:rsidR="00912DDA" w:rsidRDefault="00912DDA" w:rsidP="00203808">
      <w:pPr>
        <w:spacing w:after="0" w:line="360" w:lineRule="auto"/>
        <w:jc w:val="both"/>
        <w:rPr>
          <w:rFonts w:cs="Arial"/>
          <w:sz w:val="22"/>
          <w:lang w:val="en-GB"/>
        </w:rPr>
      </w:pPr>
    </w:p>
    <w:p w14:paraId="654FF675" w14:textId="77777777" w:rsidR="00912DDA" w:rsidRDefault="00912DDA" w:rsidP="00203808">
      <w:pPr>
        <w:spacing w:after="0" w:line="360" w:lineRule="auto"/>
        <w:jc w:val="both"/>
        <w:rPr>
          <w:rFonts w:cs="Arial"/>
          <w:sz w:val="22"/>
          <w:lang w:val="en-GB"/>
        </w:rPr>
      </w:pPr>
    </w:p>
    <w:p w14:paraId="19AAB863" w14:textId="77777777" w:rsidR="00912DDA" w:rsidRDefault="00912DDA" w:rsidP="00203808">
      <w:pPr>
        <w:spacing w:after="0" w:line="360" w:lineRule="auto"/>
        <w:jc w:val="both"/>
        <w:rPr>
          <w:rFonts w:cs="Arial"/>
          <w:sz w:val="22"/>
          <w:lang w:val="en-GB"/>
        </w:rPr>
      </w:pPr>
    </w:p>
    <w:p w14:paraId="077BAE01" w14:textId="77777777" w:rsidR="00912DDA" w:rsidRDefault="00912DDA" w:rsidP="00203808">
      <w:pPr>
        <w:spacing w:after="0" w:line="360" w:lineRule="auto"/>
        <w:jc w:val="both"/>
        <w:rPr>
          <w:rFonts w:cs="Arial"/>
          <w:sz w:val="22"/>
          <w:lang w:val="en-GB"/>
        </w:rPr>
      </w:pPr>
    </w:p>
    <w:p w14:paraId="5AA205A0" w14:textId="77777777" w:rsidR="00912DDA" w:rsidRDefault="00912DDA" w:rsidP="00203808">
      <w:pPr>
        <w:spacing w:after="0" w:line="360" w:lineRule="auto"/>
        <w:jc w:val="both"/>
        <w:rPr>
          <w:rFonts w:cs="Arial"/>
          <w:sz w:val="22"/>
          <w:lang w:val="en-GB"/>
        </w:rPr>
      </w:pPr>
    </w:p>
    <w:p w14:paraId="49D2900F" w14:textId="77777777" w:rsidR="00912DDA" w:rsidRDefault="00912DDA" w:rsidP="00203808">
      <w:pPr>
        <w:spacing w:after="0" w:line="360" w:lineRule="auto"/>
        <w:jc w:val="both"/>
        <w:rPr>
          <w:rFonts w:cs="Arial"/>
          <w:sz w:val="22"/>
          <w:lang w:val="en-GB"/>
        </w:rPr>
      </w:pPr>
    </w:p>
    <w:p w14:paraId="0C350673" w14:textId="19255FA2" w:rsidR="00F9461B" w:rsidRPr="00912DDA" w:rsidRDefault="004F2951" w:rsidP="00203808">
      <w:pPr>
        <w:spacing w:after="0" w:line="360" w:lineRule="auto"/>
        <w:jc w:val="both"/>
        <w:rPr>
          <w:rFonts w:cs="Arial"/>
          <w:b/>
          <w:bCs/>
          <w:sz w:val="22"/>
          <w:lang w:val="en-GB"/>
        </w:rPr>
      </w:pPr>
      <w:r w:rsidRPr="00912DDA">
        <w:rPr>
          <w:rFonts w:cs="Arial"/>
          <w:b/>
          <w:bCs/>
          <w:sz w:val="22"/>
          <w:u w:val="single"/>
          <w:lang w:val="en-GB"/>
        </w:rPr>
        <w:lastRenderedPageBreak/>
        <w:t>Table</w:t>
      </w:r>
      <w:r w:rsidR="00203808" w:rsidRPr="00912DDA">
        <w:rPr>
          <w:rFonts w:cs="Arial"/>
          <w:b/>
          <w:bCs/>
          <w:sz w:val="22"/>
          <w:u w:val="single"/>
          <w:lang w:val="en-GB"/>
        </w:rPr>
        <w:t xml:space="preserve"> 5</w:t>
      </w:r>
      <w:r w:rsidRPr="00912DDA">
        <w:rPr>
          <w:rFonts w:cs="Arial"/>
          <w:b/>
          <w:bCs/>
          <w:sz w:val="22"/>
          <w:u w:val="single"/>
          <w:lang w:val="en-GB"/>
        </w:rPr>
        <w:t>:</w:t>
      </w:r>
      <w:r w:rsidRPr="00912DDA">
        <w:rPr>
          <w:rFonts w:cs="Arial"/>
          <w:b/>
          <w:bCs/>
          <w:sz w:val="22"/>
          <w:lang w:val="en-GB"/>
        </w:rPr>
        <w:t xml:space="preserve"> Investment Ratios, 2021</w:t>
      </w:r>
      <w:r w:rsidR="00ED72CF" w:rsidRPr="00912DDA">
        <w:rPr>
          <w:rFonts w:cs="Arial"/>
          <w:b/>
          <w:bCs/>
          <w:sz w:val="22"/>
          <w:lang w:val="en-GB"/>
        </w:rPr>
        <w:t>-</w:t>
      </w:r>
      <w:r w:rsidRPr="00912DDA">
        <w:rPr>
          <w:rFonts w:cs="Arial"/>
          <w:b/>
          <w:bCs/>
          <w:sz w:val="22"/>
          <w:lang w:val="en-GB"/>
        </w:rPr>
        <w:t>2025</w:t>
      </w:r>
    </w:p>
    <w:tbl>
      <w:tblPr>
        <w:tblW w:w="7251" w:type="dxa"/>
        <w:tblCellSpacing w:w="15" w:type="dxa"/>
        <w:tblCellMar>
          <w:top w:w="15" w:type="dxa"/>
          <w:left w:w="15" w:type="dxa"/>
          <w:bottom w:w="15" w:type="dxa"/>
          <w:right w:w="15" w:type="dxa"/>
        </w:tblCellMar>
        <w:tblLook w:val="04A0" w:firstRow="1" w:lastRow="0" w:firstColumn="1" w:lastColumn="0" w:noHBand="0" w:noVBand="1"/>
      </w:tblPr>
      <w:tblGrid>
        <w:gridCol w:w="990"/>
        <w:gridCol w:w="2239"/>
        <w:gridCol w:w="95"/>
        <w:gridCol w:w="1084"/>
        <w:gridCol w:w="95"/>
        <w:gridCol w:w="2638"/>
        <w:gridCol w:w="110"/>
      </w:tblGrid>
      <w:tr w:rsidR="00203808" w:rsidRPr="00203808" w14:paraId="0CBB2730" w14:textId="6036747D" w:rsidTr="00912DDA">
        <w:trPr>
          <w:trHeight w:val="300"/>
          <w:tblHeader/>
          <w:tblCellSpacing w:w="15" w:type="dxa"/>
        </w:trPr>
        <w:tc>
          <w:tcPr>
            <w:tcW w:w="0" w:type="auto"/>
            <w:tcBorders>
              <w:top w:val="thinThickSmallGap" w:sz="24" w:space="0" w:color="auto"/>
              <w:bottom w:val="thickThinSmallGap" w:sz="24" w:space="0" w:color="auto"/>
            </w:tcBorders>
            <w:vAlign w:val="center"/>
            <w:hideMark/>
          </w:tcPr>
          <w:p w14:paraId="6945116A" w14:textId="77777777" w:rsidR="004F2951" w:rsidRPr="00203808" w:rsidRDefault="004F2951" w:rsidP="00912DDA">
            <w:pPr>
              <w:spacing w:after="0" w:line="240" w:lineRule="auto"/>
              <w:jc w:val="both"/>
              <w:rPr>
                <w:rFonts w:cs="Arial"/>
                <w:b/>
                <w:bCs/>
                <w:sz w:val="22"/>
                <w:lang w:val="en-GB"/>
              </w:rPr>
            </w:pPr>
            <w:r w:rsidRPr="00203808">
              <w:rPr>
                <w:rFonts w:cs="Arial"/>
                <w:sz w:val="22"/>
                <w:lang w:val="en-GB"/>
              </w:rPr>
              <w:t>Year</w:t>
            </w:r>
          </w:p>
        </w:tc>
        <w:tc>
          <w:tcPr>
            <w:tcW w:w="0" w:type="auto"/>
            <w:tcBorders>
              <w:top w:val="thinThickSmallGap" w:sz="24" w:space="0" w:color="auto"/>
              <w:bottom w:val="thickThinSmallGap" w:sz="24" w:space="0" w:color="auto"/>
            </w:tcBorders>
            <w:vAlign w:val="center"/>
            <w:hideMark/>
          </w:tcPr>
          <w:p w14:paraId="19B9ECB9" w14:textId="77777777" w:rsidR="004F2951" w:rsidRPr="00203808" w:rsidRDefault="004F2951" w:rsidP="00912DDA">
            <w:pPr>
              <w:spacing w:after="0" w:line="240" w:lineRule="auto"/>
              <w:jc w:val="both"/>
              <w:rPr>
                <w:rFonts w:cs="Arial"/>
                <w:b/>
                <w:bCs/>
                <w:sz w:val="22"/>
                <w:lang w:val="en-GB"/>
              </w:rPr>
            </w:pPr>
            <w:r w:rsidRPr="00203808">
              <w:rPr>
                <w:rFonts w:cs="Arial"/>
                <w:sz w:val="22"/>
                <w:lang w:val="en-GB"/>
              </w:rPr>
              <w:t>Diluted EPS</w:t>
            </w:r>
          </w:p>
        </w:tc>
        <w:tc>
          <w:tcPr>
            <w:tcW w:w="0" w:type="auto"/>
            <w:tcBorders>
              <w:top w:val="thinThickSmallGap" w:sz="24" w:space="0" w:color="auto"/>
              <w:bottom w:val="thickThinSmallGap" w:sz="24" w:space="0" w:color="auto"/>
            </w:tcBorders>
          </w:tcPr>
          <w:p w14:paraId="72DAC84C" w14:textId="77777777" w:rsidR="004F2951" w:rsidRPr="00203808" w:rsidRDefault="004F2951" w:rsidP="00912DDA">
            <w:pPr>
              <w:spacing w:after="0" w:line="240" w:lineRule="auto"/>
              <w:jc w:val="both"/>
              <w:rPr>
                <w:rFonts w:cs="Arial"/>
                <w:sz w:val="22"/>
                <w:lang w:val="en-GB"/>
              </w:rPr>
            </w:pPr>
          </w:p>
        </w:tc>
        <w:tc>
          <w:tcPr>
            <w:tcW w:w="0" w:type="auto"/>
            <w:tcBorders>
              <w:top w:val="thinThickSmallGap" w:sz="24" w:space="0" w:color="auto"/>
              <w:bottom w:val="thickThinSmallGap" w:sz="24" w:space="0" w:color="auto"/>
            </w:tcBorders>
            <w:vAlign w:val="center"/>
          </w:tcPr>
          <w:p w14:paraId="409E0367" w14:textId="3CC8FD27" w:rsidR="004F2951" w:rsidRPr="00203808" w:rsidRDefault="004F2951" w:rsidP="00912DDA">
            <w:pPr>
              <w:spacing w:after="0" w:line="240" w:lineRule="auto"/>
              <w:jc w:val="both"/>
              <w:rPr>
                <w:rFonts w:cs="Arial"/>
                <w:sz w:val="22"/>
                <w:lang w:val="en-GB"/>
              </w:rPr>
            </w:pPr>
            <w:r w:rsidRPr="00203808">
              <w:rPr>
                <w:rFonts w:cs="Arial"/>
                <w:sz w:val="22"/>
                <w:lang w:val="en-GB"/>
              </w:rPr>
              <w:t>P/E</w:t>
            </w:r>
          </w:p>
        </w:tc>
        <w:tc>
          <w:tcPr>
            <w:tcW w:w="0" w:type="auto"/>
            <w:tcBorders>
              <w:top w:val="thinThickSmallGap" w:sz="24" w:space="0" w:color="auto"/>
              <w:bottom w:val="thickThinSmallGap" w:sz="24" w:space="0" w:color="auto"/>
            </w:tcBorders>
          </w:tcPr>
          <w:p w14:paraId="790A2DD2" w14:textId="77777777" w:rsidR="004F2951" w:rsidRPr="00203808" w:rsidRDefault="004F2951" w:rsidP="00912DDA">
            <w:pPr>
              <w:spacing w:after="0" w:line="240" w:lineRule="auto"/>
              <w:jc w:val="both"/>
              <w:rPr>
                <w:rFonts w:cs="Arial"/>
                <w:sz w:val="22"/>
                <w:lang w:val="en-GB"/>
              </w:rPr>
            </w:pPr>
          </w:p>
        </w:tc>
        <w:tc>
          <w:tcPr>
            <w:tcW w:w="0" w:type="auto"/>
            <w:tcBorders>
              <w:top w:val="thinThickSmallGap" w:sz="24" w:space="0" w:color="auto"/>
              <w:bottom w:val="thickThinSmallGap" w:sz="24" w:space="0" w:color="auto"/>
            </w:tcBorders>
            <w:vAlign w:val="center"/>
          </w:tcPr>
          <w:p w14:paraId="63C8021C" w14:textId="6F246C56" w:rsidR="004F2951" w:rsidRPr="00203808" w:rsidRDefault="004F2951" w:rsidP="00912DDA">
            <w:pPr>
              <w:spacing w:after="0" w:line="240" w:lineRule="auto"/>
              <w:jc w:val="both"/>
              <w:rPr>
                <w:rFonts w:cs="Arial"/>
                <w:sz w:val="22"/>
                <w:lang w:val="en-GB"/>
              </w:rPr>
            </w:pPr>
            <w:r w:rsidRPr="00203808">
              <w:rPr>
                <w:rFonts w:cs="Arial"/>
                <w:sz w:val="22"/>
                <w:lang w:val="en-GB"/>
              </w:rPr>
              <w:t>Dividend Yield</w:t>
            </w:r>
          </w:p>
        </w:tc>
        <w:tc>
          <w:tcPr>
            <w:tcW w:w="0" w:type="auto"/>
            <w:tcBorders>
              <w:top w:val="thinThickSmallGap" w:sz="24" w:space="0" w:color="auto"/>
              <w:bottom w:val="thickThinSmallGap" w:sz="24" w:space="0" w:color="auto"/>
            </w:tcBorders>
          </w:tcPr>
          <w:p w14:paraId="241FD486" w14:textId="0978364E" w:rsidR="004F2951" w:rsidRPr="00203808" w:rsidRDefault="004F2951" w:rsidP="00912DDA">
            <w:pPr>
              <w:spacing w:after="0" w:line="240" w:lineRule="auto"/>
              <w:jc w:val="both"/>
              <w:rPr>
                <w:rFonts w:cs="Arial"/>
                <w:sz w:val="22"/>
                <w:lang w:val="en-GB"/>
              </w:rPr>
            </w:pPr>
          </w:p>
        </w:tc>
      </w:tr>
      <w:tr w:rsidR="00203808" w:rsidRPr="00203808" w14:paraId="47E47AF7" w14:textId="7428EED8" w:rsidTr="00912DDA">
        <w:trPr>
          <w:trHeight w:val="307"/>
          <w:tblCellSpacing w:w="15" w:type="dxa"/>
        </w:trPr>
        <w:tc>
          <w:tcPr>
            <w:tcW w:w="0" w:type="auto"/>
            <w:vAlign w:val="center"/>
            <w:hideMark/>
          </w:tcPr>
          <w:p w14:paraId="02DB15D6" w14:textId="77777777" w:rsidR="004F2951" w:rsidRPr="00203808" w:rsidRDefault="004F2951" w:rsidP="00912DDA">
            <w:pPr>
              <w:spacing w:after="0" w:line="240" w:lineRule="auto"/>
              <w:jc w:val="both"/>
              <w:rPr>
                <w:rFonts w:cs="Arial"/>
                <w:b/>
                <w:bCs/>
                <w:sz w:val="22"/>
                <w:lang w:val="en-GB"/>
              </w:rPr>
            </w:pPr>
            <w:r w:rsidRPr="00203808">
              <w:rPr>
                <w:rFonts w:cs="Arial"/>
                <w:sz w:val="22"/>
                <w:lang w:val="en-GB"/>
              </w:rPr>
              <w:t>2021</w:t>
            </w:r>
          </w:p>
        </w:tc>
        <w:tc>
          <w:tcPr>
            <w:tcW w:w="0" w:type="auto"/>
            <w:vAlign w:val="center"/>
            <w:hideMark/>
          </w:tcPr>
          <w:p w14:paraId="29E16B77" w14:textId="77777777" w:rsidR="004F2951" w:rsidRPr="00203808" w:rsidRDefault="004F2951" w:rsidP="00912DDA">
            <w:pPr>
              <w:spacing w:after="0" w:line="240" w:lineRule="auto"/>
              <w:jc w:val="both"/>
              <w:rPr>
                <w:rFonts w:cs="Arial"/>
                <w:b/>
                <w:bCs/>
                <w:sz w:val="22"/>
                <w:lang w:val="en-GB"/>
              </w:rPr>
            </w:pPr>
            <w:r w:rsidRPr="00203808">
              <w:rPr>
                <w:rFonts w:cs="Arial"/>
                <w:sz w:val="22"/>
                <w:lang w:val="en-GB"/>
              </w:rPr>
              <w:t>$3.34</w:t>
            </w:r>
          </w:p>
        </w:tc>
        <w:tc>
          <w:tcPr>
            <w:tcW w:w="0" w:type="auto"/>
          </w:tcPr>
          <w:p w14:paraId="78FE8C36" w14:textId="77777777" w:rsidR="004F2951" w:rsidRPr="00203808" w:rsidRDefault="004F2951" w:rsidP="00912DDA">
            <w:pPr>
              <w:spacing w:after="0" w:line="240" w:lineRule="auto"/>
              <w:jc w:val="both"/>
              <w:rPr>
                <w:rFonts w:cs="Arial"/>
                <w:sz w:val="22"/>
                <w:lang w:val="en-GB"/>
              </w:rPr>
            </w:pPr>
          </w:p>
        </w:tc>
        <w:tc>
          <w:tcPr>
            <w:tcW w:w="0" w:type="auto"/>
            <w:vAlign w:val="center"/>
          </w:tcPr>
          <w:p w14:paraId="4AA83C8F" w14:textId="6631D023" w:rsidR="004F2951" w:rsidRPr="00203808" w:rsidRDefault="004F2951" w:rsidP="00912DDA">
            <w:pPr>
              <w:spacing w:after="0" w:line="240" w:lineRule="auto"/>
              <w:jc w:val="both"/>
              <w:rPr>
                <w:rFonts w:cs="Arial"/>
                <w:sz w:val="22"/>
                <w:lang w:val="en-GB"/>
              </w:rPr>
            </w:pPr>
            <w:r w:rsidRPr="00203808">
              <w:rPr>
                <w:rFonts w:cs="Arial"/>
                <w:sz w:val="22"/>
                <w:lang w:val="en-GB"/>
              </w:rPr>
              <w:t>49.47</w:t>
            </w:r>
          </w:p>
        </w:tc>
        <w:tc>
          <w:tcPr>
            <w:tcW w:w="0" w:type="auto"/>
          </w:tcPr>
          <w:p w14:paraId="3433962D" w14:textId="77777777" w:rsidR="004F2951" w:rsidRPr="00203808" w:rsidRDefault="004F2951" w:rsidP="00912DDA">
            <w:pPr>
              <w:spacing w:after="0" w:line="240" w:lineRule="auto"/>
              <w:jc w:val="both"/>
              <w:rPr>
                <w:rFonts w:cs="Arial"/>
                <w:sz w:val="22"/>
                <w:lang w:val="en-GB"/>
              </w:rPr>
            </w:pPr>
          </w:p>
        </w:tc>
        <w:tc>
          <w:tcPr>
            <w:tcW w:w="0" w:type="auto"/>
            <w:vAlign w:val="center"/>
          </w:tcPr>
          <w:p w14:paraId="7A7E30BF" w14:textId="635D194C" w:rsidR="004F2951" w:rsidRPr="00203808" w:rsidRDefault="004F2951" w:rsidP="00912DDA">
            <w:pPr>
              <w:spacing w:after="0" w:line="240" w:lineRule="auto"/>
              <w:jc w:val="both"/>
              <w:rPr>
                <w:rFonts w:cs="Arial"/>
                <w:sz w:val="22"/>
                <w:lang w:val="en-GB"/>
              </w:rPr>
            </w:pPr>
            <w:r w:rsidRPr="00203808">
              <w:rPr>
                <w:rFonts w:cs="Arial"/>
                <w:sz w:val="22"/>
                <w:lang w:val="en-GB"/>
              </w:rPr>
              <w:t>0.00%</w:t>
            </w:r>
          </w:p>
        </w:tc>
        <w:tc>
          <w:tcPr>
            <w:tcW w:w="0" w:type="auto"/>
          </w:tcPr>
          <w:p w14:paraId="615FD053" w14:textId="0B05D9B8" w:rsidR="004F2951" w:rsidRPr="00203808" w:rsidRDefault="004F2951" w:rsidP="00912DDA">
            <w:pPr>
              <w:spacing w:after="0" w:line="240" w:lineRule="auto"/>
              <w:jc w:val="both"/>
              <w:rPr>
                <w:rFonts w:cs="Arial"/>
                <w:sz w:val="22"/>
                <w:lang w:val="en-GB"/>
              </w:rPr>
            </w:pPr>
          </w:p>
        </w:tc>
      </w:tr>
      <w:tr w:rsidR="00203808" w:rsidRPr="00203808" w14:paraId="32E52AAE" w14:textId="33C7E3BC" w:rsidTr="00912DDA">
        <w:trPr>
          <w:trHeight w:val="307"/>
          <w:tblCellSpacing w:w="15" w:type="dxa"/>
        </w:trPr>
        <w:tc>
          <w:tcPr>
            <w:tcW w:w="0" w:type="auto"/>
            <w:vAlign w:val="center"/>
            <w:hideMark/>
          </w:tcPr>
          <w:p w14:paraId="234E3232" w14:textId="77777777" w:rsidR="004F2951" w:rsidRPr="00203808" w:rsidRDefault="004F2951" w:rsidP="00912DDA">
            <w:pPr>
              <w:spacing w:after="0" w:line="240" w:lineRule="auto"/>
              <w:jc w:val="both"/>
              <w:rPr>
                <w:rFonts w:cs="Arial"/>
                <w:b/>
                <w:bCs/>
                <w:sz w:val="22"/>
                <w:lang w:val="en-GB"/>
              </w:rPr>
            </w:pPr>
            <w:r w:rsidRPr="00203808">
              <w:rPr>
                <w:rFonts w:cs="Arial"/>
                <w:sz w:val="22"/>
                <w:lang w:val="en-GB"/>
              </w:rPr>
              <w:t>2022</w:t>
            </w:r>
          </w:p>
        </w:tc>
        <w:tc>
          <w:tcPr>
            <w:tcW w:w="0" w:type="auto"/>
            <w:vAlign w:val="center"/>
            <w:hideMark/>
          </w:tcPr>
          <w:p w14:paraId="09E86130" w14:textId="77777777" w:rsidR="004F2951" w:rsidRPr="00203808" w:rsidRDefault="004F2951" w:rsidP="00912DDA">
            <w:pPr>
              <w:spacing w:after="0" w:line="240" w:lineRule="auto"/>
              <w:jc w:val="both"/>
              <w:rPr>
                <w:rFonts w:cs="Arial"/>
                <w:b/>
                <w:bCs/>
                <w:sz w:val="22"/>
                <w:lang w:val="en-GB"/>
              </w:rPr>
            </w:pPr>
            <w:r w:rsidRPr="00203808">
              <w:rPr>
                <w:rFonts w:cs="Arial"/>
                <w:sz w:val="22"/>
                <w:lang w:val="en-GB"/>
              </w:rPr>
              <w:t>$7.24</w:t>
            </w:r>
          </w:p>
        </w:tc>
        <w:tc>
          <w:tcPr>
            <w:tcW w:w="0" w:type="auto"/>
          </w:tcPr>
          <w:p w14:paraId="738EBB95" w14:textId="77777777" w:rsidR="004F2951" w:rsidRPr="00203808" w:rsidRDefault="004F2951" w:rsidP="00912DDA">
            <w:pPr>
              <w:spacing w:after="0" w:line="240" w:lineRule="auto"/>
              <w:jc w:val="both"/>
              <w:rPr>
                <w:rFonts w:cs="Arial"/>
                <w:sz w:val="22"/>
                <w:lang w:val="en-GB"/>
              </w:rPr>
            </w:pPr>
          </w:p>
        </w:tc>
        <w:tc>
          <w:tcPr>
            <w:tcW w:w="0" w:type="auto"/>
            <w:vAlign w:val="center"/>
          </w:tcPr>
          <w:p w14:paraId="2466743A" w14:textId="200AC4BB" w:rsidR="004F2951" w:rsidRPr="00203808" w:rsidRDefault="004F2951" w:rsidP="00912DDA">
            <w:pPr>
              <w:spacing w:after="0" w:line="240" w:lineRule="auto"/>
              <w:jc w:val="both"/>
              <w:rPr>
                <w:rFonts w:cs="Arial"/>
                <w:sz w:val="22"/>
                <w:lang w:val="en-GB"/>
              </w:rPr>
            </w:pPr>
            <w:r w:rsidRPr="00203808">
              <w:rPr>
                <w:rFonts w:cs="Arial"/>
                <w:sz w:val="22"/>
                <w:lang w:val="en-GB"/>
              </w:rPr>
              <w:t>20.56</w:t>
            </w:r>
          </w:p>
        </w:tc>
        <w:tc>
          <w:tcPr>
            <w:tcW w:w="0" w:type="auto"/>
          </w:tcPr>
          <w:p w14:paraId="53913D2C" w14:textId="77777777" w:rsidR="004F2951" w:rsidRPr="00203808" w:rsidRDefault="004F2951" w:rsidP="00912DDA">
            <w:pPr>
              <w:spacing w:after="0" w:line="240" w:lineRule="auto"/>
              <w:jc w:val="both"/>
              <w:rPr>
                <w:rFonts w:cs="Arial"/>
                <w:sz w:val="22"/>
                <w:lang w:val="en-GB"/>
              </w:rPr>
            </w:pPr>
          </w:p>
        </w:tc>
        <w:tc>
          <w:tcPr>
            <w:tcW w:w="0" w:type="auto"/>
            <w:vAlign w:val="center"/>
          </w:tcPr>
          <w:p w14:paraId="4BDBD6FC" w14:textId="05A074C5" w:rsidR="004F2951" w:rsidRPr="00203808" w:rsidRDefault="004F2951" w:rsidP="00912DDA">
            <w:pPr>
              <w:spacing w:after="0" w:line="240" w:lineRule="auto"/>
              <w:jc w:val="both"/>
              <w:rPr>
                <w:rFonts w:cs="Arial"/>
                <w:sz w:val="22"/>
                <w:lang w:val="en-GB"/>
              </w:rPr>
            </w:pPr>
            <w:r w:rsidRPr="00203808">
              <w:rPr>
                <w:rFonts w:cs="Arial"/>
                <w:sz w:val="22"/>
                <w:lang w:val="en-GB"/>
              </w:rPr>
              <w:t>0.67%</w:t>
            </w:r>
          </w:p>
        </w:tc>
        <w:tc>
          <w:tcPr>
            <w:tcW w:w="0" w:type="auto"/>
          </w:tcPr>
          <w:p w14:paraId="16786623" w14:textId="56210579" w:rsidR="004F2951" w:rsidRPr="00203808" w:rsidRDefault="004F2951" w:rsidP="00912DDA">
            <w:pPr>
              <w:spacing w:after="0" w:line="240" w:lineRule="auto"/>
              <w:jc w:val="both"/>
              <w:rPr>
                <w:rFonts w:cs="Arial"/>
                <w:sz w:val="22"/>
                <w:lang w:val="en-GB"/>
              </w:rPr>
            </w:pPr>
          </w:p>
        </w:tc>
      </w:tr>
      <w:tr w:rsidR="00203808" w:rsidRPr="00203808" w14:paraId="44E45CE5" w14:textId="23F30117" w:rsidTr="00912DDA">
        <w:trPr>
          <w:trHeight w:val="300"/>
          <w:tblCellSpacing w:w="15" w:type="dxa"/>
        </w:trPr>
        <w:tc>
          <w:tcPr>
            <w:tcW w:w="0" w:type="auto"/>
            <w:vAlign w:val="center"/>
            <w:hideMark/>
          </w:tcPr>
          <w:p w14:paraId="1CA3308D" w14:textId="77777777" w:rsidR="004F2951" w:rsidRPr="00203808" w:rsidRDefault="004F2951" w:rsidP="00912DDA">
            <w:pPr>
              <w:spacing w:after="0" w:line="240" w:lineRule="auto"/>
              <w:jc w:val="both"/>
              <w:rPr>
                <w:rFonts w:cs="Arial"/>
                <w:b/>
                <w:bCs/>
                <w:sz w:val="22"/>
                <w:lang w:val="en-GB"/>
              </w:rPr>
            </w:pPr>
            <w:r w:rsidRPr="00203808">
              <w:rPr>
                <w:rFonts w:cs="Arial"/>
                <w:sz w:val="22"/>
                <w:lang w:val="en-GB"/>
              </w:rPr>
              <w:t>2023</w:t>
            </w:r>
          </w:p>
        </w:tc>
        <w:tc>
          <w:tcPr>
            <w:tcW w:w="0" w:type="auto"/>
            <w:vAlign w:val="center"/>
            <w:hideMark/>
          </w:tcPr>
          <w:p w14:paraId="3B8A54CF" w14:textId="77777777" w:rsidR="004F2951" w:rsidRPr="00203808" w:rsidRDefault="004F2951" w:rsidP="00912DDA">
            <w:pPr>
              <w:spacing w:after="0" w:line="240" w:lineRule="auto"/>
              <w:jc w:val="both"/>
              <w:rPr>
                <w:rFonts w:cs="Arial"/>
                <w:b/>
                <w:bCs/>
                <w:sz w:val="22"/>
                <w:lang w:val="en-GB"/>
              </w:rPr>
            </w:pPr>
            <w:r w:rsidRPr="00203808">
              <w:rPr>
                <w:rFonts w:cs="Arial"/>
                <w:sz w:val="22"/>
                <w:lang w:val="en-GB"/>
              </w:rPr>
              <w:t>$10.18</w:t>
            </w:r>
          </w:p>
        </w:tc>
        <w:tc>
          <w:tcPr>
            <w:tcW w:w="0" w:type="auto"/>
          </w:tcPr>
          <w:p w14:paraId="55D48235" w14:textId="77777777" w:rsidR="004F2951" w:rsidRPr="00203808" w:rsidRDefault="004F2951" w:rsidP="00912DDA">
            <w:pPr>
              <w:spacing w:after="0" w:line="240" w:lineRule="auto"/>
              <w:jc w:val="both"/>
              <w:rPr>
                <w:rFonts w:cs="Arial"/>
                <w:sz w:val="22"/>
                <w:lang w:val="en-GB"/>
              </w:rPr>
            </w:pPr>
          </w:p>
        </w:tc>
        <w:tc>
          <w:tcPr>
            <w:tcW w:w="0" w:type="auto"/>
            <w:vAlign w:val="center"/>
          </w:tcPr>
          <w:p w14:paraId="67913DF4" w14:textId="5829F0A1" w:rsidR="004F2951" w:rsidRPr="00203808" w:rsidRDefault="004F2951" w:rsidP="00912DDA">
            <w:pPr>
              <w:spacing w:after="0" w:line="240" w:lineRule="auto"/>
              <w:jc w:val="both"/>
              <w:rPr>
                <w:rFonts w:cs="Arial"/>
                <w:sz w:val="22"/>
                <w:lang w:val="en-GB"/>
              </w:rPr>
            </w:pPr>
            <w:r w:rsidRPr="00203808">
              <w:rPr>
                <w:rFonts w:cs="Arial"/>
                <w:sz w:val="22"/>
                <w:lang w:val="en-GB"/>
              </w:rPr>
              <w:t>22.15</w:t>
            </w:r>
          </w:p>
        </w:tc>
        <w:tc>
          <w:tcPr>
            <w:tcW w:w="0" w:type="auto"/>
          </w:tcPr>
          <w:p w14:paraId="2FCC2E8A" w14:textId="77777777" w:rsidR="004F2951" w:rsidRPr="00203808" w:rsidRDefault="004F2951" w:rsidP="00912DDA">
            <w:pPr>
              <w:spacing w:after="0" w:line="240" w:lineRule="auto"/>
              <w:jc w:val="both"/>
              <w:rPr>
                <w:rFonts w:cs="Arial"/>
                <w:sz w:val="22"/>
                <w:lang w:val="en-GB"/>
              </w:rPr>
            </w:pPr>
          </w:p>
        </w:tc>
        <w:tc>
          <w:tcPr>
            <w:tcW w:w="0" w:type="auto"/>
            <w:vAlign w:val="center"/>
          </w:tcPr>
          <w:p w14:paraId="0937362E" w14:textId="77AC5C37" w:rsidR="004F2951" w:rsidRPr="00203808" w:rsidRDefault="004F2951" w:rsidP="00912DDA">
            <w:pPr>
              <w:spacing w:after="0" w:line="240" w:lineRule="auto"/>
              <w:jc w:val="both"/>
              <w:rPr>
                <w:rFonts w:cs="Arial"/>
                <w:sz w:val="22"/>
                <w:lang w:val="en-GB"/>
              </w:rPr>
            </w:pPr>
            <w:r w:rsidRPr="00203808">
              <w:rPr>
                <w:rFonts w:cs="Arial"/>
                <w:sz w:val="22"/>
                <w:lang w:val="en-GB"/>
              </w:rPr>
              <w:t>0.87%</w:t>
            </w:r>
          </w:p>
        </w:tc>
        <w:tc>
          <w:tcPr>
            <w:tcW w:w="0" w:type="auto"/>
          </w:tcPr>
          <w:p w14:paraId="3C7DA7EC" w14:textId="4BD36E31" w:rsidR="004F2951" w:rsidRPr="00203808" w:rsidRDefault="004F2951" w:rsidP="00912DDA">
            <w:pPr>
              <w:spacing w:after="0" w:line="240" w:lineRule="auto"/>
              <w:jc w:val="both"/>
              <w:rPr>
                <w:rFonts w:cs="Arial"/>
                <w:sz w:val="22"/>
                <w:lang w:val="en-GB"/>
              </w:rPr>
            </w:pPr>
          </w:p>
        </w:tc>
      </w:tr>
      <w:tr w:rsidR="00203808" w:rsidRPr="00203808" w14:paraId="26CF4A2C" w14:textId="3B9FD709" w:rsidTr="00912DDA">
        <w:trPr>
          <w:trHeight w:val="307"/>
          <w:tblCellSpacing w:w="15" w:type="dxa"/>
        </w:trPr>
        <w:tc>
          <w:tcPr>
            <w:tcW w:w="0" w:type="auto"/>
            <w:vAlign w:val="center"/>
            <w:hideMark/>
          </w:tcPr>
          <w:p w14:paraId="07CC92EA" w14:textId="77777777" w:rsidR="004F2951" w:rsidRPr="00203808" w:rsidRDefault="004F2951" w:rsidP="00912DDA">
            <w:pPr>
              <w:spacing w:after="0" w:line="240" w:lineRule="auto"/>
              <w:jc w:val="both"/>
              <w:rPr>
                <w:rFonts w:cs="Arial"/>
                <w:b/>
                <w:bCs/>
                <w:sz w:val="22"/>
                <w:lang w:val="en-GB"/>
              </w:rPr>
            </w:pPr>
            <w:r w:rsidRPr="00203808">
              <w:rPr>
                <w:rFonts w:cs="Arial"/>
                <w:sz w:val="22"/>
                <w:lang w:val="en-GB"/>
              </w:rPr>
              <w:t>2024</w:t>
            </w:r>
          </w:p>
        </w:tc>
        <w:tc>
          <w:tcPr>
            <w:tcW w:w="0" w:type="auto"/>
            <w:vAlign w:val="center"/>
            <w:hideMark/>
          </w:tcPr>
          <w:p w14:paraId="4E2CC6B1" w14:textId="77777777" w:rsidR="004F2951" w:rsidRPr="00203808" w:rsidRDefault="004F2951" w:rsidP="00912DDA">
            <w:pPr>
              <w:spacing w:after="0" w:line="240" w:lineRule="auto"/>
              <w:jc w:val="both"/>
              <w:rPr>
                <w:rFonts w:cs="Arial"/>
                <w:b/>
                <w:bCs/>
                <w:sz w:val="22"/>
                <w:lang w:val="en-GB"/>
              </w:rPr>
            </w:pPr>
            <w:r w:rsidRPr="00203808">
              <w:rPr>
                <w:rFonts w:cs="Arial"/>
                <w:sz w:val="22"/>
                <w:lang w:val="en-GB"/>
              </w:rPr>
              <w:t>$8.33</w:t>
            </w:r>
          </w:p>
        </w:tc>
        <w:tc>
          <w:tcPr>
            <w:tcW w:w="0" w:type="auto"/>
          </w:tcPr>
          <w:p w14:paraId="502C3D84" w14:textId="77777777" w:rsidR="004F2951" w:rsidRPr="00203808" w:rsidRDefault="004F2951" w:rsidP="00912DDA">
            <w:pPr>
              <w:spacing w:after="0" w:line="240" w:lineRule="auto"/>
              <w:jc w:val="both"/>
              <w:rPr>
                <w:rFonts w:cs="Arial"/>
                <w:sz w:val="22"/>
                <w:lang w:val="en-GB"/>
              </w:rPr>
            </w:pPr>
          </w:p>
        </w:tc>
        <w:tc>
          <w:tcPr>
            <w:tcW w:w="0" w:type="auto"/>
            <w:vAlign w:val="center"/>
          </w:tcPr>
          <w:p w14:paraId="63A67BE6" w14:textId="5C014141" w:rsidR="004F2951" w:rsidRPr="00203808" w:rsidRDefault="004F2951" w:rsidP="00912DDA">
            <w:pPr>
              <w:spacing w:after="0" w:line="240" w:lineRule="auto"/>
              <w:jc w:val="both"/>
              <w:rPr>
                <w:rFonts w:cs="Arial"/>
                <w:sz w:val="22"/>
                <w:lang w:val="en-GB"/>
              </w:rPr>
            </w:pPr>
            <w:r w:rsidRPr="00203808">
              <w:rPr>
                <w:rFonts w:cs="Arial"/>
                <w:sz w:val="22"/>
                <w:lang w:val="en-GB"/>
              </w:rPr>
              <w:t>33.49</w:t>
            </w:r>
          </w:p>
        </w:tc>
        <w:tc>
          <w:tcPr>
            <w:tcW w:w="0" w:type="auto"/>
          </w:tcPr>
          <w:p w14:paraId="051E08C0" w14:textId="77777777" w:rsidR="004F2951" w:rsidRPr="00203808" w:rsidRDefault="004F2951" w:rsidP="00912DDA">
            <w:pPr>
              <w:spacing w:after="0" w:line="240" w:lineRule="auto"/>
              <w:jc w:val="both"/>
              <w:rPr>
                <w:rFonts w:cs="Arial"/>
                <w:sz w:val="22"/>
                <w:lang w:val="en-GB"/>
              </w:rPr>
            </w:pPr>
          </w:p>
        </w:tc>
        <w:tc>
          <w:tcPr>
            <w:tcW w:w="0" w:type="auto"/>
            <w:vAlign w:val="center"/>
          </w:tcPr>
          <w:p w14:paraId="231EFF6E" w14:textId="2A5AA218" w:rsidR="004F2951" w:rsidRPr="00203808" w:rsidRDefault="004F2951" w:rsidP="00912DDA">
            <w:pPr>
              <w:spacing w:after="0" w:line="240" w:lineRule="auto"/>
              <w:jc w:val="both"/>
              <w:rPr>
                <w:rFonts w:cs="Arial"/>
                <w:sz w:val="22"/>
                <w:lang w:val="en-GB"/>
              </w:rPr>
            </w:pPr>
            <w:r w:rsidRPr="00203808">
              <w:rPr>
                <w:rFonts w:cs="Arial"/>
                <w:sz w:val="22"/>
                <w:lang w:val="en-GB"/>
              </w:rPr>
              <w:t>0.86%</w:t>
            </w:r>
          </w:p>
        </w:tc>
        <w:tc>
          <w:tcPr>
            <w:tcW w:w="0" w:type="auto"/>
          </w:tcPr>
          <w:p w14:paraId="7E0946FD" w14:textId="2626372A" w:rsidR="004F2951" w:rsidRPr="00203808" w:rsidRDefault="004F2951" w:rsidP="00912DDA">
            <w:pPr>
              <w:spacing w:after="0" w:line="240" w:lineRule="auto"/>
              <w:jc w:val="both"/>
              <w:rPr>
                <w:rFonts w:cs="Arial"/>
                <w:sz w:val="22"/>
                <w:lang w:val="en-GB"/>
              </w:rPr>
            </w:pPr>
          </w:p>
        </w:tc>
      </w:tr>
      <w:tr w:rsidR="00203808" w:rsidRPr="00203808" w14:paraId="7625478E" w14:textId="44F54621" w:rsidTr="00912DDA">
        <w:trPr>
          <w:trHeight w:val="300"/>
          <w:tblCellSpacing w:w="15" w:type="dxa"/>
        </w:trPr>
        <w:tc>
          <w:tcPr>
            <w:tcW w:w="0" w:type="auto"/>
            <w:tcBorders>
              <w:bottom w:val="thickThinSmallGap" w:sz="24" w:space="0" w:color="auto"/>
            </w:tcBorders>
            <w:vAlign w:val="center"/>
            <w:hideMark/>
          </w:tcPr>
          <w:p w14:paraId="795D339A" w14:textId="77777777" w:rsidR="004F2951" w:rsidRPr="00203808" w:rsidRDefault="004F2951" w:rsidP="00912DDA">
            <w:pPr>
              <w:spacing w:after="0" w:line="24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07918EF0" w14:textId="77777777" w:rsidR="004F2951" w:rsidRPr="00203808" w:rsidRDefault="004F2951" w:rsidP="00912DDA">
            <w:pPr>
              <w:spacing w:after="0" w:line="240" w:lineRule="auto"/>
              <w:jc w:val="both"/>
              <w:rPr>
                <w:rFonts w:cs="Arial"/>
                <w:b/>
                <w:bCs/>
                <w:sz w:val="22"/>
                <w:lang w:val="en-GB"/>
              </w:rPr>
            </w:pPr>
            <w:r w:rsidRPr="00203808">
              <w:rPr>
                <w:rFonts w:cs="Arial"/>
                <w:sz w:val="22"/>
                <w:lang w:val="en-GB"/>
              </w:rPr>
              <w:t>$9.51</w:t>
            </w:r>
          </w:p>
        </w:tc>
        <w:tc>
          <w:tcPr>
            <w:tcW w:w="0" w:type="auto"/>
            <w:tcBorders>
              <w:bottom w:val="thickThinSmallGap" w:sz="24" w:space="0" w:color="auto"/>
            </w:tcBorders>
          </w:tcPr>
          <w:p w14:paraId="6DB073E8" w14:textId="77777777" w:rsidR="004F2951" w:rsidRPr="00203808" w:rsidRDefault="004F2951" w:rsidP="00912DDA">
            <w:pPr>
              <w:spacing w:after="0" w:line="240" w:lineRule="auto"/>
              <w:jc w:val="both"/>
              <w:rPr>
                <w:rFonts w:cs="Arial"/>
                <w:sz w:val="22"/>
                <w:lang w:val="en-GB"/>
              </w:rPr>
            </w:pPr>
          </w:p>
        </w:tc>
        <w:tc>
          <w:tcPr>
            <w:tcW w:w="0" w:type="auto"/>
            <w:tcBorders>
              <w:bottom w:val="thickThinSmallGap" w:sz="24" w:space="0" w:color="auto"/>
            </w:tcBorders>
            <w:vAlign w:val="center"/>
          </w:tcPr>
          <w:p w14:paraId="71FC7921" w14:textId="3731429D" w:rsidR="004F2951" w:rsidRPr="00203808" w:rsidRDefault="004F2951" w:rsidP="00912DDA">
            <w:pPr>
              <w:spacing w:after="0" w:line="240" w:lineRule="auto"/>
              <w:jc w:val="both"/>
              <w:rPr>
                <w:rFonts w:cs="Arial"/>
                <w:sz w:val="22"/>
                <w:lang w:val="en-GB"/>
              </w:rPr>
            </w:pPr>
            <w:r w:rsidRPr="00203808">
              <w:rPr>
                <w:rFonts w:cs="Arial"/>
                <w:sz w:val="22"/>
                <w:lang w:val="en-GB"/>
              </w:rPr>
              <w:t>32.62</w:t>
            </w:r>
          </w:p>
        </w:tc>
        <w:tc>
          <w:tcPr>
            <w:tcW w:w="0" w:type="auto"/>
            <w:tcBorders>
              <w:bottom w:val="thickThinSmallGap" w:sz="24" w:space="0" w:color="auto"/>
            </w:tcBorders>
          </w:tcPr>
          <w:p w14:paraId="473A3B08" w14:textId="77777777" w:rsidR="004F2951" w:rsidRPr="00203808" w:rsidRDefault="004F2951" w:rsidP="00912DDA">
            <w:pPr>
              <w:spacing w:after="0" w:line="240" w:lineRule="auto"/>
              <w:jc w:val="both"/>
              <w:rPr>
                <w:rFonts w:cs="Arial"/>
                <w:sz w:val="22"/>
                <w:lang w:val="en-GB"/>
              </w:rPr>
            </w:pPr>
          </w:p>
        </w:tc>
        <w:tc>
          <w:tcPr>
            <w:tcW w:w="0" w:type="auto"/>
            <w:tcBorders>
              <w:bottom w:val="thickThinSmallGap" w:sz="24" w:space="0" w:color="auto"/>
            </w:tcBorders>
            <w:vAlign w:val="center"/>
          </w:tcPr>
          <w:p w14:paraId="03B1DD2D" w14:textId="72092CC9" w:rsidR="004F2951" w:rsidRPr="00203808" w:rsidRDefault="004F2951" w:rsidP="00912DDA">
            <w:pPr>
              <w:spacing w:after="0" w:line="240" w:lineRule="auto"/>
              <w:jc w:val="both"/>
              <w:rPr>
                <w:rFonts w:cs="Arial"/>
                <w:sz w:val="22"/>
                <w:lang w:val="en-GB"/>
              </w:rPr>
            </w:pPr>
            <w:r w:rsidRPr="00203808">
              <w:rPr>
                <w:rFonts w:cs="Arial"/>
                <w:sz w:val="22"/>
                <w:lang w:val="en-GB"/>
              </w:rPr>
              <w:t>0.85%</w:t>
            </w:r>
          </w:p>
        </w:tc>
        <w:tc>
          <w:tcPr>
            <w:tcW w:w="0" w:type="auto"/>
            <w:tcBorders>
              <w:bottom w:val="thickThinSmallGap" w:sz="24" w:space="0" w:color="auto"/>
            </w:tcBorders>
          </w:tcPr>
          <w:p w14:paraId="10904153" w14:textId="7739E923" w:rsidR="004F2951" w:rsidRPr="00203808" w:rsidRDefault="004F2951" w:rsidP="00912DDA">
            <w:pPr>
              <w:spacing w:after="0" w:line="240" w:lineRule="auto"/>
              <w:jc w:val="both"/>
              <w:rPr>
                <w:rFonts w:cs="Arial"/>
                <w:sz w:val="22"/>
                <w:lang w:val="en-GB"/>
              </w:rPr>
            </w:pPr>
          </w:p>
        </w:tc>
      </w:tr>
    </w:tbl>
    <w:p w14:paraId="656F3420" w14:textId="01133D8D" w:rsidR="00CD7E93" w:rsidRPr="00912DDA" w:rsidRDefault="008719B4" w:rsidP="00203808">
      <w:pPr>
        <w:spacing w:after="0" w:line="360" w:lineRule="auto"/>
        <w:jc w:val="both"/>
        <w:rPr>
          <w:rFonts w:cs="Arial"/>
          <w:b/>
          <w:bCs/>
          <w:sz w:val="22"/>
        </w:rPr>
      </w:pPr>
      <w:r w:rsidRPr="00912DDA">
        <w:rPr>
          <w:rFonts w:cs="Arial"/>
          <w:b/>
          <w:bCs/>
          <w:sz w:val="22"/>
          <w:u w:val="single"/>
          <w:lang w:val="en-GB"/>
        </w:rPr>
        <w:t>Source:</w:t>
      </w:r>
      <w:r w:rsidRPr="00912DDA">
        <w:rPr>
          <w:rFonts w:cs="Arial"/>
          <w:b/>
          <w:bCs/>
          <w:sz w:val="22"/>
          <w:lang w:val="en-GB"/>
        </w:rPr>
        <w:t xml:space="preserve"> Autor’s</w:t>
      </w:r>
      <w:r w:rsidR="00CD7E93" w:rsidRPr="00912DDA">
        <w:rPr>
          <w:rFonts w:cs="Arial"/>
          <w:b/>
          <w:bCs/>
          <w:sz w:val="22"/>
          <w:lang w:val="en-GB"/>
        </w:rPr>
        <w:t xml:space="preserve"> calculation</w:t>
      </w:r>
      <w:r w:rsidRPr="00912DDA">
        <w:rPr>
          <w:rFonts w:cs="Arial"/>
          <w:b/>
          <w:bCs/>
          <w:sz w:val="22"/>
          <w:lang w:val="en-GB"/>
        </w:rPr>
        <w:t>s</w:t>
      </w:r>
      <w:r w:rsidR="00CD7E93" w:rsidRPr="00912DDA">
        <w:rPr>
          <w:rFonts w:cs="Arial"/>
          <w:b/>
          <w:bCs/>
          <w:sz w:val="22"/>
        </w:rPr>
        <w:t xml:space="preserve"> from Marriott International annual report 2021</w:t>
      </w:r>
      <w:r w:rsidR="00ED72CF" w:rsidRPr="00912DDA">
        <w:rPr>
          <w:rFonts w:cs="Arial"/>
          <w:b/>
          <w:bCs/>
          <w:sz w:val="22"/>
        </w:rPr>
        <w:t>-</w:t>
      </w:r>
      <w:r w:rsidR="00CD7E93" w:rsidRPr="00912DDA">
        <w:rPr>
          <w:rFonts w:cs="Arial"/>
          <w:b/>
          <w:bCs/>
          <w:sz w:val="22"/>
        </w:rPr>
        <w:t>2025</w:t>
      </w:r>
    </w:p>
    <w:p w14:paraId="2DF5A0EF" w14:textId="77777777" w:rsidR="00912DDA" w:rsidRDefault="00CD7E93" w:rsidP="00203808">
      <w:pPr>
        <w:spacing w:after="0" w:line="360" w:lineRule="auto"/>
        <w:jc w:val="both"/>
        <w:rPr>
          <w:rFonts w:cs="Arial"/>
          <w:sz w:val="22"/>
        </w:rPr>
      </w:pPr>
      <w:r w:rsidRPr="00203808">
        <w:rPr>
          <w:rFonts w:cs="Arial"/>
          <w:sz w:val="22"/>
        </w:rPr>
        <w:t xml:space="preserve">EPS recovered to $10.18 in 2023 and was $9.51 in 2025, supported by earnings and buybacks (Marriott International, 2026). P/E </w:t>
      </w:r>
      <w:proofErr w:type="spellStart"/>
      <w:r w:rsidRPr="00203808">
        <w:rPr>
          <w:rFonts w:cs="Arial"/>
          <w:sz w:val="22"/>
        </w:rPr>
        <w:t>stabilised</w:t>
      </w:r>
      <w:proofErr w:type="spellEnd"/>
      <w:r w:rsidRPr="00203808">
        <w:rPr>
          <w:rFonts w:cs="Arial"/>
          <w:sz w:val="22"/>
        </w:rPr>
        <w:t xml:space="preserve"> around 32</w:t>
      </w:r>
      <w:r w:rsidR="00ED72CF" w:rsidRPr="00203808">
        <w:rPr>
          <w:rFonts w:cs="Arial"/>
          <w:sz w:val="22"/>
        </w:rPr>
        <w:t>-</w:t>
      </w:r>
      <w:r w:rsidRPr="00203808">
        <w:rPr>
          <w:rFonts w:cs="Arial"/>
          <w:sz w:val="22"/>
        </w:rPr>
        <w:t>33, indicating sustained market confidence. Dividend Yield remained below 1% as buybacks remained the primary return mechanism.</w:t>
      </w:r>
    </w:p>
    <w:p w14:paraId="284FE75B" w14:textId="090F607F" w:rsidR="00CD7E93" w:rsidRPr="00203808" w:rsidRDefault="00CD7E93" w:rsidP="00203808">
      <w:pPr>
        <w:spacing w:after="0" w:line="360" w:lineRule="auto"/>
        <w:jc w:val="both"/>
        <w:rPr>
          <w:rFonts w:cs="Arial"/>
          <w:sz w:val="22"/>
        </w:rPr>
      </w:pPr>
      <w:r w:rsidRPr="00203808">
        <w:rPr>
          <w:rFonts w:cs="Arial"/>
          <w:sz w:val="22"/>
        </w:rPr>
        <w:t>Figure 5: Investment Ratios trend, 2021</w:t>
      </w:r>
      <w:r w:rsidR="00ED72CF" w:rsidRPr="00203808">
        <w:rPr>
          <w:rFonts w:cs="Arial"/>
          <w:sz w:val="22"/>
        </w:rPr>
        <w:t>-</w:t>
      </w:r>
      <w:r w:rsidRPr="00203808">
        <w:rPr>
          <w:rFonts w:cs="Arial"/>
          <w:sz w:val="22"/>
        </w:rPr>
        <w:t xml:space="preserve">2025  </w:t>
      </w:r>
    </w:p>
    <w:p w14:paraId="3F767574" w14:textId="0B750E31" w:rsidR="00F9461B" w:rsidRPr="00203808" w:rsidRDefault="00636E9B" w:rsidP="00203808">
      <w:pPr>
        <w:spacing w:after="0" w:line="360" w:lineRule="auto"/>
        <w:jc w:val="both"/>
        <w:rPr>
          <w:rFonts w:cs="Arial"/>
          <w:b/>
          <w:bCs/>
          <w:sz w:val="22"/>
          <w:lang w:val="en-GB"/>
        </w:rPr>
      </w:pPr>
      <w:r w:rsidRPr="00203808">
        <w:rPr>
          <w:rFonts w:cs="Arial"/>
          <w:noProof/>
          <w:sz w:val="22"/>
        </w:rPr>
        <w:drawing>
          <wp:inline distT="0" distB="0" distL="0" distR="0" wp14:anchorId="639CE52F" wp14:editId="2D5E80BB">
            <wp:extent cx="2755900" cy="2209800"/>
            <wp:effectExtent l="0" t="0" r="6350" b="0"/>
            <wp:docPr id="801635237" name="Graphique 1">
              <a:extLst xmlns:a="http://schemas.openxmlformats.org/drawingml/2006/main">
                <a:ext uri="{FF2B5EF4-FFF2-40B4-BE49-F238E27FC236}">
                  <a16:creationId xmlns:a16="http://schemas.microsoft.com/office/drawing/2014/main" id="{D423092D-0962-81A3-08D8-5D96E8AF22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r w:rsidR="004F2951" w:rsidRPr="00203808">
        <w:rPr>
          <w:rFonts w:cs="Arial"/>
          <w:noProof/>
          <w:sz w:val="22"/>
        </w:rPr>
        <w:drawing>
          <wp:inline distT="0" distB="0" distL="0" distR="0" wp14:anchorId="24AE1644" wp14:editId="0C6D463C">
            <wp:extent cx="2686050" cy="2197100"/>
            <wp:effectExtent l="0" t="0" r="0" b="12700"/>
            <wp:docPr id="451407185" name="Graphique 1">
              <a:extLst xmlns:a="http://schemas.openxmlformats.org/drawingml/2006/main">
                <a:ext uri="{FF2B5EF4-FFF2-40B4-BE49-F238E27FC236}">
                  <a16:creationId xmlns:a16="http://schemas.microsoft.com/office/drawing/2014/main" id="{7233FB35-CEF2-1AA4-F9EE-5F1040A29D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AFC0AFE" w14:textId="3BE057C8" w:rsidR="00F9461B" w:rsidRPr="00203808" w:rsidRDefault="00636E9B" w:rsidP="00203808">
      <w:pPr>
        <w:spacing w:after="0" w:line="360" w:lineRule="auto"/>
        <w:jc w:val="both"/>
        <w:rPr>
          <w:rFonts w:cs="Arial"/>
          <w:sz w:val="22"/>
        </w:rPr>
      </w:pPr>
      <w:r w:rsidRPr="00203808">
        <w:rPr>
          <w:rFonts w:cs="Arial"/>
          <w:noProof/>
          <w:sz w:val="22"/>
        </w:rPr>
        <w:drawing>
          <wp:inline distT="0" distB="0" distL="0" distR="0" wp14:anchorId="289478BC" wp14:editId="41746814">
            <wp:extent cx="5403850" cy="2273300"/>
            <wp:effectExtent l="0" t="0" r="6350" b="12700"/>
            <wp:docPr id="2100656798" name="Graphique 1">
              <a:extLst xmlns:a="http://schemas.openxmlformats.org/drawingml/2006/main">
                <a:ext uri="{FF2B5EF4-FFF2-40B4-BE49-F238E27FC236}">
                  <a16:creationId xmlns:a16="http://schemas.microsoft.com/office/drawing/2014/main" id="{E59654AB-77B2-98CB-1FD0-446950F0EF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C78BF70" w14:textId="07BA5C3D" w:rsidR="00CD7E93" w:rsidRPr="00912DDA" w:rsidRDefault="00CD7E93" w:rsidP="00203808">
      <w:pPr>
        <w:spacing w:after="0" w:line="360" w:lineRule="auto"/>
        <w:jc w:val="both"/>
        <w:rPr>
          <w:rFonts w:cs="Arial"/>
          <w:b/>
          <w:bCs/>
          <w:sz w:val="22"/>
        </w:rPr>
      </w:pPr>
      <w:r w:rsidRPr="00912DDA">
        <w:rPr>
          <w:rFonts w:cs="Arial"/>
          <w:b/>
          <w:bCs/>
          <w:sz w:val="22"/>
          <w:u w:val="single"/>
        </w:rPr>
        <w:t>Source:</w:t>
      </w:r>
      <w:r w:rsidRPr="00912DDA">
        <w:rPr>
          <w:rFonts w:cs="Arial"/>
          <w:b/>
          <w:bCs/>
          <w:sz w:val="22"/>
        </w:rPr>
        <w:t xml:space="preserve"> Autor from Marriott International annual report 2021</w:t>
      </w:r>
      <w:r w:rsidR="00ED72CF" w:rsidRPr="00912DDA">
        <w:rPr>
          <w:rFonts w:cs="Arial"/>
          <w:b/>
          <w:bCs/>
          <w:sz w:val="22"/>
        </w:rPr>
        <w:t>-</w:t>
      </w:r>
      <w:r w:rsidRPr="00912DDA">
        <w:rPr>
          <w:rFonts w:cs="Arial"/>
          <w:b/>
          <w:bCs/>
          <w:sz w:val="22"/>
        </w:rPr>
        <w:t>202</w:t>
      </w:r>
      <w:r w:rsidR="00E241C5" w:rsidRPr="00912DDA">
        <w:rPr>
          <w:rFonts w:cs="Arial"/>
          <w:b/>
          <w:bCs/>
          <w:sz w:val="22"/>
        </w:rPr>
        <w:t>5</w:t>
      </w:r>
    </w:p>
    <w:p w14:paraId="2CCCD658" w14:textId="03AD11C9" w:rsidR="004F2951" w:rsidRPr="00912DDA" w:rsidRDefault="00E67A6B" w:rsidP="00203808">
      <w:pPr>
        <w:pStyle w:val="Titre2"/>
        <w:spacing w:line="360" w:lineRule="auto"/>
        <w:jc w:val="both"/>
        <w:rPr>
          <w:rFonts w:ascii="Arial" w:hAnsi="Arial" w:cs="Arial"/>
          <w:iCs/>
          <w:color w:val="auto"/>
          <w:sz w:val="22"/>
          <w:szCs w:val="22"/>
          <w:u w:val="single"/>
        </w:rPr>
      </w:pPr>
      <w:bookmarkStart w:id="10" w:name="_Toc237478460"/>
      <w:r w:rsidRPr="00912DDA">
        <w:rPr>
          <w:rFonts w:ascii="Arial" w:hAnsi="Arial" w:cs="Arial"/>
          <w:color w:val="auto"/>
          <w:sz w:val="22"/>
          <w:szCs w:val="22"/>
          <w:u w:val="single"/>
        </w:rPr>
        <w:lastRenderedPageBreak/>
        <w:t>1.c Identification of Trends, Strengths, and Potential Threats</w:t>
      </w:r>
      <w:bookmarkEnd w:id="10"/>
      <w:r w:rsidRPr="00912DDA">
        <w:rPr>
          <w:rFonts w:ascii="Arial" w:hAnsi="Arial" w:cs="Arial"/>
          <w:color w:val="auto"/>
          <w:sz w:val="22"/>
          <w:szCs w:val="22"/>
          <w:u w:val="single"/>
        </w:rPr>
        <w:t xml:space="preserve">  </w:t>
      </w:r>
    </w:p>
    <w:p w14:paraId="2E9602C9" w14:textId="7C114C50" w:rsidR="00386588" w:rsidRPr="00203808" w:rsidRDefault="00386588" w:rsidP="00203808">
      <w:pPr>
        <w:spacing w:after="0" w:line="360" w:lineRule="auto"/>
        <w:jc w:val="both"/>
        <w:rPr>
          <w:rFonts w:cs="Arial"/>
          <w:sz w:val="22"/>
        </w:rPr>
      </w:pPr>
      <w:r w:rsidRPr="00203808">
        <w:rPr>
          <w:rFonts w:cs="Arial"/>
          <w:sz w:val="22"/>
        </w:rPr>
        <w:t>Ratio analysis provides a consistent picture of Marriott’s financial position over the five</w:t>
      </w:r>
      <w:r w:rsidR="00ED72CF" w:rsidRPr="00203808">
        <w:rPr>
          <w:rFonts w:cs="Arial"/>
          <w:sz w:val="22"/>
        </w:rPr>
        <w:t>-</w:t>
      </w:r>
      <w:r w:rsidRPr="00203808">
        <w:rPr>
          <w:rFonts w:cs="Arial"/>
          <w:sz w:val="22"/>
        </w:rPr>
        <w:t>year period.</w:t>
      </w:r>
    </w:p>
    <w:p w14:paraId="4BF5ACA4" w14:textId="0BA314DE" w:rsidR="00386588" w:rsidRPr="00203808" w:rsidRDefault="00386588" w:rsidP="00203808">
      <w:pPr>
        <w:spacing w:after="0" w:line="360" w:lineRule="auto"/>
        <w:jc w:val="both"/>
        <w:rPr>
          <w:rFonts w:cs="Arial"/>
          <w:sz w:val="22"/>
        </w:rPr>
      </w:pPr>
      <w:r w:rsidRPr="00912DDA">
        <w:rPr>
          <w:rFonts w:cs="Arial"/>
          <w:b/>
          <w:bCs/>
          <w:sz w:val="22"/>
        </w:rPr>
        <w:t>Key Trends:</w:t>
      </w:r>
      <w:r w:rsidRPr="00203808">
        <w:rPr>
          <w:rFonts w:cs="Arial"/>
          <w:sz w:val="22"/>
        </w:rPr>
        <w:t xml:space="preserve"> Strong revenue and profit recovery 2021</w:t>
      </w:r>
      <w:r w:rsidR="00ED72CF" w:rsidRPr="00203808">
        <w:rPr>
          <w:rFonts w:cs="Arial"/>
          <w:sz w:val="22"/>
        </w:rPr>
        <w:t>-</w:t>
      </w:r>
      <w:r w:rsidRPr="00203808">
        <w:rPr>
          <w:rFonts w:cs="Arial"/>
          <w:sz w:val="22"/>
        </w:rPr>
        <w:t xml:space="preserve">2023, followed by stable growth to 2025. Rising debt and leverage from 2023. Persistently low liquidity. Improved receivables collection.  </w:t>
      </w:r>
    </w:p>
    <w:p w14:paraId="2AECDE54" w14:textId="0BC2DA76" w:rsidR="00386588" w:rsidRPr="00203808" w:rsidRDefault="00386588" w:rsidP="00203808">
      <w:pPr>
        <w:spacing w:after="0" w:line="360" w:lineRule="auto"/>
        <w:jc w:val="both"/>
        <w:rPr>
          <w:rFonts w:cs="Arial"/>
          <w:sz w:val="22"/>
        </w:rPr>
      </w:pPr>
      <w:r w:rsidRPr="00912DDA">
        <w:rPr>
          <w:rFonts w:cs="Arial"/>
          <w:b/>
          <w:bCs/>
          <w:sz w:val="22"/>
        </w:rPr>
        <w:t>Main Strengths:</w:t>
      </w:r>
      <w:r w:rsidRPr="00203808">
        <w:rPr>
          <w:rFonts w:cs="Arial"/>
          <w:sz w:val="22"/>
        </w:rPr>
        <w:t xml:space="preserve"> ROCE above 21% since 2023. Operating cash flow of $3,212m in 2025 (Marriott International, 2026, p. 42). Asset</w:t>
      </w:r>
      <w:r w:rsidR="00ED72CF" w:rsidRPr="00203808">
        <w:rPr>
          <w:rFonts w:cs="Arial"/>
          <w:sz w:val="22"/>
        </w:rPr>
        <w:t>-</w:t>
      </w:r>
      <w:r w:rsidRPr="00203808">
        <w:rPr>
          <w:rFonts w:cs="Arial"/>
          <w:sz w:val="22"/>
        </w:rPr>
        <w:t>light model with a 610,000</w:t>
      </w:r>
      <w:r w:rsidR="00ED72CF" w:rsidRPr="00203808">
        <w:rPr>
          <w:rFonts w:cs="Arial"/>
          <w:sz w:val="22"/>
        </w:rPr>
        <w:t>-</w:t>
      </w:r>
      <w:r w:rsidRPr="00203808">
        <w:rPr>
          <w:rFonts w:cs="Arial"/>
          <w:sz w:val="22"/>
        </w:rPr>
        <w:t xml:space="preserve">room pipeline in 2025 (Marriott International, 2026, p. 5). Improved DSO.  </w:t>
      </w:r>
    </w:p>
    <w:p w14:paraId="6F4B9911" w14:textId="77D55F5E" w:rsidR="00386588" w:rsidRPr="00203808" w:rsidRDefault="00386588" w:rsidP="00203808">
      <w:pPr>
        <w:spacing w:after="0" w:line="360" w:lineRule="auto"/>
        <w:jc w:val="both"/>
        <w:rPr>
          <w:rFonts w:cs="Arial"/>
          <w:sz w:val="22"/>
        </w:rPr>
      </w:pPr>
      <w:r w:rsidRPr="00912DDA">
        <w:rPr>
          <w:rFonts w:cs="Arial"/>
          <w:b/>
          <w:bCs/>
          <w:sz w:val="22"/>
        </w:rPr>
        <w:t>Potential Threats:</w:t>
      </w:r>
      <w:r w:rsidRPr="00203808">
        <w:rPr>
          <w:rFonts w:cs="Arial"/>
          <w:sz w:val="22"/>
        </w:rPr>
        <w:t xml:space="preserve"> Debt of $16,204m and negative equity in 2025 (Marriott International, 2026, p. 65; p. 38). Current ratio of 0.43 in 2025. Interest coverage down to 5.12x in 2025. Exposure to global travel demand (Marriott International, 2026, p. 11).  </w:t>
      </w:r>
    </w:p>
    <w:p w14:paraId="423C04AE" w14:textId="77777777" w:rsidR="00386588" w:rsidRPr="00203808" w:rsidRDefault="00386588" w:rsidP="00203808">
      <w:pPr>
        <w:spacing w:after="0" w:line="360" w:lineRule="auto"/>
        <w:jc w:val="both"/>
        <w:rPr>
          <w:rFonts w:cs="Arial"/>
          <w:sz w:val="22"/>
        </w:rPr>
      </w:pPr>
      <w:r w:rsidRPr="00203808">
        <w:rPr>
          <w:rFonts w:cs="Arial"/>
          <w:sz w:val="22"/>
        </w:rPr>
        <w:t>Overall, ratios indicate that Marriott’s operating and profitability position is strong, while liquidity and leverage are tighter. The most positive trends are strong ROCE, recovery in operating profitability, and improved receivables efficiency. Areas requiring monitoring include the increasing debt burden, low liquidity ratios, negative shareholders’ equity, and the decline in interest coverage since 2022.</w:t>
      </w:r>
    </w:p>
    <w:p w14:paraId="645856AA" w14:textId="77777777" w:rsidR="002C7A45" w:rsidRPr="00397292" w:rsidRDefault="002C7A45" w:rsidP="00203808">
      <w:pPr>
        <w:pStyle w:val="Titre2"/>
        <w:spacing w:line="360" w:lineRule="auto"/>
        <w:jc w:val="both"/>
        <w:rPr>
          <w:rFonts w:ascii="Arial" w:hAnsi="Arial" w:cs="Arial"/>
          <w:color w:val="auto"/>
          <w:sz w:val="22"/>
          <w:szCs w:val="22"/>
          <w:u w:val="single"/>
          <w:lang w:val="en-GB"/>
        </w:rPr>
      </w:pPr>
      <w:bookmarkStart w:id="11" w:name="_Toc237478461"/>
      <w:r w:rsidRPr="00397292">
        <w:rPr>
          <w:rFonts w:ascii="Arial" w:hAnsi="Arial" w:cs="Arial"/>
          <w:color w:val="auto"/>
          <w:sz w:val="22"/>
          <w:szCs w:val="22"/>
          <w:u w:val="single"/>
          <w:lang w:val="en-GB"/>
        </w:rPr>
        <w:t>1.d. Comparison of Liquidity Ratios with Industry Benchmarks</w:t>
      </w:r>
      <w:bookmarkEnd w:id="11"/>
    </w:p>
    <w:p w14:paraId="6806339F" w14:textId="3273FE9A" w:rsidR="00386588" w:rsidRPr="00203808" w:rsidRDefault="00386588" w:rsidP="00203808">
      <w:pPr>
        <w:spacing w:after="0" w:line="360" w:lineRule="auto"/>
        <w:jc w:val="both"/>
        <w:rPr>
          <w:rFonts w:cs="Arial"/>
          <w:sz w:val="22"/>
        </w:rPr>
      </w:pPr>
      <w:r w:rsidRPr="00203808">
        <w:rPr>
          <w:rFonts w:cs="Arial"/>
          <w:sz w:val="22"/>
        </w:rPr>
        <w:t>To check if Marriott’s low liquidity is normal, it was compared with Hilton. Both use asset</w:t>
      </w:r>
      <w:r w:rsidR="00ED72CF" w:rsidRPr="00203808">
        <w:rPr>
          <w:rFonts w:cs="Arial"/>
          <w:sz w:val="22"/>
        </w:rPr>
        <w:t>-</w:t>
      </w:r>
      <w:r w:rsidRPr="00203808">
        <w:rPr>
          <w:rFonts w:cs="Arial"/>
          <w:sz w:val="22"/>
        </w:rPr>
        <w:t>light models.</w:t>
      </w:r>
    </w:p>
    <w:p w14:paraId="49AE5DCD" w14:textId="0C636A30" w:rsidR="005C72E4" w:rsidRPr="00203808" w:rsidRDefault="005C72E4" w:rsidP="00203808">
      <w:pPr>
        <w:spacing w:after="0" w:line="360" w:lineRule="auto"/>
        <w:jc w:val="both"/>
        <w:rPr>
          <w:rFonts w:cs="Arial"/>
          <w:sz w:val="22"/>
        </w:rPr>
      </w:pPr>
      <w:r w:rsidRPr="00203808">
        <w:rPr>
          <w:rFonts w:cs="Arial"/>
          <w:sz w:val="22"/>
        </w:rPr>
        <w:t xml:space="preserve">In 2025 Marriott reported $3.584bn in current assets and $8.398bn in current liabilities (Marriott International, 2025). Hilton reported $2.996bn in current assets and $4.508bn in current liabilities (Hilton Worldwide Holdings, </w:t>
      </w:r>
      <w:proofErr w:type="gramStart"/>
      <w:r w:rsidRPr="00203808">
        <w:rPr>
          <w:rFonts w:cs="Arial"/>
          <w:sz w:val="22"/>
        </w:rPr>
        <w:t>2025)</w:t>
      </w:r>
      <w:r w:rsidR="00EE06A0" w:rsidRPr="00203808">
        <w:rPr>
          <w:rFonts w:cs="Arial"/>
          <w:sz w:val="22"/>
        </w:rPr>
        <w:t>(</w:t>
      </w:r>
      <w:proofErr w:type="gramEnd"/>
      <w:r w:rsidR="00EE06A0" w:rsidRPr="00203808">
        <w:rPr>
          <w:rFonts w:cs="Arial"/>
          <w:sz w:val="22"/>
        </w:rPr>
        <w:t xml:space="preserve"> See Appendix 8)</w:t>
      </w:r>
      <w:r w:rsidRPr="00203808">
        <w:rPr>
          <w:rFonts w:cs="Arial"/>
          <w:sz w:val="22"/>
        </w:rPr>
        <w:t xml:space="preserve">. </w:t>
      </w:r>
      <w:proofErr w:type="gramStart"/>
      <w:r w:rsidRPr="00203808">
        <w:rPr>
          <w:rFonts w:cs="Arial"/>
          <w:sz w:val="22"/>
        </w:rPr>
        <w:t>So</w:t>
      </w:r>
      <w:proofErr w:type="gramEnd"/>
      <w:r w:rsidRPr="00203808">
        <w:rPr>
          <w:rFonts w:cs="Arial"/>
          <w:sz w:val="22"/>
        </w:rPr>
        <w:t xml:space="preserve"> Marriott is larger in absolute terms, but also carries more short</w:t>
      </w:r>
      <w:r w:rsidR="00ED72CF" w:rsidRPr="00203808">
        <w:rPr>
          <w:rFonts w:cs="Arial"/>
          <w:sz w:val="22"/>
        </w:rPr>
        <w:t>-</w:t>
      </w:r>
      <w:r w:rsidRPr="00203808">
        <w:rPr>
          <w:rFonts w:cs="Arial"/>
          <w:sz w:val="22"/>
        </w:rPr>
        <w:t>term obligations.</w:t>
      </w:r>
    </w:p>
    <w:p w14:paraId="1219CFF0" w14:textId="3C154DFF" w:rsidR="000410EA" w:rsidRPr="00203808" w:rsidRDefault="000410EA" w:rsidP="00203808">
      <w:pPr>
        <w:spacing w:after="0" w:line="360" w:lineRule="auto"/>
        <w:jc w:val="both"/>
        <w:rPr>
          <w:rFonts w:cs="Arial"/>
          <w:b/>
          <w:bCs/>
          <w:sz w:val="22"/>
          <w:lang w:val="en-GB"/>
        </w:rPr>
      </w:pPr>
      <w:r w:rsidRPr="00203808">
        <w:rPr>
          <w:rFonts w:cs="Arial"/>
          <w:b/>
          <w:bCs/>
          <w:sz w:val="22"/>
        </w:rPr>
        <w:t>Table</w:t>
      </w:r>
      <w:r w:rsidR="00203808" w:rsidRPr="00203808">
        <w:rPr>
          <w:rFonts w:cs="Arial"/>
          <w:b/>
          <w:bCs/>
          <w:sz w:val="22"/>
        </w:rPr>
        <w:t xml:space="preserve"> 6</w:t>
      </w:r>
      <w:r w:rsidRPr="00203808">
        <w:rPr>
          <w:rFonts w:cs="Arial"/>
          <w:b/>
          <w:bCs/>
          <w:sz w:val="22"/>
        </w:rPr>
        <w:t>: Marriott vs Hilton liquidity indicators, 2025</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91"/>
        <w:gridCol w:w="1430"/>
        <w:gridCol w:w="1234"/>
        <w:gridCol w:w="3230"/>
      </w:tblGrid>
      <w:tr w:rsidR="00203808" w:rsidRPr="00203808" w14:paraId="6584AEC0" w14:textId="77777777" w:rsidTr="00F00090">
        <w:trPr>
          <w:tblHeader/>
          <w:tblCellSpacing w:w="15" w:type="dxa"/>
        </w:trPr>
        <w:tc>
          <w:tcPr>
            <w:tcW w:w="0" w:type="auto"/>
            <w:tcBorders>
              <w:top w:val="thinThickSmallGap" w:sz="24" w:space="0" w:color="auto"/>
              <w:bottom w:val="thickThinSmallGap" w:sz="24" w:space="0" w:color="auto"/>
            </w:tcBorders>
            <w:vAlign w:val="center"/>
            <w:hideMark/>
          </w:tcPr>
          <w:p w14:paraId="6DE4A705" w14:textId="77777777" w:rsidR="00247F27" w:rsidRPr="00203808" w:rsidRDefault="00247F27" w:rsidP="00397292">
            <w:pPr>
              <w:spacing w:after="0" w:line="240" w:lineRule="auto"/>
              <w:jc w:val="both"/>
              <w:rPr>
                <w:rFonts w:cs="Arial"/>
                <w:b/>
                <w:bCs/>
                <w:sz w:val="22"/>
                <w:lang w:val="en-GB"/>
              </w:rPr>
            </w:pPr>
            <w:r w:rsidRPr="00203808">
              <w:rPr>
                <w:rFonts w:cs="Arial"/>
                <w:b/>
                <w:bCs/>
                <w:sz w:val="22"/>
                <w:lang w:val="en-GB"/>
              </w:rPr>
              <w:t>Liquidity indicator</w:t>
            </w:r>
          </w:p>
        </w:tc>
        <w:tc>
          <w:tcPr>
            <w:tcW w:w="0" w:type="auto"/>
            <w:tcBorders>
              <w:top w:val="thinThickSmallGap" w:sz="24" w:space="0" w:color="auto"/>
              <w:bottom w:val="thickThinSmallGap" w:sz="24" w:space="0" w:color="auto"/>
            </w:tcBorders>
            <w:vAlign w:val="center"/>
            <w:hideMark/>
          </w:tcPr>
          <w:p w14:paraId="77E854E9" w14:textId="77777777" w:rsidR="00247F27" w:rsidRPr="00203808" w:rsidRDefault="00247F27" w:rsidP="00397292">
            <w:pPr>
              <w:spacing w:after="0" w:line="240" w:lineRule="auto"/>
              <w:jc w:val="both"/>
              <w:rPr>
                <w:rFonts w:cs="Arial"/>
                <w:b/>
                <w:bCs/>
                <w:sz w:val="22"/>
                <w:lang w:val="en-GB"/>
              </w:rPr>
            </w:pPr>
            <w:r w:rsidRPr="00203808">
              <w:rPr>
                <w:rFonts w:cs="Arial"/>
                <w:b/>
                <w:bCs/>
                <w:sz w:val="22"/>
                <w:lang w:val="en-GB"/>
              </w:rPr>
              <w:t>Marriott 2025</w:t>
            </w:r>
          </w:p>
        </w:tc>
        <w:tc>
          <w:tcPr>
            <w:tcW w:w="0" w:type="auto"/>
            <w:tcBorders>
              <w:top w:val="thinThickSmallGap" w:sz="24" w:space="0" w:color="auto"/>
              <w:bottom w:val="thickThinSmallGap" w:sz="24" w:space="0" w:color="auto"/>
            </w:tcBorders>
            <w:vAlign w:val="center"/>
            <w:hideMark/>
          </w:tcPr>
          <w:p w14:paraId="270E76A4" w14:textId="77777777" w:rsidR="00247F27" w:rsidRPr="00203808" w:rsidRDefault="00247F27" w:rsidP="00397292">
            <w:pPr>
              <w:spacing w:after="0" w:line="240" w:lineRule="auto"/>
              <w:jc w:val="both"/>
              <w:rPr>
                <w:rFonts w:cs="Arial"/>
                <w:b/>
                <w:bCs/>
                <w:sz w:val="22"/>
                <w:lang w:val="en-GB"/>
              </w:rPr>
            </w:pPr>
            <w:r w:rsidRPr="00203808">
              <w:rPr>
                <w:rFonts w:cs="Arial"/>
                <w:b/>
                <w:bCs/>
                <w:sz w:val="22"/>
                <w:lang w:val="en-GB"/>
              </w:rPr>
              <w:t>Hilton 2025</w:t>
            </w:r>
          </w:p>
        </w:tc>
        <w:tc>
          <w:tcPr>
            <w:tcW w:w="0" w:type="auto"/>
            <w:tcBorders>
              <w:top w:val="thinThickSmallGap" w:sz="24" w:space="0" w:color="auto"/>
              <w:bottom w:val="thickThinSmallGap" w:sz="24" w:space="0" w:color="auto"/>
            </w:tcBorders>
            <w:vAlign w:val="center"/>
            <w:hideMark/>
          </w:tcPr>
          <w:p w14:paraId="70EA3F20" w14:textId="77777777" w:rsidR="00247F27" w:rsidRPr="00203808" w:rsidRDefault="00247F27" w:rsidP="00397292">
            <w:pPr>
              <w:spacing w:after="0" w:line="240" w:lineRule="auto"/>
              <w:jc w:val="both"/>
              <w:rPr>
                <w:rFonts w:cs="Arial"/>
                <w:b/>
                <w:bCs/>
                <w:sz w:val="22"/>
                <w:lang w:val="en-GB"/>
              </w:rPr>
            </w:pPr>
            <w:r w:rsidRPr="00203808">
              <w:rPr>
                <w:rFonts w:cs="Arial"/>
                <w:b/>
                <w:bCs/>
                <w:sz w:val="22"/>
                <w:lang w:val="en-GB"/>
              </w:rPr>
              <w:t>Relative position</w:t>
            </w:r>
          </w:p>
        </w:tc>
      </w:tr>
      <w:tr w:rsidR="00203808" w:rsidRPr="00203808" w14:paraId="3688EB1A" w14:textId="77777777" w:rsidTr="00F00090">
        <w:trPr>
          <w:tblCellSpacing w:w="15" w:type="dxa"/>
        </w:trPr>
        <w:tc>
          <w:tcPr>
            <w:tcW w:w="0" w:type="auto"/>
            <w:vAlign w:val="center"/>
            <w:hideMark/>
          </w:tcPr>
          <w:p w14:paraId="2E30ECF8" w14:textId="77777777" w:rsidR="00247F27" w:rsidRPr="00203808" w:rsidRDefault="00247F27" w:rsidP="00397292">
            <w:pPr>
              <w:spacing w:after="0" w:line="240" w:lineRule="auto"/>
              <w:jc w:val="both"/>
              <w:rPr>
                <w:rFonts w:cs="Arial"/>
                <w:sz w:val="22"/>
                <w:lang w:val="en-GB"/>
              </w:rPr>
            </w:pPr>
            <w:r w:rsidRPr="00203808">
              <w:rPr>
                <w:rFonts w:cs="Arial"/>
                <w:sz w:val="22"/>
                <w:lang w:val="en-GB"/>
              </w:rPr>
              <w:t>Current Assets</w:t>
            </w:r>
          </w:p>
        </w:tc>
        <w:tc>
          <w:tcPr>
            <w:tcW w:w="0" w:type="auto"/>
            <w:vAlign w:val="center"/>
            <w:hideMark/>
          </w:tcPr>
          <w:p w14:paraId="25FFAB2E" w14:textId="77777777" w:rsidR="00247F27" w:rsidRPr="00203808" w:rsidRDefault="00247F27" w:rsidP="00397292">
            <w:pPr>
              <w:spacing w:after="0" w:line="240" w:lineRule="auto"/>
              <w:jc w:val="both"/>
              <w:rPr>
                <w:rFonts w:cs="Arial"/>
                <w:sz w:val="22"/>
                <w:lang w:val="en-GB"/>
              </w:rPr>
            </w:pPr>
            <w:r w:rsidRPr="00203808">
              <w:rPr>
                <w:rFonts w:cs="Arial"/>
                <w:sz w:val="22"/>
                <w:lang w:val="en-GB"/>
              </w:rPr>
              <w:t>$3.584bn</w:t>
            </w:r>
          </w:p>
        </w:tc>
        <w:tc>
          <w:tcPr>
            <w:tcW w:w="0" w:type="auto"/>
            <w:vAlign w:val="center"/>
            <w:hideMark/>
          </w:tcPr>
          <w:p w14:paraId="5C56C951" w14:textId="77777777" w:rsidR="00247F27" w:rsidRPr="00203808" w:rsidRDefault="00247F27" w:rsidP="00397292">
            <w:pPr>
              <w:spacing w:after="0" w:line="240" w:lineRule="auto"/>
              <w:jc w:val="both"/>
              <w:rPr>
                <w:rFonts w:cs="Arial"/>
                <w:sz w:val="22"/>
                <w:lang w:val="en-GB"/>
              </w:rPr>
            </w:pPr>
            <w:r w:rsidRPr="00203808">
              <w:rPr>
                <w:rFonts w:cs="Arial"/>
                <w:sz w:val="22"/>
                <w:lang w:val="en-GB"/>
              </w:rPr>
              <w:t>$2.996bn</w:t>
            </w:r>
          </w:p>
        </w:tc>
        <w:tc>
          <w:tcPr>
            <w:tcW w:w="0" w:type="auto"/>
            <w:vAlign w:val="center"/>
            <w:hideMark/>
          </w:tcPr>
          <w:p w14:paraId="08761ED1" w14:textId="77777777" w:rsidR="00247F27" w:rsidRPr="00203808" w:rsidRDefault="00247F27" w:rsidP="00397292">
            <w:pPr>
              <w:spacing w:after="0" w:line="240" w:lineRule="auto"/>
              <w:jc w:val="both"/>
              <w:rPr>
                <w:rFonts w:cs="Arial"/>
                <w:sz w:val="22"/>
                <w:lang w:val="en-GB"/>
              </w:rPr>
            </w:pPr>
            <w:r w:rsidRPr="00203808">
              <w:rPr>
                <w:rFonts w:cs="Arial"/>
                <w:sz w:val="22"/>
                <w:lang w:val="en-GB"/>
              </w:rPr>
              <w:t>Marriott higher in absolute terms</w:t>
            </w:r>
          </w:p>
        </w:tc>
      </w:tr>
      <w:tr w:rsidR="00203808" w:rsidRPr="00203808" w14:paraId="6C667BBB" w14:textId="77777777" w:rsidTr="00F00090">
        <w:trPr>
          <w:tblCellSpacing w:w="15" w:type="dxa"/>
        </w:trPr>
        <w:tc>
          <w:tcPr>
            <w:tcW w:w="0" w:type="auto"/>
            <w:vAlign w:val="center"/>
            <w:hideMark/>
          </w:tcPr>
          <w:p w14:paraId="3DB0209C" w14:textId="77777777" w:rsidR="00247F27" w:rsidRPr="00203808" w:rsidRDefault="00247F27" w:rsidP="00397292">
            <w:pPr>
              <w:spacing w:after="0" w:line="240" w:lineRule="auto"/>
              <w:jc w:val="both"/>
              <w:rPr>
                <w:rFonts w:cs="Arial"/>
                <w:sz w:val="22"/>
                <w:lang w:val="en-GB"/>
              </w:rPr>
            </w:pPr>
            <w:r w:rsidRPr="00203808">
              <w:rPr>
                <w:rFonts w:cs="Arial"/>
                <w:sz w:val="22"/>
                <w:lang w:val="en-GB"/>
              </w:rPr>
              <w:t>Current Liabilities</w:t>
            </w:r>
          </w:p>
        </w:tc>
        <w:tc>
          <w:tcPr>
            <w:tcW w:w="0" w:type="auto"/>
            <w:vAlign w:val="center"/>
            <w:hideMark/>
          </w:tcPr>
          <w:p w14:paraId="28DFC42F" w14:textId="77777777" w:rsidR="00247F27" w:rsidRPr="00203808" w:rsidRDefault="00247F27" w:rsidP="00397292">
            <w:pPr>
              <w:spacing w:after="0" w:line="240" w:lineRule="auto"/>
              <w:jc w:val="both"/>
              <w:rPr>
                <w:rFonts w:cs="Arial"/>
                <w:sz w:val="22"/>
                <w:lang w:val="en-GB"/>
              </w:rPr>
            </w:pPr>
            <w:r w:rsidRPr="00203808">
              <w:rPr>
                <w:rFonts w:cs="Arial"/>
                <w:sz w:val="22"/>
                <w:lang w:val="en-GB"/>
              </w:rPr>
              <w:t>$8.398bn</w:t>
            </w:r>
          </w:p>
        </w:tc>
        <w:tc>
          <w:tcPr>
            <w:tcW w:w="0" w:type="auto"/>
            <w:vAlign w:val="center"/>
            <w:hideMark/>
          </w:tcPr>
          <w:p w14:paraId="2B760BCD" w14:textId="77777777" w:rsidR="00247F27" w:rsidRPr="00203808" w:rsidRDefault="00247F27" w:rsidP="00397292">
            <w:pPr>
              <w:spacing w:after="0" w:line="240" w:lineRule="auto"/>
              <w:jc w:val="both"/>
              <w:rPr>
                <w:rFonts w:cs="Arial"/>
                <w:sz w:val="22"/>
                <w:lang w:val="en-GB"/>
              </w:rPr>
            </w:pPr>
            <w:r w:rsidRPr="00203808">
              <w:rPr>
                <w:rFonts w:cs="Arial"/>
                <w:sz w:val="22"/>
                <w:lang w:val="en-GB"/>
              </w:rPr>
              <w:t>$4.508bn</w:t>
            </w:r>
          </w:p>
        </w:tc>
        <w:tc>
          <w:tcPr>
            <w:tcW w:w="0" w:type="auto"/>
            <w:vAlign w:val="center"/>
            <w:hideMark/>
          </w:tcPr>
          <w:p w14:paraId="6AAF914F" w14:textId="77777777" w:rsidR="00247F27" w:rsidRPr="00203808" w:rsidRDefault="00247F27" w:rsidP="00397292">
            <w:pPr>
              <w:spacing w:after="0" w:line="240" w:lineRule="auto"/>
              <w:jc w:val="both"/>
              <w:rPr>
                <w:rFonts w:cs="Arial"/>
                <w:sz w:val="22"/>
                <w:lang w:val="en-GB"/>
              </w:rPr>
            </w:pPr>
            <w:r w:rsidRPr="00203808">
              <w:rPr>
                <w:rFonts w:cs="Arial"/>
                <w:sz w:val="22"/>
                <w:lang w:val="en-GB"/>
              </w:rPr>
              <w:t>Marriott higher</w:t>
            </w:r>
          </w:p>
        </w:tc>
      </w:tr>
      <w:tr w:rsidR="00203808" w:rsidRPr="00203808" w14:paraId="7EE58942" w14:textId="77777777" w:rsidTr="00F00090">
        <w:trPr>
          <w:tblCellSpacing w:w="15" w:type="dxa"/>
        </w:trPr>
        <w:tc>
          <w:tcPr>
            <w:tcW w:w="0" w:type="auto"/>
            <w:vAlign w:val="center"/>
            <w:hideMark/>
          </w:tcPr>
          <w:p w14:paraId="32A5B4B0" w14:textId="77777777" w:rsidR="00247F27" w:rsidRPr="00203808" w:rsidRDefault="00247F27" w:rsidP="00397292">
            <w:pPr>
              <w:spacing w:after="0" w:line="240" w:lineRule="auto"/>
              <w:jc w:val="both"/>
              <w:rPr>
                <w:rFonts w:cs="Arial"/>
                <w:sz w:val="22"/>
                <w:lang w:val="en-GB"/>
              </w:rPr>
            </w:pPr>
            <w:r w:rsidRPr="00203808">
              <w:rPr>
                <w:rFonts w:cs="Arial"/>
                <w:sz w:val="22"/>
                <w:lang w:val="en-GB"/>
              </w:rPr>
              <w:t>Current Ratio</w:t>
            </w:r>
          </w:p>
        </w:tc>
        <w:tc>
          <w:tcPr>
            <w:tcW w:w="0" w:type="auto"/>
            <w:vAlign w:val="center"/>
            <w:hideMark/>
          </w:tcPr>
          <w:p w14:paraId="1A11923D" w14:textId="77777777" w:rsidR="00247F27" w:rsidRPr="00203808" w:rsidRDefault="00247F27" w:rsidP="00397292">
            <w:pPr>
              <w:spacing w:after="0" w:line="240" w:lineRule="auto"/>
              <w:jc w:val="both"/>
              <w:rPr>
                <w:rFonts w:cs="Arial"/>
                <w:sz w:val="22"/>
                <w:lang w:val="en-GB"/>
              </w:rPr>
            </w:pPr>
            <w:r w:rsidRPr="00203808">
              <w:rPr>
                <w:rFonts w:cs="Arial"/>
                <w:sz w:val="22"/>
                <w:lang w:val="en-GB"/>
              </w:rPr>
              <w:t>0.43</w:t>
            </w:r>
          </w:p>
        </w:tc>
        <w:tc>
          <w:tcPr>
            <w:tcW w:w="0" w:type="auto"/>
            <w:vAlign w:val="center"/>
            <w:hideMark/>
          </w:tcPr>
          <w:p w14:paraId="2F2400E2" w14:textId="77777777" w:rsidR="00247F27" w:rsidRPr="00203808" w:rsidRDefault="00247F27" w:rsidP="00397292">
            <w:pPr>
              <w:spacing w:after="0" w:line="240" w:lineRule="auto"/>
              <w:jc w:val="both"/>
              <w:rPr>
                <w:rFonts w:cs="Arial"/>
                <w:sz w:val="22"/>
                <w:lang w:val="en-GB"/>
              </w:rPr>
            </w:pPr>
            <w:r w:rsidRPr="00203808">
              <w:rPr>
                <w:rFonts w:cs="Arial"/>
                <w:sz w:val="22"/>
                <w:lang w:val="en-GB"/>
              </w:rPr>
              <w:t>0.66</w:t>
            </w:r>
          </w:p>
        </w:tc>
        <w:tc>
          <w:tcPr>
            <w:tcW w:w="0" w:type="auto"/>
            <w:vAlign w:val="center"/>
            <w:hideMark/>
          </w:tcPr>
          <w:p w14:paraId="1342A5F6" w14:textId="77777777" w:rsidR="00247F27" w:rsidRPr="00203808" w:rsidRDefault="00247F27" w:rsidP="00397292">
            <w:pPr>
              <w:spacing w:after="0" w:line="240" w:lineRule="auto"/>
              <w:jc w:val="both"/>
              <w:rPr>
                <w:rFonts w:cs="Arial"/>
                <w:sz w:val="22"/>
                <w:lang w:val="en-GB"/>
              </w:rPr>
            </w:pPr>
            <w:r w:rsidRPr="00203808">
              <w:rPr>
                <w:rFonts w:cs="Arial"/>
                <w:sz w:val="22"/>
                <w:lang w:val="en-GB"/>
              </w:rPr>
              <w:t>Marriott weaker</w:t>
            </w:r>
          </w:p>
        </w:tc>
      </w:tr>
      <w:tr w:rsidR="00203808" w:rsidRPr="00203808" w14:paraId="7ED7F9E9" w14:textId="77777777" w:rsidTr="00F00090">
        <w:trPr>
          <w:tblCellSpacing w:w="15" w:type="dxa"/>
        </w:trPr>
        <w:tc>
          <w:tcPr>
            <w:tcW w:w="0" w:type="auto"/>
            <w:vAlign w:val="center"/>
            <w:hideMark/>
          </w:tcPr>
          <w:p w14:paraId="46CFA056" w14:textId="77777777" w:rsidR="00247F27" w:rsidRPr="00203808" w:rsidRDefault="00247F27" w:rsidP="00397292">
            <w:pPr>
              <w:spacing w:after="0" w:line="240" w:lineRule="auto"/>
              <w:jc w:val="both"/>
              <w:rPr>
                <w:rFonts w:cs="Arial"/>
                <w:sz w:val="22"/>
                <w:lang w:val="en-GB"/>
              </w:rPr>
            </w:pPr>
            <w:r w:rsidRPr="00203808">
              <w:rPr>
                <w:rFonts w:cs="Arial"/>
                <w:sz w:val="22"/>
                <w:lang w:val="en-GB"/>
              </w:rPr>
              <w:t>Cash and equivalents</w:t>
            </w:r>
          </w:p>
        </w:tc>
        <w:tc>
          <w:tcPr>
            <w:tcW w:w="0" w:type="auto"/>
            <w:vAlign w:val="center"/>
            <w:hideMark/>
          </w:tcPr>
          <w:p w14:paraId="2646EAB8" w14:textId="77777777" w:rsidR="00247F27" w:rsidRPr="00203808" w:rsidRDefault="00247F27" w:rsidP="00397292">
            <w:pPr>
              <w:spacing w:after="0" w:line="240" w:lineRule="auto"/>
              <w:jc w:val="both"/>
              <w:rPr>
                <w:rFonts w:cs="Arial"/>
                <w:sz w:val="22"/>
                <w:lang w:val="en-GB"/>
              </w:rPr>
            </w:pPr>
            <w:r w:rsidRPr="00203808">
              <w:rPr>
                <w:rFonts w:cs="Arial"/>
                <w:sz w:val="22"/>
                <w:lang w:val="en-GB"/>
              </w:rPr>
              <w:t>$0.358bn</w:t>
            </w:r>
          </w:p>
        </w:tc>
        <w:tc>
          <w:tcPr>
            <w:tcW w:w="0" w:type="auto"/>
            <w:vAlign w:val="center"/>
            <w:hideMark/>
          </w:tcPr>
          <w:p w14:paraId="09A768C4" w14:textId="1EA15C03" w:rsidR="00247F27" w:rsidRPr="00203808" w:rsidRDefault="00B42BA8" w:rsidP="00397292">
            <w:pPr>
              <w:spacing w:after="0" w:line="240" w:lineRule="auto"/>
              <w:jc w:val="both"/>
              <w:rPr>
                <w:rFonts w:cs="Arial"/>
                <w:sz w:val="22"/>
                <w:lang w:val="en-GB"/>
              </w:rPr>
            </w:pPr>
            <w:r w:rsidRPr="00203808">
              <w:rPr>
                <w:rFonts w:cs="Arial"/>
                <w:sz w:val="22"/>
                <w:lang w:val="en-GB"/>
              </w:rPr>
              <w:t>---</w:t>
            </w:r>
          </w:p>
        </w:tc>
        <w:tc>
          <w:tcPr>
            <w:tcW w:w="0" w:type="auto"/>
            <w:vAlign w:val="center"/>
            <w:hideMark/>
          </w:tcPr>
          <w:p w14:paraId="766AEB76" w14:textId="10673DAC" w:rsidR="00247F27" w:rsidRPr="00203808" w:rsidRDefault="00B42BA8" w:rsidP="00397292">
            <w:pPr>
              <w:spacing w:after="0" w:line="240" w:lineRule="auto"/>
              <w:jc w:val="both"/>
              <w:rPr>
                <w:rFonts w:cs="Arial"/>
                <w:sz w:val="22"/>
                <w:lang w:val="en-GB"/>
              </w:rPr>
            </w:pPr>
            <w:r w:rsidRPr="00203808">
              <w:rPr>
                <w:rFonts w:cs="Arial"/>
                <w:sz w:val="22"/>
                <w:lang w:val="en-GB"/>
              </w:rPr>
              <w:t>---</w:t>
            </w:r>
          </w:p>
        </w:tc>
      </w:tr>
      <w:tr w:rsidR="00203808" w:rsidRPr="00203808" w14:paraId="150BE4DB" w14:textId="77777777" w:rsidTr="00F00090">
        <w:trPr>
          <w:tblCellSpacing w:w="15" w:type="dxa"/>
        </w:trPr>
        <w:tc>
          <w:tcPr>
            <w:tcW w:w="0" w:type="auto"/>
            <w:tcBorders>
              <w:bottom w:val="thickThinSmallGap" w:sz="24" w:space="0" w:color="auto"/>
            </w:tcBorders>
            <w:vAlign w:val="center"/>
            <w:hideMark/>
          </w:tcPr>
          <w:p w14:paraId="3E9B5D26" w14:textId="77777777" w:rsidR="00247F27" w:rsidRPr="00203808" w:rsidRDefault="00247F27" w:rsidP="00397292">
            <w:pPr>
              <w:spacing w:after="0" w:line="240" w:lineRule="auto"/>
              <w:jc w:val="both"/>
              <w:rPr>
                <w:rFonts w:cs="Arial"/>
                <w:sz w:val="22"/>
                <w:lang w:val="en-GB"/>
              </w:rPr>
            </w:pPr>
            <w:r w:rsidRPr="00203808">
              <w:rPr>
                <w:rFonts w:cs="Arial"/>
                <w:sz w:val="22"/>
                <w:lang w:val="en-GB"/>
              </w:rPr>
              <w:t>Shareholders' equity</w:t>
            </w:r>
          </w:p>
        </w:tc>
        <w:tc>
          <w:tcPr>
            <w:tcW w:w="0" w:type="auto"/>
            <w:tcBorders>
              <w:bottom w:val="thickThinSmallGap" w:sz="24" w:space="0" w:color="auto"/>
            </w:tcBorders>
            <w:vAlign w:val="center"/>
            <w:hideMark/>
          </w:tcPr>
          <w:p w14:paraId="69515E3B" w14:textId="77777777" w:rsidR="00247F27" w:rsidRPr="00203808" w:rsidRDefault="00247F27" w:rsidP="00397292">
            <w:pPr>
              <w:spacing w:after="0" w:line="240" w:lineRule="auto"/>
              <w:jc w:val="both"/>
              <w:rPr>
                <w:rFonts w:cs="Arial"/>
                <w:sz w:val="22"/>
                <w:lang w:val="en-GB"/>
              </w:rPr>
            </w:pPr>
            <w:r w:rsidRPr="00203808">
              <w:rPr>
                <w:rFonts w:cs="Arial"/>
                <w:sz w:val="22"/>
                <w:lang w:val="en-GB"/>
              </w:rPr>
              <w:t>$(</w:t>
            </w:r>
            <w:proofErr w:type="gramStart"/>
            <w:r w:rsidRPr="00203808">
              <w:rPr>
                <w:rFonts w:cs="Arial"/>
                <w:sz w:val="22"/>
                <w:lang w:val="en-GB"/>
              </w:rPr>
              <w:t>3.771)bn</w:t>
            </w:r>
            <w:proofErr w:type="gramEnd"/>
          </w:p>
        </w:tc>
        <w:tc>
          <w:tcPr>
            <w:tcW w:w="0" w:type="auto"/>
            <w:tcBorders>
              <w:bottom w:val="thickThinSmallGap" w:sz="24" w:space="0" w:color="auto"/>
            </w:tcBorders>
            <w:vAlign w:val="center"/>
            <w:hideMark/>
          </w:tcPr>
          <w:p w14:paraId="7198FF0F" w14:textId="77777777" w:rsidR="00247F27" w:rsidRPr="00203808" w:rsidRDefault="00247F27" w:rsidP="00397292">
            <w:pPr>
              <w:spacing w:after="0" w:line="240" w:lineRule="auto"/>
              <w:jc w:val="both"/>
              <w:rPr>
                <w:rFonts w:cs="Arial"/>
                <w:sz w:val="22"/>
                <w:lang w:val="en-GB"/>
              </w:rPr>
            </w:pPr>
            <w:r w:rsidRPr="00203808">
              <w:rPr>
                <w:rFonts w:cs="Arial"/>
                <w:sz w:val="22"/>
                <w:lang w:val="en-GB"/>
              </w:rPr>
              <w:t>$(</w:t>
            </w:r>
            <w:proofErr w:type="gramStart"/>
            <w:r w:rsidRPr="00203808">
              <w:rPr>
                <w:rFonts w:cs="Arial"/>
                <w:sz w:val="22"/>
                <w:lang w:val="en-GB"/>
              </w:rPr>
              <w:t>5.359)bn</w:t>
            </w:r>
            <w:proofErr w:type="gramEnd"/>
          </w:p>
        </w:tc>
        <w:tc>
          <w:tcPr>
            <w:tcW w:w="0" w:type="auto"/>
            <w:tcBorders>
              <w:bottom w:val="thickThinSmallGap" w:sz="24" w:space="0" w:color="auto"/>
            </w:tcBorders>
            <w:vAlign w:val="center"/>
            <w:hideMark/>
          </w:tcPr>
          <w:p w14:paraId="157DC56F" w14:textId="77777777" w:rsidR="00247F27" w:rsidRPr="00203808" w:rsidRDefault="00247F27" w:rsidP="00397292">
            <w:pPr>
              <w:spacing w:after="0" w:line="240" w:lineRule="auto"/>
              <w:jc w:val="both"/>
              <w:rPr>
                <w:rFonts w:cs="Arial"/>
                <w:sz w:val="22"/>
                <w:lang w:val="en-GB"/>
              </w:rPr>
            </w:pPr>
            <w:r w:rsidRPr="00203808">
              <w:rPr>
                <w:rFonts w:cs="Arial"/>
                <w:sz w:val="22"/>
                <w:lang w:val="en-GB"/>
              </w:rPr>
              <w:t>Negative for both</w:t>
            </w:r>
          </w:p>
        </w:tc>
      </w:tr>
    </w:tbl>
    <w:p w14:paraId="0FB2D5B5" w14:textId="550B904E" w:rsidR="000410EA" w:rsidRPr="00397292" w:rsidRDefault="000410EA" w:rsidP="00203808">
      <w:pPr>
        <w:spacing w:after="0" w:line="360" w:lineRule="auto"/>
        <w:jc w:val="both"/>
        <w:rPr>
          <w:rFonts w:cs="Arial"/>
          <w:b/>
          <w:bCs/>
          <w:sz w:val="22"/>
          <w:lang w:val="en-GB"/>
        </w:rPr>
      </w:pPr>
      <w:r w:rsidRPr="00397292">
        <w:rPr>
          <w:rFonts w:cs="Arial"/>
          <w:b/>
          <w:bCs/>
          <w:sz w:val="22"/>
          <w:u w:val="single"/>
          <w:lang w:val="en-GB"/>
        </w:rPr>
        <w:t>Source:</w:t>
      </w:r>
      <w:r w:rsidRPr="00397292">
        <w:rPr>
          <w:rFonts w:cs="Arial"/>
          <w:b/>
          <w:bCs/>
          <w:sz w:val="22"/>
        </w:rPr>
        <w:t xml:space="preserve"> Author’s compilation based on Marriott International (2025) and Hilton Worldwide Holdings (2025).</w:t>
      </w:r>
    </w:p>
    <w:p w14:paraId="2207A082" w14:textId="38712277" w:rsidR="005C72E4" w:rsidRPr="00203808" w:rsidRDefault="005C72E4" w:rsidP="00203808">
      <w:pPr>
        <w:spacing w:after="0" w:line="360" w:lineRule="auto"/>
        <w:jc w:val="both"/>
        <w:rPr>
          <w:rFonts w:cs="Arial"/>
          <w:sz w:val="22"/>
        </w:rPr>
      </w:pPr>
      <w:r w:rsidRPr="00203808">
        <w:rPr>
          <w:rFonts w:cs="Arial"/>
          <w:sz w:val="22"/>
        </w:rPr>
        <w:lastRenderedPageBreak/>
        <w:t>The key difference is the Current Ratio. Marriott’s 0.43 is below Hilton’s 0.66 (Marriott International, 2025; Hilton Worldwide Holdings, 2025). From my reading, this means Marriott has weaker coverage of short</w:t>
      </w:r>
      <w:r w:rsidR="00ED72CF" w:rsidRPr="00203808">
        <w:rPr>
          <w:rFonts w:cs="Arial"/>
          <w:sz w:val="22"/>
        </w:rPr>
        <w:t>-</w:t>
      </w:r>
      <w:r w:rsidRPr="00203808">
        <w:rPr>
          <w:rFonts w:cs="Arial"/>
          <w:sz w:val="22"/>
        </w:rPr>
        <w:t>term debts with current assets. However, both are under 1.0. That suggests low current ratios are not unusual for large, asset</w:t>
      </w:r>
      <w:r w:rsidR="00ED72CF" w:rsidRPr="00203808">
        <w:rPr>
          <w:rFonts w:cs="Arial"/>
          <w:sz w:val="22"/>
        </w:rPr>
        <w:t>-</w:t>
      </w:r>
      <w:r w:rsidRPr="00203808">
        <w:rPr>
          <w:rFonts w:cs="Arial"/>
          <w:sz w:val="22"/>
        </w:rPr>
        <w:t>light hospitality companies.</w:t>
      </w:r>
    </w:p>
    <w:p w14:paraId="6A5D92DC" w14:textId="77777777" w:rsidR="0013798C" w:rsidRPr="00397292" w:rsidRDefault="00000000" w:rsidP="00203808">
      <w:pPr>
        <w:pStyle w:val="Titre1"/>
        <w:spacing w:line="360" w:lineRule="auto"/>
        <w:jc w:val="both"/>
        <w:rPr>
          <w:rFonts w:ascii="Arial" w:hAnsi="Arial" w:cs="Arial"/>
          <w:b w:val="0"/>
          <w:bCs w:val="0"/>
          <w:color w:val="auto"/>
          <w:sz w:val="22"/>
          <w:szCs w:val="22"/>
          <w:u w:val="single"/>
          <w:lang w:val="en-GB"/>
        </w:rPr>
      </w:pPr>
      <w:bookmarkStart w:id="12" w:name="_Toc237478462"/>
      <w:r w:rsidRPr="00397292">
        <w:rPr>
          <w:rFonts w:ascii="Arial" w:hAnsi="Arial" w:cs="Arial"/>
          <w:color w:val="auto"/>
          <w:sz w:val="22"/>
          <w:szCs w:val="22"/>
          <w:u w:val="single"/>
          <w:lang w:val="en-GB"/>
        </w:rPr>
        <w:t>2. WORKING CAPITAL MANAGEMENT ANALYSIS</w:t>
      </w:r>
      <w:bookmarkEnd w:id="12"/>
    </w:p>
    <w:p w14:paraId="185F7FC0" w14:textId="2721BDD7" w:rsidR="00E22B2C" w:rsidRPr="00203808" w:rsidRDefault="00E22B2C" w:rsidP="00203808">
      <w:pPr>
        <w:spacing w:after="0" w:line="360" w:lineRule="auto"/>
        <w:jc w:val="both"/>
        <w:rPr>
          <w:rFonts w:cs="Arial"/>
          <w:sz w:val="22"/>
        </w:rPr>
      </w:pPr>
      <w:r w:rsidRPr="00203808">
        <w:rPr>
          <w:rFonts w:cs="Arial"/>
          <w:sz w:val="22"/>
        </w:rPr>
        <w:t>This section looks at three things. First, how Marriott’s cash cycle actually works. Second, what Marriott can do to make working capital more efficient without damaging relations with hotel owners. Third, how short</w:t>
      </w:r>
      <w:r w:rsidR="00ED72CF" w:rsidRPr="00203808">
        <w:rPr>
          <w:rFonts w:cs="Arial"/>
          <w:sz w:val="22"/>
        </w:rPr>
        <w:t>-</w:t>
      </w:r>
      <w:r w:rsidRPr="00203808">
        <w:rPr>
          <w:rFonts w:cs="Arial"/>
          <w:sz w:val="22"/>
        </w:rPr>
        <w:t>term and long</w:t>
      </w:r>
      <w:r w:rsidR="00ED72CF" w:rsidRPr="00203808">
        <w:rPr>
          <w:rFonts w:cs="Arial"/>
          <w:sz w:val="22"/>
        </w:rPr>
        <w:t>-</w:t>
      </w:r>
      <w:r w:rsidRPr="00203808">
        <w:rPr>
          <w:rFonts w:cs="Arial"/>
          <w:sz w:val="22"/>
        </w:rPr>
        <w:t xml:space="preserve">term borrowing fit together when debt is already $16.204bn and the current ratio is just 0.43 (Marriott International, 2026). </w:t>
      </w:r>
    </w:p>
    <w:p w14:paraId="433D51EE" w14:textId="1B5B4B2B" w:rsidR="00B87EFB" w:rsidRPr="00397292" w:rsidRDefault="00B87EFB" w:rsidP="00203808">
      <w:pPr>
        <w:pStyle w:val="Titre2"/>
        <w:spacing w:line="360" w:lineRule="auto"/>
        <w:jc w:val="both"/>
        <w:rPr>
          <w:rFonts w:ascii="Arial" w:hAnsi="Arial" w:cs="Arial"/>
          <w:b w:val="0"/>
          <w:bCs w:val="0"/>
          <w:color w:val="auto"/>
          <w:sz w:val="22"/>
          <w:szCs w:val="22"/>
          <w:u w:val="single"/>
          <w:lang w:val="en-GB"/>
        </w:rPr>
      </w:pPr>
      <w:bookmarkStart w:id="13" w:name="_Toc237478463"/>
      <w:r w:rsidRPr="00397292">
        <w:rPr>
          <w:rFonts w:ascii="Arial" w:hAnsi="Arial" w:cs="Arial"/>
          <w:color w:val="auto"/>
          <w:sz w:val="22"/>
          <w:szCs w:val="22"/>
          <w:u w:val="single"/>
          <w:lang w:val="en-GB"/>
        </w:rPr>
        <w:t>2.a. Assessment of the Cash Operating Cycle</w:t>
      </w:r>
      <w:bookmarkEnd w:id="13"/>
    </w:p>
    <w:p w14:paraId="6C47AFE5" w14:textId="60CE4D07" w:rsidR="002B09F5" w:rsidRPr="00203808" w:rsidRDefault="002B09F5" w:rsidP="00203808">
      <w:pPr>
        <w:spacing w:after="0" w:line="360" w:lineRule="auto"/>
        <w:jc w:val="both"/>
        <w:rPr>
          <w:rFonts w:cs="Arial"/>
          <w:sz w:val="22"/>
        </w:rPr>
      </w:pPr>
      <w:r w:rsidRPr="00203808">
        <w:rPr>
          <w:rFonts w:cs="Arial"/>
          <w:sz w:val="22"/>
        </w:rPr>
        <w:t>Marriott’s working capital structure is atypical because the company operates an asset</w:t>
      </w:r>
      <w:r w:rsidR="00ED72CF" w:rsidRPr="00203808">
        <w:rPr>
          <w:rFonts w:cs="Arial"/>
          <w:sz w:val="22"/>
        </w:rPr>
        <w:t>-</w:t>
      </w:r>
      <w:r w:rsidRPr="00203808">
        <w:rPr>
          <w:rFonts w:cs="Arial"/>
          <w:sz w:val="22"/>
        </w:rPr>
        <w:t>light model with less than 1% of properties owned (Marriott International, 2026). As a result, it carries almost no inventory and relies on receivables, payables, accrued liabilities, and</w:t>
      </w:r>
      <w:r w:rsidR="00AC5D60" w:rsidRPr="00203808">
        <w:rPr>
          <w:rFonts w:cs="Arial"/>
          <w:sz w:val="22"/>
        </w:rPr>
        <w:t xml:space="preserve"> other</w:t>
      </w:r>
      <w:r w:rsidRPr="00203808">
        <w:rPr>
          <w:rFonts w:cs="Arial"/>
          <w:sz w:val="22"/>
        </w:rPr>
        <w:t xml:space="preserve"> </w:t>
      </w:r>
      <w:r w:rsidR="00AC5D60" w:rsidRPr="00203808">
        <w:rPr>
          <w:rFonts w:cs="Arial"/>
          <w:sz w:val="22"/>
        </w:rPr>
        <w:t>current</w:t>
      </w:r>
      <w:r w:rsidRPr="00203808">
        <w:rPr>
          <w:rFonts w:cs="Arial"/>
          <w:sz w:val="22"/>
        </w:rPr>
        <w:t xml:space="preserve"> liabilit</w:t>
      </w:r>
      <w:r w:rsidR="00AC5D60" w:rsidRPr="00203808">
        <w:rPr>
          <w:rFonts w:cs="Arial"/>
          <w:sz w:val="22"/>
        </w:rPr>
        <w:t>ies</w:t>
      </w:r>
      <w:r w:rsidRPr="00203808">
        <w:rPr>
          <w:rFonts w:cs="Arial"/>
          <w:sz w:val="22"/>
        </w:rPr>
        <w:t xml:space="preserve"> as the main working capital items (Marriott International, 2026). </w:t>
      </w:r>
    </w:p>
    <w:p w14:paraId="00BFC009" w14:textId="6FA00CF6" w:rsidR="002B09F5" w:rsidRPr="00203808" w:rsidRDefault="002B09F5" w:rsidP="00203808">
      <w:pPr>
        <w:spacing w:after="0" w:line="360" w:lineRule="auto"/>
        <w:jc w:val="both"/>
        <w:rPr>
          <w:rFonts w:cs="Arial"/>
          <w:sz w:val="22"/>
        </w:rPr>
      </w:pPr>
      <w:r w:rsidRPr="00203808">
        <w:rPr>
          <w:rFonts w:cs="Arial"/>
          <w:sz w:val="22"/>
        </w:rPr>
        <w:t>Over 2021</w:t>
      </w:r>
      <w:r w:rsidR="00ED72CF" w:rsidRPr="00203808">
        <w:rPr>
          <w:rFonts w:cs="Arial"/>
          <w:sz w:val="22"/>
        </w:rPr>
        <w:t>-</w:t>
      </w:r>
      <w:r w:rsidRPr="00203808">
        <w:rPr>
          <w:rFonts w:cs="Arial"/>
          <w:sz w:val="22"/>
        </w:rPr>
        <w:t>2025 Marriott consistently operated with negative net working capital. The deficit widened from $2,781m to $5,164m before improving slightly to $4,814m in 2025.</w:t>
      </w:r>
    </w:p>
    <w:p w14:paraId="78674AFD" w14:textId="6903517C" w:rsidR="00247F27" w:rsidRPr="00203808" w:rsidRDefault="00247F27" w:rsidP="00203808">
      <w:pPr>
        <w:spacing w:after="0" w:line="360" w:lineRule="auto"/>
        <w:jc w:val="both"/>
        <w:rPr>
          <w:rFonts w:cs="Arial"/>
          <w:b/>
          <w:bCs/>
          <w:sz w:val="22"/>
          <w:lang w:val="en-GB"/>
        </w:rPr>
      </w:pPr>
      <w:r w:rsidRPr="00203808">
        <w:rPr>
          <w:rFonts w:cs="Arial"/>
          <w:b/>
          <w:bCs/>
          <w:sz w:val="22"/>
          <w:u w:val="single"/>
          <w:lang w:val="en-GB"/>
        </w:rPr>
        <w:t>Table</w:t>
      </w:r>
      <w:r w:rsidR="00203808" w:rsidRPr="00203808">
        <w:rPr>
          <w:rFonts w:cs="Arial"/>
          <w:b/>
          <w:bCs/>
          <w:sz w:val="22"/>
          <w:u w:val="single"/>
          <w:lang w:val="en-GB"/>
        </w:rPr>
        <w:t xml:space="preserve"> 7</w:t>
      </w:r>
      <w:r w:rsidRPr="00203808">
        <w:rPr>
          <w:rFonts w:cs="Arial"/>
          <w:b/>
          <w:bCs/>
          <w:sz w:val="22"/>
          <w:u w:val="single"/>
          <w:lang w:val="en-GB"/>
        </w:rPr>
        <w:t>:</w:t>
      </w:r>
      <w:r w:rsidRPr="00203808">
        <w:rPr>
          <w:rFonts w:cs="Arial"/>
          <w:b/>
          <w:bCs/>
          <w:sz w:val="22"/>
          <w:lang w:val="en-GB"/>
        </w:rPr>
        <w:t xml:space="preserve"> Marriott's Net Working Capital, 2021</w:t>
      </w:r>
      <w:r w:rsidR="00ED72CF" w:rsidRPr="00203808">
        <w:rPr>
          <w:rFonts w:cs="Arial"/>
          <w:b/>
          <w:bCs/>
          <w:sz w:val="22"/>
          <w:lang w:val="en-GB"/>
        </w:rPr>
        <w:t>-</w:t>
      </w:r>
      <w:r w:rsidRPr="00203808">
        <w:rPr>
          <w:rFonts w:cs="Arial"/>
          <w:b/>
          <w:bCs/>
          <w:sz w:val="22"/>
          <w:lang w:val="en-GB"/>
        </w:rPr>
        <w:t>2025</w:t>
      </w:r>
    </w:p>
    <w:tbl>
      <w:tblPr>
        <w:tblW w:w="6315" w:type="dxa"/>
        <w:tblCellSpacing w:w="15" w:type="dxa"/>
        <w:tblCellMar>
          <w:top w:w="15" w:type="dxa"/>
          <w:left w:w="15" w:type="dxa"/>
          <w:bottom w:w="15" w:type="dxa"/>
          <w:right w:w="15" w:type="dxa"/>
        </w:tblCellMar>
        <w:tblLook w:val="04A0" w:firstRow="1" w:lastRow="0" w:firstColumn="1" w:lastColumn="0" w:noHBand="0" w:noVBand="1"/>
      </w:tblPr>
      <w:tblGrid>
        <w:gridCol w:w="1117"/>
        <w:gridCol w:w="5198"/>
      </w:tblGrid>
      <w:tr w:rsidR="00203808" w:rsidRPr="00203808" w14:paraId="614F605E" w14:textId="77777777" w:rsidTr="00247F27">
        <w:trPr>
          <w:trHeight w:val="516"/>
          <w:tblHeader/>
          <w:tblCellSpacing w:w="15" w:type="dxa"/>
        </w:trPr>
        <w:tc>
          <w:tcPr>
            <w:tcW w:w="0" w:type="auto"/>
            <w:tcBorders>
              <w:top w:val="thinThickSmallGap" w:sz="24" w:space="0" w:color="auto"/>
              <w:bottom w:val="thickThinSmallGap" w:sz="24" w:space="0" w:color="auto"/>
            </w:tcBorders>
            <w:vAlign w:val="center"/>
            <w:hideMark/>
          </w:tcPr>
          <w:p w14:paraId="2DB4D4CE" w14:textId="77777777" w:rsidR="00247F27" w:rsidRPr="00203808" w:rsidRDefault="00247F27" w:rsidP="00203808">
            <w:pPr>
              <w:spacing w:after="0" w:line="360" w:lineRule="auto"/>
              <w:jc w:val="both"/>
              <w:rPr>
                <w:rFonts w:cs="Arial"/>
                <w:b/>
                <w:bCs/>
                <w:sz w:val="22"/>
                <w:lang w:val="en-GB"/>
              </w:rPr>
            </w:pPr>
            <w:r w:rsidRPr="00203808">
              <w:rPr>
                <w:rFonts w:cs="Arial"/>
                <w:sz w:val="22"/>
                <w:lang w:val="en-GB"/>
              </w:rPr>
              <w:t>Year</w:t>
            </w:r>
          </w:p>
        </w:tc>
        <w:tc>
          <w:tcPr>
            <w:tcW w:w="0" w:type="auto"/>
            <w:tcBorders>
              <w:top w:val="thinThickSmallGap" w:sz="24" w:space="0" w:color="auto"/>
              <w:bottom w:val="thickThinSmallGap" w:sz="24" w:space="0" w:color="auto"/>
            </w:tcBorders>
            <w:vAlign w:val="center"/>
            <w:hideMark/>
          </w:tcPr>
          <w:p w14:paraId="7D5C8460" w14:textId="77777777" w:rsidR="00247F27" w:rsidRPr="00203808" w:rsidRDefault="00247F27" w:rsidP="00203808">
            <w:pPr>
              <w:spacing w:after="0" w:line="360" w:lineRule="auto"/>
              <w:jc w:val="both"/>
              <w:rPr>
                <w:rFonts w:cs="Arial"/>
                <w:b/>
                <w:bCs/>
                <w:sz w:val="22"/>
                <w:lang w:val="en-GB"/>
              </w:rPr>
            </w:pPr>
            <w:r w:rsidRPr="00203808">
              <w:rPr>
                <w:rFonts w:cs="Arial"/>
                <w:sz w:val="22"/>
                <w:lang w:val="en-GB"/>
              </w:rPr>
              <w:t>Net Working Capital ($m)</w:t>
            </w:r>
          </w:p>
        </w:tc>
      </w:tr>
      <w:tr w:rsidR="00203808" w:rsidRPr="00203808" w14:paraId="372A1F42" w14:textId="77777777" w:rsidTr="00247F27">
        <w:trPr>
          <w:trHeight w:val="526"/>
          <w:tblCellSpacing w:w="15" w:type="dxa"/>
        </w:trPr>
        <w:tc>
          <w:tcPr>
            <w:tcW w:w="0" w:type="auto"/>
            <w:vAlign w:val="center"/>
            <w:hideMark/>
          </w:tcPr>
          <w:p w14:paraId="3D30DBFA" w14:textId="77777777" w:rsidR="00247F27" w:rsidRPr="00203808" w:rsidRDefault="00247F27"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1383824A" w14:textId="77777777" w:rsidR="00247F27" w:rsidRPr="00203808" w:rsidRDefault="00247F27" w:rsidP="00203808">
            <w:pPr>
              <w:spacing w:after="0" w:line="360" w:lineRule="auto"/>
              <w:jc w:val="both"/>
              <w:rPr>
                <w:rFonts w:cs="Arial"/>
                <w:b/>
                <w:bCs/>
                <w:sz w:val="22"/>
                <w:lang w:val="en-GB"/>
              </w:rPr>
            </w:pPr>
            <w:r w:rsidRPr="00203808">
              <w:rPr>
                <w:rFonts w:cs="Arial"/>
                <w:sz w:val="22"/>
                <w:lang w:val="en-GB"/>
              </w:rPr>
              <w:t>(2,781)</w:t>
            </w:r>
          </w:p>
        </w:tc>
      </w:tr>
      <w:tr w:rsidR="00203808" w:rsidRPr="00203808" w14:paraId="605DACAE" w14:textId="77777777" w:rsidTr="00247F27">
        <w:trPr>
          <w:trHeight w:val="526"/>
          <w:tblCellSpacing w:w="15" w:type="dxa"/>
        </w:trPr>
        <w:tc>
          <w:tcPr>
            <w:tcW w:w="0" w:type="auto"/>
            <w:vAlign w:val="center"/>
            <w:hideMark/>
          </w:tcPr>
          <w:p w14:paraId="65FE00AA" w14:textId="77777777" w:rsidR="00247F27" w:rsidRPr="00203808" w:rsidRDefault="00247F27"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24656197" w14:textId="77777777" w:rsidR="00247F27" w:rsidRPr="00203808" w:rsidRDefault="00247F27" w:rsidP="00203808">
            <w:pPr>
              <w:spacing w:after="0" w:line="360" w:lineRule="auto"/>
              <w:jc w:val="both"/>
              <w:rPr>
                <w:rFonts w:cs="Arial"/>
                <w:b/>
                <w:bCs/>
                <w:sz w:val="22"/>
                <w:lang w:val="en-GB"/>
              </w:rPr>
            </w:pPr>
            <w:r w:rsidRPr="00203808">
              <w:rPr>
                <w:rFonts w:cs="Arial"/>
                <w:sz w:val="22"/>
                <w:lang w:val="en-GB"/>
              </w:rPr>
              <w:t>(4,026)</w:t>
            </w:r>
          </w:p>
        </w:tc>
      </w:tr>
      <w:tr w:rsidR="00203808" w:rsidRPr="00203808" w14:paraId="54CA41EC" w14:textId="77777777" w:rsidTr="00247F27">
        <w:trPr>
          <w:trHeight w:val="516"/>
          <w:tblCellSpacing w:w="15" w:type="dxa"/>
        </w:trPr>
        <w:tc>
          <w:tcPr>
            <w:tcW w:w="0" w:type="auto"/>
            <w:vAlign w:val="center"/>
            <w:hideMark/>
          </w:tcPr>
          <w:p w14:paraId="04B66C5A" w14:textId="77777777" w:rsidR="00247F27" w:rsidRPr="00203808" w:rsidRDefault="00247F27"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6149518C" w14:textId="77777777" w:rsidR="00247F27" w:rsidRPr="00203808" w:rsidRDefault="00247F27" w:rsidP="00203808">
            <w:pPr>
              <w:spacing w:after="0" w:line="360" w:lineRule="auto"/>
              <w:jc w:val="both"/>
              <w:rPr>
                <w:rFonts w:cs="Arial"/>
                <w:b/>
                <w:bCs/>
                <w:sz w:val="22"/>
                <w:lang w:val="en-GB"/>
              </w:rPr>
            </w:pPr>
            <w:r w:rsidRPr="00203808">
              <w:rPr>
                <w:rFonts w:cs="Arial"/>
                <w:sz w:val="22"/>
                <w:lang w:val="en-GB"/>
              </w:rPr>
              <w:t>(4,451)</w:t>
            </w:r>
          </w:p>
        </w:tc>
      </w:tr>
      <w:tr w:rsidR="00203808" w:rsidRPr="00203808" w14:paraId="00322332" w14:textId="77777777" w:rsidTr="00247F27">
        <w:trPr>
          <w:trHeight w:val="526"/>
          <w:tblCellSpacing w:w="15" w:type="dxa"/>
        </w:trPr>
        <w:tc>
          <w:tcPr>
            <w:tcW w:w="0" w:type="auto"/>
            <w:vAlign w:val="center"/>
            <w:hideMark/>
          </w:tcPr>
          <w:p w14:paraId="6E4FE14F" w14:textId="77777777" w:rsidR="00247F27" w:rsidRPr="00203808" w:rsidRDefault="00247F27"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58B70470" w14:textId="77777777" w:rsidR="00247F27" w:rsidRPr="00203808" w:rsidRDefault="00247F27" w:rsidP="00203808">
            <w:pPr>
              <w:spacing w:after="0" w:line="360" w:lineRule="auto"/>
              <w:jc w:val="both"/>
              <w:rPr>
                <w:rFonts w:cs="Arial"/>
                <w:b/>
                <w:bCs/>
                <w:sz w:val="22"/>
                <w:lang w:val="en-GB"/>
              </w:rPr>
            </w:pPr>
            <w:r w:rsidRPr="00203808">
              <w:rPr>
                <w:rFonts w:cs="Arial"/>
                <w:sz w:val="22"/>
                <w:lang w:val="en-GB"/>
              </w:rPr>
              <w:t>(5,164)</w:t>
            </w:r>
          </w:p>
        </w:tc>
      </w:tr>
      <w:tr w:rsidR="00203808" w:rsidRPr="00203808" w14:paraId="6516EC76" w14:textId="77777777" w:rsidTr="00247F27">
        <w:trPr>
          <w:trHeight w:val="516"/>
          <w:tblCellSpacing w:w="15" w:type="dxa"/>
        </w:trPr>
        <w:tc>
          <w:tcPr>
            <w:tcW w:w="0" w:type="auto"/>
            <w:tcBorders>
              <w:bottom w:val="thickThinSmallGap" w:sz="24" w:space="0" w:color="auto"/>
            </w:tcBorders>
            <w:vAlign w:val="center"/>
            <w:hideMark/>
          </w:tcPr>
          <w:p w14:paraId="1E7CD4DC" w14:textId="77777777" w:rsidR="00247F27" w:rsidRPr="00203808" w:rsidRDefault="00247F27"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6B598A2E" w14:textId="77777777" w:rsidR="00247F27" w:rsidRPr="00203808" w:rsidRDefault="00247F27" w:rsidP="00203808">
            <w:pPr>
              <w:spacing w:after="0" w:line="360" w:lineRule="auto"/>
              <w:jc w:val="both"/>
              <w:rPr>
                <w:rFonts w:cs="Arial"/>
                <w:b/>
                <w:bCs/>
                <w:sz w:val="22"/>
                <w:lang w:val="en-GB"/>
              </w:rPr>
            </w:pPr>
            <w:r w:rsidRPr="00203808">
              <w:rPr>
                <w:rFonts w:cs="Arial"/>
                <w:sz w:val="22"/>
                <w:lang w:val="en-GB"/>
              </w:rPr>
              <w:t>(4,814)</w:t>
            </w:r>
          </w:p>
        </w:tc>
      </w:tr>
    </w:tbl>
    <w:p w14:paraId="7FDBC683" w14:textId="6937452A" w:rsidR="002B09F5" w:rsidRPr="00397292" w:rsidRDefault="00247F27" w:rsidP="00203808">
      <w:pPr>
        <w:spacing w:after="0" w:line="360" w:lineRule="auto"/>
        <w:jc w:val="both"/>
        <w:rPr>
          <w:rFonts w:cs="Arial"/>
          <w:b/>
          <w:bCs/>
          <w:sz w:val="22"/>
        </w:rPr>
      </w:pPr>
      <w:r w:rsidRPr="00397292">
        <w:rPr>
          <w:rFonts w:cs="Arial"/>
          <w:b/>
          <w:bCs/>
          <w:sz w:val="22"/>
          <w:u w:val="single"/>
          <w:lang w:val="en-GB"/>
        </w:rPr>
        <w:t>Source:</w:t>
      </w:r>
      <w:r w:rsidRPr="00397292">
        <w:rPr>
          <w:rFonts w:cs="Arial"/>
          <w:b/>
          <w:bCs/>
          <w:sz w:val="22"/>
          <w:lang w:val="en-GB"/>
        </w:rPr>
        <w:t xml:space="preserve"> </w:t>
      </w:r>
      <w:r w:rsidR="00E22B2C" w:rsidRPr="00397292">
        <w:rPr>
          <w:rFonts w:cs="Arial"/>
          <w:b/>
          <w:bCs/>
          <w:sz w:val="22"/>
          <w:lang w:val="en-GB"/>
        </w:rPr>
        <w:t xml:space="preserve">Autor’s </w:t>
      </w:r>
      <w:r w:rsidR="002B09F5" w:rsidRPr="00397292">
        <w:rPr>
          <w:rFonts w:cs="Arial"/>
          <w:b/>
          <w:bCs/>
          <w:sz w:val="22"/>
          <w:lang w:val="en-GB"/>
        </w:rPr>
        <w:t>calculation</w:t>
      </w:r>
      <w:r w:rsidR="00E22B2C" w:rsidRPr="00397292">
        <w:rPr>
          <w:rFonts w:cs="Arial"/>
          <w:b/>
          <w:bCs/>
          <w:sz w:val="22"/>
          <w:lang w:val="en-GB"/>
        </w:rPr>
        <w:t>s</w:t>
      </w:r>
      <w:r w:rsidR="002B09F5" w:rsidRPr="00397292">
        <w:rPr>
          <w:rFonts w:cs="Arial"/>
          <w:b/>
          <w:bCs/>
          <w:sz w:val="22"/>
        </w:rPr>
        <w:t xml:space="preserve"> from Marriott International annual report 2021</w:t>
      </w:r>
      <w:r w:rsidR="00ED72CF" w:rsidRPr="00397292">
        <w:rPr>
          <w:rFonts w:cs="Arial"/>
          <w:b/>
          <w:bCs/>
          <w:sz w:val="22"/>
        </w:rPr>
        <w:t>-</w:t>
      </w:r>
      <w:r w:rsidR="002B09F5" w:rsidRPr="00397292">
        <w:rPr>
          <w:rFonts w:cs="Arial"/>
          <w:b/>
          <w:bCs/>
          <w:sz w:val="22"/>
        </w:rPr>
        <w:t>2025</w:t>
      </w:r>
    </w:p>
    <w:p w14:paraId="5492CFC4" w14:textId="77777777" w:rsidR="00397292" w:rsidRDefault="00397292" w:rsidP="00203808">
      <w:pPr>
        <w:spacing w:after="0" w:line="360" w:lineRule="auto"/>
        <w:jc w:val="both"/>
        <w:rPr>
          <w:rFonts w:cs="Arial"/>
          <w:sz w:val="22"/>
        </w:rPr>
      </w:pPr>
    </w:p>
    <w:p w14:paraId="2B2FA15C" w14:textId="494AC5CB" w:rsidR="002B09F5" w:rsidRPr="00203808" w:rsidRDefault="002B09F5" w:rsidP="00203808">
      <w:pPr>
        <w:spacing w:after="0" w:line="360" w:lineRule="auto"/>
        <w:jc w:val="both"/>
        <w:rPr>
          <w:rFonts w:cs="Arial"/>
          <w:sz w:val="22"/>
        </w:rPr>
      </w:pPr>
      <w:r w:rsidRPr="00203808">
        <w:rPr>
          <w:rFonts w:cs="Arial"/>
          <w:sz w:val="22"/>
        </w:rPr>
        <w:t xml:space="preserve">While this appears risky, it is structural for a franchisor that collects fees before paying many operating costs (Marriott International, 2026). The key operational indicators are </w:t>
      </w:r>
      <w:r w:rsidRPr="00203808">
        <w:rPr>
          <w:rFonts w:cs="Arial"/>
          <w:sz w:val="22"/>
        </w:rPr>
        <w:lastRenderedPageBreak/>
        <w:t>Days Sales Outstanding and Days Payable Outstanding, since Days Inventory Outstanding is not applicable.</w:t>
      </w:r>
      <w:r w:rsidR="000A1193" w:rsidRPr="00203808">
        <w:rPr>
          <w:rFonts w:cs="Arial"/>
          <w:sz w:val="22"/>
        </w:rPr>
        <w:t xml:space="preserve"> Working capital management focuses on maintaining an appropriate balance between liquidity and profitability through the management of receivables, payables and cash flows (Singh, Kumar and </w:t>
      </w:r>
      <w:proofErr w:type="spellStart"/>
      <w:r w:rsidR="000A1193" w:rsidRPr="00203808">
        <w:rPr>
          <w:rFonts w:cs="Arial"/>
          <w:sz w:val="22"/>
        </w:rPr>
        <w:t>Colombage</w:t>
      </w:r>
      <w:proofErr w:type="spellEnd"/>
      <w:r w:rsidR="000A1193" w:rsidRPr="00203808">
        <w:rPr>
          <w:rFonts w:cs="Arial"/>
          <w:sz w:val="22"/>
        </w:rPr>
        <w:t>, 2017).</w:t>
      </w:r>
    </w:p>
    <w:p w14:paraId="19919801" w14:textId="7757EDFC" w:rsidR="002B09F5" w:rsidRPr="00397292" w:rsidRDefault="002B09F5" w:rsidP="00203808">
      <w:pPr>
        <w:spacing w:after="0" w:line="360" w:lineRule="auto"/>
        <w:jc w:val="both"/>
        <w:rPr>
          <w:rFonts w:cs="Arial"/>
          <w:b/>
          <w:bCs/>
          <w:sz w:val="22"/>
        </w:rPr>
      </w:pPr>
      <w:r w:rsidRPr="00397292">
        <w:rPr>
          <w:rFonts w:cs="Arial"/>
          <w:b/>
          <w:bCs/>
          <w:sz w:val="22"/>
          <w:u w:val="single"/>
        </w:rPr>
        <w:t>Figure</w:t>
      </w:r>
      <w:r w:rsidR="00203808" w:rsidRPr="00397292">
        <w:rPr>
          <w:rFonts w:cs="Arial"/>
          <w:b/>
          <w:bCs/>
          <w:sz w:val="22"/>
          <w:u w:val="single"/>
        </w:rPr>
        <w:t xml:space="preserve"> 6</w:t>
      </w:r>
      <w:r w:rsidRPr="00397292">
        <w:rPr>
          <w:rFonts w:cs="Arial"/>
          <w:b/>
          <w:bCs/>
          <w:sz w:val="22"/>
          <w:u w:val="single"/>
        </w:rPr>
        <w:t>:</w:t>
      </w:r>
      <w:r w:rsidRPr="00397292">
        <w:rPr>
          <w:rFonts w:cs="Arial"/>
          <w:b/>
          <w:bCs/>
          <w:sz w:val="22"/>
        </w:rPr>
        <w:t xml:space="preserve"> Net working capital trend, 2021</w:t>
      </w:r>
      <w:r w:rsidR="00ED72CF" w:rsidRPr="00397292">
        <w:rPr>
          <w:rFonts w:cs="Arial"/>
          <w:b/>
          <w:bCs/>
          <w:sz w:val="22"/>
        </w:rPr>
        <w:t>-</w:t>
      </w:r>
      <w:r w:rsidRPr="00397292">
        <w:rPr>
          <w:rFonts w:cs="Arial"/>
          <w:b/>
          <w:bCs/>
          <w:sz w:val="22"/>
        </w:rPr>
        <w:t>2025</w:t>
      </w:r>
    </w:p>
    <w:p w14:paraId="608778F0" w14:textId="2D5B85FA" w:rsidR="00247F27" w:rsidRPr="00203808" w:rsidRDefault="00D5132E" w:rsidP="00203808">
      <w:pPr>
        <w:spacing w:after="0" w:line="360" w:lineRule="auto"/>
        <w:jc w:val="both"/>
        <w:rPr>
          <w:rFonts w:cs="Arial"/>
          <w:b/>
          <w:bCs/>
          <w:sz w:val="22"/>
          <w:lang w:val="en-GB"/>
        </w:rPr>
      </w:pPr>
      <w:r w:rsidRPr="00203808">
        <w:rPr>
          <w:rFonts w:cs="Arial"/>
          <w:noProof/>
          <w:sz w:val="22"/>
        </w:rPr>
        <w:drawing>
          <wp:inline distT="0" distB="0" distL="0" distR="0" wp14:anchorId="3D522A1B" wp14:editId="1426167E">
            <wp:extent cx="4572000" cy="2743200"/>
            <wp:effectExtent l="0" t="0" r="0" b="0"/>
            <wp:docPr id="1519675776" name="Graphique 1">
              <a:extLst xmlns:a="http://schemas.openxmlformats.org/drawingml/2006/main">
                <a:ext uri="{FF2B5EF4-FFF2-40B4-BE49-F238E27FC236}">
                  <a16:creationId xmlns:a16="http://schemas.microsoft.com/office/drawing/2014/main" id="{0F3E2736-3C9F-9C2D-3AB8-AF03E03D39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102D0AA" w14:textId="06C84BB7" w:rsidR="00B87EFB" w:rsidRPr="00397292" w:rsidRDefault="002B09F5" w:rsidP="00203808">
      <w:pPr>
        <w:spacing w:after="0" w:line="360" w:lineRule="auto"/>
        <w:jc w:val="both"/>
        <w:rPr>
          <w:rFonts w:cs="Arial"/>
          <w:b/>
          <w:bCs/>
          <w:sz w:val="22"/>
        </w:rPr>
      </w:pPr>
      <w:r w:rsidRPr="00397292">
        <w:rPr>
          <w:rFonts w:cs="Arial"/>
          <w:b/>
          <w:bCs/>
          <w:sz w:val="22"/>
          <w:u w:val="single"/>
        </w:rPr>
        <w:t>Source:</w:t>
      </w:r>
      <w:r w:rsidRPr="00397292">
        <w:rPr>
          <w:rFonts w:cs="Arial"/>
          <w:b/>
          <w:bCs/>
          <w:sz w:val="22"/>
        </w:rPr>
        <w:t xml:space="preserve"> Autor from Marriott International annual report (2021</w:t>
      </w:r>
      <w:r w:rsidR="00ED72CF" w:rsidRPr="00397292">
        <w:rPr>
          <w:rFonts w:cs="Arial"/>
          <w:b/>
          <w:bCs/>
          <w:sz w:val="22"/>
        </w:rPr>
        <w:t>-</w:t>
      </w:r>
      <w:r w:rsidRPr="00397292">
        <w:rPr>
          <w:rFonts w:cs="Arial"/>
          <w:b/>
          <w:bCs/>
          <w:sz w:val="22"/>
        </w:rPr>
        <w:t>2025)</w:t>
      </w:r>
    </w:p>
    <w:p w14:paraId="4826ADEC" w14:textId="3A85B57D" w:rsidR="000A1193" w:rsidRPr="00203808" w:rsidRDefault="00DC16E4" w:rsidP="00203808">
      <w:pPr>
        <w:spacing w:after="0" w:line="360" w:lineRule="auto"/>
        <w:jc w:val="both"/>
        <w:rPr>
          <w:rFonts w:cs="Arial"/>
          <w:sz w:val="22"/>
        </w:rPr>
      </w:pPr>
      <w:r w:rsidRPr="00203808">
        <w:rPr>
          <w:rFonts w:cs="Arial"/>
          <w:sz w:val="22"/>
        </w:rPr>
        <w:t>On collections, things improved. DSO dropped from 52.2 days in 2021 to 40.5 days in 2025. That shows Marriott got faster at billing franchisees once travel recovered (Marriott International, 2026). On payments, the opposite happened. DPO fell from 24.0 days to 14.2 days. This is mostly due to the cost</w:t>
      </w:r>
      <w:r w:rsidR="00ED72CF" w:rsidRPr="00203808">
        <w:rPr>
          <w:rFonts w:cs="Arial"/>
          <w:sz w:val="22"/>
        </w:rPr>
        <w:t>-</w:t>
      </w:r>
      <w:r w:rsidRPr="00203808">
        <w:rPr>
          <w:rFonts w:cs="Arial"/>
          <w:sz w:val="22"/>
        </w:rPr>
        <w:t>reimbursement structure where Marriott pays suppliers quickly and then bills owners (Marriott International, 2026).</w:t>
      </w:r>
      <w:r w:rsidR="000A1193" w:rsidRPr="00203808">
        <w:rPr>
          <w:rFonts w:cs="Arial"/>
          <w:sz w:val="22"/>
        </w:rPr>
        <w:t xml:space="preserve"> This improvement is consistent with the wider evidence that effective working capital management can contribute to improved firm profitability and financial performance (Gonçalves, Gaio and Robles, 2018).</w:t>
      </w:r>
    </w:p>
    <w:p w14:paraId="13219171" w14:textId="77777777" w:rsidR="00B87EFB" w:rsidRPr="00397292" w:rsidRDefault="00B87EFB" w:rsidP="00203808">
      <w:pPr>
        <w:pStyle w:val="Titre2"/>
        <w:spacing w:line="360" w:lineRule="auto"/>
        <w:jc w:val="both"/>
        <w:rPr>
          <w:rFonts w:ascii="Arial" w:hAnsi="Arial" w:cs="Arial"/>
          <w:b w:val="0"/>
          <w:bCs w:val="0"/>
          <w:color w:val="auto"/>
          <w:sz w:val="22"/>
          <w:szCs w:val="22"/>
          <w:u w:val="single"/>
          <w:lang w:val="en-GB"/>
        </w:rPr>
      </w:pPr>
      <w:bookmarkStart w:id="14" w:name="_Toc237478464"/>
      <w:r w:rsidRPr="00397292">
        <w:rPr>
          <w:rFonts w:ascii="Arial" w:hAnsi="Arial" w:cs="Arial"/>
          <w:color w:val="auto"/>
          <w:sz w:val="22"/>
          <w:szCs w:val="22"/>
          <w:u w:val="single"/>
          <w:lang w:val="en-GB"/>
        </w:rPr>
        <w:t>2.b. Strategies to Improve Liquidity Through Working Capital Reforms</w:t>
      </w:r>
      <w:bookmarkEnd w:id="14"/>
    </w:p>
    <w:p w14:paraId="6DB90B6A" w14:textId="6C7FE477" w:rsidR="000A5C29" w:rsidRPr="00203808" w:rsidRDefault="000A5C29" w:rsidP="00203808">
      <w:pPr>
        <w:spacing w:after="0" w:line="360" w:lineRule="auto"/>
        <w:jc w:val="both"/>
        <w:rPr>
          <w:rFonts w:cs="Arial"/>
          <w:sz w:val="22"/>
        </w:rPr>
      </w:pPr>
      <w:r w:rsidRPr="00203808">
        <w:rPr>
          <w:rFonts w:cs="Arial"/>
          <w:sz w:val="22"/>
        </w:rPr>
        <w:t>Given the asset</w:t>
      </w:r>
      <w:r w:rsidR="00ED72CF" w:rsidRPr="00203808">
        <w:rPr>
          <w:rFonts w:cs="Arial"/>
          <w:sz w:val="22"/>
        </w:rPr>
        <w:t>-</w:t>
      </w:r>
      <w:r w:rsidRPr="00203808">
        <w:rPr>
          <w:rFonts w:cs="Arial"/>
          <w:sz w:val="22"/>
        </w:rPr>
        <w:t xml:space="preserve">light nature of Marriott, liquidity cannot be improved by accumulating inventory. Reforms must focus on making the existing working capital structure more efficient. </w:t>
      </w:r>
    </w:p>
    <w:p w14:paraId="247EB217" w14:textId="369047A4" w:rsidR="00710F26" w:rsidRPr="00203808" w:rsidRDefault="000A5C29" w:rsidP="00203808">
      <w:pPr>
        <w:spacing w:after="0" w:line="360" w:lineRule="auto"/>
        <w:jc w:val="both"/>
        <w:rPr>
          <w:rFonts w:cs="Arial"/>
          <w:sz w:val="22"/>
        </w:rPr>
      </w:pPr>
      <w:r w:rsidRPr="00203808">
        <w:rPr>
          <w:rFonts w:cs="Arial"/>
          <w:sz w:val="22"/>
        </w:rPr>
        <w:t xml:space="preserve">First, Marriott should continue to accelerate receivables collection. Although DSO has already fallen, receivables still grew to $2.909bn in 2025 from $2.795bn in 2024 (Marriott International, 2026). Electronic invoicing, automatic payment systems, tighter credit monitoring of hotel owners, and clearer contractual deadlines could reduce DSO further </w:t>
      </w:r>
      <w:r w:rsidRPr="00203808">
        <w:rPr>
          <w:rFonts w:cs="Arial"/>
          <w:sz w:val="22"/>
        </w:rPr>
        <w:lastRenderedPageBreak/>
        <w:t xml:space="preserve">without damaging franchisee relationships. </w:t>
      </w:r>
      <w:r w:rsidR="00710F26" w:rsidRPr="00203808">
        <w:rPr>
          <w:rFonts w:cs="Arial"/>
          <w:sz w:val="22"/>
        </w:rPr>
        <w:t xml:space="preserve">Improving receivables collection can reduce the amount of cash tied up in working capital and strengthen short-term liquidity (Singh, Kumar and </w:t>
      </w:r>
      <w:proofErr w:type="spellStart"/>
      <w:r w:rsidR="00710F26" w:rsidRPr="00203808">
        <w:rPr>
          <w:rFonts w:cs="Arial"/>
          <w:sz w:val="22"/>
        </w:rPr>
        <w:t>Colombage</w:t>
      </w:r>
      <w:proofErr w:type="spellEnd"/>
      <w:r w:rsidR="00710F26" w:rsidRPr="00203808">
        <w:rPr>
          <w:rFonts w:cs="Arial"/>
          <w:sz w:val="22"/>
        </w:rPr>
        <w:t>, 2017).</w:t>
      </w:r>
    </w:p>
    <w:p w14:paraId="03E9AC72" w14:textId="483E3339" w:rsidR="000A5C29" w:rsidRPr="00203808" w:rsidRDefault="000A5C29" w:rsidP="00203808">
      <w:pPr>
        <w:spacing w:after="0" w:line="360" w:lineRule="auto"/>
        <w:jc w:val="both"/>
        <w:rPr>
          <w:rFonts w:cs="Arial"/>
          <w:sz w:val="22"/>
        </w:rPr>
      </w:pPr>
      <w:r w:rsidRPr="00203808">
        <w:rPr>
          <w:rFonts w:cs="Arial"/>
          <w:sz w:val="22"/>
        </w:rPr>
        <w:t xml:space="preserve">Second, the company could better align payment timing with cash inflows. Accounts payable increased from $763m in 2024 to $814m in 2025 but DPO remains low at 14.2 days (Marriott International, 2026). Negotiating moderately longer terms with selected suppliers would retain cash longer, provided this does not result in lost discounts or weaker supplier relations. </w:t>
      </w:r>
    </w:p>
    <w:p w14:paraId="4AC2F4E6" w14:textId="58193724" w:rsidR="000A5C29" w:rsidRPr="00203808" w:rsidRDefault="000A5C29" w:rsidP="00203808">
      <w:pPr>
        <w:spacing w:after="0" w:line="360" w:lineRule="auto"/>
        <w:jc w:val="both"/>
        <w:rPr>
          <w:rFonts w:cs="Arial"/>
          <w:sz w:val="22"/>
        </w:rPr>
      </w:pPr>
      <w:r w:rsidRPr="00203808">
        <w:rPr>
          <w:rFonts w:cs="Arial"/>
          <w:sz w:val="22"/>
        </w:rPr>
        <w:t xml:space="preserve">Third, protecting operating cash generation must remain the top priority. With only $358m cash on hand, the $3.212bn operating cash flow in 2025, up from $2.749bn in 2024, is the main source of liquidity for debt service and other commitments (Marriott International, 2026). </w:t>
      </w:r>
    </w:p>
    <w:p w14:paraId="2C770D29" w14:textId="1A30411A" w:rsidR="000A5C29" w:rsidRPr="00203808" w:rsidRDefault="000A5C29" w:rsidP="00203808">
      <w:pPr>
        <w:spacing w:after="0" w:line="360" w:lineRule="auto"/>
        <w:jc w:val="both"/>
        <w:rPr>
          <w:rFonts w:cs="Arial"/>
          <w:sz w:val="22"/>
        </w:rPr>
      </w:pPr>
      <w:r w:rsidRPr="00203808">
        <w:rPr>
          <w:rFonts w:cs="Arial"/>
          <w:sz w:val="22"/>
        </w:rPr>
        <w:t xml:space="preserve">Fourth, Marriott should maintain disciplined cash allocation. The $3.3bn spent on share repurchases in 2025 was substantial (Marriott International, 2026). If operating conditions weaken, temporarily </w:t>
      </w:r>
      <w:proofErr w:type="spellStart"/>
      <w:r w:rsidRPr="00203808">
        <w:rPr>
          <w:rFonts w:cs="Arial"/>
          <w:sz w:val="22"/>
        </w:rPr>
        <w:t>prioritising</w:t>
      </w:r>
      <w:proofErr w:type="spellEnd"/>
      <w:r w:rsidRPr="00203808">
        <w:rPr>
          <w:rFonts w:cs="Arial"/>
          <w:sz w:val="22"/>
        </w:rPr>
        <w:t xml:space="preserve"> debt reduction over discretionary buybacks would preserve financial flexibility. </w:t>
      </w:r>
    </w:p>
    <w:p w14:paraId="491C4720" w14:textId="5A6554BD" w:rsidR="00AE27C2" w:rsidRPr="00203808" w:rsidRDefault="000A5C29" w:rsidP="00203808">
      <w:pPr>
        <w:spacing w:after="0" w:line="360" w:lineRule="auto"/>
        <w:jc w:val="both"/>
        <w:rPr>
          <w:rFonts w:cs="Arial"/>
          <w:b/>
          <w:bCs/>
          <w:sz w:val="22"/>
          <w:lang w:val="en-GB"/>
        </w:rPr>
      </w:pPr>
      <w:r w:rsidRPr="00203808">
        <w:rPr>
          <w:rFonts w:cs="Arial"/>
          <w:sz w:val="22"/>
        </w:rPr>
        <w:t>Finally, maintaining access to committed liquidity is essential. The $4.5bn revolving Credit Facility expiring December 14, 2027 provides a critical buffer given the low current ratio of 0.43 (Marriott International, 2026).</w:t>
      </w:r>
      <w:r w:rsidR="00DC16E4" w:rsidRPr="00203808">
        <w:rPr>
          <w:rFonts w:cs="Arial"/>
          <w:sz w:val="22"/>
        </w:rPr>
        <w:t xml:space="preserve"> </w:t>
      </w:r>
      <w:r w:rsidR="00AE27C2" w:rsidRPr="00203808">
        <w:rPr>
          <w:rFonts w:cs="Arial"/>
          <w:sz w:val="22"/>
        </w:rPr>
        <w:t xml:space="preserve">See </w:t>
      </w:r>
      <w:r w:rsidR="00AE27C2" w:rsidRPr="00203808">
        <w:rPr>
          <w:rFonts w:cs="Arial"/>
          <w:b/>
          <w:bCs/>
          <w:sz w:val="22"/>
        </w:rPr>
        <w:t>Appendix 9</w:t>
      </w:r>
      <w:r w:rsidR="00AE27C2" w:rsidRPr="00203808">
        <w:rPr>
          <w:rFonts w:cs="Arial"/>
          <w:b/>
          <w:bCs/>
          <w:sz w:val="22"/>
          <w:lang w:val="en-GB"/>
        </w:rPr>
        <w:t xml:space="preserve"> for recommended working</w:t>
      </w:r>
      <w:r w:rsidR="00ED72CF" w:rsidRPr="00203808">
        <w:rPr>
          <w:rFonts w:cs="Arial"/>
          <w:b/>
          <w:bCs/>
          <w:sz w:val="22"/>
          <w:lang w:val="en-GB"/>
        </w:rPr>
        <w:t>-</w:t>
      </w:r>
      <w:r w:rsidR="00AE27C2" w:rsidRPr="00203808">
        <w:rPr>
          <w:rFonts w:cs="Arial"/>
          <w:b/>
          <w:bCs/>
          <w:sz w:val="22"/>
          <w:lang w:val="en-GB"/>
        </w:rPr>
        <w:t>capital priorities</w:t>
      </w:r>
    </w:p>
    <w:p w14:paraId="26DEB492" w14:textId="39C64135" w:rsidR="00B87EFB" w:rsidRPr="00397292" w:rsidRDefault="00B87EFB" w:rsidP="00203808">
      <w:pPr>
        <w:pStyle w:val="Titre2"/>
        <w:spacing w:line="360" w:lineRule="auto"/>
        <w:jc w:val="both"/>
        <w:rPr>
          <w:rFonts w:ascii="Arial" w:hAnsi="Arial" w:cs="Arial"/>
          <w:b w:val="0"/>
          <w:bCs w:val="0"/>
          <w:color w:val="auto"/>
          <w:sz w:val="22"/>
          <w:szCs w:val="22"/>
          <w:u w:val="single"/>
          <w:lang w:val="en-GB"/>
        </w:rPr>
      </w:pPr>
      <w:bookmarkStart w:id="15" w:name="_Toc237478465"/>
      <w:r w:rsidRPr="00397292">
        <w:rPr>
          <w:rFonts w:ascii="Arial" w:hAnsi="Arial" w:cs="Arial"/>
          <w:color w:val="auto"/>
          <w:sz w:val="22"/>
          <w:szCs w:val="22"/>
          <w:u w:val="single"/>
          <w:lang w:val="en-GB"/>
        </w:rPr>
        <w:t>2.c. Short</w:t>
      </w:r>
      <w:r w:rsidR="00ED72CF" w:rsidRPr="00397292">
        <w:rPr>
          <w:rFonts w:ascii="Arial" w:hAnsi="Arial" w:cs="Arial"/>
          <w:color w:val="auto"/>
          <w:sz w:val="22"/>
          <w:szCs w:val="22"/>
          <w:u w:val="single"/>
          <w:lang w:val="en-GB"/>
        </w:rPr>
        <w:t>-</w:t>
      </w:r>
      <w:r w:rsidRPr="00397292">
        <w:rPr>
          <w:rFonts w:ascii="Arial" w:hAnsi="Arial" w:cs="Arial"/>
          <w:color w:val="auto"/>
          <w:sz w:val="22"/>
          <w:szCs w:val="22"/>
          <w:u w:val="single"/>
          <w:lang w:val="en-GB"/>
        </w:rPr>
        <w:t>Term versus Long</w:t>
      </w:r>
      <w:r w:rsidR="00ED72CF" w:rsidRPr="00397292">
        <w:rPr>
          <w:rFonts w:ascii="Arial" w:hAnsi="Arial" w:cs="Arial"/>
          <w:color w:val="auto"/>
          <w:sz w:val="22"/>
          <w:szCs w:val="22"/>
          <w:u w:val="single"/>
          <w:lang w:val="en-GB"/>
        </w:rPr>
        <w:t>-</w:t>
      </w:r>
      <w:r w:rsidRPr="00397292">
        <w:rPr>
          <w:rFonts w:ascii="Arial" w:hAnsi="Arial" w:cs="Arial"/>
          <w:color w:val="auto"/>
          <w:sz w:val="22"/>
          <w:szCs w:val="22"/>
          <w:u w:val="single"/>
          <w:lang w:val="en-GB"/>
        </w:rPr>
        <w:t>Term Financing Options</w:t>
      </w:r>
      <w:bookmarkEnd w:id="15"/>
    </w:p>
    <w:p w14:paraId="3648F168" w14:textId="656DE8D2" w:rsidR="009B1055" w:rsidRPr="00203808" w:rsidRDefault="009B1055" w:rsidP="00203808">
      <w:pPr>
        <w:spacing w:after="0" w:line="360" w:lineRule="auto"/>
        <w:jc w:val="both"/>
        <w:rPr>
          <w:rFonts w:cs="Arial"/>
          <w:sz w:val="22"/>
        </w:rPr>
      </w:pPr>
      <w:r w:rsidRPr="00203808">
        <w:rPr>
          <w:rFonts w:cs="Arial"/>
          <w:sz w:val="22"/>
        </w:rPr>
        <w:t xml:space="preserve">Marriott has to manage two things at once: not much cash on the balance sheet, and a lot of debt at $16.204bn (Marriott International, 2026). </w:t>
      </w:r>
    </w:p>
    <w:p w14:paraId="712E7F15" w14:textId="4489B3FA" w:rsidR="009B1055" w:rsidRPr="00203808" w:rsidRDefault="009B1055" w:rsidP="00203808">
      <w:pPr>
        <w:spacing w:after="0" w:line="360" w:lineRule="auto"/>
        <w:jc w:val="both"/>
        <w:rPr>
          <w:rFonts w:cs="Arial"/>
          <w:sz w:val="22"/>
        </w:rPr>
      </w:pPr>
      <w:r w:rsidRPr="00203808">
        <w:rPr>
          <w:rFonts w:cs="Arial"/>
          <w:sz w:val="22"/>
        </w:rPr>
        <w:t>Short</w:t>
      </w:r>
      <w:r w:rsidR="00ED72CF" w:rsidRPr="00203808">
        <w:rPr>
          <w:rFonts w:cs="Arial"/>
          <w:sz w:val="22"/>
        </w:rPr>
        <w:t>-</w:t>
      </w:r>
      <w:r w:rsidRPr="00203808">
        <w:rPr>
          <w:rFonts w:cs="Arial"/>
          <w:sz w:val="22"/>
        </w:rPr>
        <w:t>term financing means commercial paper and the $4.5bn revolving credit facility. These are quick to access and usually cheap. Commercial paper lasts less than 45 days. The problem is that it must be renewed often, and costs go up if interest rates rise. This makes it good for temporary needs, like covering a timing gap in cash, but not for long</w:t>
      </w:r>
      <w:r w:rsidR="00ED72CF" w:rsidRPr="00203808">
        <w:rPr>
          <w:rFonts w:cs="Arial"/>
          <w:sz w:val="22"/>
        </w:rPr>
        <w:t>-</w:t>
      </w:r>
      <w:r w:rsidRPr="00203808">
        <w:rPr>
          <w:rFonts w:cs="Arial"/>
          <w:sz w:val="22"/>
        </w:rPr>
        <w:t>term funding.</w:t>
      </w:r>
    </w:p>
    <w:p w14:paraId="4745CB21" w14:textId="71CA690A" w:rsidR="009B1055" w:rsidRPr="00203808" w:rsidRDefault="009B1055" w:rsidP="00203808">
      <w:pPr>
        <w:spacing w:after="0" w:line="360" w:lineRule="auto"/>
        <w:jc w:val="both"/>
        <w:rPr>
          <w:rFonts w:cs="Arial"/>
          <w:sz w:val="22"/>
        </w:rPr>
      </w:pPr>
      <w:r w:rsidRPr="00203808">
        <w:rPr>
          <w:rFonts w:cs="Arial"/>
          <w:sz w:val="22"/>
        </w:rPr>
        <w:t>Long</w:t>
      </w:r>
      <w:r w:rsidR="00ED72CF" w:rsidRPr="00203808">
        <w:rPr>
          <w:rFonts w:cs="Arial"/>
          <w:sz w:val="22"/>
        </w:rPr>
        <w:t>-</w:t>
      </w:r>
      <w:r w:rsidRPr="00203808">
        <w:rPr>
          <w:rFonts w:cs="Arial"/>
          <w:sz w:val="22"/>
        </w:rPr>
        <w:t>term financing is mainly Senior Notes. At the end of 2025 Marriott owed $1,209m in 2026, $2,581m in 2027, and $8,160m after that. The average maturity was 5.4 years and the average rate was about 4.5% (Marriott International, 2026). The benefit is stability. Payments are spread out. The downside is the interest cost, which reached $809m in 2025 (Marriott International, 2026).</w:t>
      </w:r>
    </w:p>
    <w:p w14:paraId="5B8E8C40" w14:textId="600F2D64" w:rsidR="009B1055" w:rsidRPr="00203808" w:rsidRDefault="009B1055" w:rsidP="00203808">
      <w:pPr>
        <w:spacing w:after="0" w:line="360" w:lineRule="auto"/>
        <w:jc w:val="both"/>
        <w:rPr>
          <w:rFonts w:cs="Arial"/>
          <w:sz w:val="22"/>
        </w:rPr>
      </w:pPr>
      <w:r w:rsidRPr="00203808">
        <w:rPr>
          <w:rFonts w:cs="Arial"/>
          <w:sz w:val="22"/>
        </w:rPr>
        <w:lastRenderedPageBreak/>
        <w:t>From a practical view, Marriott should use short</w:t>
      </w:r>
      <w:r w:rsidR="00ED72CF" w:rsidRPr="00203808">
        <w:rPr>
          <w:rFonts w:cs="Arial"/>
          <w:sz w:val="22"/>
        </w:rPr>
        <w:t>-</w:t>
      </w:r>
      <w:r w:rsidRPr="00203808">
        <w:rPr>
          <w:rFonts w:cs="Arial"/>
          <w:sz w:val="22"/>
        </w:rPr>
        <w:t>term borrowing only as a buffer. Long</w:t>
      </w:r>
      <w:r w:rsidR="00ED72CF" w:rsidRPr="00203808">
        <w:rPr>
          <w:rFonts w:cs="Arial"/>
          <w:sz w:val="22"/>
        </w:rPr>
        <w:t>-</w:t>
      </w:r>
      <w:r w:rsidRPr="00203808">
        <w:rPr>
          <w:rFonts w:cs="Arial"/>
          <w:sz w:val="22"/>
        </w:rPr>
        <w:t>term debt should fund the core business. It would be risky to use short</w:t>
      </w:r>
      <w:r w:rsidR="00ED72CF" w:rsidRPr="00203808">
        <w:rPr>
          <w:rFonts w:cs="Arial"/>
          <w:sz w:val="22"/>
        </w:rPr>
        <w:t>-</w:t>
      </w:r>
      <w:r w:rsidRPr="00203808">
        <w:rPr>
          <w:rFonts w:cs="Arial"/>
          <w:sz w:val="22"/>
        </w:rPr>
        <w:t>term loans for permanent needs, or to borrow more long</w:t>
      </w:r>
      <w:r w:rsidR="00ED72CF" w:rsidRPr="00203808">
        <w:rPr>
          <w:rFonts w:cs="Arial"/>
          <w:sz w:val="22"/>
        </w:rPr>
        <w:t>-</w:t>
      </w:r>
      <w:r w:rsidRPr="00203808">
        <w:rPr>
          <w:rFonts w:cs="Arial"/>
          <w:sz w:val="22"/>
        </w:rPr>
        <w:t>term just to pay shareholders. With strong operating cash flow of $3.212bn in 2025, and careful use of the credit line, Marriott can maintain liquidity even with a low current ratio (Marriott International, 2026).</w:t>
      </w:r>
    </w:p>
    <w:p w14:paraId="06A7563C" w14:textId="7D2CA20F" w:rsidR="009B1055" w:rsidRPr="00203808" w:rsidRDefault="009B1055" w:rsidP="00203808">
      <w:pPr>
        <w:spacing w:after="0" w:line="360" w:lineRule="auto"/>
        <w:jc w:val="both"/>
        <w:rPr>
          <w:rFonts w:cs="Arial"/>
          <w:sz w:val="22"/>
        </w:rPr>
      </w:pPr>
      <w:r w:rsidRPr="00203808">
        <w:rPr>
          <w:rFonts w:cs="Arial"/>
          <w:sz w:val="22"/>
        </w:rPr>
        <w:t xml:space="preserve">In the end, Marriott’s liquidity looks tight in the accounts but works in practice because of cash flow. Keep DSO low, manage payables smartly, protect operating cash, and use the revolver as backup. </w:t>
      </w:r>
    </w:p>
    <w:p w14:paraId="67D806B7" w14:textId="77777777" w:rsidR="00B87EFB" w:rsidRPr="00397292" w:rsidRDefault="00B87EFB" w:rsidP="00203808">
      <w:pPr>
        <w:pStyle w:val="Titre1"/>
        <w:spacing w:line="360" w:lineRule="auto"/>
        <w:jc w:val="both"/>
        <w:rPr>
          <w:rFonts w:ascii="Arial" w:hAnsi="Arial" w:cs="Arial"/>
          <w:b w:val="0"/>
          <w:bCs w:val="0"/>
          <w:color w:val="auto"/>
          <w:sz w:val="22"/>
          <w:szCs w:val="22"/>
          <w:u w:val="single"/>
          <w:lang w:val="en-GB"/>
        </w:rPr>
      </w:pPr>
      <w:bookmarkStart w:id="16" w:name="_Toc237478466"/>
      <w:r w:rsidRPr="00397292">
        <w:rPr>
          <w:rFonts w:ascii="Arial" w:hAnsi="Arial" w:cs="Arial"/>
          <w:color w:val="auto"/>
          <w:sz w:val="22"/>
          <w:szCs w:val="22"/>
          <w:u w:val="single"/>
          <w:lang w:val="en-GB"/>
        </w:rPr>
        <w:t>3. Strategic Financial Restructuring Plan</w:t>
      </w:r>
      <w:bookmarkEnd w:id="16"/>
    </w:p>
    <w:p w14:paraId="65868A0C" w14:textId="62D8D7CF" w:rsidR="00B87EFB" w:rsidRPr="00203808" w:rsidRDefault="00B87EFB" w:rsidP="00203808">
      <w:pPr>
        <w:spacing w:after="0" w:line="360" w:lineRule="auto"/>
        <w:jc w:val="both"/>
        <w:rPr>
          <w:rFonts w:cs="Arial"/>
          <w:b/>
          <w:bCs/>
          <w:sz w:val="22"/>
          <w:lang w:val="en-GB"/>
        </w:rPr>
      </w:pPr>
      <w:r w:rsidRPr="00203808">
        <w:rPr>
          <w:rFonts w:cs="Arial"/>
          <w:sz w:val="22"/>
          <w:lang w:val="en-GB"/>
        </w:rPr>
        <w:t>Marriott's financial position suggests that the company does not require a radical restructuring. Its operating performance remains strong</w:t>
      </w:r>
      <w:r w:rsidR="00E051F9" w:rsidRPr="00203808">
        <w:rPr>
          <w:rFonts w:cs="Arial"/>
          <w:sz w:val="22"/>
          <w:lang w:val="en-GB"/>
        </w:rPr>
        <w:t>. However,</w:t>
      </w:r>
      <w:r w:rsidRPr="00203808">
        <w:rPr>
          <w:rFonts w:cs="Arial"/>
          <w:sz w:val="22"/>
          <w:lang w:val="en-GB"/>
        </w:rPr>
        <w:t xml:space="preserve"> the five</w:t>
      </w:r>
      <w:r w:rsidR="00ED72CF" w:rsidRPr="00203808">
        <w:rPr>
          <w:rFonts w:cs="Arial"/>
          <w:sz w:val="22"/>
          <w:lang w:val="en-GB"/>
        </w:rPr>
        <w:t>-</w:t>
      </w:r>
      <w:r w:rsidRPr="00203808">
        <w:rPr>
          <w:rFonts w:cs="Arial"/>
          <w:sz w:val="22"/>
          <w:lang w:val="en-GB"/>
        </w:rPr>
        <w:t xml:space="preserve">year analysis shows increasing leverage, negative shareholders' equity and relatively tight liquidity. The most appropriate strategy </w:t>
      </w:r>
      <w:r w:rsidR="00E051F9" w:rsidRPr="00203808">
        <w:rPr>
          <w:rFonts w:cs="Arial"/>
          <w:sz w:val="22"/>
          <w:lang w:val="en-GB"/>
        </w:rPr>
        <w:t>could be</w:t>
      </w:r>
      <w:r w:rsidRPr="00203808">
        <w:rPr>
          <w:rFonts w:cs="Arial"/>
          <w:sz w:val="22"/>
          <w:lang w:val="en-GB"/>
        </w:rPr>
        <w:t xml:space="preserve"> a selective financial restructuring focused on debt management, capital allocation and maintaining the asset</w:t>
      </w:r>
      <w:r w:rsidR="00ED72CF" w:rsidRPr="00203808">
        <w:rPr>
          <w:rFonts w:cs="Arial"/>
          <w:sz w:val="22"/>
          <w:lang w:val="en-GB"/>
        </w:rPr>
        <w:t>-</w:t>
      </w:r>
      <w:r w:rsidRPr="00203808">
        <w:rPr>
          <w:rFonts w:cs="Arial"/>
          <w:sz w:val="22"/>
          <w:lang w:val="en-GB"/>
        </w:rPr>
        <w:t>light business model.</w:t>
      </w:r>
    </w:p>
    <w:p w14:paraId="1F1A5A3E" w14:textId="77777777" w:rsidR="00B87EFB" w:rsidRPr="00397292" w:rsidRDefault="00B87EFB" w:rsidP="00203808">
      <w:pPr>
        <w:pStyle w:val="Titre2"/>
        <w:spacing w:line="360" w:lineRule="auto"/>
        <w:jc w:val="both"/>
        <w:rPr>
          <w:rFonts w:ascii="Arial" w:hAnsi="Arial" w:cs="Arial"/>
          <w:b w:val="0"/>
          <w:bCs w:val="0"/>
          <w:color w:val="auto"/>
          <w:sz w:val="22"/>
          <w:szCs w:val="22"/>
          <w:u w:val="single"/>
          <w:lang w:val="en-GB"/>
        </w:rPr>
      </w:pPr>
      <w:bookmarkStart w:id="17" w:name="_Toc237478467"/>
      <w:r w:rsidRPr="00397292">
        <w:rPr>
          <w:rFonts w:ascii="Arial" w:hAnsi="Arial" w:cs="Arial"/>
          <w:color w:val="auto"/>
          <w:sz w:val="22"/>
          <w:szCs w:val="22"/>
          <w:u w:val="single"/>
          <w:lang w:val="en-GB"/>
        </w:rPr>
        <w:t>3.a. Recommended Financial Restructuring Options</w:t>
      </w:r>
      <w:bookmarkEnd w:id="17"/>
    </w:p>
    <w:p w14:paraId="3CEEF584" w14:textId="00C438B7" w:rsidR="00B87EFB" w:rsidRPr="00203808" w:rsidRDefault="00B87EFB" w:rsidP="00203808">
      <w:pPr>
        <w:spacing w:after="0" w:line="360" w:lineRule="auto"/>
        <w:jc w:val="both"/>
        <w:rPr>
          <w:rFonts w:cs="Arial"/>
          <w:b/>
          <w:bCs/>
          <w:sz w:val="22"/>
          <w:lang w:val="en-GB"/>
        </w:rPr>
      </w:pPr>
      <w:r w:rsidRPr="00203808">
        <w:rPr>
          <w:rFonts w:cs="Arial"/>
          <w:sz w:val="22"/>
          <w:lang w:val="en-GB"/>
        </w:rPr>
        <w:t>The first recommendation is to temporarily moderate share repurchases</w:t>
      </w:r>
      <w:r w:rsidR="0011236F" w:rsidRPr="00203808">
        <w:rPr>
          <w:rFonts w:cs="Arial"/>
          <w:sz w:val="22"/>
          <w:lang w:val="en-GB"/>
        </w:rPr>
        <w:t xml:space="preserve">. Then, </w:t>
      </w:r>
      <w:r w:rsidRPr="00203808">
        <w:rPr>
          <w:rFonts w:cs="Arial"/>
          <w:sz w:val="22"/>
          <w:lang w:val="en-GB"/>
        </w:rPr>
        <w:t>redirect a greater proportion of free cash flow towards debt reduction when leverage or market conditions become less favourable.</w:t>
      </w:r>
    </w:p>
    <w:p w14:paraId="364D9E99" w14:textId="2A31BD77" w:rsidR="00B87EFB" w:rsidRPr="00203808" w:rsidRDefault="00B87EFB" w:rsidP="00203808">
      <w:pPr>
        <w:spacing w:after="0" w:line="360" w:lineRule="auto"/>
        <w:jc w:val="both"/>
        <w:rPr>
          <w:rFonts w:cs="Arial"/>
          <w:b/>
          <w:bCs/>
          <w:sz w:val="22"/>
          <w:lang w:val="en-GB"/>
        </w:rPr>
      </w:pPr>
      <w:r w:rsidRPr="00203808">
        <w:rPr>
          <w:rFonts w:cs="Arial"/>
          <w:sz w:val="22"/>
          <w:lang w:val="en-GB"/>
        </w:rPr>
        <w:t>Marriott repurchased approximately 12.1 million shares for $3.3 billion in 2025, while total debt increased to $16.2 billion</w:t>
      </w:r>
      <w:r w:rsidR="0011236F" w:rsidRPr="00203808">
        <w:rPr>
          <w:rFonts w:cs="Arial"/>
          <w:sz w:val="22"/>
          <w:lang w:val="en-GB"/>
        </w:rPr>
        <w:t xml:space="preserve"> </w:t>
      </w:r>
      <w:r w:rsidR="0011236F" w:rsidRPr="00203808">
        <w:rPr>
          <w:rFonts w:cs="Arial"/>
          <w:sz w:val="22"/>
        </w:rPr>
        <w:t>(Marriott International, 2026)</w:t>
      </w:r>
    </w:p>
    <w:p w14:paraId="01ECC090" w14:textId="1C9676E0" w:rsidR="0011236F" w:rsidRPr="00203808" w:rsidRDefault="00B87EFB" w:rsidP="00203808">
      <w:pPr>
        <w:spacing w:after="0" w:line="360" w:lineRule="auto"/>
        <w:jc w:val="both"/>
        <w:rPr>
          <w:rFonts w:cs="Arial"/>
          <w:sz w:val="22"/>
        </w:rPr>
      </w:pPr>
      <w:r w:rsidRPr="00203808">
        <w:rPr>
          <w:rFonts w:cs="Arial"/>
          <w:sz w:val="22"/>
          <w:lang w:val="en-GB"/>
        </w:rPr>
        <w:t xml:space="preserve">This does not mean eliminating share repurchases. Buybacks remain an important mechanism for returning capital to shareholders. However, </w:t>
      </w:r>
      <w:proofErr w:type="gramStart"/>
      <w:r w:rsidR="0011236F" w:rsidRPr="00203808">
        <w:rPr>
          <w:rFonts w:cs="Arial"/>
          <w:sz w:val="22"/>
        </w:rPr>
        <w:t>In</w:t>
      </w:r>
      <w:proofErr w:type="gramEnd"/>
      <w:r w:rsidR="0011236F" w:rsidRPr="00203808">
        <w:rPr>
          <w:rFonts w:cs="Arial"/>
          <w:sz w:val="22"/>
        </w:rPr>
        <w:t xml:space="preserve"> periods of high leverage, more cash should go to debt service. Priority should be: operations, debt, investment, dividends, then buybacks</w:t>
      </w:r>
      <w:r w:rsidR="00AE27C2" w:rsidRPr="00203808">
        <w:rPr>
          <w:rFonts w:cs="Arial"/>
          <w:sz w:val="22"/>
        </w:rPr>
        <w:t xml:space="preserve"> (see appendix 10 for </w:t>
      </w:r>
      <w:r w:rsidR="00AE27C2" w:rsidRPr="00203808">
        <w:rPr>
          <w:rFonts w:cs="Arial"/>
          <w:sz w:val="22"/>
          <w:lang w:val="en-GB"/>
        </w:rPr>
        <w:t>recommended capital allocation priority)</w:t>
      </w:r>
      <w:r w:rsidR="00710F26" w:rsidRPr="00203808">
        <w:rPr>
          <w:rFonts w:cs="Arial"/>
          <w:sz w:val="22"/>
          <w:lang w:val="en-GB"/>
        </w:rPr>
        <w:t xml:space="preserve">. </w:t>
      </w:r>
      <w:r w:rsidR="00710F26" w:rsidRPr="00203808">
        <w:rPr>
          <w:rFonts w:cs="Arial"/>
          <w:sz w:val="22"/>
        </w:rPr>
        <w:t>Capital structure decisions involve balancing the benefits of financial leverage against the additional financial risk created by higher levels of debt (Berk and DeMarzo, 2020).</w:t>
      </w:r>
    </w:p>
    <w:p w14:paraId="64D9D67A" w14:textId="77777777" w:rsidR="00B87EFB" w:rsidRPr="00203808" w:rsidRDefault="00B87EFB" w:rsidP="00203808">
      <w:pPr>
        <w:spacing w:after="0" w:line="360" w:lineRule="auto"/>
        <w:jc w:val="both"/>
        <w:rPr>
          <w:rFonts w:cs="Arial"/>
          <w:b/>
          <w:bCs/>
          <w:sz w:val="22"/>
          <w:lang w:val="en-GB"/>
        </w:rPr>
      </w:pPr>
      <w:r w:rsidRPr="00203808">
        <w:rPr>
          <w:rFonts w:cs="Arial"/>
          <w:sz w:val="22"/>
          <w:lang w:val="en-GB"/>
        </w:rPr>
        <w:t>Marriott should also continue to refinance upcoming maturities in advance, rather than allowing large amounts of debt to become payable within a short period.</w:t>
      </w:r>
    </w:p>
    <w:p w14:paraId="1405E435" w14:textId="5B27C148" w:rsidR="00B87EFB" w:rsidRPr="00203808" w:rsidRDefault="00B87EFB" w:rsidP="00203808">
      <w:pPr>
        <w:spacing w:after="0" w:line="360" w:lineRule="auto"/>
        <w:jc w:val="both"/>
        <w:rPr>
          <w:rFonts w:cs="Arial"/>
          <w:b/>
          <w:bCs/>
          <w:sz w:val="22"/>
          <w:lang w:val="en-GB"/>
        </w:rPr>
      </w:pPr>
      <w:r w:rsidRPr="00203808">
        <w:rPr>
          <w:rFonts w:cs="Arial"/>
          <w:sz w:val="22"/>
          <w:lang w:val="en-GB"/>
        </w:rPr>
        <w:t>At year</w:t>
      </w:r>
      <w:r w:rsidR="00ED72CF" w:rsidRPr="00203808">
        <w:rPr>
          <w:rFonts w:cs="Arial"/>
          <w:sz w:val="22"/>
          <w:lang w:val="en-GB"/>
        </w:rPr>
        <w:t>-</w:t>
      </w:r>
      <w:r w:rsidRPr="00203808">
        <w:rPr>
          <w:rFonts w:cs="Arial"/>
          <w:sz w:val="22"/>
          <w:lang w:val="en-GB"/>
        </w:rPr>
        <w:t>end 2025, Marriott's scheduled debt principal payments</w:t>
      </w:r>
      <w:r w:rsidR="00F62996" w:rsidRPr="00203808">
        <w:rPr>
          <w:rFonts w:cs="Arial"/>
          <w:sz w:val="22"/>
          <w:lang w:val="en-GB"/>
        </w:rPr>
        <w:t>. This</w:t>
      </w:r>
      <w:r w:rsidRPr="00203808">
        <w:rPr>
          <w:rFonts w:cs="Arial"/>
          <w:sz w:val="22"/>
          <w:lang w:val="en-GB"/>
        </w:rPr>
        <w:t xml:space="preserve"> included approximately $1.2 billion in 2026 and $2.6 billion in 2027</w:t>
      </w:r>
      <w:r w:rsidR="00F62996" w:rsidRPr="00203808">
        <w:rPr>
          <w:rFonts w:cs="Arial"/>
          <w:sz w:val="22"/>
          <w:lang w:val="en-GB"/>
        </w:rPr>
        <w:t>. However,</w:t>
      </w:r>
      <w:r w:rsidRPr="00203808">
        <w:rPr>
          <w:rFonts w:cs="Arial"/>
          <w:sz w:val="22"/>
          <w:lang w:val="en-GB"/>
        </w:rPr>
        <w:t xml:space="preserve"> approximately $8.2 billion was due thereafter</w:t>
      </w:r>
      <w:r w:rsidR="00F62996" w:rsidRPr="00203808">
        <w:rPr>
          <w:rFonts w:cs="Arial"/>
          <w:sz w:val="22"/>
          <w:lang w:val="en-GB"/>
        </w:rPr>
        <w:t xml:space="preserve"> </w:t>
      </w:r>
      <w:r w:rsidR="00F62996" w:rsidRPr="00203808">
        <w:rPr>
          <w:rFonts w:cs="Arial"/>
          <w:sz w:val="22"/>
        </w:rPr>
        <w:t>(Marriott International, 2026)</w:t>
      </w:r>
      <w:r w:rsidRPr="00203808">
        <w:rPr>
          <w:rFonts w:cs="Arial"/>
          <w:sz w:val="22"/>
          <w:lang w:val="en-GB"/>
        </w:rPr>
        <w:t>.</w:t>
      </w:r>
      <w:r w:rsidR="00F62996" w:rsidRPr="00203808">
        <w:rPr>
          <w:rFonts w:cs="Arial"/>
          <w:sz w:val="22"/>
          <w:lang w:val="en-GB"/>
        </w:rPr>
        <w:t xml:space="preserve"> </w:t>
      </w:r>
      <w:r w:rsidR="00710F26" w:rsidRPr="00203808">
        <w:rPr>
          <w:rFonts w:cs="Arial"/>
          <w:sz w:val="22"/>
        </w:rPr>
        <w:t xml:space="preserve">Managing debt maturity is </w:t>
      </w:r>
      <w:r w:rsidR="00710F26" w:rsidRPr="00203808">
        <w:rPr>
          <w:rFonts w:cs="Arial"/>
          <w:sz w:val="22"/>
        </w:rPr>
        <w:lastRenderedPageBreak/>
        <w:t xml:space="preserve">important because excessive reliance on short-term refinancing can increase refinancing and liquidity risk (Ross, </w:t>
      </w:r>
      <w:proofErr w:type="spellStart"/>
      <w:r w:rsidR="00710F26" w:rsidRPr="00203808">
        <w:rPr>
          <w:rFonts w:cs="Arial"/>
          <w:sz w:val="22"/>
        </w:rPr>
        <w:t>Westerfield</w:t>
      </w:r>
      <w:proofErr w:type="spellEnd"/>
      <w:r w:rsidR="00710F26" w:rsidRPr="00203808">
        <w:rPr>
          <w:rFonts w:cs="Arial"/>
          <w:sz w:val="22"/>
        </w:rPr>
        <w:t xml:space="preserve"> and Jordan, 2022).</w:t>
      </w:r>
    </w:p>
    <w:p w14:paraId="28C4E83D" w14:textId="2A93C9C9" w:rsidR="00B87EFB" w:rsidRPr="00203808" w:rsidRDefault="00B87EFB" w:rsidP="00203808">
      <w:pPr>
        <w:spacing w:after="0" w:line="360" w:lineRule="auto"/>
        <w:jc w:val="both"/>
        <w:rPr>
          <w:rFonts w:cs="Arial"/>
          <w:b/>
          <w:bCs/>
          <w:sz w:val="22"/>
          <w:lang w:val="en-GB"/>
        </w:rPr>
      </w:pPr>
      <w:r w:rsidRPr="00203808">
        <w:rPr>
          <w:rFonts w:cs="Arial"/>
          <w:sz w:val="22"/>
          <w:lang w:val="en-GB"/>
        </w:rPr>
        <w:t>An equity injection is theoretically possible</w:t>
      </w:r>
      <w:r w:rsidR="00F62996" w:rsidRPr="00203808">
        <w:rPr>
          <w:rFonts w:cs="Arial"/>
          <w:sz w:val="22"/>
          <w:lang w:val="en-GB"/>
        </w:rPr>
        <w:t>. Therefore,</w:t>
      </w:r>
      <w:r w:rsidRPr="00203808">
        <w:rPr>
          <w:rFonts w:cs="Arial"/>
          <w:sz w:val="22"/>
          <w:lang w:val="en-GB"/>
        </w:rPr>
        <w:t xml:space="preserve"> it is not the preferred option</w:t>
      </w:r>
      <w:r w:rsidR="00F62996" w:rsidRPr="00203808">
        <w:rPr>
          <w:rFonts w:cs="Arial"/>
          <w:sz w:val="22"/>
          <w:lang w:val="en-GB"/>
        </w:rPr>
        <w:t>. In fact,</w:t>
      </w:r>
      <w:r w:rsidRPr="00203808">
        <w:rPr>
          <w:rFonts w:cs="Arial"/>
          <w:sz w:val="22"/>
          <w:lang w:val="en-GB"/>
        </w:rPr>
        <w:t xml:space="preserve"> Marriott generated $3.2 billion of operating cash flow in 2025 and remains strongly profitable. A new equity issue would also dilute existing shareholders.</w:t>
      </w:r>
      <w:r w:rsidR="00F62996" w:rsidRPr="00203808">
        <w:rPr>
          <w:rFonts w:cs="Arial"/>
          <w:b/>
          <w:bCs/>
          <w:sz w:val="22"/>
          <w:lang w:val="en-GB"/>
        </w:rPr>
        <w:t xml:space="preserve"> I</w:t>
      </w:r>
      <w:r w:rsidR="00F62996" w:rsidRPr="00203808">
        <w:rPr>
          <w:rFonts w:cs="Arial"/>
          <w:sz w:val="22"/>
          <w:lang w:val="en-GB"/>
        </w:rPr>
        <w:t xml:space="preserve">n </w:t>
      </w:r>
      <w:r w:rsidRPr="00203808">
        <w:rPr>
          <w:rFonts w:cs="Arial"/>
          <w:sz w:val="22"/>
          <w:lang w:val="en-GB"/>
        </w:rPr>
        <w:t>2025, Marriott reported shareholders deficit of approximately $3.8 billion, partly reflecting the effect of accumulated share repurchases and treasury stock</w:t>
      </w:r>
      <w:r w:rsidR="00F62996" w:rsidRPr="00203808">
        <w:rPr>
          <w:rFonts w:cs="Arial"/>
          <w:sz w:val="22"/>
          <w:lang w:val="en-GB"/>
        </w:rPr>
        <w:t xml:space="preserve"> </w:t>
      </w:r>
      <w:r w:rsidR="00F62996" w:rsidRPr="00203808">
        <w:rPr>
          <w:rFonts w:cs="Arial"/>
          <w:sz w:val="22"/>
        </w:rPr>
        <w:t>(Marriott International, 2026)</w:t>
      </w:r>
      <w:r w:rsidR="00F62996" w:rsidRPr="00203808">
        <w:rPr>
          <w:rFonts w:cs="Arial"/>
          <w:sz w:val="22"/>
          <w:lang w:val="en-GB"/>
        </w:rPr>
        <w:t>.</w:t>
      </w:r>
    </w:p>
    <w:p w14:paraId="13BCD020" w14:textId="313BDD62" w:rsidR="00B87EFB" w:rsidRPr="00203808" w:rsidRDefault="00B87EFB" w:rsidP="00203808">
      <w:pPr>
        <w:spacing w:after="0" w:line="360" w:lineRule="auto"/>
        <w:jc w:val="both"/>
        <w:rPr>
          <w:rFonts w:cs="Arial"/>
          <w:b/>
          <w:bCs/>
          <w:sz w:val="22"/>
          <w:lang w:val="en-GB"/>
        </w:rPr>
      </w:pPr>
      <w:r w:rsidRPr="00203808">
        <w:rPr>
          <w:rFonts w:cs="Arial"/>
          <w:sz w:val="22"/>
          <w:lang w:val="en-GB"/>
        </w:rPr>
        <w:t>A large</w:t>
      </w:r>
      <w:r w:rsidR="00ED72CF" w:rsidRPr="00203808">
        <w:rPr>
          <w:rFonts w:cs="Arial"/>
          <w:sz w:val="22"/>
          <w:lang w:val="en-GB"/>
        </w:rPr>
        <w:t>-</w:t>
      </w:r>
      <w:r w:rsidRPr="00203808">
        <w:rPr>
          <w:rFonts w:cs="Arial"/>
          <w:sz w:val="22"/>
          <w:lang w:val="en-GB"/>
        </w:rPr>
        <w:t>scale divestiture programme is also unnecessary. Marriott already owns or leases less than 1% of the properties in its system. Its asset</w:t>
      </w:r>
      <w:r w:rsidR="00ED72CF" w:rsidRPr="00203808">
        <w:rPr>
          <w:rFonts w:cs="Arial"/>
          <w:sz w:val="22"/>
          <w:lang w:val="en-GB"/>
        </w:rPr>
        <w:t>-</w:t>
      </w:r>
      <w:r w:rsidRPr="00203808">
        <w:rPr>
          <w:rFonts w:cs="Arial"/>
          <w:sz w:val="22"/>
          <w:lang w:val="en-GB"/>
        </w:rPr>
        <w:t>light model reduces capital requirements and supports high returns on capital. At year</w:t>
      </w:r>
      <w:r w:rsidR="00ED72CF" w:rsidRPr="00203808">
        <w:rPr>
          <w:rFonts w:cs="Arial"/>
          <w:sz w:val="22"/>
          <w:lang w:val="en-GB"/>
        </w:rPr>
        <w:t>-</w:t>
      </w:r>
      <w:r w:rsidRPr="00203808">
        <w:rPr>
          <w:rFonts w:cs="Arial"/>
          <w:sz w:val="22"/>
          <w:lang w:val="en-GB"/>
        </w:rPr>
        <w:t>end 2025, the system contained approximately 9,805 properties and 1.78 million rooms across 145 countries and territories, with approximately 610,000 rooms in the development pipeline</w:t>
      </w:r>
      <w:r w:rsidR="00951357" w:rsidRPr="00203808">
        <w:rPr>
          <w:rFonts w:cs="Arial"/>
          <w:sz w:val="22"/>
          <w:lang w:val="en-GB"/>
        </w:rPr>
        <w:t xml:space="preserve"> </w:t>
      </w:r>
      <w:r w:rsidR="00951357" w:rsidRPr="00203808">
        <w:rPr>
          <w:rFonts w:cs="Arial"/>
          <w:sz w:val="22"/>
        </w:rPr>
        <w:t>(Marriott International, 2026)</w:t>
      </w:r>
      <w:r w:rsidR="00951357" w:rsidRPr="00203808">
        <w:rPr>
          <w:rFonts w:cs="Arial"/>
          <w:sz w:val="22"/>
          <w:lang w:val="en-GB"/>
        </w:rPr>
        <w:t xml:space="preserve">. </w:t>
      </w:r>
    </w:p>
    <w:p w14:paraId="20B2EBFD" w14:textId="45FD3D7A" w:rsidR="00B87EFB" w:rsidRPr="00203808" w:rsidRDefault="00B87EFB" w:rsidP="00203808">
      <w:pPr>
        <w:spacing w:after="0" w:line="360" w:lineRule="auto"/>
        <w:jc w:val="both"/>
        <w:rPr>
          <w:rFonts w:cs="Arial"/>
          <w:b/>
          <w:bCs/>
          <w:sz w:val="22"/>
          <w:lang w:val="en-GB"/>
        </w:rPr>
      </w:pPr>
      <w:r w:rsidRPr="00203808">
        <w:rPr>
          <w:rFonts w:cs="Arial"/>
          <w:sz w:val="22"/>
          <w:lang w:val="en-GB"/>
        </w:rPr>
        <w:t>Selective disposal of non</w:t>
      </w:r>
      <w:r w:rsidR="00ED72CF" w:rsidRPr="00203808">
        <w:rPr>
          <w:rFonts w:cs="Arial"/>
          <w:sz w:val="22"/>
          <w:lang w:val="en-GB"/>
        </w:rPr>
        <w:t>-</w:t>
      </w:r>
      <w:r w:rsidRPr="00203808">
        <w:rPr>
          <w:rFonts w:cs="Arial"/>
          <w:sz w:val="22"/>
          <w:lang w:val="en-GB"/>
        </w:rPr>
        <w:t>core assets could still be considered where assets do not support Marriott's strategic positioning, but this should be a secondary measure.</w:t>
      </w:r>
    </w:p>
    <w:p w14:paraId="0B13FAD1" w14:textId="77777777" w:rsidR="00B87EFB" w:rsidRPr="00397292" w:rsidRDefault="00B87EFB" w:rsidP="00203808">
      <w:pPr>
        <w:pStyle w:val="Titre2"/>
        <w:spacing w:line="360" w:lineRule="auto"/>
        <w:jc w:val="both"/>
        <w:rPr>
          <w:rFonts w:ascii="Arial" w:hAnsi="Arial" w:cs="Arial"/>
          <w:b w:val="0"/>
          <w:bCs w:val="0"/>
          <w:color w:val="auto"/>
          <w:sz w:val="22"/>
          <w:szCs w:val="22"/>
          <w:u w:val="single"/>
          <w:lang w:val="en-GB"/>
        </w:rPr>
      </w:pPr>
      <w:bookmarkStart w:id="18" w:name="_Toc237478468"/>
      <w:r w:rsidRPr="00397292">
        <w:rPr>
          <w:rFonts w:ascii="Arial" w:hAnsi="Arial" w:cs="Arial"/>
          <w:color w:val="auto"/>
          <w:sz w:val="22"/>
          <w:szCs w:val="22"/>
          <w:u w:val="single"/>
          <w:lang w:val="en-GB"/>
        </w:rPr>
        <w:t>3.b. Impact on Shareholder Value, Debt Structure and Operational Flexibility</w:t>
      </w:r>
      <w:bookmarkEnd w:id="18"/>
    </w:p>
    <w:p w14:paraId="5419EC13" w14:textId="7ECB3267" w:rsidR="00951357" w:rsidRPr="00203808" w:rsidRDefault="00951357" w:rsidP="00203808">
      <w:pPr>
        <w:spacing w:after="0" w:line="360" w:lineRule="auto"/>
        <w:jc w:val="both"/>
        <w:rPr>
          <w:rFonts w:cs="Arial"/>
          <w:sz w:val="22"/>
        </w:rPr>
      </w:pPr>
      <w:r w:rsidRPr="00203808">
        <w:rPr>
          <w:rFonts w:cs="Arial"/>
          <w:sz w:val="22"/>
        </w:rPr>
        <w:t>Shareholder value: Moderating buybacks may slow short</w:t>
      </w:r>
      <w:r w:rsidR="00ED72CF" w:rsidRPr="00203808">
        <w:rPr>
          <w:rFonts w:cs="Arial"/>
          <w:sz w:val="22"/>
        </w:rPr>
        <w:t>-</w:t>
      </w:r>
      <w:r w:rsidRPr="00203808">
        <w:rPr>
          <w:rFonts w:cs="Arial"/>
          <w:sz w:val="22"/>
        </w:rPr>
        <w:t xml:space="preserve">term EPS growth, but lower leverage will make returns more stable. EPS was $9.51 in 2025 (Marriott International, 2026).  </w:t>
      </w:r>
    </w:p>
    <w:p w14:paraId="018277E3" w14:textId="77777777" w:rsidR="00951357" w:rsidRPr="00203808" w:rsidRDefault="00951357" w:rsidP="00203808">
      <w:pPr>
        <w:spacing w:after="0" w:line="360" w:lineRule="auto"/>
        <w:jc w:val="both"/>
        <w:rPr>
          <w:rFonts w:cs="Arial"/>
          <w:sz w:val="22"/>
        </w:rPr>
      </w:pPr>
      <w:r w:rsidRPr="00203808">
        <w:rPr>
          <w:rFonts w:cs="Arial"/>
          <w:sz w:val="22"/>
        </w:rPr>
        <w:t xml:space="preserve">Debt structure: The goal is not zero debt, but to prevent leverage rising faster than cash flow. Debt/Assets reached 58.8% in 2025 (Marriott International, 2026).  </w:t>
      </w:r>
    </w:p>
    <w:p w14:paraId="053DF0EC" w14:textId="77777777" w:rsidR="00951357" w:rsidRPr="00203808" w:rsidRDefault="00951357" w:rsidP="00203808">
      <w:pPr>
        <w:spacing w:after="0" w:line="360" w:lineRule="auto"/>
        <w:jc w:val="both"/>
        <w:rPr>
          <w:rFonts w:cs="Arial"/>
          <w:sz w:val="22"/>
        </w:rPr>
      </w:pPr>
      <w:r w:rsidRPr="00203808">
        <w:rPr>
          <w:rFonts w:cs="Arial"/>
          <w:sz w:val="22"/>
        </w:rPr>
        <w:t>Operational flexibility: A stronger balance sheet and the $4.5bn revolver will support investment and downturn response (Marriott International, 2026).</w:t>
      </w:r>
    </w:p>
    <w:p w14:paraId="342C4F65" w14:textId="737E946E" w:rsidR="00C236AD" w:rsidRPr="00397292" w:rsidRDefault="00C236AD" w:rsidP="00203808">
      <w:pPr>
        <w:pStyle w:val="Titre2"/>
        <w:spacing w:line="360" w:lineRule="auto"/>
        <w:jc w:val="both"/>
        <w:rPr>
          <w:rFonts w:ascii="Arial" w:hAnsi="Arial" w:cs="Arial"/>
          <w:color w:val="auto"/>
          <w:sz w:val="22"/>
          <w:szCs w:val="22"/>
          <w:u w:val="single"/>
          <w:lang w:val="en-GB"/>
        </w:rPr>
      </w:pPr>
      <w:bookmarkStart w:id="19" w:name="_Toc237478469"/>
      <w:r w:rsidRPr="00397292">
        <w:rPr>
          <w:rFonts w:ascii="Arial" w:hAnsi="Arial" w:cs="Arial"/>
          <w:color w:val="auto"/>
          <w:sz w:val="22"/>
          <w:szCs w:val="22"/>
          <w:u w:val="single"/>
          <w:lang w:val="en-GB"/>
        </w:rPr>
        <w:t>3.c. International and Ethical Considerations</w:t>
      </w:r>
      <w:bookmarkEnd w:id="19"/>
    </w:p>
    <w:p w14:paraId="22EE930F" w14:textId="77777777" w:rsidR="00C236AD" w:rsidRPr="00BE2860" w:rsidRDefault="00C236AD" w:rsidP="00203808">
      <w:pPr>
        <w:spacing w:after="0" w:line="360" w:lineRule="auto"/>
        <w:jc w:val="both"/>
        <w:rPr>
          <w:rFonts w:cs="Arial"/>
          <w:b/>
          <w:bCs/>
          <w:sz w:val="22"/>
          <w:lang w:val="en-GB"/>
        </w:rPr>
      </w:pPr>
      <w:r w:rsidRPr="00BE2860">
        <w:rPr>
          <w:rFonts w:cs="Arial"/>
          <w:b/>
          <w:bCs/>
          <w:sz w:val="22"/>
          <w:lang w:val="en-GB"/>
        </w:rPr>
        <w:t xml:space="preserve">Taxation  </w:t>
      </w:r>
    </w:p>
    <w:p w14:paraId="68C69833" w14:textId="5A11449F" w:rsidR="00C236AD" w:rsidRPr="00203808" w:rsidRDefault="00C236AD" w:rsidP="00203808">
      <w:pPr>
        <w:spacing w:after="0" w:line="360" w:lineRule="auto"/>
        <w:jc w:val="both"/>
        <w:rPr>
          <w:rFonts w:cs="Arial"/>
          <w:sz w:val="22"/>
          <w:lang w:val="en-GB"/>
        </w:rPr>
      </w:pPr>
      <w:r w:rsidRPr="00203808">
        <w:rPr>
          <w:rFonts w:cs="Arial"/>
          <w:sz w:val="22"/>
          <w:lang w:val="en-GB"/>
        </w:rPr>
        <w:t>Marriott operates in 145 countries, so any restructuring must consider different corporate tax rules, withholding taxes and international regulations. Debt allocation, intercompany transactions and transfer</w:t>
      </w:r>
      <w:r w:rsidR="00ED72CF" w:rsidRPr="00203808">
        <w:rPr>
          <w:rFonts w:cs="Arial"/>
          <w:sz w:val="22"/>
          <w:lang w:val="en-GB"/>
        </w:rPr>
        <w:t>-</w:t>
      </w:r>
      <w:r w:rsidRPr="00203808">
        <w:rPr>
          <w:rFonts w:cs="Arial"/>
          <w:sz w:val="22"/>
          <w:lang w:val="en-GB"/>
        </w:rPr>
        <w:t>pricing should follow economic substance and local law. The company should aim for tax efficiency without aggressive avoidance, because reputational and regulatory risks can outweigh the financial gains.</w:t>
      </w:r>
    </w:p>
    <w:p w14:paraId="25C9DC35" w14:textId="77777777" w:rsidR="00C236AD" w:rsidRPr="00BE2860" w:rsidRDefault="00C236AD" w:rsidP="00203808">
      <w:pPr>
        <w:spacing w:after="0" w:line="360" w:lineRule="auto"/>
        <w:jc w:val="both"/>
        <w:rPr>
          <w:rFonts w:cs="Arial"/>
          <w:b/>
          <w:bCs/>
          <w:sz w:val="22"/>
          <w:lang w:val="en-GB"/>
        </w:rPr>
      </w:pPr>
      <w:r w:rsidRPr="00BE2860">
        <w:rPr>
          <w:rFonts w:cs="Arial"/>
          <w:b/>
          <w:bCs/>
          <w:sz w:val="22"/>
          <w:lang w:val="en-GB"/>
        </w:rPr>
        <w:t xml:space="preserve">Currency risk  </w:t>
      </w:r>
    </w:p>
    <w:p w14:paraId="5BE10576" w14:textId="47EF6D5E" w:rsidR="00C236AD" w:rsidRPr="00203808" w:rsidRDefault="00C236AD" w:rsidP="00203808">
      <w:pPr>
        <w:spacing w:after="0" w:line="360" w:lineRule="auto"/>
        <w:jc w:val="both"/>
        <w:rPr>
          <w:rFonts w:cs="Arial"/>
          <w:sz w:val="22"/>
          <w:lang w:val="en-GB"/>
        </w:rPr>
      </w:pPr>
      <w:r w:rsidRPr="00203808">
        <w:rPr>
          <w:rFonts w:cs="Arial"/>
          <w:sz w:val="22"/>
          <w:lang w:val="en-GB"/>
        </w:rPr>
        <w:t xml:space="preserve">International operations expose Marriott to </w:t>
      </w:r>
      <w:r w:rsidR="00715D5F" w:rsidRPr="00203808">
        <w:rPr>
          <w:rFonts w:cs="Arial"/>
          <w:sz w:val="22"/>
          <w:lang w:val="en-GB"/>
        </w:rPr>
        <w:t>Foreign Exchange</w:t>
      </w:r>
      <w:r w:rsidR="00715D5F" w:rsidRPr="00203808">
        <w:rPr>
          <w:rFonts w:cs="Arial"/>
          <w:sz w:val="22"/>
          <w:lang w:val="en-GB"/>
        </w:rPr>
        <w:t xml:space="preserve"> </w:t>
      </w:r>
      <w:r w:rsidR="00715D5F">
        <w:rPr>
          <w:rFonts w:cs="Arial"/>
          <w:sz w:val="22"/>
          <w:lang w:val="en-GB"/>
        </w:rPr>
        <w:t>(</w:t>
      </w:r>
      <w:r w:rsidRPr="00203808">
        <w:rPr>
          <w:rFonts w:cs="Arial"/>
          <w:sz w:val="22"/>
          <w:lang w:val="en-GB"/>
        </w:rPr>
        <w:t>FX</w:t>
      </w:r>
      <w:r w:rsidR="00715D5F">
        <w:rPr>
          <w:rFonts w:cs="Arial"/>
          <w:sz w:val="22"/>
          <w:lang w:val="en-GB"/>
        </w:rPr>
        <w:t>)</w:t>
      </w:r>
      <w:r w:rsidRPr="00203808">
        <w:rPr>
          <w:rFonts w:cs="Arial"/>
          <w:sz w:val="22"/>
          <w:lang w:val="en-GB"/>
        </w:rPr>
        <w:t xml:space="preserve"> volatility. In 2025, foreign</w:t>
      </w:r>
      <w:r w:rsidR="00ED72CF" w:rsidRPr="00203808">
        <w:rPr>
          <w:rFonts w:cs="Arial"/>
          <w:sz w:val="22"/>
          <w:lang w:val="en-GB"/>
        </w:rPr>
        <w:t>-</w:t>
      </w:r>
      <w:r w:rsidRPr="00203808">
        <w:rPr>
          <w:rFonts w:cs="Arial"/>
          <w:sz w:val="22"/>
          <w:lang w:val="en-GB"/>
        </w:rPr>
        <w:t xml:space="preserve">currency translation adjustments added +$442m to other comprehensive income, </w:t>
      </w:r>
      <w:r w:rsidRPr="00203808">
        <w:rPr>
          <w:rFonts w:cs="Arial"/>
          <w:sz w:val="22"/>
          <w:lang w:val="en-GB"/>
        </w:rPr>
        <w:lastRenderedPageBreak/>
        <w:t>compared to $(</w:t>
      </w:r>
      <w:proofErr w:type="gramStart"/>
      <w:r w:rsidRPr="00203808">
        <w:rPr>
          <w:rFonts w:cs="Arial"/>
          <w:sz w:val="22"/>
          <w:lang w:val="en-GB"/>
        </w:rPr>
        <w:t>437)m</w:t>
      </w:r>
      <w:proofErr w:type="gramEnd"/>
      <w:r w:rsidRPr="00203808">
        <w:rPr>
          <w:rFonts w:cs="Arial"/>
          <w:sz w:val="22"/>
          <w:lang w:val="en-GB"/>
        </w:rPr>
        <w:t xml:space="preserve"> in 2024 (Marriott International, 2026). This shows that exchange</w:t>
      </w:r>
      <w:r w:rsidR="00ED72CF" w:rsidRPr="00203808">
        <w:rPr>
          <w:rFonts w:cs="Arial"/>
          <w:sz w:val="22"/>
          <w:lang w:val="en-GB"/>
        </w:rPr>
        <w:t>-</w:t>
      </w:r>
      <w:r w:rsidRPr="00203808">
        <w:rPr>
          <w:rFonts w:cs="Arial"/>
          <w:sz w:val="22"/>
          <w:lang w:val="en-GB"/>
        </w:rPr>
        <w:t>rate movements can affect reported results even when operations are stable. Marriott should continue using hedging instruments and, where possible, match the currency of debt with the currency of cash flows. This would reduce the impact on debt servicing and earnings.</w:t>
      </w:r>
      <w:r w:rsidR="00710F26" w:rsidRPr="00203808">
        <w:rPr>
          <w:rFonts w:cs="Arial"/>
          <w:sz w:val="22"/>
          <w:lang w:val="en-GB"/>
        </w:rPr>
        <w:t xml:space="preserve"> </w:t>
      </w:r>
      <w:r w:rsidR="00710F26" w:rsidRPr="00203808">
        <w:rPr>
          <w:rFonts w:cs="Arial"/>
          <w:sz w:val="22"/>
        </w:rPr>
        <w:t>foreign exchange movements can affect both reported financial performance and the cost of servicing foreign-currency liabilities, making appropriate risk management important for internationally operating companies (Brealey, Myers and Allen, 2020).</w:t>
      </w:r>
    </w:p>
    <w:p w14:paraId="629B71D5" w14:textId="77777777" w:rsidR="00C236AD" w:rsidRPr="00BE2860" w:rsidRDefault="00C236AD" w:rsidP="00203808">
      <w:pPr>
        <w:spacing w:after="0" w:line="360" w:lineRule="auto"/>
        <w:jc w:val="both"/>
        <w:rPr>
          <w:rFonts w:cs="Arial"/>
          <w:b/>
          <w:bCs/>
          <w:sz w:val="22"/>
          <w:lang w:val="en-GB"/>
        </w:rPr>
      </w:pPr>
      <w:r w:rsidRPr="00BE2860">
        <w:rPr>
          <w:rFonts w:cs="Arial"/>
          <w:b/>
          <w:bCs/>
          <w:sz w:val="22"/>
          <w:lang w:val="en-GB"/>
        </w:rPr>
        <w:t xml:space="preserve">Inflation and interest rates  </w:t>
      </w:r>
    </w:p>
    <w:p w14:paraId="1EA4CDC8" w14:textId="1C76DC27" w:rsidR="00C236AD" w:rsidRPr="00203808" w:rsidRDefault="00C236AD" w:rsidP="00203808">
      <w:pPr>
        <w:spacing w:after="0" w:line="360" w:lineRule="auto"/>
        <w:jc w:val="both"/>
        <w:rPr>
          <w:rFonts w:cs="Arial"/>
          <w:sz w:val="22"/>
          <w:lang w:val="en-GB"/>
        </w:rPr>
      </w:pPr>
      <w:r w:rsidRPr="00203808">
        <w:rPr>
          <w:rFonts w:cs="Arial"/>
          <w:sz w:val="22"/>
          <w:lang w:val="en-GB"/>
        </w:rPr>
        <w:t>Inflation increases costs for labour, energy, food and maintenance across managed and franchised hotels. It also raises refinancing costs. The restructuring plan should therefore maintain financial flexibility. The asset</w:t>
      </w:r>
      <w:r w:rsidR="00ED72CF" w:rsidRPr="00203808">
        <w:rPr>
          <w:rFonts w:cs="Arial"/>
          <w:sz w:val="22"/>
          <w:lang w:val="en-GB"/>
        </w:rPr>
        <w:t>-</w:t>
      </w:r>
      <w:r w:rsidRPr="00203808">
        <w:rPr>
          <w:rFonts w:cs="Arial"/>
          <w:sz w:val="22"/>
          <w:lang w:val="en-GB"/>
        </w:rPr>
        <w:t>light model helps because property</w:t>
      </w:r>
      <w:r w:rsidR="00ED72CF" w:rsidRPr="00203808">
        <w:rPr>
          <w:rFonts w:cs="Arial"/>
          <w:sz w:val="22"/>
          <w:lang w:val="en-GB"/>
        </w:rPr>
        <w:t>-</w:t>
      </w:r>
      <w:r w:rsidRPr="00203808">
        <w:rPr>
          <w:rFonts w:cs="Arial"/>
          <w:sz w:val="22"/>
          <w:lang w:val="en-GB"/>
        </w:rPr>
        <w:t>level costs are mainly borne by owners. However, financial pressure on franchisees can still affect Marriott indirectly through slower development and weaker brand performance.</w:t>
      </w:r>
    </w:p>
    <w:p w14:paraId="3377456E" w14:textId="66FA0A25" w:rsidR="00C236AD" w:rsidRPr="00BC3BB6" w:rsidRDefault="00BC3BB6" w:rsidP="00203808">
      <w:pPr>
        <w:spacing w:after="0" w:line="360" w:lineRule="auto"/>
        <w:jc w:val="both"/>
        <w:rPr>
          <w:rFonts w:cs="Arial"/>
          <w:b/>
          <w:bCs/>
          <w:sz w:val="22"/>
          <w:lang w:val="en-GB"/>
        </w:rPr>
      </w:pPr>
      <w:r w:rsidRPr="00BC3BB6">
        <w:rPr>
          <w:rFonts w:cs="Arial"/>
          <w:b/>
          <w:bCs/>
          <w:sz w:val="22"/>
          <w:lang w:val="en-GB"/>
        </w:rPr>
        <w:t>Corporate Social Responsibility</w:t>
      </w:r>
      <w:r w:rsidRPr="00BC3BB6">
        <w:rPr>
          <w:rFonts w:cs="Arial"/>
          <w:b/>
          <w:bCs/>
          <w:sz w:val="22"/>
          <w:lang w:val="en-GB"/>
        </w:rPr>
        <w:t xml:space="preserve"> (</w:t>
      </w:r>
      <w:r w:rsidR="00C236AD" w:rsidRPr="00BC3BB6">
        <w:rPr>
          <w:rFonts w:cs="Arial"/>
          <w:b/>
          <w:bCs/>
          <w:sz w:val="22"/>
          <w:lang w:val="en-GB"/>
        </w:rPr>
        <w:t>CSR</w:t>
      </w:r>
      <w:r w:rsidRPr="00BC3BB6">
        <w:rPr>
          <w:rFonts w:cs="Arial"/>
          <w:b/>
          <w:bCs/>
          <w:sz w:val="22"/>
          <w:lang w:val="en-GB"/>
        </w:rPr>
        <w:t>)</w:t>
      </w:r>
      <w:r w:rsidR="00C236AD" w:rsidRPr="00BC3BB6">
        <w:rPr>
          <w:rFonts w:cs="Arial"/>
          <w:b/>
          <w:bCs/>
          <w:sz w:val="22"/>
          <w:lang w:val="en-GB"/>
        </w:rPr>
        <w:t xml:space="preserve"> and </w:t>
      </w:r>
      <w:r w:rsidRPr="00BC3BB6">
        <w:rPr>
          <w:rFonts w:cs="Arial"/>
          <w:b/>
          <w:bCs/>
          <w:sz w:val="22"/>
          <w:lang w:val="en-GB"/>
        </w:rPr>
        <w:t>Environmental, Social and Governance</w:t>
      </w:r>
      <w:r w:rsidRPr="00BC3BB6">
        <w:rPr>
          <w:rFonts w:cs="Arial"/>
          <w:b/>
          <w:bCs/>
          <w:sz w:val="22"/>
          <w:lang w:val="en-GB"/>
        </w:rPr>
        <w:t xml:space="preserve"> (</w:t>
      </w:r>
      <w:r w:rsidR="00C236AD" w:rsidRPr="00BC3BB6">
        <w:rPr>
          <w:rFonts w:cs="Arial"/>
          <w:b/>
          <w:bCs/>
          <w:sz w:val="22"/>
          <w:lang w:val="en-GB"/>
        </w:rPr>
        <w:t>ESG</w:t>
      </w:r>
      <w:r w:rsidRPr="00BC3BB6">
        <w:rPr>
          <w:rFonts w:cs="Arial"/>
          <w:b/>
          <w:bCs/>
          <w:sz w:val="22"/>
          <w:lang w:val="en-GB"/>
        </w:rPr>
        <w:t>)</w:t>
      </w:r>
      <w:r w:rsidR="00C236AD" w:rsidRPr="00BC3BB6">
        <w:rPr>
          <w:rFonts w:cs="Arial"/>
          <w:b/>
          <w:bCs/>
          <w:sz w:val="22"/>
          <w:lang w:val="en-GB"/>
        </w:rPr>
        <w:t xml:space="preserve"> considerations  </w:t>
      </w:r>
    </w:p>
    <w:p w14:paraId="3D6E5198" w14:textId="42171DA9" w:rsidR="00C236AD" w:rsidRPr="00203808" w:rsidRDefault="00C236AD" w:rsidP="00203808">
      <w:pPr>
        <w:spacing w:after="0" w:line="360" w:lineRule="auto"/>
        <w:jc w:val="both"/>
        <w:rPr>
          <w:rFonts w:cs="Arial"/>
          <w:sz w:val="22"/>
          <w:lang w:val="en-GB"/>
        </w:rPr>
      </w:pPr>
      <w:r w:rsidRPr="00203808">
        <w:rPr>
          <w:rFonts w:cs="Arial"/>
          <w:sz w:val="22"/>
          <w:lang w:val="en-GB"/>
        </w:rPr>
        <w:t>Restructuring should support ESG goals rather than treat them separately. Through Serve 360, Marriott targets emissions, water, waste and renewable energy. In 2024, 3.4% of electricity came from renewables (Marriott, 2024). Investments should prioritise energy efficiency to cut costs and improve resilience. Ethically, Marriott should avoid improving ratios by cutting employee costs, delaying supplier payments, or underinvesting in safety. The plan must protect employees, franchisees, suppliers and communities while also supporting shareholder value.</w:t>
      </w:r>
    </w:p>
    <w:p w14:paraId="4C3D0AE0" w14:textId="77777777" w:rsidR="00C236AD" w:rsidRPr="00BE2860" w:rsidRDefault="00C236AD" w:rsidP="00203808">
      <w:pPr>
        <w:spacing w:after="0" w:line="360" w:lineRule="auto"/>
        <w:jc w:val="both"/>
        <w:rPr>
          <w:rFonts w:cs="Arial"/>
          <w:b/>
          <w:bCs/>
          <w:sz w:val="22"/>
          <w:lang w:val="en-GB"/>
        </w:rPr>
      </w:pPr>
      <w:r w:rsidRPr="00BE2860">
        <w:rPr>
          <w:rFonts w:cs="Arial"/>
          <w:b/>
          <w:bCs/>
          <w:sz w:val="22"/>
          <w:lang w:val="en-GB"/>
        </w:rPr>
        <w:t xml:space="preserve">Overall recommendation  </w:t>
      </w:r>
    </w:p>
    <w:p w14:paraId="498EBF52" w14:textId="617CD60D" w:rsidR="00C236AD" w:rsidRPr="00203808" w:rsidRDefault="00C236AD" w:rsidP="00203808">
      <w:pPr>
        <w:spacing w:after="0" w:line="360" w:lineRule="auto"/>
        <w:jc w:val="both"/>
        <w:rPr>
          <w:rFonts w:cs="Arial"/>
          <w:sz w:val="22"/>
          <w:lang w:val="en-GB"/>
        </w:rPr>
      </w:pPr>
      <w:r w:rsidRPr="00203808">
        <w:rPr>
          <w:rFonts w:cs="Arial"/>
          <w:sz w:val="22"/>
          <w:lang w:val="en-GB"/>
        </w:rPr>
        <w:t>A moderate, disciplined approach is preferred. Marriott should keep the asset</w:t>
      </w:r>
      <w:r w:rsidR="00ED72CF" w:rsidRPr="00203808">
        <w:rPr>
          <w:rFonts w:cs="Arial"/>
          <w:sz w:val="22"/>
          <w:lang w:val="en-GB"/>
        </w:rPr>
        <w:t>-</w:t>
      </w:r>
      <w:r w:rsidRPr="00203808">
        <w:rPr>
          <w:rFonts w:cs="Arial"/>
          <w:sz w:val="22"/>
          <w:lang w:val="en-GB"/>
        </w:rPr>
        <w:t>light model, refinance debt early, moderate buybacks when leverage is high, and maintain credit facilities. Tax compliance, FX management, inflation protection and ESG should be integrated into the restructuring.</w:t>
      </w:r>
    </w:p>
    <w:p w14:paraId="1F42E3D8" w14:textId="0BD9B0C4" w:rsidR="0013798C" w:rsidRPr="00BE2860" w:rsidRDefault="00000000" w:rsidP="00203808">
      <w:pPr>
        <w:pStyle w:val="Titre1"/>
        <w:spacing w:line="360" w:lineRule="auto"/>
        <w:jc w:val="both"/>
        <w:rPr>
          <w:rFonts w:ascii="Arial" w:hAnsi="Arial" w:cs="Arial"/>
          <w:color w:val="auto"/>
          <w:sz w:val="22"/>
          <w:szCs w:val="22"/>
          <w:u w:val="single"/>
        </w:rPr>
      </w:pPr>
      <w:bookmarkStart w:id="20" w:name="_Toc237478470"/>
      <w:r w:rsidRPr="00BE2860">
        <w:rPr>
          <w:rFonts w:ascii="Arial" w:hAnsi="Arial" w:cs="Arial"/>
          <w:color w:val="auto"/>
          <w:sz w:val="22"/>
          <w:szCs w:val="22"/>
          <w:u w:val="single"/>
        </w:rPr>
        <w:t>4. INVESTMENT APPRAISAL AND CAPITAL BUDGETING</w:t>
      </w:r>
      <w:bookmarkEnd w:id="20"/>
    </w:p>
    <w:p w14:paraId="192146D9" w14:textId="77777777" w:rsidR="004A4D3E" w:rsidRPr="00203808" w:rsidRDefault="004A4D3E" w:rsidP="00203808">
      <w:pPr>
        <w:spacing w:after="0" w:line="360" w:lineRule="auto"/>
        <w:jc w:val="both"/>
        <w:rPr>
          <w:rFonts w:cs="Arial"/>
          <w:b/>
          <w:bCs/>
          <w:sz w:val="22"/>
          <w:lang w:val="en-GB"/>
        </w:rPr>
      </w:pPr>
      <w:r w:rsidRPr="00203808">
        <w:rPr>
          <w:rFonts w:cs="Arial"/>
          <w:sz w:val="22"/>
          <w:lang w:val="en-GB"/>
        </w:rPr>
        <w:t xml:space="preserve">Investment appraisal is particularly relevant for Marriott because the company has strong operating cash generation but also significant financial commitments. At the end of 2025, Marriott generated $3.212 billion of operating cash flow, while total debt stood at approximately $16.2 billion and cash and equivalents were only approximately $0.4 billion. </w:t>
      </w:r>
      <w:r w:rsidRPr="00203808">
        <w:rPr>
          <w:rFonts w:cs="Arial"/>
          <w:sz w:val="22"/>
          <w:lang w:val="en-GB"/>
        </w:rPr>
        <w:lastRenderedPageBreak/>
        <w:t xml:space="preserve">The company therefore has the capacity to invest, but investment decisions should remain selective and generate sufficient returns to justify the use of capital. </w:t>
      </w:r>
    </w:p>
    <w:p w14:paraId="2CA7A410" w14:textId="77777777" w:rsidR="004A4D3E" w:rsidRPr="00203808" w:rsidRDefault="004A4D3E" w:rsidP="00203808">
      <w:pPr>
        <w:spacing w:after="0" w:line="360" w:lineRule="auto"/>
        <w:jc w:val="both"/>
        <w:rPr>
          <w:rFonts w:cs="Arial"/>
          <w:b/>
          <w:bCs/>
          <w:sz w:val="22"/>
          <w:lang w:val="en-GB"/>
        </w:rPr>
      </w:pPr>
      <w:r w:rsidRPr="00203808">
        <w:rPr>
          <w:rFonts w:cs="Arial"/>
          <w:sz w:val="22"/>
          <w:lang w:val="en-GB"/>
        </w:rPr>
        <w:t>Three alternative investment projects are considered. Each requires an initial investment of £50 million and generates cash inflows over five years. The appraisal uses the Payback Period (PBP), Accounting Rate of Return (ARR), Net Present Value (NPV), Profitability Index (PI), and Internal Rate of Return (IRR).</w:t>
      </w:r>
    </w:p>
    <w:p w14:paraId="467888B4" w14:textId="16E88F53" w:rsidR="004A4D3E" w:rsidRPr="00203808" w:rsidRDefault="004A4D3E" w:rsidP="00203808">
      <w:pPr>
        <w:spacing w:after="0" w:line="360" w:lineRule="auto"/>
        <w:jc w:val="both"/>
        <w:rPr>
          <w:rFonts w:cs="Arial"/>
          <w:b/>
          <w:bCs/>
          <w:sz w:val="22"/>
          <w:lang w:val="en-GB"/>
        </w:rPr>
      </w:pPr>
      <w:r w:rsidRPr="00203808">
        <w:rPr>
          <w:rFonts w:cs="Arial"/>
          <w:sz w:val="22"/>
          <w:lang w:val="en-GB"/>
        </w:rPr>
        <w:t>The required discount rate is 8%, and straight</w:t>
      </w:r>
      <w:r w:rsidR="00ED72CF" w:rsidRPr="00203808">
        <w:rPr>
          <w:rFonts w:cs="Arial"/>
          <w:sz w:val="22"/>
          <w:lang w:val="en-GB"/>
        </w:rPr>
        <w:t>-</w:t>
      </w:r>
      <w:r w:rsidRPr="00203808">
        <w:rPr>
          <w:rFonts w:cs="Arial"/>
          <w:sz w:val="22"/>
          <w:lang w:val="en-GB"/>
        </w:rPr>
        <w:t>line depreciation to zero is assumed.</w:t>
      </w:r>
    </w:p>
    <w:p w14:paraId="0CFF658F" w14:textId="0EB503E1" w:rsidR="0013798C" w:rsidRPr="00BE2860" w:rsidRDefault="00000000" w:rsidP="00203808">
      <w:pPr>
        <w:pStyle w:val="Titre2"/>
        <w:spacing w:line="360" w:lineRule="auto"/>
        <w:jc w:val="both"/>
        <w:rPr>
          <w:rFonts w:ascii="Arial" w:hAnsi="Arial" w:cs="Arial"/>
          <w:color w:val="auto"/>
          <w:sz w:val="22"/>
          <w:szCs w:val="22"/>
          <w:u w:val="single"/>
        </w:rPr>
      </w:pPr>
      <w:bookmarkStart w:id="21" w:name="_Toc237478471"/>
      <w:r w:rsidRPr="00BE2860">
        <w:rPr>
          <w:rFonts w:ascii="Arial" w:hAnsi="Arial" w:cs="Arial"/>
          <w:color w:val="auto"/>
          <w:sz w:val="22"/>
          <w:szCs w:val="22"/>
          <w:u w:val="single"/>
        </w:rPr>
        <w:t>4.</w:t>
      </w:r>
      <w:r w:rsidR="009429F9" w:rsidRPr="00BE2860">
        <w:rPr>
          <w:rFonts w:ascii="Arial" w:hAnsi="Arial" w:cs="Arial"/>
          <w:color w:val="auto"/>
          <w:sz w:val="22"/>
          <w:szCs w:val="22"/>
          <w:u w:val="single"/>
        </w:rPr>
        <w:t>a</w:t>
      </w:r>
      <w:r w:rsidRPr="00BE2860">
        <w:rPr>
          <w:rFonts w:ascii="Arial" w:hAnsi="Arial" w:cs="Arial"/>
          <w:color w:val="auto"/>
          <w:sz w:val="22"/>
          <w:szCs w:val="22"/>
          <w:u w:val="single"/>
        </w:rPr>
        <w:t xml:space="preserve"> </w:t>
      </w:r>
      <w:bookmarkStart w:id="22" w:name="_Hlk237447570"/>
      <w:r w:rsidR="0003016E" w:rsidRPr="00BE2860">
        <w:rPr>
          <w:rFonts w:ascii="Arial" w:hAnsi="Arial" w:cs="Arial"/>
          <w:color w:val="auto"/>
          <w:sz w:val="22"/>
          <w:szCs w:val="22"/>
          <w:u w:val="single"/>
        </w:rPr>
        <w:t>Calculation of PBP, ARR, NPV, PI, and IRR.</w:t>
      </w:r>
      <w:bookmarkEnd w:id="21"/>
      <w:bookmarkEnd w:id="22"/>
    </w:p>
    <w:p w14:paraId="5418F92B" w14:textId="1243FCF2" w:rsidR="00FD5F42" w:rsidRPr="00203808" w:rsidRDefault="004A4D3E" w:rsidP="00203808">
      <w:pPr>
        <w:spacing w:after="0" w:line="360" w:lineRule="auto"/>
        <w:jc w:val="both"/>
        <w:rPr>
          <w:rFonts w:cs="Arial"/>
          <w:sz w:val="22"/>
          <w:lang w:val="en-GB"/>
        </w:rPr>
      </w:pPr>
      <w:r w:rsidRPr="00203808">
        <w:rPr>
          <w:rFonts w:cs="Arial"/>
          <w:sz w:val="22"/>
          <w:lang w:val="en-GB"/>
        </w:rPr>
        <w:t>The Payback Period measures how long it takes for the initial investment to be recovered from the project's cash inflows.</w:t>
      </w:r>
      <w:r w:rsidR="00FD5F42" w:rsidRPr="00203808">
        <w:rPr>
          <w:rFonts w:cs="Arial"/>
          <w:sz w:val="22"/>
          <w:lang w:val="en-GB"/>
        </w:rPr>
        <w:t xml:space="preserve"> </w:t>
      </w:r>
      <w:r w:rsidR="00FD5F42" w:rsidRPr="00203808">
        <w:rPr>
          <w:rFonts w:cs="Arial"/>
          <w:sz w:val="22"/>
        </w:rPr>
        <w:t>Although the payback method is simple and useful for assessing liquidity and capital recovery, it does not fully consider the time value of money (Brealey, Myers and Allen, 2020).</w:t>
      </w:r>
    </w:p>
    <w:p w14:paraId="3A9ACA49" w14:textId="7BC7FE67" w:rsidR="00533B71" w:rsidRPr="00203808" w:rsidRDefault="00FD5F42" w:rsidP="00203808">
      <w:pPr>
        <w:spacing w:after="0" w:line="360" w:lineRule="auto"/>
        <w:jc w:val="both"/>
        <w:rPr>
          <w:rFonts w:cs="Arial"/>
          <w:sz w:val="22"/>
          <w:lang w:val="en-GB"/>
        </w:rPr>
      </w:pPr>
      <w:r w:rsidRPr="00203808">
        <w:rPr>
          <w:rFonts w:cs="Arial"/>
          <w:sz w:val="22"/>
          <w:lang w:val="en-GB"/>
        </w:rPr>
        <w:t>The</w:t>
      </w:r>
      <w:r w:rsidR="00533B71" w:rsidRPr="00203808">
        <w:rPr>
          <w:rFonts w:cs="Arial"/>
          <w:sz w:val="22"/>
          <w:lang w:val="en-GB"/>
        </w:rPr>
        <w:t xml:space="preserve"> ARR measures the average annual accounting profit generated by the investment relative to the average investment.</w:t>
      </w:r>
      <w:r w:rsidRPr="00203808">
        <w:rPr>
          <w:rFonts w:cs="Arial"/>
          <w:sz w:val="22"/>
          <w:lang w:val="en-GB"/>
        </w:rPr>
        <w:t xml:space="preserve"> </w:t>
      </w:r>
      <w:r w:rsidRPr="00203808">
        <w:rPr>
          <w:rFonts w:cs="Arial"/>
          <w:sz w:val="22"/>
        </w:rPr>
        <w:t>ARR is based on accounting profit rather than cash flow and should therefore be considered alongside investment appraisal methods based on discounted cash flows (Berk and DeMarzo, 2020).</w:t>
      </w:r>
    </w:p>
    <w:p w14:paraId="4E7D7516" w14:textId="60192D18" w:rsidR="00533B71" w:rsidRPr="00203808" w:rsidRDefault="00533B71" w:rsidP="00203808">
      <w:pPr>
        <w:spacing w:after="0" w:line="360" w:lineRule="auto"/>
        <w:jc w:val="both"/>
        <w:rPr>
          <w:rFonts w:cs="Arial"/>
          <w:sz w:val="22"/>
          <w:lang w:val="en-GB"/>
        </w:rPr>
      </w:pPr>
      <w:r w:rsidRPr="00203808">
        <w:rPr>
          <w:rFonts w:cs="Arial"/>
          <w:sz w:val="22"/>
          <w:lang w:val="en-GB"/>
        </w:rPr>
        <w:t>NPV considers the time value of money and compares the present value of future cash inflows with the initial investment.</w:t>
      </w:r>
      <w:r w:rsidR="00FD5F42" w:rsidRPr="00203808">
        <w:rPr>
          <w:rFonts w:cs="Arial"/>
          <w:sz w:val="22"/>
          <w:lang w:val="en-GB"/>
        </w:rPr>
        <w:t xml:space="preserve"> </w:t>
      </w:r>
      <w:r w:rsidR="00FD5F42" w:rsidRPr="00203808">
        <w:rPr>
          <w:rFonts w:cs="Arial"/>
          <w:sz w:val="22"/>
        </w:rPr>
        <w:t>NPV is generally regarded as one of the strongest investment appraisal methods because it measures the expected contribution of an investment to shareholder value (Brealey, Myers and Allen, 2020).</w:t>
      </w:r>
    </w:p>
    <w:p w14:paraId="50036359" w14:textId="2D074033" w:rsidR="00533B71" w:rsidRPr="00203808" w:rsidRDefault="00533B71" w:rsidP="00203808">
      <w:pPr>
        <w:spacing w:after="0" w:line="360" w:lineRule="auto"/>
        <w:jc w:val="both"/>
        <w:rPr>
          <w:rFonts w:cs="Arial"/>
          <w:sz w:val="22"/>
          <w:lang w:val="en-GB"/>
        </w:rPr>
      </w:pPr>
      <w:r w:rsidRPr="00203808">
        <w:rPr>
          <w:rFonts w:cs="Arial"/>
          <w:sz w:val="22"/>
          <w:lang w:val="en-GB"/>
        </w:rPr>
        <w:t>The Profitability Index measures the present value generated for each £1 invested</w:t>
      </w:r>
    </w:p>
    <w:p w14:paraId="2D15F3C9" w14:textId="156722D9" w:rsidR="00533B71" w:rsidRPr="00203808" w:rsidRDefault="00533B71" w:rsidP="00203808">
      <w:pPr>
        <w:spacing w:after="0" w:line="360" w:lineRule="auto"/>
        <w:jc w:val="both"/>
        <w:rPr>
          <w:rFonts w:cs="Arial"/>
          <w:b/>
          <w:bCs/>
          <w:sz w:val="22"/>
          <w:lang w:val="en-GB"/>
        </w:rPr>
      </w:pPr>
      <w:r w:rsidRPr="00203808">
        <w:rPr>
          <w:rFonts w:cs="Arial"/>
          <w:sz w:val="22"/>
          <w:lang w:val="en-GB"/>
        </w:rPr>
        <w:t>The IRR is the discount rate at which NPV equals zero.</w:t>
      </w:r>
      <w:r w:rsidR="00FD5F42" w:rsidRPr="00203808">
        <w:rPr>
          <w:rFonts w:cs="Arial"/>
          <w:sz w:val="22"/>
          <w:lang w:val="en-GB"/>
        </w:rPr>
        <w:t xml:space="preserve"> An investment is normally considered financially attractive when its IRR exceeds the required rate of return, provided that the underlying cash-flow assumptions are reliable (Ross, Westerfield and Jordan, 2022).</w:t>
      </w:r>
    </w:p>
    <w:p w14:paraId="1D43D635" w14:textId="77777777" w:rsidR="00533B71" w:rsidRPr="00203808" w:rsidRDefault="00533B71" w:rsidP="00203808">
      <w:pPr>
        <w:spacing w:after="0" w:line="360" w:lineRule="auto"/>
        <w:jc w:val="both"/>
        <w:rPr>
          <w:rFonts w:cs="Arial"/>
          <w:b/>
          <w:bCs/>
          <w:sz w:val="22"/>
          <w:lang w:val="en-GB"/>
        </w:rPr>
      </w:pPr>
    </w:p>
    <w:p w14:paraId="47A485B9" w14:textId="77777777" w:rsidR="00967C62" w:rsidRPr="00203808" w:rsidRDefault="00967C62" w:rsidP="00203808">
      <w:pPr>
        <w:spacing w:after="0" w:line="360" w:lineRule="auto"/>
        <w:jc w:val="both"/>
        <w:rPr>
          <w:rFonts w:cs="Arial"/>
          <w:sz w:val="22"/>
          <w:lang w:val="en-GB"/>
        </w:rPr>
      </w:pPr>
    </w:p>
    <w:p w14:paraId="711AE519" w14:textId="77777777" w:rsidR="00967C62" w:rsidRDefault="00967C62" w:rsidP="00203808">
      <w:pPr>
        <w:spacing w:after="0" w:line="360" w:lineRule="auto"/>
        <w:jc w:val="both"/>
        <w:rPr>
          <w:rFonts w:cs="Arial"/>
          <w:sz w:val="22"/>
          <w:lang w:val="en-GB"/>
        </w:rPr>
      </w:pPr>
    </w:p>
    <w:p w14:paraId="01BB1D41" w14:textId="77777777" w:rsidR="00BE2860" w:rsidRDefault="00BE2860" w:rsidP="00203808">
      <w:pPr>
        <w:spacing w:after="0" w:line="360" w:lineRule="auto"/>
        <w:jc w:val="both"/>
        <w:rPr>
          <w:rFonts w:cs="Arial"/>
          <w:sz w:val="22"/>
          <w:lang w:val="en-GB"/>
        </w:rPr>
      </w:pPr>
    </w:p>
    <w:p w14:paraId="6ABA713E" w14:textId="77777777" w:rsidR="00BE2860" w:rsidRDefault="00BE2860" w:rsidP="00203808">
      <w:pPr>
        <w:spacing w:after="0" w:line="360" w:lineRule="auto"/>
        <w:jc w:val="both"/>
        <w:rPr>
          <w:rFonts w:cs="Arial"/>
          <w:sz w:val="22"/>
          <w:lang w:val="en-GB"/>
        </w:rPr>
      </w:pPr>
    </w:p>
    <w:p w14:paraId="7FD3F7D7" w14:textId="77777777" w:rsidR="00BE2860" w:rsidRDefault="00BE2860" w:rsidP="00203808">
      <w:pPr>
        <w:spacing w:after="0" w:line="360" w:lineRule="auto"/>
        <w:jc w:val="both"/>
        <w:rPr>
          <w:rFonts w:cs="Arial"/>
          <w:sz w:val="22"/>
          <w:lang w:val="en-GB"/>
        </w:rPr>
      </w:pPr>
    </w:p>
    <w:p w14:paraId="5311414B" w14:textId="77777777" w:rsidR="00BE2860" w:rsidRDefault="00BE2860" w:rsidP="00203808">
      <w:pPr>
        <w:spacing w:after="0" w:line="360" w:lineRule="auto"/>
        <w:jc w:val="both"/>
        <w:rPr>
          <w:rFonts w:cs="Arial"/>
          <w:sz w:val="22"/>
          <w:lang w:val="en-GB"/>
        </w:rPr>
      </w:pPr>
    </w:p>
    <w:p w14:paraId="7ABAF90D" w14:textId="77777777" w:rsidR="00BE2860" w:rsidRDefault="00BE2860" w:rsidP="00203808">
      <w:pPr>
        <w:spacing w:after="0" w:line="360" w:lineRule="auto"/>
        <w:jc w:val="both"/>
        <w:rPr>
          <w:rFonts w:cs="Arial"/>
          <w:sz w:val="22"/>
          <w:lang w:val="en-GB"/>
        </w:rPr>
      </w:pPr>
    </w:p>
    <w:p w14:paraId="3B5C4D6F" w14:textId="77777777" w:rsidR="00BE2860" w:rsidRDefault="00BE2860" w:rsidP="00203808">
      <w:pPr>
        <w:spacing w:after="0" w:line="360" w:lineRule="auto"/>
        <w:jc w:val="both"/>
        <w:rPr>
          <w:rFonts w:cs="Arial"/>
          <w:sz w:val="22"/>
          <w:lang w:val="en-GB"/>
        </w:rPr>
      </w:pPr>
    </w:p>
    <w:p w14:paraId="051E84FD" w14:textId="77777777" w:rsidR="00BE2860" w:rsidRPr="00203808" w:rsidRDefault="00BE2860" w:rsidP="00203808">
      <w:pPr>
        <w:spacing w:after="0" w:line="360" w:lineRule="auto"/>
        <w:jc w:val="both"/>
        <w:rPr>
          <w:rFonts w:cs="Arial"/>
          <w:sz w:val="22"/>
          <w:lang w:val="en-GB"/>
        </w:rPr>
      </w:pPr>
    </w:p>
    <w:p w14:paraId="45823220" w14:textId="752CF353" w:rsidR="0003016E" w:rsidRPr="00BE2860" w:rsidRDefault="00967C62" w:rsidP="00203808">
      <w:pPr>
        <w:spacing w:after="0" w:line="360" w:lineRule="auto"/>
        <w:jc w:val="both"/>
        <w:rPr>
          <w:rFonts w:cs="Arial"/>
          <w:b/>
          <w:bCs/>
          <w:sz w:val="22"/>
        </w:rPr>
      </w:pPr>
      <w:r w:rsidRPr="00BE2860">
        <w:rPr>
          <w:rFonts w:cs="Arial"/>
          <w:b/>
          <w:bCs/>
          <w:sz w:val="22"/>
          <w:u w:val="single"/>
          <w:lang w:val="en-GB"/>
        </w:rPr>
        <w:t>Table</w:t>
      </w:r>
      <w:r w:rsidR="00203808" w:rsidRPr="00BE2860">
        <w:rPr>
          <w:rFonts w:cs="Arial"/>
          <w:b/>
          <w:bCs/>
          <w:sz w:val="22"/>
          <w:u w:val="single"/>
          <w:lang w:val="en-GB"/>
        </w:rPr>
        <w:t xml:space="preserve"> 8</w:t>
      </w:r>
      <w:r w:rsidRPr="00BE2860">
        <w:rPr>
          <w:rFonts w:cs="Arial"/>
          <w:b/>
          <w:bCs/>
          <w:sz w:val="22"/>
          <w:u w:val="single"/>
          <w:lang w:val="en-GB"/>
        </w:rPr>
        <w:t>:</w:t>
      </w:r>
      <w:r w:rsidRPr="00BE2860">
        <w:rPr>
          <w:rFonts w:cs="Arial"/>
          <w:b/>
          <w:bCs/>
          <w:sz w:val="22"/>
          <w:lang w:val="en-GB"/>
        </w:rPr>
        <w:t xml:space="preserve"> </w:t>
      </w:r>
      <w:r w:rsidR="00A25752" w:rsidRPr="00BE2860">
        <w:rPr>
          <w:rFonts w:cs="Arial"/>
          <w:b/>
          <w:bCs/>
          <w:sz w:val="22"/>
          <w:lang w:val="en-GB"/>
        </w:rPr>
        <w:t xml:space="preserve">summary of </w:t>
      </w:r>
      <w:r w:rsidR="00A25752" w:rsidRPr="00BE2860">
        <w:rPr>
          <w:rFonts w:cs="Arial"/>
          <w:b/>
          <w:bCs/>
          <w:sz w:val="22"/>
        </w:rPr>
        <w:t>PBP, ARR, NPV, PI, and IRR.</w:t>
      </w:r>
    </w:p>
    <w:tbl>
      <w:tblPr>
        <w:tblW w:w="0" w:type="auto"/>
        <w:tblLook w:val="04A0" w:firstRow="1" w:lastRow="0" w:firstColumn="1" w:lastColumn="0" w:noHBand="0" w:noVBand="1"/>
      </w:tblPr>
      <w:tblGrid>
        <w:gridCol w:w="3261"/>
        <w:gridCol w:w="1559"/>
        <w:gridCol w:w="1660"/>
        <w:gridCol w:w="2160"/>
      </w:tblGrid>
      <w:tr w:rsidR="00203808" w:rsidRPr="00203808" w14:paraId="42BAA79D" w14:textId="77777777" w:rsidTr="00D55FC4">
        <w:tc>
          <w:tcPr>
            <w:tcW w:w="3261" w:type="dxa"/>
            <w:tcBorders>
              <w:top w:val="thinThickSmallGap" w:sz="24" w:space="0" w:color="auto"/>
              <w:bottom w:val="thickThinSmallGap" w:sz="24" w:space="0" w:color="auto"/>
            </w:tcBorders>
          </w:tcPr>
          <w:p w14:paraId="2EC9C234" w14:textId="77777777" w:rsidR="0003016E" w:rsidRPr="00203808" w:rsidRDefault="0003016E" w:rsidP="00203808">
            <w:pPr>
              <w:spacing w:after="0" w:line="360" w:lineRule="auto"/>
              <w:jc w:val="both"/>
              <w:rPr>
                <w:rFonts w:cs="Arial"/>
                <w:sz w:val="22"/>
              </w:rPr>
            </w:pPr>
            <w:r w:rsidRPr="00203808">
              <w:rPr>
                <w:rFonts w:cs="Arial"/>
                <w:sz w:val="22"/>
              </w:rPr>
              <w:t xml:space="preserve">Measure </w:t>
            </w:r>
          </w:p>
        </w:tc>
        <w:tc>
          <w:tcPr>
            <w:tcW w:w="1559" w:type="dxa"/>
            <w:tcBorders>
              <w:top w:val="thinThickSmallGap" w:sz="24" w:space="0" w:color="auto"/>
              <w:bottom w:val="thickThinSmallGap" w:sz="24" w:space="0" w:color="auto"/>
            </w:tcBorders>
          </w:tcPr>
          <w:p w14:paraId="0D2C10CC" w14:textId="77777777" w:rsidR="0003016E" w:rsidRPr="00203808" w:rsidRDefault="0003016E" w:rsidP="00203808">
            <w:pPr>
              <w:spacing w:after="0" w:line="360" w:lineRule="auto"/>
              <w:jc w:val="both"/>
              <w:rPr>
                <w:rFonts w:cs="Arial"/>
                <w:sz w:val="22"/>
              </w:rPr>
            </w:pPr>
            <w:r w:rsidRPr="00203808">
              <w:rPr>
                <w:rFonts w:cs="Arial"/>
                <w:sz w:val="22"/>
              </w:rPr>
              <w:t>Project A</w:t>
            </w:r>
          </w:p>
        </w:tc>
        <w:tc>
          <w:tcPr>
            <w:tcW w:w="1660" w:type="dxa"/>
            <w:tcBorders>
              <w:top w:val="thinThickSmallGap" w:sz="24" w:space="0" w:color="auto"/>
              <w:bottom w:val="thickThinSmallGap" w:sz="24" w:space="0" w:color="auto"/>
            </w:tcBorders>
          </w:tcPr>
          <w:p w14:paraId="6E8D15A8" w14:textId="77777777" w:rsidR="0003016E" w:rsidRPr="00203808" w:rsidRDefault="0003016E" w:rsidP="00203808">
            <w:pPr>
              <w:spacing w:after="0" w:line="360" w:lineRule="auto"/>
              <w:jc w:val="both"/>
              <w:rPr>
                <w:rFonts w:cs="Arial"/>
                <w:sz w:val="22"/>
              </w:rPr>
            </w:pPr>
            <w:r w:rsidRPr="00203808">
              <w:rPr>
                <w:rFonts w:cs="Arial"/>
                <w:sz w:val="22"/>
              </w:rPr>
              <w:t>Project B</w:t>
            </w:r>
          </w:p>
        </w:tc>
        <w:tc>
          <w:tcPr>
            <w:tcW w:w="2160" w:type="dxa"/>
            <w:tcBorders>
              <w:top w:val="thinThickSmallGap" w:sz="24" w:space="0" w:color="auto"/>
              <w:bottom w:val="thickThinSmallGap" w:sz="24" w:space="0" w:color="auto"/>
            </w:tcBorders>
          </w:tcPr>
          <w:p w14:paraId="3584CD09" w14:textId="77777777" w:rsidR="0003016E" w:rsidRPr="00203808" w:rsidRDefault="0003016E" w:rsidP="00203808">
            <w:pPr>
              <w:spacing w:after="0" w:line="360" w:lineRule="auto"/>
              <w:jc w:val="both"/>
              <w:rPr>
                <w:rFonts w:cs="Arial"/>
                <w:sz w:val="22"/>
              </w:rPr>
            </w:pPr>
            <w:r w:rsidRPr="00203808">
              <w:rPr>
                <w:rFonts w:cs="Arial"/>
                <w:sz w:val="22"/>
              </w:rPr>
              <w:t>Project C</w:t>
            </w:r>
          </w:p>
        </w:tc>
      </w:tr>
      <w:tr w:rsidR="00203808" w:rsidRPr="00203808" w14:paraId="59A22C8A" w14:textId="77777777" w:rsidTr="00D55FC4">
        <w:tc>
          <w:tcPr>
            <w:tcW w:w="3261" w:type="dxa"/>
            <w:tcBorders>
              <w:top w:val="thickThinSmallGap" w:sz="24" w:space="0" w:color="auto"/>
            </w:tcBorders>
          </w:tcPr>
          <w:p w14:paraId="0DBD079B" w14:textId="77777777" w:rsidR="0003016E" w:rsidRPr="00203808" w:rsidRDefault="0003016E" w:rsidP="00203808">
            <w:pPr>
              <w:spacing w:after="0" w:line="360" w:lineRule="auto"/>
              <w:jc w:val="both"/>
              <w:rPr>
                <w:rFonts w:cs="Arial"/>
                <w:sz w:val="22"/>
              </w:rPr>
            </w:pPr>
            <w:r w:rsidRPr="00203808">
              <w:rPr>
                <w:rFonts w:cs="Arial"/>
                <w:sz w:val="22"/>
              </w:rPr>
              <w:t>PBP</w:t>
            </w:r>
          </w:p>
        </w:tc>
        <w:tc>
          <w:tcPr>
            <w:tcW w:w="1559" w:type="dxa"/>
            <w:tcBorders>
              <w:top w:val="thickThinSmallGap" w:sz="24" w:space="0" w:color="auto"/>
            </w:tcBorders>
          </w:tcPr>
          <w:p w14:paraId="27D9896C" w14:textId="77777777" w:rsidR="0003016E" w:rsidRPr="00203808" w:rsidRDefault="0003016E" w:rsidP="00203808">
            <w:pPr>
              <w:spacing w:after="0" w:line="360" w:lineRule="auto"/>
              <w:jc w:val="both"/>
              <w:rPr>
                <w:rFonts w:cs="Arial"/>
                <w:sz w:val="22"/>
              </w:rPr>
            </w:pPr>
            <w:r w:rsidRPr="00203808">
              <w:rPr>
                <w:rFonts w:cs="Arial"/>
                <w:sz w:val="22"/>
              </w:rPr>
              <w:t>4.50 yrs</w:t>
            </w:r>
          </w:p>
        </w:tc>
        <w:tc>
          <w:tcPr>
            <w:tcW w:w="1660" w:type="dxa"/>
            <w:tcBorders>
              <w:top w:val="thickThinSmallGap" w:sz="24" w:space="0" w:color="auto"/>
            </w:tcBorders>
          </w:tcPr>
          <w:p w14:paraId="5F79ABFB" w14:textId="77777777" w:rsidR="0003016E" w:rsidRPr="00203808" w:rsidRDefault="0003016E" w:rsidP="00203808">
            <w:pPr>
              <w:spacing w:after="0" w:line="360" w:lineRule="auto"/>
              <w:jc w:val="both"/>
              <w:rPr>
                <w:rFonts w:cs="Arial"/>
                <w:sz w:val="22"/>
              </w:rPr>
            </w:pPr>
            <w:r w:rsidRPr="00203808">
              <w:rPr>
                <w:rFonts w:cs="Arial"/>
                <w:sz w:val="22"/>
              </w:rPr>
              <w:t>4.55 yrs</w:t>
            </w:r>
          </w:p>
        </w:tc>
        <w:tc>
          <w:tcPr>
            <w:tcW w:w="2160" w:type="dxa"/>
            <w:tcBorders>
              <w:top w:val="thickThinSmallGap" w:sz="24" w:space="0" w:color="auto"/>
            </w:tcBorders>
          </w:tcPr>
          <w:p w14:paraId="59C79B6B" w14:textId="77777777" w:rsidR="0003016E" w:rsidRPr="00203808" w:rsidRDefault="0003016E" w:rsidP="00203808">
            <w:pPr>
              <w:spacing w:after="0" w:line="360" w:lineRule="auto"/>
              <w:jc w:val="both"/>
              <w:rPr>
                <w:rFonts w:cs="Arial"/>
                <w:sz w:val="22"/>
              </w:rPr>
            </w:pPr>
            <w:r w:rsidRPr="00203808">
              <w:rPr>
                <w:rFonts w:cs="Arial"/>
                <w:sz w:val="22"/>
              </w:rPr>
              <w:t>3.60 yrs</w:t>
            </w:r>
          </w:p>
        </w:tc>
      </w:tr>
      <w:tr w:rsidR="00203808" w:rsidRPr="00203808" w14:paraId="712999F3" w14:textId="77777777" w:rsidTr="00D55FC4">
        <w:tc>
          <w:tcPr>
            <w:tcW w:w="3261" w:type="dxa"/>
          </w:tcPr>
          <w:p w14:paraId="3D938DB7" w14:textId="77777777" w:rsidR="0003016E" w:rsidRPr="00203808" w:rsidRDefault="0003016E" w:rsidP="00203808">
            <w:pPr>
              <w:spacing w:after="0" w:line="360" w:lineRule="auto"/>
              <w:jc w:val="both"/>
              <w:rPr>
                <w:rFonts w:cs="Arial"/>
                <w:sz w:val="22"/>
              </w:rPr>
            </w:pPr>
            <w:r w:rsidRPr="00203808">
              <w:rPr>
                <w:rFonts w:cs="Arial"/>
                <w:sz w:val="22"/>
              </w:rPr>
              <w:t>ARR</w:t>
            </w:r>
          </w:p>
        </w:tc>
        <w:tc>
          <w:tcPr>
            <w:tcW w:w="1559" w:type="dxa"/>
          </w:tcPr>
          <w:p w14:paraId="60B06851" w14:textId="77777777" w:rsidR="0003016E" w:rsidRPr="00203808" w:rsidRDefault="0003016E" w:rsidP="00203808">
            <w:pPr>
              <w:spacing w:after="0" w:line="360" w:lineRule="auto"/>
              <w:jc w:val="both"/>
              <w:rPr>
                <w:rFonts w:cs="Arial"/>
                <w:sz w:val="22"/>
              </w:rPr>
            </w:pPr>
            <w:r w:rsidRPr="00203808">
              <w:rPr>
                <w:rFonts w:cs="Arial"/>
                <w:sz w:val="22"/>
              </w:rPr>
              <w:t>3.2%</w:t>
            </w:r>
          </w:p>
        </w:tc>
        <w:tc>
          <w:tcPr>
            <w:tcW w:w="1660" w:type="dxa"/>
          </w:tcPr>
          <w:p w14:paraId="6A9EC629" w14:textId="77777777" w:rsidR="0003016E" w:rsidRPr="00203808" w:rsidRDefault="0003016E" w:rsidP="00203808">
            <w:pPr>
              <w:spacing w:after="0" w:line="360" w:lineRule="auto"/>
              <w:jc w:val="both"/>
              <w:rPr>
                <w:rFonts w:cs="Arial"/>
                <w:sz w:val="22"/>
              </w:rPr>
            </w:pPr>
            <w:r w:rsidRPr="00203808">
              <w:rPr>
                <w:rFonts w:cs="Arial"/>
                <w:sz w:val="22"/>
              </w:rPr>
              <w:t>4.0%</w:t>
            </w:r>
          </w:p>
        </w:tc>
        <w:tc>
          <w:tcPr>
            <w:tcW w:w="2160" w:type="dxa"/>
          </w:tcPr>
          <w:p w14:paraId="682511D2" w14:textId="77777777" w:rsidR="0003016E" w:rsidRPr="00203808" w:rsidRDefault="0003016E" w:rsidP="00203808">
            <w:pPr>
              <w:spacing w:after="0" w:line="360" w:lineRule="auto"/>
              <w:jc w:val="both"/>
              <w:rPr>
                <w:rFonts w:cs="Arial"/>
                <w:sz w:val="22"/>
              </w:rPr>
            </w:pPr>
            <w:r w:rsidRPr="00203808">
              <w:rPr>
                <w:rFonts w:cs="Arial"/>
                <w:sz w:val="22"/>
              </w:rPr>
              <w:t>12.0%</w:t>
            </w:r>
          </w:p>
        </w:tc>
      </w:tr>
      <w:tr w:rsidR="00203808" w:rsidRPr="00203808" w14:paraId="22927310" w14:textId="77777777" w:rsidTr="00D55FC4">
        <w:tc>
          <w:tcPr>
            <w:tcW w:w="3261" w:type="dxa"/>
          </w:tcPr>
          <w:p w14:paraId="6403F85C" w14:textId="77777777" w:rsidR="0003016E" w:rsidRPr="00203808" w:rsidRDefault="0003016E" w:rsidP="00203808">
            <w:pPr>
              <w:spacing w:after="0" w:line="360" w:lineRule="auto"/>
              <w:jc w:val="both"/>
              <w:rPr>
                <w:rFonts w:cs="Arial"/>
                <w:sz w:val="22"/>
              </w:rPr>
            </w:pPr>
            <w:r w:rsidRPr="00203808">
              <w:rPr>
                <w:rFonts w:cs="Arial"/>
                <w:sz w:val="22"/>
              </w:rPr>
              <w:t>NPV</w:t>
            </w:r>
          </w:p>
        </w:tc>
        <w:tc>
          <w:tcPr>
            <w:tcW w:w="1559" w:type="dxa"/>
          </w:tcPr>
          <w:p w14:paraId="075BCFA5" w14:textId="6CA1A469" w:rsidR="0003016E" w:rsidRPr="00203808" w:rsidRDefault="00ED72CF" w:rsidP="00203808">
            <w:pPr>
              <w:spacing w:after="0" w:line="360" w:lineRule="auto"/>
              <w:jc w:val="both"/>
              <w:rPr>
                <w:rFonts w:cs="Arial"/>
                <w:sz w:val="22"/>
              </w:rPr>
            </w:pPr>
            <w:r w:rsidRPr="00203808">
              <w:rPr>
                <w:rFonts w:cs="Arial"/>
                <w:sz w:val="22"/>
              </w:rPr>
              <w:t>-</w:t>
            </w:r>
            <w:r w:rsidR="0003016E" w:rsidRPr="00203808">
              <w:rPr>
                <w:rFonts w:cs="Arial"/>
                <w:sz w:val="22"/>
              </w:rPr>
              <w:t>£6.54m</w:t>
            </w:r>
          </w:p>
        </w:tc>
        <w:tc>
          <w:tcPr>
            <w:tcW w:w="1660" w:type="dxa"/>
          </w:tcPr>
          <w:p w14:paraId="6839A7D5" w14:textId="32B5B76E" w:rsidR="0003016E" w:rsidRPr="00203808" w:rsidRDefault="00ED72CF" w:rsidP="00203808">
            <w:pPr>
              <w:spacing w:after="0" w:line="360" w:lineRule="auto"/>
              <w:jc w:val="both"/>
              <w:rPr>
                <w:rFonts w:cs="Arial"/>
                <w:sz w:val="22"/>
              </w:rPr>
            </w:pPr>
            <w:r w:rsidRPr="00203808">
              <w:rPr>
                <w:rFonts w:cs="Arial"/>
                <w:sz w:val="22"/>
              </w:rPr>
              <w:t>-</w:t>
            </w:r>
            <w:r w:rsidR="0003016E" w:rsidRPr="00203808">
              <w:rPr>
                <w:rFonts w:cs="Arial"/>
                <w:sz w:val="22"/>
              </w:rPr>
              <w:t>£6.08m</w:t>
            </w:r>
          </w:p>
        </w:tc>
        <w:tc>
          <w:tcPr>
            <w:tcW w:w="2160" w:type="dxa"/>
          </w:tcPr>
          <w:p w14:paraId="06E88DBE" w14:textId="77777777" w:rsidR="0003016E" w:rsidRPr="00203808" w:rsidRDefault="0003016E" w:rsidP="00203808">
            <w:pPr>
              <w:spacing w:after="0" w:line="360" w:lineRule="auto"/>
              <w:jc w:val="both"/>
              <w:rPr>
                <w:rFonts w:cs="Arial"/>
                <w:sz w:val="22"/>
              </w:rPr>
            </w:pPr>
            <w:r w:rsidRPr="00203808">
              <w:rPr>
                <w:rFonts w:cs="Arial"/>
                <w:sz w:val="22"/>
              </w:rPr>
              <w:t>+£0.86m</w:t>
            </w:r>
          </w:p>
        </w:tc>
      </w:tr>
      <w:tr w:rsidR="00203808" w:rsidRPr="00203808" w14:paraId="0EBB3A93" w14:textId="77777777" w:rsidTr="00D55FC4">
        <w:tc>
          <w:tcPr>
            <w:tcW w:w="3261" w:type="dxa"/>
          </w:tcPr>
          <w:p w14:paraId="6754F9C3" w14:textId="77777777" w:rsidR="0003016E" w:rsidRPr="00203808" w:rsidRDefault="0003016E" w:rsidP="00203808">
            <w:pPr>
              <w:spacing w:after="0" w:line="360" w:lineRule="auto"/>
              <w:jc w:val="both"/>
              <w:rPr>
                <w:rFonts w:cs="Arial"/>
                <w:sz w:val="22"/>
              </w:rPr>
            </w:pPr>
            <w:r w:rsidRPr="00203808">
              <w:rPr>
                <w:rFonts w:cs="Arial"/>
                <w:sz w:val="22"/>
              </w:rPr>
              <w:t>PI</w:t>
            </w:r>
          </w:p>
        </w:tc>
        <w:tc>
          <w:tcPr>
            <w:tcW w:w="1559" w:type="dxa"/>
          </w:tcPr>
          <w:p w14:paraId="41FE9C96" w14:textId="77777777" w:rsidR="0003016E" w:rsidRPr="00203808" w:rsidRDefault="0003016E" w:rsidP="00203808">
            <w:pPr>
              <w:spacing w:after="0" w:line="360" w:lineRule="auto"/>
              <w:jc w:val="both"/>
              <w:rPr>
                <w:rFonts w:cs="Arial"/>
                <w:sz w:val="22"/>
              </w:rPr>
            </w:pPr>
            <w:r w:rsidRPr="00203808">
              <w:rPr>
                <w:rFonts w:cs="Arial"/>
                <w:sz w:val="22"/>
              </w:rPr>
              <w:t>0.87</w:t>
            </w:r>
          </w:p>
        </w:tc>
        <w:tc>
          <w:tcPr>
            <w:tcW w:w="1660" w:type="dxa"/>
          </w:tcPr>
          <w:p w14:paraId="5FC9EBCD" w14:textId="77777777" w:rsidR="0003016E" w:rsidRPr="00203808" w:rsidRDefault="0003016E" w:rsidP="00203808">
            <w:pPr>
              <w:spacing w:after="0" w:line="360" w:lineRule="auto"/>
              <w:jc w:val="both"/>
              <w:rPr>
                <w:rFonts w:cs="Arial"/>
                <w:sz w:val="22"/>
              </w:rPr>
            </w:pPr>
            <w:r w:rsidRPr="00203808">
              <w:rPr>
                <w:rFonts w:cs="Arial"/>
                <w:sz w:val="22"/>
              </w:rPr>
              <w:t>0.88</w:t>
            </w:r>
          </w:p>
        </w:tc>
        <w:tc>
          <w:tcPr>
            <w:tcW w:w="2160" w:type="dxa"/>
          </w:tcPr>
          <w:p w14:paraId="6067F1FC" w14:textId="77777777" w:rsidR="0003016E" w:rsidRPr="00203808" w:rsidRDefault="0003016E" w:rsidP="00203808">
            <w:pPr>
              <w:spacing w:after="0" w:line="360" w:lineRule="auto"/>
              <w:jc w:val="both"/>
              <w:rPr>
                <w:rFonts w:cs="Arial"/>
                <w:sz w:val="22"/>
              </w:rPr>
            </w:pPr>
            <w:r w:rsidRPr="00203808">
              <w:rPr>
                <w:rFonts w:cs="Arial"/>
                <w:sz w:val="22"/>
              </w:rPr>
              <w:t>1.02</w:t>
            </w:r>
          </w:p>
        </w:tc>
      </w:tr>
      <w:tr w:rsidR="00203808" w:rsidRPr="00203808" w14:paraId="7C555A72" w14:textId="77777777" w:rsidTr="00D55FC4">
        <w:tc>
          <w:tcPr>
            <w:tcW w:w="3261" w:type="dxa"/>
          </w:tcPr>
          <w:p w14:paraId="3FC2CDB4" w14:textId="77777777" w:rsidR="0003016E" w:rsidRPr="00203808" w:rsidRDefault="0003016E" w:rsidP="00203808">
            <w:pPr>
              <w:spacing w:after="0" w:line="360" w:lineRule="auto"/>
              <w:jc w:val="both"/>
              <w:rPr>
                <w:rFonts w:cs="Arial"/>
                <w:sz w:val="22"/>
              </w:rPr>
            </w:pPr>
            <w:r w:rsidRPr="00203808">
              <w:rPr>
                <w:rFonts w:cs="Arial"/>
                <w:sz w:val="22"/>
              </w:rPr>
              <w:t>IRR</w:t>
            </w:r>
          </w:p>
        </w:tc>
        <w:tc>
          <w:tcPr>
            <w:tcW w:w="1559" w:type="dxa"/>
          </w:tcPr>
          <w:p w14:paraId="2F5A43FD" w14:textId="77777777" w:rsidR="0003016E" w:rsidRPr="00203808" w:rsidRDefault="0003016E" w:rsidP="00203808">
            <w:pPr>
              <w:spacing w:after="0" w:line="360" w:lineRule="auto"/>
              <w:jc w:val="both"/>
              <w:rPr>
                <w:rFonts w:cs="Arial"/>
                <w:sz w:val="22"/>
              </w:rPr>
            </w:pPr>
            <w:r w:rsidRPr="00203808">
              <w:rPr>
                <w:rFonts w:cs="Arial"/>
                <w:sz w:val="22"/>
              </w:rPr>
              <w:t>2.9%</w:t>
            </w:r>
          </w:p>
        </w:tc>
        <w:tc>
          <w:tcPr>
            <w:tcW w:w="1660" w:type="dxa"/>
          </w:tcPr>
          <w:p w14:paraId="34EF1355" w14:textId="77777777" w:rsidR="0003016E" w:rsidRPr="00203808" w:rsidRDefault="0003016E" w:rsidP="00203808">
            <w:pPr>
              <w:spacing w:after="0" w:line="360" w:lineRule="auto"/>
              <w:jc w:val="both"/>
              <w:rPr>
                <w:rFonts w:cs="Arial"/>
                <w:sz w:val="22"/>
              </w:rPr>
            </w:pPr>
            <w:r w:rsidRPr="00203808">
              <w:rPr>
                <w:rFonts w:cs="Arial"/>
                <w:sz w:val="22"/>
              </w:rPr>
              <w:t>1.9%</w:t>
            </w:r>
          </w:p>
        </w:tc>
        <w:tc>
          <w:tcPr>
            <w:tcW w:w="2160" w:type="dxa"/>
          </w:tcPr>
          <w:p w14:paraId="52C57639" w14:textId="77777777" w:rsidR="0003016E" w:rsidRPr="00203808" w:rsidRDefault="0003016E" w:rsidP="00203808">
            <w:pPr>
              <w:spacing w:after="0" w:line="360" w:lineRule="auto"/>
              <w:jc w:val="both"/>
              <w:rPr>
                <w:rFonts w:cs="Arial"/>
                <w:sz w:val="22"/>
              </w:rPr>
            </w:pPr>
            <w:r w:rsidRPr="00203808">
              <w:rPr>
                <w:rFonts w:cs="Arial"/>
                <w:sz w:val="22"/>
              </w:rPr>
              <w:t>8.6%</w:t>
            </w:r>
          </w:p>
        </w:tc>
      </w:tr>
      <w:tr w:rsidR="00203808" w:rsidRPr="00203808" w14:paraId="055179DE" w14:textId="77777777" w:rsidTr="00D55FC4">
        <w:tc>
          <w:tcPr>
            <w:tcW w:w="3261" w:type="dxa"/>
            <w:tcBorders>
              <w:bottom w:val="thickThinSmallGap" w:sz="24" w:space="0" w:color="auto"/>
            </w:tcBorders>
          </w:tcPr>
          <w:p w14:paraId="717BBD46" w14:textId="77777777" w:rsidR="0003016E" w:rsidRPr="00203808" w:rsidRDefault="0003016E" w:rsidP="00203808">
            <w:pPr>
              <w:spacing w:after="0" w:line="360" w:lineRule="auto"/>
              <w:jc w:val="both"/>
              <w:rPr>
                <w:rFonts w:cs="Arial"/>
                <w:sz w:val="22"/>
              </w:rPr>
            </w:pPr>
            <w:r w:rsidRPr="00203808">
              <w:rPr>
                <w:rFonts w:cs="Arial"/>
                <w:sz w:val="22"/>
              </w:rPr>
              <w:t>Overall</w:t>
            </w:r>
          </w:p>
        </w:tc>
        <w:tc>
          <w:tcPr>
            <w:tcW w:w="1559" w:type="dxa"/>
            <w:tcBorders>
              <w:bottom w:val="thickThinSmallGap" w:sz="24" w:space="0" w:color="auto"/>
            </w:tcBorders>
          </w:tcPr>
          <w:p w14:paraId="33191BFE" w14:textId="77777777" w:rsidR="0003016E" w:rsidRPr="00203808" w:rsidRDefault="0003016E" w:rsidP="00203808">
            <w:pPr>
              <w:spacing w:after="0" w:line="360" w:lineRule="auto"/>
              <w:jc w:val="both"/>
              <w:rPr>
                <w:rFonts w:cs="Arial"/>
                <w:sz w:val="22"/>
              </w:rPr>
            </w:pPr>
            <w:r w:rsidRPr="00203808">
              <w:rPr>
                <w:rFonts w:cs="Arial"/>
                <w:sz w:val="22"/>
              </w:rPr>
              <w:t>Reject</w:t>
            </w:r>
          </w:p>
        </w:tc>
        <w:tc>
          <w:tcPr>
            <w:tcW w:w="1660" w:type="dxa"/>
            <w:tcBorders>
              <w:bottom w:val="thickThinSmallGap" w:sz="24" w:space="0" w:color="auto"/>
            </w:tcBorders>
          </w:tcPr>
          <w:p w14:paraId="6553B8F6" w14:textId="77777777" w:rsidR="0003016E" w:rsidRPr="00203808" w:rsidRDefault="0003016E" w:rsidP="00203808">
            <w:pPr>
              <w:spacing w:after="0" w:line="360" w:lineRule="auto"/>
              <w:jc w:val="both"/>
              <w:rPr>
                <w:rFonts w:cs="Arial"/>
                <w:sz w:val="22"/>
              </w:rPr>
            </w:pPr>
            <w:r w:rsidRPr="00203808">
              <w:rPr>
                <w:rFonts w:cs="Arial"/>
                <w:sz w:val="22"/>
              </w:rPr>
              <w:t>Reject</w:t>
            </w:r>
          </w:p>
        </w:tc>
        <w:tc>
          <w:tcPr>
            <w:tcW w:w="2160" w:type="dxa"/>
            <w:tcBorders>
              <w:bottom w:val="thickThinSmallGap" w:sz="24" w:space="0" w:color="auto"/>
            </w:tcBorders>
          </w:tcPr>
          <w:p w14:paraId="57EB9F77" w14:textId="77777777" w:rsidR="0003016E" w:rsidRPr="00203808" w:rsidRDefault="0003016E" w:rsidP="00203808">
            <w:pPr>
              <w:spacing w:after="0" w:line="360" w:lineRule="auto"/>
              <w:jc w:val="both"/>
              <w:rPr>
                <w:rFonts w:cs="Arial"/>
                <w:sz w:val="22"/>
              </w:rPr>
            </w:pPr>
            <w:r w:rsidRPr="00203808">
              <w:rPr>
                <w:rFonts w:cs="Arial"/>
                <w:sz w:val="22"/>
              </w:rPr>
              <w:t>Accept</w:t>
            </w:r>
          </w:p>
        </w:tc>
      </w:tr>
    </w:tbl>
    <w:p w14:paraId="63096259" w14:textId="7A0ED0E9" w:rsidR="007971E1" w:rsidRPr="00203808" w:rsidRDefault="00967C62" w:rsidP="00203808">
      <w:pPr>
        <w:spacing w:after="0" w:line="360" w:lineRule="auto"/>
        <w:jc w:val="both"/>
        <w:rPr>
          <w:rFonts w:cs="Arial"/>
          <w:b/>
          <w:bCs/>
          <w:sz w:val="22"/>
        </w:rPr>
      </w:pPr>
      <w:r w:rsidRPr="00203808">
        <w:rPr>
          <w:rFonts w:cs="Arial"/>
          <w:b/>
          <w:bCs/>
          <w:sz w:val="22"/>
        </w:rPr>
        <w:t>Source: Autor’ calculations from projects’ information</w:t>
      </w:r>
    </w:p>
    <w:p w14:paraId="0E48FF95" w14:textId="77777777" w:rsidR="007971E1" w:rsidRPr="00203808" w:rsidRDefault="007971E1" w:rsidP="00203808">
      <w:pPr>
        <w:spacing w:after="0" w:line="360" w:lineRule="auto"/>
        <w:jc w:val="both"/>
        <w:rPr>
          <w:rFonts w:cs="Arial"/>
          <w:b/>
          <w:bCs/>
          <w:sz w:val="22"/>
        </w:rPr>
      </w:pPr>
    </w:p>
    <w:p w14:paraId="4EBF56EB" w14:textId="4360F552" w:rsidR="00EB716E" w:rsidRPr="00BE2860" w:rsidRDefault="00EB716E" w:rsidP="00203808">
      <w:pPr>
        <w:pStyle w:val="Titre2"/>
        <w:spacing w:line="360" w:lineRule="auto"/>
        <w:jc w:val="both"/>
        <w:rPr>
          <w:rFonts w:ascii="Arial" w:hAnsi="Arial" w:cs="Arial"/>
          <w:b w:val="0"/>
          <w:bCs w:val="0"/>
          <w:color w:val="auto"/>
          <w:sz w:val="22"/>
          <w:szCs w:val="22"/>
          <w:u w:val="single"/>
          <w:lang w:val="en-GB"/>
        </w:rPr>
      </w:pPr>
      <w:bookmarkStart w:id="23" w:name="_Toc237478472"/>
      <w:r w:rsidRPr="00BE2860">
        <w:rPr>
          <w:rFonts w:ascii="Arial" w:hAnsi="Arial" w:cs="Arial"/>
          <w:color w:val="auto"/>
          <w:sz w:val="22"/>
          <w:szCs w:val="22"/>
          <w:u w:val="single"/>
          <w:lang w:val="en-GB"/>
        </w:rPr>
        <w:t>4.</w:t>
      </w:r>
      <w:r w:rsidR="007971E1" w:rsidRPr="00BE2860">
        <w:rPr>
          <w:rFonts w:ascii="Arial" w:hAnsi="Arial" w:cs="Arial"/>
          <w:color w:val="auto"/>
          <w:sz w:val="22"/>
          <w:szCs w:val="22"/>
          <w:u w:val="single"/>
          <w:lang w:val="en-GB"/>
        </w:rPr>
        <w:t>b</w:t>
      </w:r>
      <w:r w:rsidRPr="00BE2860">
        <w:rPr>
          <w:rFonts w:ascii="Arial" w:hAnsi="Arial" w:cs="Arial"/>
          <w:color w:val="auto"/>
          <w:sz w:val="22"/>
          <w:szCs w:val="22"/>
          <w:u w:val="single"/>
          <w:lang w:val="en-GB"/>
        </w:rPr>
        <w:t xml:space="preserve"> Recommended Project</w:t>
      </w:r>
      <w:bookmarkEnd w:id="23"/>
    </w:p>
    <w:p w14:paraId="1D7661A5" w14:textId="7A3D5D80" w:rsidR="00EB716E" w:rsidRPr="00203808" w:rsidRDefault="00EB716E" w:rsidP="00203808">
      <w:pPr>
        <w:spacing w:after="0" w:line="360" w:lineRule="auto"/>
        <w:jc w:val="both"/>
        <w:rPr>
          <w:rFonts w:cs="Arial"/>
          <w:b/>
          <w:bCs/>
          <w:sz w:val="22"/>
          <w:lang w:val="en-GB"/>
        </w:rPr>
      </w:pPr>
      <w:r w:rsidRPr="00203808">
        <w:rPr>
          <w:rFonts w:cs="Arial"/>
          <w:sz w:val="22"/>
          <w:lang w:val="en-GB"/>
        </w:rPr>
        <w:t>Project C should be recommended because it is the only project that satisfies the fundamental value</w:t>
      </w:r>
      <w:r w:rsidR="00ED72CF" w:rsidRPr="00203808">
        <w:rPr>
          <w:rFonts w:cs="Arial"/>
          <w:sz w:val="22"/>
          <w:lang w:val="en-GB"/>
        </w:rPr>
        <w:t>-</w:t>
      </w:r>
      <w:r w:rsidRPr="00203808">
        <w:rPr>
          <w:rFonts w:cs="Arial"/>
          <w:sz w:val="22"/>
          <w:lang w:val="en-GB"/>
        </w:rPr>
        <w:t>creation criteria.</w:t>
      </w:r>
    </w:p>
    <w:p w14:paraId="618CBC79" w14:textId="77777777" w:rsidR="00EB716E" w:rsidRPr="00203808" w:rsidRDefault="00EB716E" w:rsidP="00203808">
      <w:pPr>
        <w:spacing w:after="0" w:line="360" w:lineRule="auto"/>
        <w:jc w:val="both"/>
        <w:rPr>
          <w:rFonts w:cs="Arial"/>
          <w:b/>
          <w:bCs/>
          <w:sz w:val="22"/>
          <w:lang w:val="en-GB"/>
        </w:rPr>
      </w:pPr>
      <w:r w:rsidRPr="00203808">
        <w:rPr>
          <w:rFonts w:cs="Arial"/>
          <w:sz w:val="22"/>
          <w:lang w:val="en-GB"/>
        </w:rPr>
        <w:t>Its most important advantage is its positive NPV of approximately £0.86 million. This means that, at the 8% required return, the present value of Project C's expected cash inflows exceeds the £50 million initial investment.</w:t>
      </w:r>
    </w:p>
    <w:p w14:paraId="6F275D5F" w14:textId="4EAC4A6B" w:rsidR="00EB716E" w:rsidRPr="00203808" w:rsidRDefault="00EB716E" w:rsidP="00203808">
      <w:pPr>
        <w:spacing w:after="0" w:line="360" w:lineRule="auto"/>
        <w:jc w:val="both"/>
        <w:rPr>
          <w:rFonts w:cs="Arial"/>
          <w:b/>
          <w:bCs/>
          <w:sz w:val="22"/>
          <w:lang w:val="en-GB"/>
        </w:rPr>
      </w:pPr>
      <w:r w:rsidRPr="00203808">
        <w:rPr>
          <w:rFonts w:cs="Arial"/>
          <w:sz w:val="22"/>
          <w:lang w:val="en-GB"/>
        </w:rPr>
        <w:t xml:space="preserve">Project C also has the shortest payback period at 3.60 years, compared with 4.50 years for Project A and 4.55 years for Project B. This is particularly relevant to Marriott because the company's liquidity position is relatively tight. Marriott reported only approximately $358 million of cash and equivalents at the end of 2025, although it generated $3.212 billion of operating cash flow during the year. </w:t>
      </w:r>
    </w:p>
    <w:p w14:paraId="54360989" w14:textId="77777777" w:rsidR="00EB716E" w:rsidRPr="00203808" w:rsidRDefault="00EB716E" w:rsidP="00203808">
      <w:pPr>
        <w:spacing w:after="0" w:line="360" w:lineRule="auto"/>
        <w:jc w:val="both"/>
        <w:rPr>
          <w:rFonts w:cs="Arial"/>
          <w:b/>
          <w:bCs/>
          <w:sz w:val="22"/>
          <w:lang w:val="en-GB"/>
        </w:rPr>
      </w:pPr>
      <w:r w:rsidRPr="00203808">
        <w:rPr>
          <w:rFonts w:cs="Arial"/>
          <w:sz w:val="22"/>
          <w:lang w:val="en-GB"/>
        </w:rPr>
        <w:t>The ARR result is also strongly favourable. Project C produces an ARR of 12%, compared with 3.2% for Project A and 4.0% for Project B.</w:t>
      </w:r>
    </w:p>
    <w:p w14:paraId="3818A8B5" w14:textId="42AFBFB1" w:rsidR="00EB716E" w:rsidRPr="00203808" w:rsidRDefault="00EB716E" w:rsidP="00203808">
      <w:pPr>
        <w:spacing w:after="0" w:line="360" w:lineRule="auto"/>
        <w:jc w:val="both"/>
        <w:rPr>
          <w:rFonts w:cs="Arial"/>
          <w:b/>
          <w:bCs/>
          <w:sz w:val="22"/>
          <w:lang w:val="en-GB"/>
        </w:rPr>
      </w:pPr>
      <w:r w:rsidRPr="00203808">
        <w:rPr>
          <w:rFonts w:cs="Arial"/>
          <w:sz w:val="22"/>
          <w:lang w:val="en-GB"/>
        </w:rPr>
        <w:t xml:space="preserve">The project also fits Marriott's broader financial position. Marriott's revenue reached $26.186 billion and operating income reached $4.141 billion in 2025, demonstrating that the company has strong operating profitability. </w:t>
      </w:r>
    </w:p>
    <w:p w14:paraId="250CFCB9" w14:textId="63FFCEB0" w:rsidR="00EB716E" w:rsidRPr="00203808" w:rsidRDefault="00EB716E" w:rsidP="00203808">
      <w:pPr>
        <w:spacing w:after="0" w:line="360" w:lineRule="auto"/>
        <w:jc w:val="both"/>
        <w:rPr>
          <w:rFonts w:cs="Arial"/>
          <w:b/>
          <w:bCs/>
          <w:sz w:val="22"/>
          <w:lang w:val="en-GB"/>
        </w:rPr>
      </w:pPr>
      <w:r w:rsidRPr="00203808">
        <w:rPr>
          <w:rFonts w:cs="Arial"/>
          <w:sz w:val="22"/>
          <w:lang w:val="en-GB"/>
        </w:rPr>
        <w:t>However, Project C's cash flows are back</w:t>
      </w:r>
      <w:r w:rsidR="00ED72CF" w:rsidRPr="00203808">
        <w:rPr>
          <w:rFonts w:cs="Arial"/>
          <w:sz w:val="22"/>
          <w:lang w:val="en-GB"/>
        </w:rPr>
        <w:t>-</w:t>
      </w:r>
      <w:r w:rsidRPr="00203808">
        <w:rPr>
          <w:rFonts w:cs="Arial"/>
          <w:sz w:val="22"/>
          <w:lang w:val="en-GB"/>
        </w:rPr>
        <w:t>loaded. Only £15 million is recovered during the first two years, while the largest inflows occur in Years 3 and 4. This creates greater forecasting risk than Project B, which produces a stable £11 million every year.</w:t>
      </w:r>
    </w:p>
    <w:p w14:paraId="2FBF2253" w14:textId="6B6CA718" w:rsidR="00EB716E" w:rsidRPr="00203808" w:rsidRDefault="00EB716E" w:rsidP="00203808">
      <w:pPr>
        <w:spacing w:after="0" w:line="360" w:lineRule="auto"/>
        <w:jc w:val="both"/>
        <w:rPr>
          <w:rFonts w:cs="Arial"/>
          <w:b/>
          <w:bCs/>
          <w:sz w:val="22"/>
          <w:lang w:val="en-GB"/>
        </w:rPr>
      </w:pPr>
      <w:r w:rsidRPr="00203808">
        <w:rPr>
          <w:rFonts w:cs="Arial"/>
          <w:sz w:val="22"/>
          <w:lang w:val="en-GB"/>
        </w:rPr>
        <w:t>Therefore, Marriott should approve Project C only after considering the reliability of the assumptions underlying the Year 3 and Year 4 cash flows.</w:t>
      </w:r>
    </w:p>
    <w:p w14:paraId="5294A663" w14:textId="59E1D40D" w:rsidR="00EB716E" w:rsidRPr="00BE2860" w:rsidRDefault="00EB716E" w:rsidP="00203808">
      <w:pPr>
        <w:pStyle w:val="Titre2"/>
        <w:spacing w:line="360" w:lineRule="auto"/>
        <w:jc w:val="both"/>
        <w:rPr>
          <w:rFonts w:ascii="Arial" w:hAnsi="Arial" w:cs="Arial"/>
          <w:b w:val="0"/>
          <w:bCs w:val="0"/>
          <w:color w:val="auto"/>
          <w:sz w:val="22"/>
          <w:szCs w:val="22"/>
          <w:u w:val="single"/>
          <w:lang w:val="en-GB"/>
        </w:rPr>
      </w:pPr>
      <w:bookmarkStart w:id="24" w:name="_Toc237478473"/>
      <w:r w:rsidRPr="00BE2860">
        <w:rPr>
          <w:rFonts w:ascii="Arial" w:hAnsi="Arial" w:cs="Arial"/>
          <w:color w:val="auto"/>
          <w:sz w:val="22"/>
          <w:szCs w:val="22"/>
          <w:u w:val="single"/>
          <w:lang w:val="en-GB"/>
        </w:rPr>
        <w:lastRenderedPageBreak/>
        <w:t>4.</w:t>
      </w:r>
      <w:r w:rsidR="007971E1" w:rsidRPr="00BE2860">
        <w:rPr>
          <w:rFonts w:ascii="Arial" w:hAnsi="Arial" w:cs="Arial"/>
          <w:color w:val="auto"/>
          <w:sz w:val="22"/>
          <w:szCs w:val="22"/>
          <w:u w:val="single"/>
          <w:lang w:val="en-GB"/>
        </w:rPr>
        <w:t>c</w:t>
      </w:r>
      <w:r w:rsidRPr="00BE2860">
        <w:rPr>
          <w:rFonts w:ascii="Arial" w:hAnsi="Arial" w:cs="Arial"/>
          <w:color w:val="auto"/>
          <w:sz w:val="22"/>
          <w:szCs w:val="22"/>
          <w:u w:val="single"/>
          <w:lang w:val="en-GB"/>
        </w:rPr>
        <w:t xml:space="preserve"> Financial and Non</w:t>
      </w:r>
      <w:r w:rsidR="00ED72CF" w:rsidRPr="00BE2860">
        <w:rPr>
          <w:rFonts w:ascii="Arial" w:hAnsi="Arial" w:cs="Arial"/>
          <w:color w:val="auto"/>
          <w:sz w:val="22"/>
          <w:szCs w:val="22"/>
          <w:u w:val="single"/>
          <w:lang w:val="en-GB"/>
        </w:rPr>
        <w:t>-</w:t>
      </w:r>
      <w:r w:rsidRPr="00BE2860">
        <w:rPr>
          <w:rFonts w:ascii="Arial" w:hAnsi="Arial" w:cs="Arial"/>
          <w:color w:val="auto"/>
          <w:sz w:val="22"/>
          <w:szCs w:val="22"/>
          <w:u w:val="single"/>
          <w:lang w:val="en-GB"/>
        </w:rPr>
        <w:t>Financial Risks</w:t>
      </w:r>
      <w:bookmarkEnd w:id="24"/>
    </w:p>
    <w:p w14:paraId="2BC014CF" w14:textId="77777777" w:rsidR="00EB716E" w:rsidRPr="00BE2860" w:rsidRDefault="00EB716E" w:rsidP="00203808">
      <w:pPr>
        <w:spacing w:after="0" w:line="360" w:lineRule="auto"/>
        <w:jc w:val="both"/>
        <w:rPr>
          <w:rFonts w:cs="Arial"/>
          <w:b/>
          <w:bCs/>
          <w:sz w:val="22"/>
          <w:lang w:val="en-GB"/>
        </w:rPr>
      </w:pPr>
      <w:r w:rsidRPr="00BE2860">
        <w:rPr>
          <w:rFonts w:cs="Arial"/>
          <w:b/>
          <w:bCs/>
          <w:sz w:val="22"/>
          <w:lang w:val="en-GB"/>
        </w:rPr>
        <w:t>Financial considerations</w:t>
      </w:r>
    </w:p>
    <w:p w14:paraId="7C844EDF" w14:textId="367A498C" w:rsidR="00EB716E" w:rsidRPr="00203808" w:rsidRDefault="00EB716E" w:rsidP="00203808">
      <w:pPr>
        <w:spacing w:after="0" w:line="360" w:lineRule="auto"/>
        <w:jc w:val="both"/>
        <w:rPr>
          <w:rFonts w:cs="Arial"/>
          <w:b/>
          <w:bCs/>
          <w:sz w:val="22"/>
          <w:lang w:val="en-GB"/>
        </w:rPr>
      </w:pPr>
      <w:r w:rsidRPr="00203808">
        <w:rPr>
          <w:rFonts w:cs="Arial"/>
          <w:sz w:val="22"/>
          <w:lang w:val="en-GB"/>
        </w:rPr>
        <w:t>Project C is attractive because Marriott has strong cash</w:t>
      </w:r>
      <w:r w:rsidR="00ED72CF" w:rsidRPr="00203808">
        <w:rPr>
          <w:rFonts w:cs="Arial"/>
          <w:sz w:val="22"/>
          <w:lang w:val="en-GB"/>
        </w:rPr>
        <w:t>-</w:t>
      </w:r>
      <w:r w:rsidRPr="00203808">
        <w:rPr>
          <w:rFonts w:cs="Arial"/>
          <w:sz w:val="22"/>
          <w:lang w:val="en-GB"/>
        </w:rPr>
        <w:t>generation capacity. Operating cash flow was $3.212 billion in 2025, compared with $2.749 billion in 2024.</w:t>
      </w:r>
      <w:r w:rsidR="007971E1" w:rsidRPr="00203808">
        <w:rPr>
          <w:rFonts w:cs="Arial"/>
          <w:b/>
          <w:bCs/>
          <w:sz w:val="22"/>
          <w:lang w:val="en-GB"/>
        </w:rPr>
        <w:t xml:space="preserve"> </w:t>
      </w:r>
      <w:r w:rsidRPr="00203808">
        <w:rPr>
          <w:rFonts w:cs="Arial"/>
          <w:sz w:val="22"/>
          <w:lang w:val="en-GB"/>
        </w:rPr>
        <w:t>However, Marriott also has significant financial leverage. Total debt reached approximately $16.2 billion at the end of 2025.</w:t>
      </w:r>
      <w:r w:rsidR="007971E1" w:rsidRPr="00203808">
        <w:rPr>
          <w:rFonts w:cs="Arial"/>
          <w:b/>
          <w:bCs/>
          <w:sz w:val="22"/>
          <w:lang w:val="en-GB"/>
        </w:rPr>
        <w:t xml:space="preserve"> </w:t>
      </w:r>
      <w:r w:rsidRPr="00203808">
        <w:rPr>
          <w:rFonts w:cs="Arial"/>
          <w:sz w:val="22"/>
          <w:lang w:val="en-GB"/>
        </w:rPr>
        <w:t>The £50 million investment is therefore manageable relative to the scale of Marriott's operations, but management should avoid allowing multiple projects with uncertain cash flows to increase financial pressure simultaneously.</w:t>
      </w:r>
    </w:p>
    <w:p w14:paraId="7AD2C329" w14:textId="77777777" w:rsidR="00EB716E" w:rsidRPr="00BE2860" w:rsidRDefault="00EB716E" w:rsidP="00203808">
      <w:pPr>
        <w:spacing w:after="0" w:line="360" w:lineRule="auto"/>
        <w:jc w:val="both"/>
        <w:rPr>
          <w:rFonts w:cs="Arial"/>
          <w:b/>
          <w:bCs/>
          <w:sz w:val="22"/>
          <w:lang w:val="en-GB"/>
        </w:rPr>
      </w:pPr>
      <w:r w:rsidRPr="00BE2860">
        <w:rPr>
          <w:rFonts w:cs="Arial"/>
          <w:b/>
          <w:bCs/>
          <w:sz w:val="22"/>
          <w:lang w:val="en-GB"/>
        </w:rPr>
        <w:t>Political and international risk</w:t>
      </w:r>
    </w:p>
    <w:p w14:paraId="0295E95E" w14:textId="5C0C1E8C" w:rsidR="00EB716E" w:rsidRPr="00203808" w:rsidRDefault="00EB716E" w:rsidP="00203808">
      <w:pPr>
        <w:spacing w:after="0" w:line="360" w:lineRule="auto"/>
        <w:jc w:val="both"/>
        <w:rPr>
          <w:rFonts w:cs="Arial"/>
          <w:b/>
          <w:bCs/>
          <w:sz w:val="22"/>
          <w:lang w:val="en-GB"/>
        </w:rPr>
      </w:pPr>
      <w:r w:rsidRPr="00203808">
        <w:rPr>
          <w:rFonts w:cs="Arial"/>
          <w:sz w:val="22"/>
          <w:lang w:val="en-GB"/>
        </w:rPr>
        <w:t>Marriott operates a highly international business, with approximately 9,805 properties across 145 countries and territories at year</w:t>
      </w:r>
      <w:r w:rsidR="00ED72CF" w:rsidRPr="00203808">
        <w:rPr>
          <w:rFonts w:cs="Arial"/>
          <w:sz w:val="22"/>
          <w:lang w:val="en-GB"/>
        </w:rPr>
        <w:t>-</w:t>
      </w:r>
      <w:r w:rsidRPr="00203808">
        <w:rPr>
          <w:rFonts w:cs="Arial"/>
          <w:sz w:val="22"/>
          <w:lang w:val="en-GB"/>
        </w:rPr>
        <w:t>end 2025.</w:t>
      </w:r>
    </w:p>
    <w:p w14:paraId="4C267D29" w14:textId="080091DD" w:rsidR="00EB716E" w:rsidRPr="00203808" w:rsidRDefault="00EB716E" w:rsidP="00203808">
      <w:pPr>
        <w:spacing w:after="0" w:line="360" w:lineRule="auto"/>
        <w:jc w:val="both"/>
        <w:rPr>
          <w:rFonts w:cs="Arial"/>
          <w:b/>
          <w:bCs/>
          <w:sz w:val="22"/>
          <w:lang w:val="en-GB"/>
        </w:rPr>
      </w:pPr>
      <w:r w:rsidRPr="00203808">
        <w:rPr>
          <w:rFonts w:cs="Arial"/>
          <w:sz w:val="22"/>
          <w:lang w:val="en-GB"/>
        </w:rPr>
        <w:t>Any investment project involving international markets may therefore face</w:t>
      </w:r>
      <w:r w:rsidR="007971E1" w:rsidRPr="00203808">
        <w:rPr>
          <w:rFonts w:cs="Arial"/>
          <w:sz w:val="22"/>
          <w:lang w:val="en-GB"/>
        </w:rPr>
        <w:t xml:space="preserve"> to</w:t>
      </w:r>
    </w:p>
    <w:p w14:paraId="26FF96A1" w14:textId="1CE46170" w:rsidR="00EB716E" w:rsidRPr="00BE2860" w:rsidRDefault="00EB716E" w:rsidP="00203808">
      <w:pPr>
        <w:spacing w:after="0" w:line="360" w:lineRule="auto"/>
        <w:jc w:val="both"/>
        <w:rPr>
          <w:rFonts w:cs="Arial"/>
          <w:b/>
          <w:bCs/>
          <w:sz w:val="22"/>
          <w:lang w:val="en-GB"/>
        </w:rPr>
      </w:pPr>
      <w:r w:rsidRPr="00203808">
        <w:rPr>
          <w:rFonts w:cs="Arial"/>
          <w:sz w:val="22"/>
          <w:lang w:val="en-GB"/>
        </w:rPr>
        <w:t>political instability</w:t>
      </w:r>
      <w:r w:rsidR="007971E1" w:rsidRPr="00203808">
        <w:rPr>
          <w:rFonts w:cs="Arial"/>
          <w:sz w:val="22"/>
          <w:lang w:val="en-GB"/>
        </w:rPr>
        <w:t>,</w:t>
      </w:r>
      <w:r w:rsidR="007971E1" w:rsidRPr="00203808">
        <w:rPr>
          <w:rFonts w:cs="Arial"/>
          <w:b/>
          <w:bCs/>
          <w:sz w:val="22"/>
          <w:lang w:val="en-GB"/>
        </w:rPr>
        <w:t xml:space="preserve"> </w:t>
      </w:r>
      <w:r w:rsidRPr="00203808">
        <w:rPr>
          <w:rFonts w:cs="Arial"/>
          <w:sz w:val="22"/>
          <w:lang w:val="en-GB"/>
        </w:rPr>
        <w:t>changes in tourism regulations</w:t>
      </w:r>
      <w:r w:rsidR="007971E1" w:rsidRPr="00203808">
        <w:rPr>
          <w:rFonts w:cs="Arial"/>
          <w:sz w:val="22"/>
          <w:lang w:val="en-GB"/>
        </w:rPr>
        <w:t>,</w:t>
      </w:r>
      <w:r w:rsidR="007971E1" w:rsidRPr="00203808">
        <w:rPr>
          <w:rFonts w:cs="Arial"/>
          <w:b/>
          <w:bCs/>
          <w:sz w:val="22"/>
          <w:lang w:val="en-GB"/>
        </w:rPr>
        <w:t xml:space="preserve"> </w:t>
      </w:r>
      <w:r w:rsidRPr="00203808">
        <w:rPr>
          <w:rFonts w:cs="Arial"/>
          <w:sz w:val="22"/>
          <w:lang w:val="en-GB"/>
        </w:rPr>
        <w:t>taxation changes</w:t>
      </w:r>
      <w:r w:rsidR="007971E1" w:rsidRPr="00203808">
        <w:rPr>
          <w:rFonts w:cs="Arial"/>
          <w:sz w:val="22"/>
          <w:lang w:val="en-GB"/>
        </w:rPr>
        <w:t>,</w:t>
      </w:r>
      <w:r w:rsidR="007971E1" w:rsidRPr="00203808">
        <w:rPr>
          <w:rFonts w:cs="Arial"/>
          <w:b/>
          <w:bCs/>
          <w:sz w:val="22"/>
          <w:lang w:val="en-GB"/>
        </w:rPr>
        <w:t xml:space="preserve"> </w:t>
      </w:r>
      <w:r w:rsidRPr="00203808">
        <w:rPr>
          <w:rFonts w:cs="Arial"/>
          <w:sz w:val="22"/>
          <w:lang w:val="en-GB"/>
        </w:rPr>
        <w:t>foreign</w:t>
      </w:r>
      <w:r w:rsidR="00ED72CF" w:rsidRPr="00203808">
        <w:rPr>
          <w:rFonts w:cs="Arial"/>
          <w:sz w:val="22"/>
          <w:lang w:val="en-GB"/>
        </w:rPr>
        <w:t>-</w:t>
      </w:r>
      <w:r w:rsidRPr="00203808">
        <w:rPr>
          <w:rFonts w:cs="Arial"/>
          <w:sz w:val="22"/>
          <w:lang w:val="en-GB"/>
        </w:rPr>
        <w:t>exchange movements</w:t>
      </w:r>
      <w:r w:rsidR="007971E1" w:rsidRPr="00203808">
        <w:rPr>
          <w:rFonts w:cs="Arial"/>
          <w:sz w:val="22"/>
          <w:lang w:val="en-GB"/>
        </w:rPr>
        <w:t>,</w:t>
      </w:r>
      <w:r w:rsidR="007971E1" w:rsidRPr="00203808">
        <w:rPr>
          <w:rFonts w:cs="Arial"/>
          <w:b/>
          <w:bCs/>
          <w:sz w:val="22"/>
          <w:lang w:val="en-GB"/>
        </w:rPr>
        <w:t xml:space="preserve"> </w:t>
      </w:r>
      <w:r w:rsidRPr="00203808">
        <w:rPr>
          <w:rFonts w:cs="Arial"/>
          <w:sz w:val="22"/>
          <w:lang w:val="en-GB"/>
        </w:rPr>
        <w:t>restrictions on international capital flows</w:t>
      </w:r>
      <w:r w:rsidR="007971E1" w:rsidRPr="00203808">
        <w:rPr>
          <w:rFonts w:cs="Arial"/>
          <w:sz w:val="22"/>
          <w:lang w:val="en-GB"/>
        </w:rPr>
        <w:t>,</w:t>
      </w:r>
      <w:r w:rsidR="007971E1" w:rsidRPr="00203808">
        <w:rPr>
          <w:rFonts w:cs="Arial"/>
          <w:b/>
          <w:bCs/>
          <w:sz w:val="22"/>
          <w:lang w:val="en-GB"/>
        </w:rPr>
        <w:t xml:space="preserve"> </w:t>
      </w:r>
      <w:r w:rsidRPr="00203808">
        <w:rPr>
          <w:rFonts w:cs="Arial"/>
          <w:sz w:val="22"/>
          <w:lang w:val="en-GB"/>
        </w:rPr>
        <w:t>geopolitical conflicts</w:t>
      </w:r>
      <w:r w:rsidR="007971E1" w:rsidRPr="00203808">
        <w:rPr>
          <w:rFonts w:cs="Arial"/>
          <w:sz w:val="22"/>
          <w:lang w:val="en-GB"/>
        </w:rPr>
        <w:t xml:space="preserve">, </w:t>
      </w:r>
      <w:r w:rsidRPr="00203808">
        <w:rPr>
          <w:rFonts w:cs="Arial"/>
          <w:sz w:val="22"/>
          <w:lang w:val="en-GB"/>
        </w:rPr>
        <w:t xml:space="preserve">changes in </w:t>
      </w:r>
      <w:r w:rsidRPr="00BE2860">
        <w:rPr>
          <w:rFonts w:cs="Arial"/>
          <w:b/>
          <w:bCs/>
          <w:sz w:val="22"/>
          <w:lang w:val="en-GB"/>
        </w:rPr>
        <w:t>visa and travel policies.</w:t>
      </w:r>
    </w:p>
    <w:p w14:paraId="3642710F" w14:textId="77777777" w:rsidR="00EB716E" w:rsidRPr="00203808" w:rsidRDefault="00EB716E" w:rsidP="00203808">
      <w:pPr>
        <w:spacing w:after="0" w:line="360" w:lineRule="auto"/>
        <w:jc w:val="both"/>
        <w:rPr>
          <w:rFonts w:cs="Arial"/>
          <w:b/>
          <w:bCs/>
          <w:sz w:val="22"/>
          <w:lang w:val="en-GB"/>
        </w:rPr>
      </w:pPr>
      <w:r w:rsidRPr="00203808">
        <w:rPr>
          <w:rFonts w:cs="Arial"/>
          <w:sz w:val="22"/>
          <w:lang w:val="en-GB"/>
        </w:rPr>
        <w:t>These risks are particularly relevant to Project C because its higher cash flows occur later in the investment period. The longer the project remains exposed to international conditions, the greater the uncertainty surrounding the forecast cash flows.</w:t>
      </w:r>
    </w:p>
    <w:p w14:paraId="2DF82CBC" w14:textId="77777777" w:rsidR="00EB716E" w:rsidRPr="00BE2860" w:rsidRDefault="00EB716E" w:rsidP="00203808">
      <w:pPr>
        <w:spacing w:after="0" w:line="360" w:lineRule="auto"/>
        <w:jc w:val="both"/>
        <w:rPr>
          <w:rFonts w:cs="Arial"/>
          <w:b/>
          <w:bCs/>
          <w:sz w:val="22"/>
          <w:lang w:val="en-GB"/>
        </w:rPr>
      </w:pPr>
      <w:r w:rsidRPr="00BE2860">
        <w:rPr>
          <w:rFonts w:cs="Arial"/>
          <w:b/>
          <w:bCs/>
          <w:sz w:val="22"/>
          <w:lang w:val="en-GB"/>
        </w:rPr>
        <w:t>Customer loyalty</w:t>
      </w:r>
    </w:p>
    <w:p w14:paraId="24D8EB6F" w14:textId="3C59B16E" w:rsidR="00EB716E" w:rsidRPr="00203808" w:rsidRDefault="00EB716E" w:rsidP="00203808">
      <w:pPr>
        <w:spacing w:after="0" w:line="360" w:lineRule="auto"/>
        <w:jc w:val="both"/>
        <w:rPr>
          <w:rFonts w:cs="Arial"/>
          <w:b/>
          <w:bCs/>
          <w:sz w:val="22"/>
          <w:lang w:val="en-GB"/>
        </w:rPr>
      </w:pPr>
      <w:r w:rsidRPr="00203808">
        <w:rPr>
          <w:rFonts w:cs="Arial"/>
          <w:sz w:val="22"/>
          <w:lang w:val="en-GB"/>
        </w:rPr>
        <w:t>Customer loyalty is another important non</w:t>
      </w:r>
      <w:r w:rsidR="00ED72CF" w:rsidRPr="00203808">
        <w:rPr>
          <w:rFonts w:cs="Arial"/>
          <w:sz w:val="22"/>
          <w:lang w:val="en-GB"/>
        </w:rPr>
        <w:t>-</w:t>
      </w:r>
      <w:r w:rsidRPr="00203808">
        <w:rPr>
          <w:rFonts w:cs="Arial"/>
          <w:sz w:val="22"/>
          <w:lang w:val="en-GB"/>
        </w:rPr>
        <w:t>financial consideration. Marriott's Bonvoy loyalty ecosystem is strategically important because it supports repeat stays, direct customer relationships and cross</w:t>
      </w:r>
      <w:r w:rsidR="00ED72CF" w:rsidRPr="00203808">
        <w:rPr>
          <w:rFonts w:cs="Arial"/>
          <w:sz w:val="22"/>
          <w:lang w:val="en-GB"/>
        </w:rPr>
        <w:t>-</w:t>
      </w:r>
      <w:r w:rsidRPr="00203808">
        <w:rPr>
          <w:rFonts w:cs="Arial"/>
          <w:sz w:val="22"/>
          <w:lang w:val="en-GB"/>
        </w:rPr>
        <w:t>selling across Marriott's brands.</w:t>
      </w:r>
    </w:p>
    <w:p w14:paraId="30CCD193" w14:textId="77777777" w:rsidR="00EB716E" w:rsidRPr="00203808" w:rsidRDefault="00EB716E" w:rsidP="00203808">
      <w:pPr>
        <w:spacing w:after="0" w:line="360" w:lineRule="auto"/>
        <w:jc w:val="both"/>
        <w:rPr>
          <w:rFonts w:cs="Arial"/>
          <w:b/>
          <w:bCs/>
          <w:sz w:val="22"/>
          <w:lang w:val="en-GB"/>
        </w:rPr>
      </w:pPr>
      <w:r w:rsidRPr="00203808">
        <w:rPr>
          <w:rFonts w:cs="Arial"/>
          <w:sz w:val="22"/>
          <w:lang w:val="en-GB"/>
        </w:rPr>
        <w:t>A project that strengthens the customer experience, Marriott Bonvoy engagement, digital services or brand loyalty would have strategic value beyond the financial appraisal.</w:t>
      </w:r>
    </w:p>
    <w:p w14:paraId="3C90BC7C" w14:textId="77FD8A7A" w:rsidR="00EB716E" w:rsidRPr="00203808" w:rsidRDefault="00EB716E" w:rsidP="00203808">
      <w:pPr>
        <w:spacing w:after="0" w:line="360" w:lineRule="auto"/>
        <w:jc w:val="both"/>
        <w:rPr>
          <w:rFonts w:cs="Arial"/>
          <w:b/>
          <w:bCs/>
          <w:sz w:val="22"/>
          <w:lang w:val="en-GB"/>
        </w:rPr>
      </w:pPr>
      <w:r w:rsidRPr="00203808">
        <w:rPr>
          <w:rFonts w:cs="Arial"/>
          <w:sz w:val="22"/>
          <w:lang w:val="en-GB"/>
        </w:rPr>
        <w:t>Conversely, an investment that increases revenue but weakens customer satisfaction or brand reputation could destroy long</w:t>
      </w:r>
      <w:r w:rsidR="00ED72CF" w:rsidRPr="00203808">
        <w:rPr>
          <w:rFonts w:cs="Arial"/>
          <w:sz w:val="22"/>
          <w:lang w:val="en-GB"/>
        </w:rPr>
        <w:t>-</w:t>
      </w:r>
      <w:r w:rsidRPr="00203808">
        <w:rPr>
          <w:rFonts w:cs="Arial"/>
          <w:sz w:val="22"/>
          <w:lang w:val="en-GB"/>
        </w:rPr>
        <w:t>term value despite having apparently attractive financial returns.</w:t>
      </w:r>
    </w:p>
    <w:p w14:paraId="179BB0D9" w14:textId="77777777" w:rsidR="00EB716E" w:rsidRPr="00BE2860" w:rsidRDefault="00EB716E" w:rsidP="00203808">
      <w:pPr>
        <w:spacing w:after="0" w:line="360" w:lineRule="auto"/>
        <w:jc w:val="both"/>
        <w:rPr>
          <w:rFonts w:cs="Arial"/>
          <w:b/>
          <w:bCs/>
          <w:sz w:val="22"/>
          <w:lang w:val="en-GB"/>
        </w:rPr>
      </w:pPr>
      <w:r w:rsidRPr="00BE2860">
        <w:rPr>
          <w:rFonts w:cs="Arial"/>
          <w:b/>
          <w:bCs/>
          <w:sz w:val="22"/>
          <w:lang w:val="en-GB"/>
        </w:rPr>
        <w:t>Operational and ESG considerations</w:t>
      </w:r>
    </w:p>
    <w:p w14:paraId="4ADC3977" w14:textId="77777777" w:rsidR="00EB716E" w:rsidRPr="00203808" w:rsidRDefault="00EB716E" w:rsidP="00203808">
      <w:pPr>
        <w:spacing w:after="0" w:line="360" w:lineRule="auto"/>
        <w:jc w:val="both"/>
        <w:rPr>
          <w:rFonts w:cs="Arial"/>
          <w:b/>
          <w:bCs/>
          <w:sz w:val="22"/>
          <w:lang w:val="en-GB"/>
        </w:rPr>
      </w:pPr>
      <w:r w:rsidRPr="00203808">
        <w:rPr>
          <w:rFonts w:cs="Arial"/>
          <w:sz w:val="22"/>
          <w:lang w:val="en-GB"/>
        </w:rPr>
        <w:t>The investment should also be assessed against Marriott's sustainability objectives. Energy consumption, water usage, waste management, employee welfare and local community impact should be incorporated into the final investment decision.</w:t>
      </w:r>
    </w:p>
    <w:p w14:paraId="7D9572C1" w14:textId="769437AA" w:rsidR="00EB716E" w:rsidRPr="00203808" w:rsidRDefault="00EB716E" w:rsidP="00203808">
      <w:pPr>
        <w:spacing w:after="0" w:line="360" w:lineRule="auto"/>
        <w:jc w:val="both"/>
        <w:rPr>
          <w:rFonts w:cs="Arial"/>
          <w:b/>
          <w:bCs/>
          <w:sz w:val="22"/>
          <w:lang w:val="en-GB"/>
        </w:rPr>
      </w:pPr>
      <w:r w:rsidRPr="00203808">
        <w:rPr>
          <w:rFonts w:cs="Arial"/>
          <w:sz w:val="22"/>
          <w:lang w:val="en-GB"/>
        </w:rPr>
        <w:t>A project with slightly lower financial returns could potentially be preferable if it significantly reduces environmental costs, improves energy efficiency or strengthens Marriott's long</w:t>
      </w:r>
      <w:r w:rsidR="00ED72CF" w:rsidRPr="00203808">
        <w:rPr>
          <w:rFonts w:cs="Arial"/>
          <w:sz w:val="22"/>
          <w:lang w:val="en-GB"/>
        </w:rPr>
        <w:t>-</w:t>
      </w:r>
      <w:r w:rsidRPr="00203808">
        <w:rPr>
          <w:rFonts w:cs="Arial"/>
          <w:sz w:val="22"/>
          <w:lang w:val="en-GB"/>
        </w:rPr>
        <w:t>term regulatory position.</w:t>
      </w:r>
    </w:p>
    <w:p w14:paraId="69603EDC" w14:textId="277CBE0E" w:rsidR="00EB716E" w:rsidRPr="00203808" w:rsidRDefault="00EB716E" w:rsidP="00203808">
      <w:pPr>
        <w:spacing w:after="0" w:line="360" w:lineRule="auto"/>
        <w:jc w:val="both"/>
        <w:rPr>
          <w:rFonts w:cs="Arial"/>
          <w:b/>
          <w:bCs/>
          <w:sz w:val="22"/>
          <w:lang w:val="en-GB"/>
        </w:rPr>
      </w:pPr>
    </w:p>
    <w:p w14:paraId="2C587BBA" w14:textId="0EDE9A3F" w:rsidR="00EB716E" w:rsidRPr="00BE2860" w:rsidRDefault="00EB716E" w:rsidP="00203808">
      <w:pPr>
        <w:pStyle w:val="Titre2"/>
        <w:spacing w:line="360" w:lineRule="auto"/>
        <w:jc w:val="both"/>
        <w:rPr>
          <w:rFonts w:ascii="Arial" w:hAnsi="Arial" w:cs="Arial"/>
          <w:b w:val="0"/>
          <w:bCs w:val="0"/>
          <w:color w:val="auto"/>
          <w:sz w:val="22"/>
          <w:szCs w:val="22"/>
          <w:u w:val="single"/>
          <w:lang w:val="en-GB"/>
        </w:rPr>
      </w:pPr>
      <w:bookmarkStart w:id="25" w:name="_Toc237478474"/>
      <w:r w:rsidRPr="00BE2860">
        <w:rPr>
          <w:rFonts w:ascii="Arial" w:hAnsi="Arial" w:cs="Arial"/>
          <w:color w:val="auto"/>
          <w:sz w:val="22"/>
          <w:szCs w:val="22"/>
          <w:u w:val="single"/>
          <w:lang w:val="en-GB"/>
        </w:rPr>
        <w:t>4.</w:t>
      </w:r>
      <w:r w:rsidR="00900317" w:rsidRPr="00BE2860">
        <w:rPr>
          <w:rFonts w:ascii="Arial" w:hAnsi="Arial" w:cs="Arial"/>
          <w:color w:val="auto"/>
          <w:sz w:val="22"/>
          <w:szCs w:val="22"/>
          <w:u w:val="single"/>
          <w:lang w:val="en-GB"/>
        </w:rPr>
        <w:t>d</w:t>
      </w:r>
      <w:r w:rsidRPr="00BE2860">
        <w:rPr>
          <w:rFonts w:ascii="Arial" w:hAnsi="Arial" w:cs="Arial"/>
          <w:color w:val="auto"/>
          <w:sz w:val="22"/>
          <w:szCs w:val="22"/>
          <w:u w:val="single"/>
          <w:lang w:val="en-GB"/>
        </w:rPr>
        <w:t xml:space="preserve">. Capital Rationing </w:t>
      </w:r>
      <w:r w:rsidR="00ED72CF" w:rsidRPr="00BE2860">
        <w:rPr>
          <w:rFonts w:ascii="Arial" w:hAnsi="Arial" w:cs="Arial"/>
          <w:color w:val="auto"/>
          <w:sz w:val="22"/>
          <w:szCs w:val="22"/>
          <w:u w:val="single"/>
          <w:lang w:val="en-GB"/>
        </w:rPr>
        <w:t>-</w:t>
      </w:r>
      <w:r w:rsidRPr="00BE2860">
        <w:rPr>
          <w:rFonts w:ascii="Arial" w:hAnsi="Arial" w:cs="Arial"/>
          <w:color w:val="auto"/>
          <w:sz w:val="22"/>
          <w:szCs w:val="22"/>
          <w:u w:val="single"/>
          <w:lang w:val="en-GB"/>
        </w:rPr>
        <w:t xml:space="preserve"> Maximum Investment of £100 Million</w:t>
      </w:r>
      <w:bookmarkEnd w:id="25"/>
    </w:p>
    <w:p w14:paraId="6146ABBC" w14:textId="39D15519" w:rsidR="00EB716E" w:rsidRPr="00203808" w:rsidRDefault="00EB716E" w:rsidP="00203808">
      <w:pPr>
        <w:spacing w:after="0" w:line="360" w:lineRule="auto"/>
        <w:jc w:val="both"/>
        <w:rPr>
          <w:rFonts w:cs="Arial"/>
          <w:b/>
          <w:bCs/>
          <w:sz w:val="22"/>
          <w:lang w:val="en-GB"/>
        </w:rPr>
      </w:pPr>
      <w:r w:rsidRPr="00203808">
        <w:rPr>
          <w:rFonts w:cs="Arial"/>
          <w:sz w:val="22"/>
          <w:lang w:val="en-GB"/>
        </w:rPr>
        <w:t>The maximum available investment budget is £100 million. Since each project requires £50 million, Marriott can invest in either</w:t>
      </w:r>
      <w:r w:rsidR="007971E1" w:rsidRPr="00203808">
        <w:rPr>
          <w:rFonts w:cs="Arial"/>
          <w:sz w:val="22"/>
          <w:lang w:val="en-GB"/>
        </w:rPr>
        <w:t xml:space="preserve"> </w:t>
      </w:r>
      <w:r w:rsidRPr="00203808">
        <w:rPr>
          <w:rFonts w:cs="Arial"/>
          <w:sz w:val="22"/>
          <w:lang w:val="en-GB"/>
        </w:rPr>
        <w:t>one project</w:t>
      </w:r>
      <w:r w:rsidR="007971E1" w:rsidRPr="00203808">
        <w:rPr>
          <w:rFonts w:cs="Arial"/>
          <w:sz w:val="22"/>
          <w:lang w:val="en-GB"/>
        </w:rPr>
        <w:t xml:space="preserve"> </w:t>
      </w:r>
      <w:r w:rsidRPr="00203808">
        <w:rPr>
          <w:rFonts w:cs="Arial"/>
          <w:sz w:val="22"/>
          <w:lang w:val="en-GB"/>
        </w:rPr>
        <w:t>or</w:t>
      </w:r>
      <w:r w:rsidR="007971E1" w:rsidRPr="00203808">
        <w:rPr>
          <w:rFonts w:cs="Arial"/>
          <w:b/>
          <w:bCs/>
          <w:sz w:val="22"/>
          <w:lang w:val="en-GB"/>
        </w:rPr>
        <w:t xml:space="preserve"> </w:t>
      </w:r>
      <w:r w:rsidRPr="00203808">
        <w:rPr>
          <w:rFonts w:cs="Arial"/>
          <w:sz w:val="22"/>
          <w:lang w:val="en-GB"/>
        </w:rPr>
        <w:t>two projects.</w:t>
      </w:r>
    </w:p>
    <w:p w14:paraId="6F373B03" w14:textId="77777777" w:rsidR="00EB716E" w:rsidRPr="00203808" w:rsidRDefault="00EB716E" w:rsidP="00203808">
      <w:pPr>
        <w:spacing w:after="0" w:line="360" w:lineRule="auto"/>
        <w:jc w:val="both"/>
        <w:rPr>
          <w:rFonts w:cs="Arial"/>
          <w:b/>
          <w:bCs/>
          <w:sz w:val="22"/>
          <w:lang w:val="en-GB"/>
        </w:rPr>
      </w:pPr>
      <w:r w:rsidRPr="00203808">
        <w:rPr>
          <w:rFonts w:cs="Arial"/>
          <w:sz w:val="22"/>
          <w:lang w:val="en-GB"/>
        </w:rPr>
        <w:t>All possible combinations are therefore considered.</w:t>
      </w:r>
    </w:p>
    <w:p w14:paraId="23B2EE15" w14:textId="7B23DAC2" w:rsidR="00EB716E" w:rsidRPr="00203808" w:rsidRDefault="00EB716E" w:rsidP="00203808">
      <w:pPr>
        <w:spacing w:after="0" w:line="360" w:lineRule="auto"/>
        <w:jc w:val="both"/>
        <w:rPr>
          <w:rFonts w:cs="Arial"/>
          <w:b/>
          <w:bCs/>
          <w:sz w:val="22"/>
          <w:lang w:val="en-GB"/>
        </w:rPr>
      </w:pPr>
      <w:r w:rsidRPr="00203808">
        <w:rPr>
          <w:rFonts w:cs="Arial"/>
          <w:sz w:val="22"/>
          <w:lang w:val="en-GB"/>
        </w:rPr>
        <w:t>Because NPVs are additive when the projects are independent</w:t>
      </w:r>
      <w:r w:rsidR="00FD5F42" w:rsidRPr="00203808">
        <w:rPr>
          <w:rFonts w:cs="Arial"/>
          <w:sz w:val="22"/>
          <w:lang w:val="en-GB"/>
        </w:rPr>
        <w:t xml:space="preserve">. </w:t>
      </w:r>
      <w:r w:rsidR="00FD5F42" w:rsidRPr="00203808">
        <w:rPr>
          <w:rFonts w:cs="Arial"/>
          <w:sz w:val="22"/>
        </w:rPr>
        <w:t xml:space="preserve">When capital is constrained, investment should be allocated towards projects that </w:t>
      </w:r>
      <w:proofErr w:type="spellStart"/>
      <w:r w:rsidR="00FD5F42" w:rsidRPr="00203808">
        <w:rPr>
          <w:rFonts w:cs="Arial"/>
          <w:sz w:val="22"/>
        </w:rPr>
        <w:t>maximise</w:t>
      </w:r>
      <w:proofErr w:type="spellEnd"/>
      <w:r w:rsidR="00FD5F42" w:rsidRPr="00203808">
        <w:rPr>
          <w:rFonts w:cs="Arial"/>
          <w:sz w:val="22"/>
        </w:rPr>
        <w:t xml:space="preserve"> value rather than simply using the full available budget (Berk and DeMarzo, 2020).</w:t>
      </w:r>
    </w:p>
    <w:p w14:paraId="47505CED" w14:textId="77777777" w:rsidR="00FD5F42" w:rsidRPr="00203808" w:rsidRDefault="00FD5F42" w:rsidP="00203808">
      <w:pPr>
        <w:spacing w:after="0" w:line="360" w:lineRule="auto"/>
        <w:jc w:val="both"/>
        <w:rPr>
          <w:rFonts w:cs="Arial"/>
          <w:sz w:val="22"/>
          <w:lang w:val="en-GB"/>
        </w:rPr>
      </w:pPr>
    </w:p>
    <w:p w14:paraId="54715A30" w14:textId="37D2197D" w:rsidR="00FB132B" w:rsidRPr="00BE2860" w:rsidRDefault="007971E1" w:rsidP="00203808">
      <w:pPr>
        <w:spacing w:after="0" w:line="360" w:lineRule="auto"/>
        <w:jc w:val="both"/>
        <w:rPr>
          <w:rFonts w:cs="Arial"/>
          <w:b/>
          <w:bCs/>
          <w:sz w:val="22"/>
          <w:lang w:val="en-GB"/>
        </w:rPr>
      </w:pPr>
      <w:r w:rsidRPr="00BE2860">
        <w:rPr>
          <w:rFonts w:cs="Arial"/>
          <w:b/>
          <w:bCs/>
          <w:sz w:val="22"/>
          <w:u w:val="single"/>
          <w:lang w:val="en-GB"/>
        </w:rPr>
        <w:t>Table</w:t>
      </w:r>
      <w:r w:rsidR="00203808" w:rsidRPr="00BE2860">
        <w:rPr>
          <w:rFonts w:cs="Arial"/>
          <w:b/>
          <w:bCs/>
          <w:sz w:val="22"/>
          <w:u w:val="single"/>
          <w:lang w:val="en-GB"/>
        </w:rPr>
        <w:t xml:space="preserve"> 9</w:t>
      </w:r>
      <w:r w:rsidRPr="00BE2860">
        <w:rPr>
          <w:rFonts w:cs="Arial"/>
          <w:b/>
          <w:bCs/>
          <w:sz w:val="22"/>
          <w:u w:val="single"/>
          <w:lang w:val="en-GB"/>
        </w:rPr>
        <w:t>:</w:t>
      </w:r>
      <w:r w:rsidRPr="00BE2860">
        <w:rPr>
          <w:rFonts w:cs="Arial"/>
          <w:b/>
          <w:bCs/>
          <w:sz w:val="22"/>
          <w:lang w:val="en-GB"/>
        </w:rPr>
        <w:t xml:space="preserve"> </w:t>
      </w:r>
      <w:r w:rsidR="00FB132B" w:rsidRPr="00BE2860">
        <w:rPr>
          <w:rFonts w:cs="Arial"/>
          <w:b/>
          <w:bCs/>
          <w:sz w:val="22"/>
          <w:lang w:val="en-GB"/>
        </w:rPr>
        <w:t>Capital rationing comparison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11"/>
        <w:gridCol w:w="1650"/>
        <w:gridCol w:w="2090"/>
        <w:gridCol w:w="919"/>
      </w:tblGrid>
      <w:tr w:rsidR="00203808" w:rsidRPr="00203808" w14:paraId="488A19A3" w14:textId="77777777" w:rsidTr="00F00090">
        <w:trPr>
          <w:tblHeader/>
          <w:tblCellSpacing w:w="15" w:type="dxa"/>
        </w:trPr>
        <w:tc>
          <w:tcPr>
            <w:tcW w:w="0" w:type="auto"/>
            <w:tcBorders>
              <w:top w:val="thinThickSmallGap" w:sz="24" w:space="0" w:color="auto"/>
              <w:bottom w:val="thickThinSmallGap" w:sz="24" w:space="0" w:color="auto"/>
            </w:tcBorders>
            <w:vAlign w:val="center"/>
            <w:hideMark/>
          </w:tcPr>
          <w:p w14:paraId="1B9DC0BA"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Combination</w:t>
            </w:r>
          </w:p>
        </w:tc>
        <w:tc>
          <w:tcPr>
            <w:tcW w:w="0" w:type="auto"/>
            <w:tcBorders>
              <w:top w:val="thinThickSmallGap" w:sz="24" w:space="0" w:color="auto"/>
              <w:bottom w:val="thickThinSmallGap" w:sz="24" w:space="0" w:color="auto"/>
            </w:tcBorders>
            <w:vAlign w:val="center"/>
            <w:hideMark/>
          </w:tcPr>
          <w:p w14:paraId="0DF75885"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Investment (£m)</w:t>
            </w:r>
          </w:p>
        </w:tc>
        <w:tc>
          <w:tcPr>
            <w:tcW w:w="0" w:type="auto"/>
            <w:tcBorders>
              <w:top w:val="thinThickSmallGap" w:sz="24" w:space="0" w:color="auto"/>
              <w:bottom w:val="thickThinSmallGap" w:sz="24" w:space="0" w:color="auto"/>
            </w:tcBorders>
            <w:vAlign w:val="center"/>
            <w:hideMark/>
          </w:tcPr>
          <w:p w14:paraId="650B9B97"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Combined NPV (£m)</w:t>
            </w:r>
          </w:p>
        </w:tc>
        <w:tc>
          <w:tcPr>
            <w:tcW w:w="0" w:type="auto"/>
            <w:tcBorders>
              <w:top w:val="thinThickSmallGap" w:sz="24" w:space="0" w:color="auto"/>
              <w:bottom w:val="thickThinSmallGap" w:sz="24" w:space="0" w:color="auto"/>
            </w:tcBorders>
            <w:vAlign w:val="center"/>
            <w:hideMark/>
          </w:tcPr>
          <w:p w14:paraId="095CCF51"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Decision</w:t>
            </w:r>
          </w:p>
        </w:tc>
      </w:tr>
      <w:tr w:rsidR="00203808" w:rsidRPr="00203808" w14:paraId="1898101B" w14:textId="77777777" w:rsidTr="00F00090">
        <w:trPr>
          <w:tblCellSpacing w:w="15" w:type="dxa"/>
        </w:trPr>
        <w:tc>
          <w:tcPr>
            <w:tcW w:w="0" w:type="auto"/>
            <w:vAlign w:val="center"/>
            <w:hideMark/>
          </w:tcPr>
          <w:p w14:paraId="7506596E"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A</w:t>
            </w:r>
          </w:p>
        </w:tc>
        <w:tc>
          <w:tcPr>
            <w:tcW w:w="0" w:type="auto"/>
            <w:vAlign w:val="center"/>
            <w:hideMark/>
          </w:tcPr>
          <w:p w14:paraId="0FA1BB4A"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50</w:t>
            </w:r>
          </w:p>
        </w:tc>
        <w:tc>
          <w:tcPr>
            <w:tcW w:w="0" w:type="auto"/>
            <w:vAlign w:val="center"/>
            <w:hideMark/>
          </w:tcPr>
          <w:p w14:paraId="4A9AAFC4" w14:textId="30EE1638" w:rsidR="00FB132B" w:rsidRPr="00203808" w:rsidRDefault="00ED72CF" w:rsidP="00203808">
            <w:pPr>
              <w:spacing w:after="0" w:line="360" w:lineRule="auto"/>
              <w:jc w:val="both"/>
              <w:rPr>
                <w:rFonts w:cs="Arial"/>
                <w:b/>
                <w:bCs/>
                <w:sz w:val="22"/>
                <w:lang w:val="en-GB"/>
              </w:rPr>
            </w:pPr>
            <w:r w:rsidRPr="00203808">
              <w:rPr>
                <w:rFonts w:cs="Arial"/>
                <w:sz w:val="22"/>
                <w:lang w:val="en-GB"/>
              </w:rPr>
              <w:t>-</w:t>
            </w:r>
            <w:r w:rsidR="00FB132B" w:rsidRPr="00203808">
              <w:rPr>
                <w:rFonts w:cs="Arial"/>
                <w:sz w:val="22"/>
                <w:lang w:val="en-GB"/>
              </w:rPr>
              <w:t>6.54</w:t>
            </w:r>
          </w:p>
        </w:tc>
        <w:tc>
          <w:tcPr>
            <w:tcW w:w="0" w:type="auto"/>
            <w:vAlign w:val="center"/>
            <w:hideMark/>
          </w:tcPr>
          <w:p w14:paraId="2B55E0A6"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Reject</w:t>
            </w:r>
          </w:p>
        </w:tc>
      </w:tr>
      <w:tr w:rsidR="00203808" w:rsidRPr="00203808" w14:paraId="1A040F8A" w14:textId="77777777" w:rsidTr="00F00090">
        <w:trPr>
          <w:tblCellSpacing w:w="15" w:type="dxa"/>
        </w:trPr>
        <w:tc>
          <w:tcPr>
            <w:tcW w:w="0" w:type="auto"/>
            <w:vAlign w:val="center"/>
            <w:hideMark/>
          </w:tcPr>
          <w:p w14:paraId="1CAEA072"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B</w:t>
            </w:r>
          </w:p>
        </w:tc>
        <w:tc>
          <w:tcPr>
            <w:tcW w:w="0" w:type="auto"/>
            <w:vAlign w:val="center"/>
            <w:hideMark/>
          </w:tcPr>
          <w:p w14:paraId="724DF793"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50</w:t>
            </w:r>
          </w:p>
        </w:tc>
        <w:tc>
          <w:tcPr>
            <w:tcW w:w="0" w:type="auto"/>
            <w:vAlign w:val="center"/>
            <w:hideMark/>
          </w:tcPr>
          <w:p w14:paraId="341FAB27" w14:textId="309D71BE" w:rsidR="00FB132B" w:rsidRPr="00203808" w:rsidRDefault="00ED72CF" w:rsidP="00203808">
            <w:pPr>
              <w:spacing w:after="0" w:line="360" w:lineRule="auto"/>
              <w:jc w:val="both"/>
              <w:rPr>
                <w:rFonts w:cs="Arial"/>
                <w:b/>
                <w:bCs/>
                <w:sz w:val="22"/>
                <w:lang w:val="en-GB"/>
              </w:rPr>
            </w:pPr>
            <w:r w:rsidRPr="00203808">
              <w:rPr>
                <w:rFonts w:cs="Arial"/>
                <w:sz w:val="22"/>
                <w:lang w:val="en-GB"/>
              </w:rPr>
              <w:t>-</w:t>
            </w:r>
            <w:r w:rsidR="00FB132B" w:rsidRPr="00203808">
              <w:rPr>
                <w:rFonts w:cs="Arial"/>
                <w:sz w:val="22"/>
                <w:lang w:val="en-GB"/>
              </w:rPr>
              <w:t>6.08</w:t>
            </w:r>
          </w:p>
        </w:tc>
        <w:tc>
          <w:tcPr>
            <w:tcW w:w="0" w:type="auto"/>
            <w:vAlign w:val="center"/>
            <w:hideMark/>
          </w:tcPr>
          <w:p w14:paraId="3DF5CE9C"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Reject</w:t>
            </w:r>
          </w:p>
        </w:tc>
      </w:tr>
      <w:tr w:rsidR="00203808" w:rsidRPr="00203808" w14:paraId="3E180C80" w14:textId="77777777" w:rsidTr="00F00090">
        <w:trPr>
          <w:tblCellSpacing w:w="15" w:type="dxa"/>
        </w:trPr>
        <w:tc>
          <w:tcPr>
            <w:tcW w:w="0" w:type="auto"/>
            <w:vAlign w:val="center"/>
            <w:hideMark/>
          </w:tcPr>
          <w:p w14:paraId="28D4E4F2"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C</w:t>
            </w:r>
          </w:p>
        </w:tc>
        <w:tc>
          <w:tcPr>
            <w:tcW w:w="0" w:type="auto"/>
            <w:vAlign w:val="center"/>
            <w:hideMark/>
          </w:tcPr>
          <w:p w14:paraId="0A5FDA27"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50</w:t>
            </w:r>
          </w:p>
        </w:tc>
        <w:tc>
          <w:tcPr>
            <w:tcW w:w="0" w:type="auto"/>
            <w:vAlign w:val="center"/>
            <w:hideMark/>
          </w:tcPr>
          <w:p w14:paraId="1A40D387"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+0.86</w:t>
            </w:r>
          </w:p>
        </w:tc>
        <w:tc>
          <w:tcPr>
            <w:tcW w:w="0" w:type="auto"/>
            <w:vAlign w:val="center"/>
            <w:hideMark/>
          </w:tcPr>
          <w:p w14:paraId="43FF8EDA"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Accept</w:t>
            </w:r>
          </w:p>
        </w:tc>
      </w:tr>
      <w:tr w:rsidR="00203808" w:rsidRPr="00203808" w14:paraId="5926E47C" w14:textId="77777777" w:rsidTr="00F00090">
        <w:trPr>
          <w:tblCellSpacing w:w="15" w:type="dxa"/>
        </w:trPr>
        <w:tc>
          <w:tcPr>
            <w:tcW w:w="0" w:type="auto"/>
            <w:vAlign w:val="center"/>
            <w:hideMark/>
          </w:tcPr>
          <w:p w14:paraId="3BA45308"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A + B</w:t>
            </w:r>
          </w:p>
        </w:tc>
        <w:tc>
          <w:tcPr>
            <w:tcW w:w="0" w:type="auto"/>
            <w:vAlign w:val="center"/>
            <w:hideMark/>
          </w:tcPr>
          <w:p w14:paraId="2A122D27"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100</w:t>
            </w:r>
          </w:p>
        </w:tc>
        <w:tc>
          <w:tcPr>
            <w:tcW w:w="0" w:type="auto"/>
            <w:vAlign w:val="center"/>
            <w:hideMark/>
          </w:tcPr>
          <w:p w14:paraId="165B0371" w14:textId="52A3D03E" w:rsidR="00FB132B" w:rsidRPr="00203808" w:rsidRDefault="00ED72CF" w:rsidP="00203808">
            <w:pPr>
              <w:spacing w:after="0" w:line="360" w:lineRule="auto"/>
              <w:jc w:val="both"/>
              <w:rPr>
                <w:rFonts w:cs="Arial"/>
                <w:b/>
                <w:bCs/>
                <w:sz w:val="22"/>
                <w:lang w:val="en-GB"/>
              </w:rPr>
            </w:pPr>
            <w:r w:rsidRPr="00203808">
              <w:rPr>
                <w:rFonts w:cs="Arial"/>
                <w:sz w:val="22"/>
                <w:lang w:val="en-GB"/>
              </w:rPr>
              <w:t>-</w:t>
            </w:r>
            <w:r w:rsidR="00FB132B" w:rsidRPr="00203808">
              <w:rPr>
                <w:rFonts w:cs="Arial"/>
                <w:sz w:val="22"/>
                <w:lang w:val="en-GB"/>
              </w:rPr>
              <w:t>12.62</w:t>
            </w:r>
          </w:p>
        </w:tc>
        <w:tc>
          <w:tcPr>
            <w:tcW w:w="0" w:type="auto"/>
            <w:vAlign w:val="center"/>
            <w:hideMark/>
          </w:tcPr>
          <w:p w14:paraId="3C9FCA76"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Reject</w:t>
            </w:r>
          </w:p>
        </w:tc>
      </w:tr>
      <w:tr w:rsidR="00203808" w:rsidRPr="00203808" w14:paraId="7DA15934" w14:textId="77777777" w:rsidTr="00F00090">
        <w:trPr>
          <w:tblCellSpacing w:w="15" w:type="dxa"/>
        </w:trPr>
        <w:tc>
          <w:tcPr>
            <w:tcW w:w="0" w:type="auto"/>
            <w:vAlign w:val="center"/>
            <w:hideMark/>
          </w:tcPr>
          <w:p w14:paraId="44185E29"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A + C</w:t>
            </w:r>
          </w:p>
        </w:tc>
        <w:tc>
          <w:tcPr>
            <w:tcW w:w="0" w:type="auto"/>
            <w:vAlign w:val="center"/>
            <w:hideMark/>
          </w:tcPr>
          <w:p w14:paraId="75E1210F"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100</w:t>
            </w:r>
          </w:p>
        </w:tc>
        <w:tc>
          <w:tcPr>
            <w:tcW w:w="0" w:type="auto"/>
            <w:vAlign w:val="center"/>
            <w:hideMark/>
          </w:tcPr>
          <w:p w14:paraId="58BE384E" w14:textId="3D22572D" w:rsidR="00FB132B" w:rsidRPr="00203808" w:rsidRDefault="00ED72CF" w:rsidP="00203808">
            <w:pPr>
              <w:spacing w:after="0" w:line="360" w:lineRule="auto"/>
              <w:jc w:val="both"/>
              <w:rPr>
                <w:rFonts w:cs="Arial"/>
                <w:b/>
                <w:bCs/>
                <w:sz w:val="22"/>
                <w:lang w:val="en-GB"/>
              </w:rPr>
            </w:pPr>
            <w:r w:rsidRPr="00203808">
              <w:rPr>
                <w:rFonts w:cs="Arial"/>
                <w:sz w:val="22"/>
                <w:lang w:val="en-GB"/>
              </w:rPr>
              <w:t>-</w:t>
            </w:r>
            <w:r w:rsidR="00FB132B" w:rsidRPr="00203808">
              <w:rPr>
                <w:rFonts w:cs="Arial"/>
                <w:sz w:val="22"/>
                <w:lang w:val="en-GB"/>
              </w:rPr>
              <w:t>5.68</w:t>
            </w:r>
          </w:p>
        </w:tc>
        <w:tc>
          <w:tcPr>
            <w:tcW w:w="0" w:type="auto"/>
            <w:vAlign w:val="center"/>
            <w:hideMark/>
          </w:tcPr>
          <w:p w14:paraId="1482EBEB"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Reject</w:t>
            </w:r>
          </w:p>
        </w:tc>
      </w:tr>
      <w:tr w:rsidR="00203808" w:rsidRPr="00203808" w14:paraId="659692FF" w14:textId="77777777" w:rsidTr="00F00090">
        <w:trPr>
          <w:tblCellSpacing w:w="15" w:type="dxa"/>
        </w:trPr>
        <w:tc>
          <w:tcPr>
            <w:tcW w:w="0" w:type="auto"/>
            <w:tcBorders>
              <w:bottom w:val="thickThinSmallGap" w:sz="24" w:space="0" w:color="auto"/>
            </w:tcBorders>
            <w:vAlign w:val="center"/>
            <w:hideMark/>
          </w:tcPr>
          <w:p w14:paraId="31E820FE"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B + C</w:t>
            </w:r>
          </w:p>
        </w:tc>
        <w:tc>
          <w:tcPr>
            <w:tcW w:w="0" w:type="auto"/>
            <w:tcBorders>
              <w:bottom w:val="thickThinSmallGap" w:sz="24" w:space="0" w:color="auto"/>
            </w:tcBorders>
            <w:vAlign w:val="center"/>
            <w:hideMark/>
          </w:tcPr>
          <w:p w14:paraId="314688EA"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100</w:t>
            </w:r>
          </w:p>
        </w:tc>
        <w:tc>
          <w:tcPr>
            <w:tcW w:w="0" w:type="auto"/>
            <w:tcBorders>
              <w:bottom w:val="thickThinSmallGap" w:sz="24" w:space="0" w:color="auto"/>
            </w:tcBorders>
            <w:vAlign w:val="center"/>
            <w:hideMark/>
          </w:tcPr>
          <w:p w14:paraId="79FF4E46" w14:textId="1B445D83" w:rsidR="00FB132B" w:rsidRPr="00203808" w:rsidRDefault="00ED72CF" w:rsidP="00203808">
            <w:pPr>
              <w:spacing w:after="0" w:line="360" w:lineRule="auto"/>
              <w:jc w:val="both"/>
              <w:rPr>
                <w:rFonts w:cs="Arial"/>
                <w:b/>
                <w:bCs/>
                <w:sz w:val="22"/>
                <w:lang w:val="en-GB"/>
              </w:rPr>
            </w:pPr>
            <w:r w:rsidRPr="00203808">
              <w:rPr>
                <w:rFonts w:cs="Arial"/>
                <w:sz w:val="22"/>
                <w:lang w:val="en-GB"/>
              </w:rPr>
              <w:t>-</w:t>
            </w:r>
            <w:r w:rsidR="00FB132B" w:rsidRPr="00203808">
              <w:rPr>
                <w:rFonts w:cs="Arial"/>
                <w:sz w:val="22"/>
                <w:lang w:val="en-GB"/>
              </w:rPr>
              <w:t>5.22</w:t>
            </w:r>
          </w:p>
        </w:tc>
        <w:tc>
          <w:tcPr>
            <w:tcW w:w="0" w:type="auto"/>
            <w:tcBorders>
              <w:bottom w:val="thickThinSmallGap" w:sz="24" w:space="0" w:color="auto"/>
            </w:tcBorders>
            <w:vAlign w:val="center"/>
            <w:hideMark/>
          </w:tcPr>
          <w:p w14:paraId="526AC864" w14:textId="77777777" w:rsidR="00FB132B" w:rsidRPr="00203808" w:rsidRDefault="00FB132B" w:rsidP="00203808">
            <w:pPr>
              <w:spacing w:after="0" w:line="360" w:lineRule="auto"/>
              <w:jc w:val="both"/>
              <w:rPr>
                <w:rFonts w:cs="Arial"/>
                <w:b/>
                <w:bCs/>
                <w:sz w:val="22"/>
                <w:lang w:val="en-GB"/>
              </w:rPr>
            </w:pPr>
            <w:r w:rsidRPr="00203808">
              <w:rPr>
                <w:rFonts w:cs="Arial"/>
                <w:sz w:val="22"/>
                <w:lang w:val="en-GB"/>
              </w:rPr>
              <w:t>Reject</w:t>
            </w:r>
          </w:p>
        </w:tc>
      </w:tr>
    </w:tbl>
    <w:p w14:paraId="0ECA4FD8" w14:textId="58DFB07F" w:rsidR="007971E1" w:rsidRPr="00BE2860" w:rsidRDefault="007971E1" w:rsidP="00203808">
      <w:pPr>
        <w:spacing w:after="0" w:line="360" w:lineRule="auto"/>
        <w:jc w:val="both"/>
        <w:rPr>
          <w:rFonts w:cs="Arial"/>
          <w:b/>
          <w:bCs/>
          <w:sz w:val="22"/>
          <w:lang w:val="en-GB"/>
        </w:rPr>
      </w:pPr>
      <w:r w:rsidRPr="00BE2860">
        <w:rPr>
          <w:rFonts w:cs="Arial"/>
          <w:b/>
          <w:bCs/>
          <w:sz w:val="22"/>
          <w:u w:val="single"/>
          <w:lang w:val="en-GB"/>
        </w:rPr>
        <w:t>Source:</w:t>
      </w:r>
      <w:r w:rsidRPr="00BE2860">
        <w:rPr>
          <w:rFonts w:cs="Arial"/>
          <w:b/>
          <w:bCs/>
          <w:sz w:val="22"/>
          <w:lang w:val="en-GB"/>
        </w:rPr>
        <w:t xml:space="preserve"> Auto</w:t>
      </w:r>
      <w:r w:rsidR="001161C5" w:rsidRPr="00BE2860">
        <w:rPr>
          <w:rFonts w:cs="Arial"/>
          <w:b/>
          <w:bCs/>
          <w:sz w:val="22"/>
          <w:lang w:val="en-GB"/>
        </w:rPr>
        <w:t xml:space="preserve">r’s calculation </w:t>
      </w:r>
    </w:p>
    <w:p w14:paraId="3C51F107" w14:textId="5D40820F" w:rsidR="00EB716E" w:rsidRPr="00203808" w:rsidRDefault="00EB716E" w:rsidP="00203808">
      <w:pPr>
        <w:spacing w:after="0" w:line="360" w:lineRule="auto"/>
        <w:jc w:val="both"/>
        <w:rPr>
          <w:rFonts w:cs="Arial"/>
          <w:b/>
          <w:bCs/>
          <w:sz w:val="22"/>
          <w:lang w:val="en-GB"/>
        </w:rPr>
      </w:pPr>
      <w:r w:rsidRPr="00203808">
        <w:rPr>
          <w:rFonts w:cs="Arial"/>
          <w:sz w:val="22"/>
          <w:lang w:val="en-GB"/>
        </w:rPr>
        <w:t>Although the B + C combination has the least negative NPV among the two</w:t>
      </w:r>
      <w:r w:rsidR="00ED72CF" w:rsidRPr="00203808">
        <w:rPr>
          <w:rFonts w:cs="Arial"/>
          <w:sz w:val="22"/>
          <w:lang w:val="en-GB"/>
        </w:rPr>
        <w:t>-</w:t>
      </w:r>
      <w:r w:rsidRPr="00203808">
        <w:rPr>
          <w:rFonts w:cs="Arial"/>
          <w:sz w:val="22"/>
          <w:lang w:val="en-GB"/>
        </w:rPr>
        <w:t>project combinations, it still destroys approximately £5.22 million of value. Therefore, Marriott should not invest the entire £100 million simply because the budget is available.</w:t>
      </w:r>
    </w:p>
    <w:p w14:paraId="2E986812" w14:textId="1902647B" w:rsidR="00EB716E" w:rsidRPr="00203808" w:rsidRDefault="00EB716E" w:rsidP="00203808">
      <w:pPr>
        <w:spacing w:after="0" w:line="360" w:lineRule="auto"/>
        <w:jc w:val="both"/>
        <w:rPr>
          <w:rFonts w:cs="Arial"/>
          <w:b/>
          <w:bCs/>
          <w:sz w:val="22"/>
          <w:lang w:val="en-GB"/>
        </w:rPr>
      </w:pPr>
      <w:r w:rsidRPr="00203808">
        <w:rPr>
          <w:rFonts w:cs="Arial"/>
          <w:sz w:val="22"/>
          <w:lang w:val="en-GB"/>
        </w:rPr>
        <w:t>The optimal capital</w:t>
      </w:r>
      <w:r w:rsidR="00ED72CF" w:rsidRPr="00203808">
        <w:rPr>
          <w:rFonts w:cs="Arial"/>
          <w:sz w:val="22"/>
          <w:lang w:val="en-GB"/>
        </w:rPr>
        <w:t>-</w:t>
      </w:r>
      <w:r w:rsidRPr="00203808">
        <w:rPr>
          <w:rFonts w:cs="Arial"/>
          <w:sz w:val="22"/>
          <w:lang w:val="en-GB"/>
        </w:rPr>
        <w:t>rationing decision is consequently to invest £50 million in Project C and retain the remaining £50 million rather than investing in a project with a negative NPV.</w:t>
      </w:r>
    </w:p>
    <w:p w14:paraId="27DD3BCE" w14:textId="77777777" w:rsidR="00EB716E" w:rsidRPr="00203808" w:rsidRDefault="00EB716E" w:rsidP="00203808">
      <w:pPr>
        <w:spacing w:after="0" w:line="360" w:lineRule="auto"/>
        <w:jc w:val="both"/>
        <w:rPr>
          <w:rFonts w:cs="Arial"/>
          <w:b/>
          <w:bCs/>
          <w:sz w:val="22"/>
          <w:lang w:val="en-GB"/>
        </w:rPr>
      </w:pPr>
      <w:r w:rsidRPr="00203808">
        <w:rPr>
          <w:rFonts w:cs="Arial"/>
          <w:sz w:val="22"/>
          <w:lang w:val="en-GB"/>
        </w:rPr>
        <w:t>This is an important principle of capital budgeting: the objective is not to spend the available investment budget, but to maximise shareholder value.</w:t>
      </w:r>
    </w:p>
    <w:p w14:paraId="6D4C0954" w14:textId="4C4D783D" w:rsidR="00EB716E" w:rsidRPr="00203808" w:rsidRDefault="00EB716E" w:rsidP="00203808">
      <w:pPr>
        <w:spacing w:after="0" w:line="360" w:lineRule="auto"/>
        <w:jc w:val="both"/>
        <w:rPr>
          <w:rFonts w:cs="Arial"/>
          <w:b/>
          <w:bCs/>
          <w:sz w:val="22"/>
          <w:lang w:val="en-GB"/>
        </w:rPr>
      </w:pPr>
    </w:p>
    <w:p w14:paraId="190EBDE6" w14:textId="199D21F6" w:rsidR="00EB716E" w:rsidRPr="00BE2860" w:rsidRDefault="00EB716E" w:rsidP="00203808">
      <w:pPr>
        <w:pStyle w:val="Titre2"/>
        <w:spacing w:line="360" w:lineRule="auto"/>
        <w:jc w:val="both"/>
        <w:rPr>
          <w:rFonts w:ascii="Arial" w:hAnsi="Arial" w:cs="Arial"/>
          <w:b w:val="0"/>
          <w:bCs w:val="0"/>
          <w:color w:val="auto"/>
          <w:sz w:val="22"/>
          <w:szCs w:val="22"/>
          <w:u w:val="single"/>
          <w:lang w:val="en-GB"/>
        </w:rPr>
      </w:pPr>
      <w:bookmarkStart w:id="26" w:name="_Toc237478475"/>
      <w:r w:rsidRPr="00BE2860">
        <w:rPr>
          <w:rFonts w:ascii="Arial" w:hAnsi="Arial" w:cs="Arial"/>
          <w:color w:val="auto"/>
          <w:sz w:val="22"/>
          <w:szCs w:val="22"/>
          <w:u w:val="single"/>
          <w:lang w:val="en-GB"/>
        </w:rPr>
        <w:t>4.</w:t>
      </w:r>
      <w:r w:rsidR="00900317" w:rsidRPr="00BE2860">
        <w:rPr>
          <w:rFonts w:ascii="Arial" w:hAnsi="Arial" w:cs="Arial"/>
          <w:color w:val="auto"/>
          <w:sz w:val="22"/>
          <w:szCs w:val="22"/>
          <w:u w:val="single"/>
          <w:lang w:val="en-GB"/>
        </w:rPr>
        <w:t>e</w:t>
      </w:r>
      <w:r w:rsidRPr="00BE2860">
        <w:rPr>
          <w:rFonts w:ascii="Arial" w:hAnsi="Arial" w:cs="Arial"/>
          <w:color w:val="auto"/>
          <w:sz w:val="22"/>
          <w:szCs w:val="22"/>
          <w:u w:val="single"/>
          <w:lang w:val="en-GB"/>
        </w:rPr>
        <w:t xml:space="preserve"> Final Recommendation</w:t>
      </w:r>
      <w:bookmarkEnd w:id="26"/>
    </w:p>
    <w:p w14:paraId="7738B80A" w14:textId="343C5A8A" w:rsidR="00EB716E" w:rsidRPr="00203808" w:rsidRDefault="00EB716E" w:rsidP="00203808">
      <w:pPr>
        <w:spacing w:after="0" w:line="360" w:lineRule="auto"/>
        <w:jc w:val="both"/>
        <w:rPr>
          <w:rFonts w:cs="Arial"/>
          <w:b/>
          <w:bCs/>
          <w:sz w:val="22"/>
          <w:lang w:val="en-GB"/>
        </w:rPr>
      </w:pPr>
      <w:r w:rsidRPr="00203808">
        <w:rPr>
          <w:rFonts w:cs="Arial"/>
          <w:sz w:val="22"/>
          <w:lang w:val="en-GB"/>
        </w:rPr>
        <w:t>Project C is the clear preferred investment.</w:t>
      </w:r>
      <w:r w:rsidR="001161C5" w:rsidRPr="00203808">
        <w:rPr>
          <w:rFonts w:cs="Arial"/>
          <w:b/>
          <w:bCs/>
          <w:sz w:val="22"/>
          <w:lang w:val="en-GB"/>
        </w:rPr>
        <w:t xml:space="preserve"> </w:t>
      </w:r>
      <w:r w:rsidRPr="00203808">
        <w:rPr>
          <w:rFonts w:cs="Arial"/>
          <w:sz w:val="22"/>
          <w:lang w:val="en-GB"/>
        </w:rPr>
        <w:t>It has the</w:t>
      </w:r>
      <w:r w:rsidR="001161C5" w:rsidRPr="00203808">
        <w:rPr>
          <w:rFonts w:cs="Arial"/>
          <w:sz w:val="22"/>
          <w:lang w:val="en-GB"/>
        </w:rPr>
        <w:t xml:space="preserve"> </w:t>
      </w:r>
      <w:r w:rsidRPr="00203808">
        <w:rPr>
          <w:rFonts w:cs="Arial"/>
          <w:sz w:val="22"/>
          <w:lang w:val="en-GB"/>
        </w:rPr>
        <w:t>shortest PBP (3.60 years);</w:t>
      </w:r>
      <w:r w:rsidR="001161C5" w:rsidRPr="00203808">
        <w:rPr>
          <w:rFonts w:cs="Arial"/>
          <w:b/>
          <w:bCs/>
          <w:sz w:val="22"/>
          <w:lang w:val="en-GB"/>
        </w:rPr>
        <w:t xml:space="preserve"> </w:t>
      </w:r>
      <w:r w:rsidRPr="00203808">
        <w:rPr>
          <w:rFonts w:cs="Arial"/>
          <w:sz w:val="22"/>
          <w:lang w:val="en-GB"/>
        </w:rPr>
        <w:t>highest ARR (12.00%);</w:t>
      </w:r>
      <w:r w:rsidR="001161C5" w:rsidRPr="00203808">
        <w:rPr>
          <w:rFonts w:cs="Arial"/>
          <w:b/>
          <w:bCs/>
          <w:sz w:val="22"/>
          <w:lang w:val="en-GB"/>
        </w:rPr>
        <w:t xml:space="preserve"> </w:t>
      </w:r>
      <w:r w:rsidRPr="00203808">
        <w:rPr>
          <w:rFonts w:cs="Arial"/>
          <w:sz w:val="22"/>
          <w:lang w:val="en-GB"/>
        </w:rPr>
        <w:t>only positive NPV (+£0.86m);</w:t>
      </w:r>
      <w:r w:rsidR="001161C5" w:rsidRPr="00203808">
        <w:rPr>
          <w:rFonts w:cs="Arial"/>
          <w:b/>
          <w:bCs/>
          <w:sz w:val="22"/>
          <w:lang w:val="en-GB"/>
        </w:rPr>
        <w:t xml:space="preserve"> </w:t>
      </w:r>
      <w:r w:rsidRPr="00203808">
        <w:rPr>
          <w:rFonts w:cs="Arial"/>
          <w:sz w:val="22"/>
          <w:lang w:val="en-GB"/>
        </w:rPr>
        <w:t>only PI above 1 (1.02); and</w:t>
      </w:r>
      <w:r w:rsidR="001161C5" w:rsidRPr="00203808">
        <w:rPr>
          <w:rFonts w:cs="Arial"/>
          <w:b/>
          <w:bCs/>
          <w:sz w:val="22"/>
          <w:lang w:val="en-GB"/>
        </w:rPr>
        <w:t xml:space="preserve"> </w:t>
      </w:r>
      <w:r w:rsidRPr="00203808">
        <w:rPr>
          <w:rFonts w:cs="Arial"/>
          <w:sz w:val="22"/>
          <w:lang w:val="en-GB"/>
        </w:rPr>
        <w:t>highest IRR (approximately 8.6%).</w:t>
      </w:r>
    </w:p>
    <w:p w14:paraId="55F94B52" w14:textId="77777777" w:rsidR="00EB716E" w:rsidRPr="00203808" w:rsidRDefault="00EB716E" w:rsidP="00203808">
      <w:pPr>
        <w:spacing w:after="0" w:line="360" w:lineRule="auto"/>
        <w:jc w:val="both"/>
        <w:rPr>
          <w:rFonts w:cs="Arial"/>
          <w:b/>
          <w:bCs/>
          <w:sz w:val="22"/>
          <w:lang w:val="en-GB"/>
        </w:rPr>
      </w:pPr>
      <w:r w:rsidRPr="00203808">
        <w:rPr>
          <w:rFonts w:cs="Arial"/>
          <w:sz w:val="22"/>
          <w:lang w:val="en-GB"/>
        </w:rPr>
        <w:lastRenderedPageBreak/>
        <w:t>Projects A and B should be rejected because their NPVs are negative and their IRRs are below the 8% required return.</w:t>
      </w:r>
    </w:p>
    <w:p w14:paraId="57CB7403" w14:textId="1653DDE1" w:rsidR="00EB716E" w:rsidRPr="00203808" w:rsidRDefault="00EB716E" w:rsidP="00203808">
      <w:pPr>
        <w:spacing w:after="0" w:line="360" w:lineRule="auto"/>
        <w:jc w:val="both"/>
        <w:rPr>
          <w:rFonts w:cs="Arial"/>
          <w:b/>
          <w:bCs/>
          <w:sz w:val="22"/>
          <w:lang w:val="en-GB"/>
        </w:rPr>
      </w:pPr>
      <w:r w:rsidRPr="00203808">
        <w:rPr>
          <w:rFonts w:cs="Arial"/>
          <w:sz w:val="22"/>
          <w:lang w:val="en-GB"/>
        </w:rPr>
        <w:t>From Marriott's perspective, Project C is also preferable because the company has strong operating cash generation and profitability, allowing it to finance a £50 million investment. Nevertheless, Marriott's high debt and relatively low cash balance mean that financial discipline remains important. The project should therefore be funded without creating unnecessary additional short</w:t>
      </w:r>
      <w:r w:rsidR="00ED72CF" w:rsidRPr="00203808">
        <w:rPr>
          <w:rFonts w:cs="Arial"/>
          <w:sz w:val="22"/>
          <w:lang w:val="en-GB"/>
        </w:rPr>
        <w:t>-</w:t>
      </w:r>
      <w:r w:rsidRPr="00203808">
        <w:rPr>
          <w:rFonts w:cs="Arial"/>
          <w:sz w:val="22"/>
          <w:lang w:val="en-GB"/>
        </w:rPr>
        <w:t>term financial pressure.</w:t>
      </w:r>
    </w:p>
    <w:p w14:paraId="483009AA" w14:textId="7EE0A1DE" w:rsidR="002A7575" w:rsidRPr="00203808" w:rsidRDefault="00EB716E" w:rsidP="00203808">
      <w:pPr>
        <w:spacing w:after="0" w:line="360" w:lineRule="auto"/>
        <w:jc w:val="both"/>
        <w:rPr>
          <w:rFonts w:cs="Arial"/>
          <w:b/>
          <w:bCs/>
          <w:sz w:val="22"/>
          <w:lang w:val="en-GB"/>
        </w:rPr>
      </w:pPr>
      <w:r w:rsidRPr="00203808">
        <w:rPr>
          <w:rFonts w:cs="Arial"/>
          <w:sz w:val="22"/>
          <w:lang w:val="en-GB"/>
        </w:rPr>
        <w:t>Under the £100 million capital</w:t>
      </w:r>
      <w:r w:rsidR="00ED72CF" w:rsidRPr="00203808">
        <w:rPr>
          <w:rFonts w:cs="Arial"/>
          <w:sz w:val="22"/>
          <w:lang w:val="en-GB"/>
        </w:rPr>
        <w:t>-</w:t>
      </w:r>
      <w:r w:rsidRPr="00203808">
        <w:rPr>
          <w:rFonts w:cs="Arial"/>
          <w:sz w:val="22"/>
          <w:lang w:val="en-GB"/>
        </w:rPr>
        <w:t>rationing constraint, the company should select Project C only rather than combining it with Project A or B. The remaining £50 million should be retained for liquidity, debt management or future projects with a positive NPV.</w:t>
      </w:r>
    </w:p>
    <w:p w14:paraId="34F48C0F" w14:textId="144AECCF" w:rsidR="002A7575" w:rsidRPr="00BE2860" w:rsidRDefault="00900317" w:rsidP="00203808">
      <w:pPr>
        <w:pStyle w:val="Titre1"/>
        <w:spacing w:line="360" w:lineRule="auto"/>
        <w:jc w:val="both"/>
        <w:rPr>
          <w:rFonts w:ascii="Arial" w:hAnsi="Arial" w:cs="Arial"/>
          <w:color w:val="auto"/>
          <w:sz w:val="22"/>
          <w:szCs w:val="22"/>
          <w:u w:val="single"/>
        </w:rPr>
      </w:pPr>
      <w:bookmarkStart w:id="27" w:name="_Toc237478476"/>
      <w:r w:rsidRPr="00BE2860">
        <w:rPr>
          <w:rFonts w:ascii="Arial" w:hAnsi="Arial" w:cs="Arial"/>
          <w:color w:val="auto"/>
          <w:sz w:val="22"/>
          <w:szCs w:val="22"/>
          <w:u w:val="single"/>
        </w:rPr>
        <w:t>5. Critical reflection on ai usage</w:t>
      </w:r>
      <w:bookmarkEnd w:id="27"/>
    </w:p>
    <w:p w14:paraId="7B16348C" w14:textId="0AAEB830" w:rsidR="002A7575" w:rsidRPr="00203808" w:rsidRDefault="002A7575" w:rsidP="00203808">
      <w:pPr>
        <w:spacing w:after="0" w:line="360" w:lineRule="auto"/>
        <w:jc w:val="both"/>
        <w:rPr>
          <w:rFonts w:cs="Arial"/>
          <w:sz w:val="22"/>
        </w:rPr>
      </w:pPr>
      <w:r w:rsidRPr="00203808">
        <w:rPr>
          <w:rFonts w:cs="Arial"/>
          <w:sz w:val="22"/>
        </w:rPr>
        <w:t>Artificial Intelligence was used as a supporting tool in the preparation of this report. The aim of this section is to explain how AI was used, how its output was checked, and to reflect on the ethical issues. This is important to meet UWTSD requirements on academic integrity and to show that final judgement and all calculations remained with the author. Given that this report involves financial analysis, it was essential to use AI carefully.</w:t>
      </w:r>
    </w:p>
    <w:p w14:paraId="1DEACEBB" w14:textId="43016959" w:rsidR="002A7575" w:rsidRPr="00BE2860" w:rsidRDefault="002A7575" w:rsidP="00203808">
      <w:pPr>
        <w:pStyle w:val="Titre2"/>
        <w:spacing w:line="360" w:lineRule="auto"/>
        <w:jc w:val="both"/>
        <w:rPr>
          <w:rFonts w:ascii="Arial" w:hAnsi="Arial" w:cs="Arial"/>
          <w:color w:val="auto"/>
          <w:sz w:val="22"/>
          <w:szCs w:val="22"/>
          <w:u w:val="single"/>
        </w:rPr>
      </w:pPr>
      <w:bookmarkStart w:id="28" w:name="_Toc237478477"/>
      <w:r w:rsidRPr="00BE2860">
        <w:rPr>
          <w:rFonts w:ascii="Arial" w:hAnsi="Arial" w:cs="Arial"/>
          <w:color w:val="auto"/>
          <w:sz w:val="22"/>
          <w:szCs w:val="22"/>
          <w:u w:val="single"/>
        </w:rPr>
        <w:t>5.</w:t>
      </w:r>
      <w:r w:rsidR="00C44300" w:rsidRPr="00BE2860">
        <w:rPr>
          <w:rFonts w:ascii="Arial" w:hAnsi="Arial" w:cs="Arial"/>
          <w:color w:val="auto"/>
          <w:sz w:val="22"/>
          <w:szCs w:val="22"/>
          <w:u w:val="single"/>
        </w:rPr>
        <w:t>1</w:t>
      </w:r>
      <w:r w:rsidRPr="00BE2860">
        <w:rPr>
          <w:rFonts w:ascii="Arial" w:hAnsi="Arial" w:cs="Arial"/>
          <w:color w:val="auto"/>
          <w:sz w:val="22"/>
          <w:szCs w:val="22"/>
          <w:u w:val="single"/>
        </w:rPr>
        <w:t xml:space="preserve"> How AI Was Used</w:t>
      </w:r>
      <w:bookmarkEnd w:id="28"/>
    </w:p>
    <w:p w14:paraId="0EE93425" w14:textId="303FCBBC" w:rsidR="002A7575" w:rsidRPr="00203808" w:rsidRDefault="002A7575" w:rsidP="00203808">
      <w:pPr>
        <w:spacing w:after="0" w:line="360" w:lineRule="auto"/>
        <w:jc w:val="both"/>
        <w:rPr>
          <w:rFonts w:cs="Arial"/>
          <w:sz w:val="22"/>
        </w:rPr>
      </w:pPr>
      <w:r w:rsidRPr="00203808">
        <w:rPr>
          <w:rFonts w:cs="Arial"/>
          <w:sz w:val="22"/>
        </w:rPr>
        <w:t>The main tool used w</w:t>
      </w:r>
      <w:r w:rsidR="00C44300" w:rsidRPr="00203808">
        <w:rPr>
          <w:rFonts w:cs="Arial"/>
          <w:sz w:val="22"/>
        </w:rPr>
        <w:t>a</w:t>
      </w:r>
      <w:r w:rsidRPr="00203808">
        <w:rPr>
          <w:rFonts w:cs="Arial"/>
          <w:sz w:val="22"/>
        </w:rPr>
        <w:t>s</w:t>
      </w:r>
      <w:r w:rsidR="00C44300" w:rsidRPr="00203808">
        <w:rPr>
          <w:rFonts w:cs="Arial"/>
          <w:sz w:val="22"/>
        </w:rPr>
        <w:t xml:space="preserve"> Meta AI and</w:t>
      </w:r>
      <w:r w:rsidRPr="00203808">
        <w:rPr>
          <w:rFonts w:cs="Arial"/>
          <w:sz w:val="22"/>
        </w:rPr>
        <w:t xml:space="preserve"> ChatGPT. AI was not used to replace research, analysis or calculations, and it was not used to write or draft this report. </w:t>
      </w:r>
    </w:p>
    <w:p w14:paraId="5528C485" w14:textId="4237BAB3" w:rsidR="002A7575" w:rsidRPr="00203808" w:rsidRDefault="002A7575" w:rsidP="00203808">
      <w:pPr>
        <w:spacing w:after="0" w:line="360" w:lineRule="auto"/>
        <w:jc w:val="both"/>
        <w:rPr>
          <w:rFonts w:cs="Arial"/>
          <w:sz w:val="22"/>
        </w:rPr>
      </w:pPr>
      <w:r w:rsidRPr="00203808">
        <w:rPr>
          <w:rFonts w:cs="Arial"/>
          <w:sz w:val="22"/>
        </w:rPr>
        <w:t xml:space="preserve">AI was used in three supporting ways. First, it helped to </w:t>
      </w:r>
      <w:proofErr w:type="spellStart"/>
      <w:r w:rsidRPr="00203808">
        <w:rPr>
          <w:rFonts w:cs="Arial"/>
          <w:sz w:val="22"/>
        </w:rPr>
        <w:t>organise</w:t>
      </w:r>
      <w:proofErr w:type="spellEnd"/>
      <w:r w:rsidRPr="00203808">
        <w:rPr>
          <w:rFonts w:cs="Arial"/>
          <w:sz w:val="22"/>
        </w:rPr>
        <w:t xml:space="preserve"> the report structure and suggest logical flow for the sections, which I then adapted to Marriott’s case and to UWTSD guidelines. Second, it supported research by identifying sources on hospitality finance, debt management and the asset</w:t>
      </w:r>
      <w:r w:rsidR="00ED72CF" w:rsidRPr="00203808">
        <w:rPr>
          <w:rFonts w:cs="Arial"/>
          <w:sz w:val="22"/>
        </w:rPr>
        <w:t>-</w:t>
      </w:r>
      <w:r w:rsidRPr="00203808">
        <w:rPr>
          <w:rFonts w:cs="Arial"/>
          <w:sz w:val="22"/>
        </w:rPr>
        <w:t xml:space="preserve">light model. It also </w:t>
      </w:r>
      <w:proofErr w:type="spellStart"/>
      <w:r w:rsidRPr="00203808">
        <w:rPr>
          <w:rFonts w:cs="Arial"/>
          <w:sz w:val="22"/>
        </w:rPr>
        <w:t>summarised</w:t>
      </w:r>
      <w:proofErr w:type="spellEnd"/>
      <w:r w:rsidRPr="00203808">
        <w:rPr>
          <w:rFonts w:cs="Arial"/>
          <w:sz w:val="22"/>
        </w:rPr>
        <w:t xml:space="preserve"> long articles and annual reports. This made it faster to check if a source was relevant before reading it in full.</w:t>
      </w:r>
    </w:p>
    <w:p w14:paraId="090A720C" w14:textId="6F022D8E" w:rsidR="002A7575" w:rsidRPr="00203808" w:rsidRDefault="002A7575" w:rsidP="00203808">
      <w:pPr>
        <w:spacing w:after="0" w:line="360" w:lineRule="auto"/>
        <w:jc w:val="both"/>
        <w:rPr>
          <w:rFonts w:cs="Arial"/>
          <w:sz w:val="22"/>
        </w:rPr>
      </w:pPr>
      <w:r w:rsidRPr="00203808">
        <w:rPr>
          <w:rFonts w:cs="Arial"/>
          <w:sz w:val="22"/>
        </w:rPr>
        <w:t>Third, it helped with methodology. It explained financial</w:t>
      </w:r>
      <w:r w:rsidR="00ED72CF" w:rsidRPr="00203808">
        <w:rPr>
          <w:rFonts w:cs="Arial"/>
          <w:sz w:val="22"/>
        </w:rPr>
        <w:t>-</w:t>
      </w:r>
      <w:r w:rsidRPr="00203808">
        <w:rPr>
          <w:rFonts w:cs="Arial"/>
          <w:sz w:val="22"/>
        </w:rPr>
        <w:t>ratio formulas and the steps for investment appraisal techniques such as NPV, IRR, PI, ARR and PBP. This was useful for confirming that I was applying the correct approach.</w:t>
      </w:r>
    </w:p>
    <w:p w14:paraId="737A8A7B" w14:textId="5D9AAB43" w:rsidR="002A7575" w:rsidRPr="00203808" w:rsidRDefault="002A7575" w:rsidP="00203808">
      <w:pPr>
        <w:spacing w:after="0" w:line="360" w:lineRule="auto"/>
        <w:jc w:val="both"/>
        <w:rPr>
          <w:rFonts w:cs="Arial"/>
          <w:sz w:val="22"/>
        </w:rPr>
      </w:pPr>
      <w:r w:rsidRPr="00203808">
        <w:rPr>
          <w:rFonts w:cs="Arial"/>
          <w:sz w:val="22"/>
        </w:rPr>
        <w:t xml:space="preserve">It is important to state that all ratios and investment appraisal calculations were done by myself using Excel, based directly on data extracted from Marriott’s financial statements. </w:t>
      </w:r>
    </w:p>
    <w:p w14:paraId="3F1F85CC" w14:textId="1FF0DF16" w:rsidR="002A7575" w:rsidRPr="00BE2860" w:rsidRDefault="002A7575" w:rsidP="00203808">
      <w:pPr>
        <w:pStyle w:val="Titre2"/>
        <w:spacing w:line="360" w:lineRule="auto"/>
        <w:jc w:val="both"/>
        <w:rPr>
          <w:rFonts w:ascii="Arial" w:hAnsi="Arial" w:cs="Arial"/>
          <w:color w:val="auto"/>
          <w:sz w:val="22"/>
          <w:szCs w:val="22"/>
          <w:u w:val="single"/>
        </w:rPr>
      </w:pPr>
      <w:bookmarkStart w:id="29" w:name="_Toc237478478"/>
      <w:r w:rsidRPr="00BE2860">
        <w:rPr>
          <w:rFonts w:ascii="Arial" w:hAnsi="Arial" w:cs="Arial"/>
          <w:color w:val="auto"/>
          <w:sz w:val="22"/>
          <w:szCs w:val="22"/>
          <w:u w:val="single"/>
        </w:rPr>
        <w:lastRenderedPageBreak/>
        <w:t>5.</w:t>
      </w:r>
      <w:r w:rsidR="00EA3B33" w:rsidRPr="00BE2860">
        <w:rPr>
          <w:rFonts w:ascii="Arial" w:hAnsi="Arial" w:cs="Arial"/>
          <w:color w:val="auto"/>
          <w:sz w:val="22"/>
          <w:szCs w:val="22"/>
          <w:u w:val="single"/>
        </w:rPr>
        <w:t>2</w:t>
      </w:r>
      <w:r w:rsidRPr="00BE2860">
        <w:rPr>
          <w:rFonts w:ascii="Arial" w:hAnsi="Arial" w:cs="Arial"/>
          <w:color w:val="auto"/>
          <w:sz w:val="22"/>
          <w:szCs w:val="22"/>
          <w:u w:val="single"/>
        </w:rPr>
        <w:t xml:space="preserve"> Critical Evaluation and Contribution</w:t>
      </w:r>
      <w:bookmarkEnd w:id="29"/>
    </w:p>
    <w:p w14:paraId="7B3F8E27" w14:textId="76AB16D8" w:rsidR="002A7575" w:rsidRPr="00203808" w:rsidRDefault="002A7575" w:rsidP="00203808">
      <w:pPr>
        <w:spacing w:after="0" w:line="360" w:lineRule="auto"/>
        <w:jc w:val="both"/>
        <w:rPr>
          <w:rFonts w:cs="Arial"/>
          <w:sz w:val="22"/>
        </w:rPr>
      </w:pPr>
      <w:r w:rsidRPr="00203808">
        <w:rPr>
          <w:rFonts w:cs="Arial"/>
          <w:sz w:val="22"/>
        </w:rPr>
        <w:t>A key lesson was that AI output must be verified. AI can give confident answers that are still wrong. This is a particular risk in finance because similar terms can have different meanings under different accounting standards.</w:t>
      </w:r>
    </w:p>
    <w:p w14:paraId="6094BAB0" w14:textId="1D449781" w:rsidR="002A7575" w:rsidRPr="00203808" w:rsidRDefault="002A7575" w:rsidP="00203808">
      <w:pPr>
        <w:spacing w:after="0" w:line="360" w:lineRule="auto"/>
        <w:jc w:val="both"/>
        <w:rPr>
          <w:rFonts w:cs="Arial"/>
          <w:sz w:val="22"/>
        </w:rPr>
      </w:pPr>
      <w:r w:rsidRPr="00203808">
        <w:rPr>
          <w:rFonts w:cs="Arial"/>
          <w:sz w:val="22"/>
        </w:rPr>
        <w:t xml:space="preserve">To manage this, I adopted a clear process. All key figures and ratios were traced back to Marriott’s Consolidated Income Statement, Balance Sheet and Cash Flow Statement for 2021 to 2025. Because I calculated all ratios and indices myself, I was able to check each formula and input directly against the source documents. </w:t>
      </w:r>
    </w:p>
    <w:p w14:paraId="5B0B1566" w14:textId="026142D2" w:rsidR="002A7575" w:rsidRPr="00203808" w:rsidRDefault="002A7575" w:rsidP="00203808">
      <w:pPr>
        <w:spacing w:after="0" w:line="360" w:lineRule="auto"/>
        <w:jc w:val="both"/>
        <w:rPr>
          <w:rFonts w:cs="Arial"/>
          <w:sz w:val="22"/>
        </w:rPr>
      </w:pPr>
      <w:r w:rsidRPr="00203808">
        <w:rPr>
          <w:rFonts w:cs="Arial"/>
          <w:sz w:val="22"/>
        </w:rPr>
        <w:t>The investment appraisal calculations were also checked step by step. Rather than relying on AI, I built the NPV, PI, ARR and PBP models in Excel and tested different discount rates to estimate IRR by interpolation. This gave IRRs of approximately 3.0% for Project A, 3.6% for Project B and 8.6% for Project C. This process helped to avoid errors and to understand the assumptions behind each result.</w:t>
      </w:r>
    </w:p>
    <w:p w14:paraId="782648A9" w14:textId="684D1521" w:rsidR="002A7575" w:rsidRPr="00203808" w:rsidRDefault="002A7575" w:rsidP="00203808">
      <w:pPr>
        <w:spacing w:after="0" w:line="360" w:lineRule="auto"/>
        <w:jc w:val="both"/>
        <w:rPr>
          <w:rFonts w:cs="Arial"/>
          <w:sz w:val="22"/>
        </w:rPr>
      </w:pPr>
      <w:r w:rsidRPr="00203808">
        <w:rPr>
          <w:rFonts w:cs="Arial"/>
          <w:sz w:val="22"/>
        </w:rPr>
        <w:t>AI’s role was limited to structure suggestions, source identification and methodology explanation. My role was to select relevant information, perform all calculations, verify data, write the report, and decide on the final recommendations for Marriott.</w:t>
      </w:r>
    </w:p>
    <w:p w14:paraId="6FBE7021" w14:textId="4DF439A7" w:rsidR="002A7575" w:rsidRPr="00BE2860" w:rsidRDefault="002A7575" w:rsidP="00203808">
      <w:pPr>
        <w:pStyle w:val="Titre3"/>
        <w:spacing w:line="360" w:lineRule="auto"/>
        <w:jc w:val="both"/>
        <w:rPr>
          <w:rFonts w:ascii="Arial" w:hAnsi="Arial" w:cs="Arial"/>
          <w:color w:val="auto"/>
          <w:sz w:val="22"/>
          <w:u w:val="single"/>
        </w:rPr>
      </w:pPr>
      <w:bookmarkStart w:id="30" w:name="_Toc237478479"/>
      <w:r w:rsidRPr="00BE2860">
        <w:rPr>
          <w:rFonts w:ascii="Arial" w:hAnsi="Arial" w:cs="Arial"/>
          <w:color w:val="auto"/>
          <w:sz w:val="22"/>
          <w:u w:val="single"/>
        </w:rPr>
        <w:t>5.</w:t>
      </w:r>
      <w:r w:rsidR="00900317" w:rsidRPr="00BE2860">
        <w:rPr>
          <w:rFonts w:ascii="Arial" w:hAnsi="Arial" w:cs="Arial"/>
          <w:color w:val="auto"/>
          <w:sz w:val="22"/>
          <w:u w:val="single"/>
        </w:rPr>
        <w:t>3</w:t>
      </w:r>
      <w:r w:rsidRPr="00BE2860">
        <w:rPr>
          <w:rFonts w:ascii="Arial" w:hAnsi="Arial" w:cs="Arial"/>
          <w:color w:val="auto"/>
          <w:sz w:val="22"/>
          <w:u w:val="single"/>
        </w:rPr>
        <w:t xml:space="preserve"> Ethical Reflection</w:t>
      </w:r>
      <w:bookmarkEnd w:id="30"/>
    </w:p>
    <w:p w14:paraId="7FBB038B" w14:textId="61FCB38A" w:rsidR="002A7575" w:rsidRPr="00203808" w:rsidRDefault="002A7575" w:rsidP="00203808">
      <w:pPr>
        <w:spacing w:after="0" w:line="360" w:lineRule="auto"/>
        <w:jc w:val="both"/>
        <w:rPr>
          <w:rFonts w:cs="Arial"/>
          <w:sz w:val="22"/>
        </w:rPr>
      </w:pPr>
      <w:r w:rsidRPr="00203808">
        <w:rPr>
          <w:rFonts w:cs="Arial"/>
          <w:sz w:val="22"/>
        </w:rPr>
        <w:t>Two issues are important. First, transparency. AI use should be disclosed and not presented as original work. This is expected in academic submissions and in professional practice. Second, over</w:t>
      </w:r>
      <w:r w:rsidR="00ED72CF" w:rsidRPr="00203808">
        <w:rPr>
          <w:rFonts w:cs="Arial"/>
          <w:sz w:val="22"/>
        </w:rPr>
        <w:t>-</w:t>
      </w:r>
      <w:r w:rsidRPr="00203808">
        <w:rPr>
          <w:rFonts w:cs="Arial"/>
          <w:sz w:val="22"/>
        </w:rPr>
        <w:t xml:space="preserve">reliance should be avoided. AI can be persuasive but inaccurate, especially with outdated or incomplete data. In finance, accepting AI output could lead to poor investment or financing decisions. Data privacy is also relevant. </w:t>
      </w:r>
    </w:p>
    <w:p w14:paraId="7D8691CA" w14:textId="77777777" w:rsidR="00EA3B33" w:rsidRPr="00203808" w:rsidRDefault="002A7575" w:rsidP="00203808">
      <w:pPr>
        <w:spacing w:after="0" w:line="360" w:lineRule="auto"/>
        <w:jc w:val="both"/>
        <w:rPr>
          <w:rFonts w:cs="Arial"/>
          <w:sz w:val="22"/>
        </w:rPr>
      </w:pPr>
      <w:r w:rsidRPr="00203808">
        <w:rPr>
          <w:rFonts w:cs="Arial"/>
          <w:sz w:val="22"/>
        </w:rPr>
        <w:t xml:space="preserve">Overall, AI improved efficiency and </w:t>
      </w:r>
      <w:proofErr w:type="spellStart"/>
      <w:r w:rsidRPr="00203808">
        <w:rPr>
          <w:rFonts w:cs="Arial"/>
          <w:sz w:val="22"/>
        </w:rPr>
        <w:t>organisation</w:t>
      </w:r>
      <w:proofErr w:type="spellEnd"/>
      <w:r w:rsidRPr="00203808">
        <w:rPr>
          <w:rFonts w:cs="Arial"/>
          <w:sz w:val="22"/>
        </w:rPr>
        <w:t>. However, its value depended on human verification. It works best as a support tool within a controlled process, not as a replacement for professional judgement.</w:t>
      </w:r>
    </w:p>
    <w:p w14:paraId="7B38E88C" w14:textId="77777777" w:rsidR="00EA3B33" w:rsidRDefault="00EA3B33" w:rsidP="00203808">
      <w:pPr>
        <w:spacing w:after="0" w:line="360" w:lineRule="auto"/>
        <w:jc w:val="both"/>
        <w:rPr>
          <w:rFonts w:cs="Arial"/>
          <w:sz w:val="22"/>
        </w:rPr>
      </w:pPr>
    </w:p>
    <w:p w14:paraId="105916E3" w14:textId="77777777" w:rsidR="00BE2860" w:rsidRDefault="00BE2860" w:rsidP="00203808">
      <w:pPr>
        <w:spacing w:after="0" w:line="360" w:lineRule="auto"/>
        <w:jc w:val="both"/>
        <w:rPr>
          <w:rFonts w:cs="Arial"/>
          <w:sz w:val="22"/>
        </w:rPr>
      </w:pPr>
    </w:p>
    <w:p w14:paraId="70D12138" w14:textId="77777777" w:rsidR="00BE2860" w:rsidRDefault="00BE2860" w:rsidP="00203808">
      <w:pPr>
        <w:spacing w:after="0" w:line="360" w:lineRule="auto"/>
        <w:jc w:val="both"/>
        <w:rPr>
          <w:rFonts w:cs="Arial"/>
          <w:sz w:val="22"/>
        </w:rPr>
      </w:pPr>
    </w:p>
    <w:p w14:paraId="4559C1A8" w14:textId="77777777" w:rsidR="00BE2860" w:rsidRDefault="00BE2860" w:rsidP="00203808">
      <w:pPr>
        <w:spacing w:after="0" w:line="360" w:lineRule="auto"/>
        <w:jc w:val="both"/>
        <w:rPr>
          <w:rFonts w:cs="Arial"/>
          <w:sz w:val="22"/>
        </w:rPr>
      </w:pPr>
    </w:p>
    <w:p w14:paraId="1107B5DB" w14:textId="77777777" w:rsidR="00BE2860" w:rsidRDefault="00BE2860" w:rsidP="00203808">
      <w:pPr>
        <w:spacing w:after="0" w:line="360" w:lineRule="auto"/>
        <w:jc w:val="both"/>
        <w:rPr>
          <w:rFonts w:cs="Arial"/>
          <w:sz w:val="22"/>
        </w:rPr>
      </w:pPr>
    </w:p>
    <w:p w14:paraId="71F0ACA8" w14:textId="77777777" w:rsidR="00BE2860" w:rsidRDefault="00BE2860" w:rsidP="00203808">
      <w:pPr>
        <w:spacing w:after="0" w:line="360" w:lineRule="auto"/>
        <w:jc w:val="both"/>
        <w:rPr>
          <w:rFonts w:cs="Arial"/>
          <w:sz w:val="22"/>
        </w:rPr>
      </w:pPr>
    </w:p>
    <w:p w14:paraId="54636ADB" w14:textId="77777777" w:rsidR="00BE2860" w:rsidRDefault="00BE2860" w:rsidP="00203808">
      <w:pPr>
        <w:spacing w:after="0" w:line="360" w:lineRule="auto"/>
        <w:jc w:val="both"/>
        <w:rPr>
          <w:rFonts w:cs="Arial"/>
          <w:sz w:val="22"/>
        </w:rPr>
      </w:pPr>
    </w:p>
    <w:p w14:paraId="24F12286" w14:textId="77777777" w:rsidR="00BE2860" w:rsidRPr="00203808" w:rsidRDefault="00BE2860" w:rsidP="00203808">
      <w:pPr>
        <w:spacing w:after="0" w:line="360" w:lineRule="auto"/>
        <w:jc w:val="both"/>
        <w:rPr>
          <w:rFonts w:cs="Arial"/>
          <w:sz w:val="22"/>
        </w:rPr>
      </w:pPr>
    </w:p>
    <w:p w14:paraId="07411689" w14:textId="5A5B084D" w:rsidR="008F42DF" w:rsidRPr="00BE2860" w:rsidRDefault="00EB716E" w:rsidP="00BE2860">
      <w:pPr>
        <w:pStyle w:val="Titre1"/>
        <w:spacing w:line="360" w:lineRule="auto"/>
        <w:jc w:val="both"/>
        <w:rPr>
          <w:rFonts w:ascii="Arial" w:hAnsi="Arial" w:cs="Arial"/>
          <w:b w:val="0"/>
          <w:bCs w:val="0"/>
          <w:color w:val="auto"/>
          <w:sz w:val="22"/>
          <w:szCs w:val="22"/>
          <w:u w:val="single"/>
          <w:lang w:val="fr-FR"/>
        </w:rPr>
      </w:pPr>
      <w:bookmarkStart w:id="31" w:name="_Toc237478480"/>
      <w:r w:rsidRPr="00BE2860">
        <w:rPr>
          <w:rFonts w:ascii="Arial" w:hAnsi="Arial" w:cs="Arial"/>
          <w:color w:val="auto"/>
          <w:sz w:val="22"/>
          <w:szCs w:val="22"/>
          <w:u w:val="single"/>
          <w:lang w:val="en-GB"/>
        </w:rPr>
        <w:lastRenderedPageBreak/>
        <w:t xml:space="preserve">6. </w:t>
      </w:r>
      <w:r w:rsidRPr="00BE2860">
        <w:rPr>
          <w:rFonts w:ascii="Arial" w:hAnsi="Arial" w:cs="Arial"/>
          <w:color w:val="auto"/>
          <w:sz w:val="22"/>
          <w:szCs w:val="22"/>
          <w:u w:val="single"/>
          <w:lang w:val="fr-FR"/>
        </w:rPr>
        <w:t>Appendices</w:t>
      </w:r>
      <w:bookmarkEnd w:id="31"/>
    </w:p>
    <w:p w14:paraId="4EB8B2FB" w14:textId="1EB0FF5B" w:rsidR="00ED72CF" w:rsidRPr="00203808" w:rsidRDefault="00ED72CF" w:rsidP="00203808">
      <w:pPr>
        <w:spacing w:line="360" w:lineRule="auto"/>
        <w:jc w:val="both"/>
        <w:rPr>
          <w:rFonts w:cs="Arial"/>
          <w:b/>
          <w:bCs/>
          <w:sz w:val="22"/>
        </w:rPr>
      </w:pPr>
      <w:r w:rsidRPr="00203808">
        <w:rPr>
          <w:rFonts w:cs="Arial"/>
          <w:b/>
          <w:bCs/>
          <w:sz w:val="22"/>
        </w:rPr>
        <w:t>APPENDIX 1:</w:t>
      </w:r>
      <w:r w:rsidRPr="00203808">
        <w:rPr>
          <w:rFonts w:cs="Arial"/>
          <w:sz w:val="22"/>
        </w:rPr>
        <w:t xml:space="preserve"> </w:t>
      </w:r>
      <w:r w:rsidRPr="00203808">
        <w:rPr>
          <w:rFonts w:cs="Arial"/>
          <w:b/>
          <w:bCs/>
          <w:sz w:val="22"/>
        </w:rPr>
        <w:t>MARRIOTT INTERNATIONAL, INC. CONSOLIDATED STATEMENTS OF INCOME (LOSS) Fiscal Years 2025, 2024, 2023, 2022 and 2021- ($ in millions, except per share amounts)</w:t>
      </w:r>
    </w:p>
    <w:p w14:paraId="1EB72299" w14:textId="77777777" w:rsidR="00ED72CF" w:rsidRPr="00203808" w:rsidRDefault="00ED72CF" w:rsidP="00203808">
      <w:pPr>
        <w:spacing w:line="360" w:lineRule="auto"/>
        <w:jc w:val="both"/>
        <w:rPr>
          <w:rFonts w:cs="Arial"/>
          <w:sz w:val="22"/>
        </w:rPr>
      </w:pPr>
      <w:r w:rsidRPr="00203808">
        <w:rPr>
          <w:rFonts w:cs="Arial"/>
          <w:noProof/>
          <w:sz w:val="22"/>
        </w:rPr>
        <w:lastRenderedPageBreak/>
        <w:drawing>
          <wp:inline distT="0" distB="0" distL="0" distR="0" wp14:anchorId="19110657" wp14:editId="3D2CE9CF">
            <wp:extent cx="5731510" cy="5674995"/>
            <wp:effectExtent l="0" t="0" r="2540" b="1905"/>
            <wp:docPr id="1607384079"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384079" name=""/>
                    <pic:cNvPicPr/>
                  </pic:nvPicPr>
                  <pic:blipFill>
                    <a:blip r:embed="rId26"/>
                    <a:stretch>
                      <a:fillRect/>
                    </a:stretch>
                  </pic:blipFill>
                  <pic:spPr>
                    <a:xfrm>
                      <a:off x="0" y="0"/>
                      <a:ext cx="5731510" cy="5674995"/>
                    </a:xfrm>
                    <a:prstGeom prst="rect">
                      <a:avLst/>
                    </a:prstGeom>
                  </pic:spPr>
                </pic:pic>
              </a:graphicData>
            </a:graphic>
          </wp:inline>
        </w:drawing>
      </w:r>
      <w:r w:rsidRPr="00203808">
        <w:rPr>
          <w:rFonts w:cs="Arial"/>
          <w:noProof/>
          <w:sz w:val="22"/>
        </w:rPr>
        <w:drawing>
          <wp:inline distT="0" distB="0" distL="0" distR="0" wp14:anchorId="7F12787F" wp14:editId="02A5993A">
            <wp:extent cx="5731510" cy="2138045"/>
            <wp:effectExtent l="0" t="0" r="2540" b="0"/>
            <wp:docPr id="2073328727"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328727" name=""/>
                    <pic:cNvPicPr/>
                  </pic:nvPicPr>
                  <pic:blipFill>
                    <a:blip r:embed="rId27"/>
                    <a:stretch>
                      <a:fillRect/>
                    </a:stretch>
                  </pic:blipFill>
                  <pic:spPr>
                    <a:xfrm>
                      <a:off x="0" y="0"/>
                      <a:ext cx="5731510" cy="2138045"/>
                    </a:xfrm>
                    <a:prstGeom prst="rect">
                      <a:avLst/>
                    </a:prstGeom>
                  </pic:spPr>
                </pic:pic>
              </a:graphicData>
            </a:graphic>
          </wp:inline>
        </w:drawing>
      </w:r>
    </w:p>
    <w:p w14:paraId="72B71222" w14:textId="77777777" w:rsidR="00ED72CF" w:rsidRPr="00203808" w:rsidRDefault="00ED72CF" w:rsidP="00203808">
      <w:pPr>
        <w:spacing w:line="360" w:lineRule="auto"/>
        <w:jc w:val="both"/>
        <w:rPr>
          <w:rFonts w:cs="Arial"/>
          <w:sz w:val="22"/>
        </w:rPr>
      </w:pPr>
    </w:p>
    <w:p w14:paraId="743F9849" w14:textId="77777777" w:rsidR="00ED72CF" w:rsidRPr="00203808" w:rsidRDefault="00ED72CF" w:rsidP="00203808">
      <w:pPr>
        <w:spacing w:line="360" w:lineRule="auto"/>
        <w:jc w:val="both"/>
        <w:rPr>
          <w:rFonts w:cs="Arial"/>
          <w:sz w:val="22"/>
        </w:rPr>
      </w:pPr>
    </w:p>
    <w:p w14:paraId="46C22520" w14:textId="77777777" w:rsidR="00ED72CF" w:rsidRPr="00203808" w:rsidRDefault="00ED72CF" w:rsidP="00203808">
      <w:pPr>
        <w:spacing w:line="360" w:lineRule="auto"/>
        <w:jc w:val="both"/>
        <w:rPr>
          <w:rFonts w:cs="Arial"/>
          <w:sz w:val="22"/>
        </w:rPr>
      </w:pPr>
      <w:r w:rsidRPr="00203808">
        <w:rPr>
          <w:rFonts w:cs="Arial"/>
          <w:noProof/>
          <w:sz w:val="22"/>
        </w:rPr>
        <w:lastRenderedPageBreak/>
        <w:drawing>
          <wp:inline distT="0" distB="0" distL="0" distR="0" wp14:anchorId="25F3E791" wp14:editId="19076093">
            <wp:extent cx="5731510" cy="6031230"/>
            <wp:effectExtent l="0" t="0" r="2540" b="7620"/>
            <wp:docPr id="260985554"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985554" name=""/>
                    <pic:cNvPicPr/>
                  </pic:nvPicPr>
                  <pic:blipFill>
                    <a:blip r:embed="rId28"/>
                    <a:stretch>
                      <a:fillRect/>
                    </a:stretch>
                  </pic:blipFill>
                  <pic:spPr>
                    <a:xfrm>
                      <a:off x="0" y="0"/>
                      <a:ext cx="5731510" cy="6031230"/>
                    </a:xfrm>
                    <a:prstGeom prst="rect">
                      <a:avLst/>
                    </a:prstGeom>
                  </pic:spPr>
                </pic:pic>
              </a:graphicData>
            </a:graphic>
          </wp:inline>
        </w:drawing>
      </w:r>
      <w:r w:rsidRPr="00203808">
        <w:rPr>
          <w:rFonts w:cs="Arial"/>
          <w:noProof/>
          <w:sz w:val="22"/>
        </w:rPr>
        <w:lastRenderedPageBreak/>
        <w:drawing>
          <wp:inline distT="0" distB="0" distL="0" distR="0" wp14:anchorId="4B10A90A" wp14:editId="5931C2F7">
            <wp:extent cx="5731510" cy="2338070"/>
            <wp:effectExtent l="0" t="0" r="2540" b="5080"/>
            <wp:docPr id="1403979909"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979909" name=""/>
                    <pic:cNvPicPr/>
                  </pic:nvPicPr>
                  <pic:blipFill>
                    <a:blip r:embed="rId29"/>
                    <a:stretch>
                      <a:fillRect/>
                    </a:stretch>
                  </pic:blipFill>
                  <pic:spPr>
                    <a:xfrm>
                      <a:off x="0" y="0"/>
                      <a:ext cx="5731510" cy="2338070"/>
                    </a:xfrm>
                    <a:prstGeom prst="rect">
                      <a:avLst/>
                    </a:prstGeom>
                  </pic:spPr>
                </pic:pic>
              </a:graphicData>
            </a:graphic>
          </wp:inline>
        </w:drawing>
      </w:r>
    </w:p>
    <w:p w14:paraId="2117192A" w14:textId="77777777" w:rsidR="00ED72CF" w:rsidRPr="00203808" w:rsidRDefault="00ED72CF" w:rsidP="00203808">
      <w:pPr>
        <w:spacing w:line="360" w:lineRule="auto"/>
        <w:jc w:val="both"/>
        <w:rPr>
          <w:rFonts w:cs="Arial"/>
          <w:sz w:val="22"/>
        </w:rPr>
      </w:pPr>
    </w:p>
    <w:p w14:paraId="0E2D2040" w14:textId="77777777" w:rsidR="00ED72CF" w:rsidRPr="00203808" w:rsidRDefault="00ED72CF" w:rsidP="00203808">
      <w:pPr>
        <w:spacing w:line="360" w:lineRule="auto"/>
        <w:jc w:val="both"/>
        <w:rPr>
          <w:rFonts w:cs="Arial"/>
          <w:sz w:val="22"/>
        </w:rPr>
      </w:pPr>
      <w:r w:rsidRPr="00203808">
        <w:rPr>
          <w:rFonts w:cs="Arial"/>
          <w:noProof/>
          <w:sz w:val="22"/>
        </w:rPr>
        <w:lastRenderedPageBreak/>
        <w:drawing>
          <wp:inline distT="0" distB="0" distL="0" distR="0" wp14:anchorId="651171DE" wp14:editId="694A4051">
            <wp:extent cx="5731510" cy="6209030"/>
            <wp:effectExtent l="0" t="0" r="2540" b="1270"/>
            <wp:docPr id="1759774697"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774697" name=""/>
                    <pic:cNvPicPr/>
                  </pic:nvPicPr>
                  <pic:blipFill>
                    <a:blip r:embed="rId30"/>
                    <a:stretch>
                      <a:fillRect/>
                    </a:stretch>
                  </pic:blipFill>
                  <pic:spPr>
                    <a:xfrm>
                      <a:off x="0" y="0"/>
                      <a:ext cx="5731510" cy="6209030"/>
                    </a:xfrm>
                    <a:prstGeom prst="rect">
                      <a:avLst/>
                    </a:prstGeom>
                  </pic:spPr>
                </pic:pic>
              </a:graphicData>
            </a:graphic>
          </wp:inline>
        </w:drawing>
      </w:r>
      <w:r w:rsidRPr="00203808">
        <w:rPr>
          <w:rFonts w:cs="Arial"/>
          <w:noProof/>
          <w:sz w:val="22"/>
        </w:rPr>
        <w:lastRenderedPageBreak/>
        <w:drawing>
          <wp:inline distT="0" distB="0" distL="0" distR="0" wp14:anchorId="60924821" wp14:editId="66E5F89F">
            <wp:extent cx="5731510" cy="2513965"/>
            <wp:effectExtent l="0" t="0" r="2540" b="635"/>
            <wp:docPr id="46502070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020701" name=""/>
                    <pic:cNvPicPr/>
                  </pic:nvPicPr>
                  <pic:blipFill>
                    <a:blip r:embed="rId31"/>
                    <a:stretch>
                      <a:fillRect/>
                    </a:stretch>
                  </pic:blipFill>
                  <pic:spPr>
                    <a:xfrm>
                      <a:off x="0" y="0"/>
                      <a:ext cx="5731510" cy="2513965"/>
                    </a:xfrm>
                    <a:prstGeom prst="rect">
                      <a:avLst/>
                    </a:prstGeom>
                  </pic:spPr>
                </pic:pic>
              </a:graphicData>
            </a:graphic>
          </wp:inline>
        </w:drawing>
      </w:r>
    </w:p>
    <w:p w14:paraId="743AEF5E" w14:textId="77777777" w:rsidR="00ED72CF" w:rsidRPr="00203808" w:rsidRDefault="00ED72CF" w:rsidP="00203808">
      <w:pPr>
        <w:spacing w:line="360" w:lineRule="auto"/>
        <w:jc w:val="both"/>
        <w:rPr>
          <w:rFonts w:cs="Arial"/>
          <w:sz w:val="22"/>
        </w:rPr>
      </w:pPr>
      <w:r w:rsidRPr="00203808">
        <w:rPr>
          <w:rFonts w:cs="Arial"/>
          <w:noProof/>
          <w:sz w:val="22"/>
        </w:rPr>
        <w:lastRenderedPageBreak/>
        <w:drawing>
          <wp:inline distT="0" distB="0" distL="0" distR="0" wp14:anchorId="1F7FD56A" wp14:editId="062AFB55">
            <wp:extent cx="5731510" cy="5688330"/>
            <wp:effectExtent l="0" t="0" r="2540" b="7620"/>
            <wp:docPr id="1939586562"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86562" name=""/>
                    <pic:cNvPicPr/>
                  </pic:nvPicPr>
                  <pic:blipFill>
                    <a:blip r:embed="rId32"/>
                    <a:stretch>
                      <a:fillRect/>
                    </a:stretch>
                  </pic:blipFill>
                  <pic:spPr>
                    <a:xfrm>
                      <a:off x="0" y="0"/>
                      <a:ext cx="5731510" cy="5688330"/>
                    </a:xfrm>
                    <a:prstGeom prst="rect">
                      <a:avLst/>
                    </a:prstGeom>
                  </pic:spPr>
                </pic:pic>
              </a:graphicData>
            </a:graphic>
          </wp:inline>
        </w:drawing>
      </w:r>
      <w:r w:rsidRPr="00203808">
        <w:rPr>
          <w:rFonts w:cs="Arial"/>
          <w:noProof/>
          <w:sz w:val="22"/>
        </w:rPr>
        <w:lastRenderedPageBreak/>
        <w:drawing>
          <wp:inline distT="0" distB="0" distL="0" distR="0" wp14:anchorId="39F8ABB8" wp14:editId="13E08265">
            <wp:extent cx="5731510" cy="2597150"/>
            <wp:effectExtent l="0" t="0" r="2540" b="0"/>
            <wp:docPr id="279804052"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804052" name=""/>
                    <pic:cNvPicPr/>
                  </pic:nvPicPr>
                  <pic:blipFill>
                    <a:blip r:embed="rId33"/>
                    <a:stretch>
                      <a:fillRect/>
                    </a:stretch>
                  </pic:blipFill>
                  <pic:spPr>
                    <a:xfrm>
                      <a:off x="0" y="0"/>
                      <a:ext cx="5731510" cy="2597150"/>
                    </a:xfrm>
                    <a:prstGeom prst="rect">
                      <a:avLst/>
                    </a:prstGeom>
                  </pic:spPr>
                </pic:pic>
              </a:graphicData>
            </a:graphic>
          </wp:inline>
        </w:drawing>
      </w:r>
    </w:p>
    <w:p w14:paraId="13FDEB3A" w14:textId="77777777" w:rsidR="00ED72CF" w:rsidRPr="00203808" w:rsidRDefault="00ED72CF" w:rsidP="00203808">
      <w:pPr>
        <w:spacing w:line="360" w:lineRule="auto"/>
        <w:jc w:val="both"/>
        <w:rPr>
          <w:rFonts w:cs="Arial"/>
          <w:sz w:val="22"/>
        </w:rPr>
      </w:pPr>
    </w:p>
    <w:p w14:paraId="0F35D023" w14:textId="77777777" w:rsidR="00ED72CF" w:rsidRPr="00203808" w:rsidRDefault="00ED72CF" w:rsidP="00203808">
      <w:pPr>
        <w:spacing w:line="360" w:lineRule="auto"/>
        <w:jc w:val="both"/>
        <w:rPr>
          <w:rFonts w:cs="Arial"/>
          <w:sz w:val="22"/>
        </w:rPr>
      </w:pPr>
      <w:r w:rsidRPr="00203808">
        <w:rPr>
          <w:rFonts w:cs="Arial"/>
          <w:noProof/>
          <w:sz w:val="22"/>
        </w:rPr>
        <w:lastRenderedPageBreak/>
        <w:drawing>
          <wp:inline distT="0" distB="0" distL="0" distR="0" wp14:anchorId="26F71A49" wp14:editId="70B821D5">
            <wp:extent cx="5731510" cy="6337935"/>
            <wp:effectExtent l="0" t="0" r="2540" b="5715"/>
            <wp:docPr id="997425575"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425575" name=""/>
                    <pic:cNvPicPr/>
                  </pic:nvPicPr>
                  <pic:blipFill>
                    <a:blip r:embed="rId34"/>
                    <a:stretch>
                      <a:fillRect/>
                    </a:stretch>
                  </pic:blipFill>
                  <pic:spPr>
                    <a:xfrm>
                      <a:off x="0" y="0"/>
                      <a:ext cx="5731510" cy="6337935"/>
                    </a:xfrm>
                    <a:prstGeom prst="rect">
                      <a:avLst/>
                    </a:prstGeom>
                  </pic:spPr>
                </pic:pic>
              </a:graphicData>
            </a:graphic>
          </wp:inline>
        </w:drawing>
      </w:r>
      <w:r w:rsidRPr="00203808">
        <w:rPr>
          <w:rFonts w:cs="Arial"/>
          <w:noProof/>
          <w:sz w:val="22"/>
        </w:rPr>
        <w:lastRenderedPageBreak/>
        <w:drawing>
          <wp:inline distT="0" distB="0" distL="0" distR="0" wp14:anchorId="62F6D4E0" wp14:editId="32516FD1">
            <wp:extent cx="5657850" cy="2491059"/>
            <wp:effectExtent l="0" t="0" r="0" b="5080"/>
            <wp:docPr id="1135073593"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073593" name=""/>
                    <pic:cNvPicPr/>
                  </pic:nvPicPr>
                  <pic:blipFill>
                    <a:blip r:embed="rId35"/>
                    <a:stretch>
                      <a:fillRect/>
                    </a:stretch>
                  </pic:blipFill>
                  <pic:spPr>
                    <a:xfrm>
                      <a:off x="0" y="0"/>
                      <a:ext cx="5661869" cy="2492828"/>
                    </a:xfrm>
                    <a:prstGeom prst="rect">
                      <a:avLst/>
                    </a:prstGeom>
                  </pic:spPr>
                </pic:pic>
              </a:graphicData>
            </a:graphic>
          </wp:inline>
        </w:drawing>
      </w:r>
    </w:p>
    <w:p w14:paraId="1E7E8DCF" w14:textId="77777777" w:rsidR="00ED72CF" w:rsidRPr="00203808" w:rsidRDefault="00ED72CF" w:rsidP="00203808">
      <w:pPr>
        <w:spacing w:line="360" w:lineRule="auto"/>
        <w:jc w:val="both"/>
        <w:rPr>
          <w:rFonts w:cs="Arial"/>
          <w:b/>
          <w:bCs/>
          <w:sz w:val="22"/>
        </w:rPr>
      </w:pPr>
      <w:r w:rsidRPr="00203808">
        <w:rPr>
          <w:rFonts w:cs="Arial"/>
          <w:b/>
          <w:bCs/>
          <w:sz w:val="22"/>
        </w:rPr>
        <w:t xml:space="preserve">APENDIX: 2 MARRIOTT INTERNATIONAL, INC. CONSOLIDATED BALANCE SHEETS FISCAL YEARS 2025, 2024, 2023, 2022 AND 2021 </w:t>
      </w:r>
      <w:r w:rsidRPr="00203808">
        <w:rPr>
          <w:rFonts w:cs="Arial"/>
          <w:sz w:val="22"/>
        </w:rPr>
        <w:t>($ IN MILLIONS)</w:t>
      </w:r>
    </w:p>
    <w:p w14:paraId="7812EF6D" w14:textId="77777777" w:rsidR="00ED72CF" w:rsidRPr="00203808" w:rsidRDefault="00ED72CF" w:rsidP="00203808">
      <w:pPr>
        <w:spacing w:line="360" w:lineRule="auto"/>
        <w:jc w:val="both"/>
        <w:rPr>
          <w:rFonts w:cs="Arial"/>
          <w:sz w:val="22"/>
        </w:rPr>
      </w:pPr>
      <w:r w:rsidRPr="00203808">
        <w:rPr>
          <w:rFonts w:cs="Arial"/>
          <w:noProof/>
          <w:sz w:val="22"/>
        </w:rPr>
        <w:lastRenderedPageBreak/>
        <w:drawing>
          <wp:inline distT="0" distB="0" distL="0" distR="0" wp14:anchorId="793B619D" wp14:editId="761CC92E">
            <wp:extent cx="5731510" cy="7854315"/>
            <wp:effectExtent l="0" t="0" r="2540" b="0"/>
            <wp:docPr id="1879277660"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277660" name=""/>
                    <pic:cNvPicPr/>
                  </pic:nvPicPr>
                  <pic:blipFill>
                    <a:blip r:embed="rId36"/>
                    <a:stretch>
                      <a:fillRect/>
                    </a:stretch>
                  </pic:blipFill>
                  <pic:spPr>
                    <a:xfrm>
                      <a:off x="0" y="0"/>
                      <a:ext cx="5731510" cy="7854315"/>
                    </a:xfrm>
                    <a:prstGeom prst="rect">
                      <a:avLst/>
                    </a:prstGeom>
                  </pic:spPr>
                </pic:pic>
              </a:graphicData>
            </a:graphic>
          </wp:inline>
        </w:drawing>
      </w:r>
    </w:p>
    <w:p w14:paraId="6600B5E5" w14:textId="77777777" w:rsidR="00ED72CF" w:rsidRPr="00203808" w:rsidRDefault="00ED72CF" w:rsidP="00203808">
      <w:pPr>
        <w:spacing w:line="360" w:lineRule="auto"/>
        <w:jc w:val="both"/>
        <w:rPr>
          <w:rFonts w:cs="Arial"/>
          <w:sz w:val="22"/>
        </w:rPr>
      </w:pPr>
    </w:p>
    <w:p w14:paraId="444EFADE" w14:textId="77777777" w:rsidR="00ED72CF" w:rsidRPr="00203808" w:rsidRDefault="00ED72CF" w:rsidP="00203808">
      <w:pPr>
        <w:spacing w:line="360" w:lineRule="auto"/>
        <w:jc w:val="both"/>
        <w:rPr>
          <w:rFonts w:cs="Arial"/>
          <w:sz w:val="22"/>
        </w:rPr>
      </w:pPr>
      <w:r w:rsidRPr="00203808">
        <w:rPr>
          <w:rFonts w:cs="Arial"/>
          <w:noProof/>
          <w:sz w:val="22"/>
        </w:rPr>
        <w:lastRenderedPageBreak/>
        <w:drawing>
          <wp:inline distT="0" distB="0" distL="0" distR="0" wp14:anchorId="495EE15F" wp14:editId="57F8D67F">
            <wp:extent cx="5731510" cy="7533005"/>
            <wp:effectExtent l="0" t="0" r="2540" b="0"/>
            <wp:docPr id="1082053114"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53114" name=""/>
                    <pic:cNvPicPr/>
                  </pic:nvPicPr>
                  <pic:blipFill>
                    <a:blip r:embed="rId37"/>
                    <a:stretch>
                      <a:fillRect/>
                    </a:stretch>
                  </pic:blipFill>
                  <pic:spPr>
                    <a:xfrm>
                      <a:off x="0" y="0"/>
                      <a:ext cx="5731510" cy="7533005"/>
                    </a:xfrm>
                    <a:prstGeom prst="rect">
                      <a:avLst/>
                    </a:prstGeom>
                  </pic:spPr>
                </pic:pic>
              </a:graphicData>
            </a:graphic>
          </wp:inline>
        </w:drawing>
      </w:r>
    </w:p>
    <w:p w14:paraId="24FAE6F9" w14:textId="77777777" w:rsidR="00ED72CF" w:rsidRPr="00203808" w:rsidRDefault="00ED72CF" w:rsidP="00203808">
      <w:pPr>
        <w:spacing w:line="360" w:lineRule="auto"/>
        <w:jc w:val="both"/>
        <w:rPr>
          <w:rFonts w:cs="Arial"/>
          <w:sz w:val="22"/>
        </w:rPr>
      </w:pPr>
    </w:p>
    <w:p w14:paraId="487BAD82" w14:textId="77777777" w:rsidR="00ED72CF" w:rsidRPr="00203808" w:rsidRDefault="00ED72CF" w:rsidP="00203808">
      <w:pPr>
        <w:spacing w:line="360" w:lineRule="auto"/>
        <w:jc w:val="both"/>
        <w:rPr>
          <w:rFonts w:cs="Arial"/>
          <w:sz w:val="22"/>
        </w:rPr>
      </w:pPr>
    </w:p>
    <w:p w14:paraId="4BBC1FE7" w14:textId="77777777" w:rsidR="00ED72CF" w:rsidRPr="00203808" w:rsidRDefault="00ED72CF" w:rsidP="00203808">
      <w:pPr>
        <w:spacing w:line="360" w:lineRule="auto"/>
        <w:jc w:val="both"/>
        <w:rPr>
          <w:rFonts w:cs="Arial"/>
          <w:sz w:val="22"/>
        </w:rPr>
      </w:pPr>
    </w:p>
    <w:p w14:paraId="0B20CC4B" w14:textId="77777777" w:rsidR="00ED72CF" w:rsidRPr="00203808" w:rsidRDefault="00ED72CF" w:rsidP="00203808">
      <w:pPr>
        <w:spacing w:line="360" w:lineRule="auto"/>
        <w:jc w:val="both"/>
        <w:rPr>
          <w:rFonts w:cs="Arial"/>
          <w:sz w:val="22"/>
        </w:rPr>
      </w:pPr>
    </w:p>
    <w:p w14:paraId="044A17E4" w14:textId="77777777" w:rsidR="00ED72CF" w:rsidRPr="00203808" w:rsidRDefault="00ED72CF" w:rsidP="00203808">
      <w:pPr>
        <w:spacing w:line="360" w:lineRule="auto"/>
        <w:jc w:val="both"/>
        <w:rPr>
          <w:rFonts w:cs="Arial"/>
          <w:sz w:val="22"/>
        </w:rPr>
      </w:pPr>
      <w:r w:rsidRPr="00203808">
        <w:rPr>
          <w:rFonts w:cs="Arial"/>
          <w:noProof/>
          <w:sz w:val="22"/>
        </w:rPr>
        <w:lastRenderedPageBreak/>
        <w:drawing>
          <wp:inline distT="0" distB="0" distL="0" distR="0" wp14:anchorId="0049AFF1" wp14:editId="25EF4FF3">
            <wp:extent cx="5731510" cy="7642225"/>
            <wp:effectExtent l="0" t="0" r="2540" b="0"/>
            <wp:docPr id="539400398"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400398" name=""/>
                    <pic:cNvPicPr/>
                  </pic:nvPicPr>
                  <pic:blipFill>
                    <a:blip r:embed="rId38"/>
                    <a:stretch>
                      <a:fillRect/>
                    </a:stretch>
                  </pic:blipFill>
                  <pic:spPr>
                    <a:xfrm>
                      <a:off x="0" y="0"/>
                      <a:ext cx="5731510" cy="7642225"/>
                    </a:xfrm>
                    <a:prstGeom prst="rect">
                      <a:avLst/>
                    </a:prstGeom>
                  </pic:spPr>
                </pic:pic>
              </a:graphicData>
            </a:graphic>
          </wp:inline>
        </w:drawing>
      </w:r>
    </w:p>
    <w:p w14:paraId="2983339C" w14:textId="77777777" w:rsidR="00ED72CF" w:rsidRPr="00203808" w:rsidRDefault="00ED72CF" w:rsidP="00203808">
      <w:pPr>
        <w:spacing w:line="360" w:lineRule="auto"/>
        <w:jc w:val="both"/>
        <w:rPr>
          <w:rFonts w:cs="Arial"/>
          <w:sz w:val="22"/>
        </w:rPr>
      </w:pPr>
    </w:p>
    <w:p w14:paraId="295FC0D7" w14:textId="77777777" w:rsidR="00ED72CF" w:rsidRPr="00203808" w:rsidRDefault="00ED72CF" w:rsidP="00203808">
      <w:pPr>
        <w:spacing w:line="360" w:lineRule="auto"/>
        <w:jc w:val="both"/>
        <w:rPr>
          <w:rFonts w:cs="Arial"/>
          <w:sz w:val="22"/>
        </w:rPr>
      </w:pPr>
    </w:p>
    <w:p w14:paraId="5975B16D" w14:textId="77777777" w:rsidR="00ED72CF" w:rsidRPr="00203808" w:rsidRDefault="00ED72CF" w:rsidP="00203808">
      <w:pPr>
        <w:spacing w:line="360" w:lineRule="auto"/>
        <w:jc w:val="both"/>
        <w:rPr>
          <w:rFonts w:cs="Arial"/>
          <w:sz w:val="22"/>
        </w:rPr>
      </w:pPr>
    </w:p>
    <w:p w14:paraId="13247AB7" w14:textId="77777777" w:rsidR="00ED72CF" w:rsidRPr="00203808" w:rsidRDefault="00ED72CF" w:rsidP="00203808">
      <w:pPr>
        <w:spacing w:line="360" w:lineRule="auto"/>
        <w:jc w:val="both"/>
        <w:rPr>
          <w:rFonts w:cs="Arial"/>
          <w:sz w:val="22"/>
        </w:rPr>
      </w:pPr>
    </w:p>
    <w:p w14:paraId="79848955" w14:textId="77777777" w:rsidR="00ED72CF" w:rsidRPr="00203808" w:rsidRDefault="00ED72CF" w:rsidP="00203808">
      <w:pPr>
        <w:spacing w:line="360" w:lineRule="auto"/>
        <w:jc w:val="both"/>
        <w:rPr>
          <w:rFonts w:cs="Arial"/>
          <w:sz w:val="22"/>
        </w:rPr>
      </w:pPr>
      <w:r w:rsidRPr="00203808">
        <w:rPr>
          <w:rFonts w:cs="Arial"/>
          <w:noProof/>
          <w:sz w:val="22"/>
        </w:rPr>
        <w:lastRenderedPageBreak/>
        <w:drawing>
          <wp:inline distT="0" distB="0" distL="0" distR="0" wp14:anchorId="68DAD4E0" wp14:editId="2E25750F">
            <wp:extent cx="5731510" cy="7396480"/>
            <wp:effectExtent l="0" t="0" r="2540" b="0"/>
            <wp:docPr id="382666593"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666593" name=""/>
                    <pic:cNvPicPr/>
                  </pic:nvPicPr>
                  <pic:blipFill>
                    <a:blip r:embed="rId39"/>
                    <a:stretch>
                      <a:fillRect/>
                    </a:stretch>
                  </pic:blipFill>
                  <pic:spPr>
                    <a:xfrm>
                      <a:off x="0" y="0"/>
                      <a:ext cx="5731510" cy="7396480"/>
                    </a:xfrm>
                    <a:prstGeom prst="rect">
                      <a:avLst/>
                    </a:prstGeom>
                  </pic:spPr>
                </pic:pic>
              </a:graphicData>
            </a:graphic>
          </wp:inline>
        </w:drawing>
      </w:r>
    </w:p>
    <w:p w14:paraId="6C956D53" w14:textId="77777777" w:rsidR="00ED72CF" w:rsidRPr="00203808" w:rsidRDefault="00ED72CF" w:rsidP="00203808">
      <w:pPr>
        <w:spacing w:line="360" w:lineRule="auto"/>
        <w:jc w:val="both"/>
        <w:rPr>
          <w:rFonts w:cs="Arial"/>
          <w:sz w:val="22"/>
        </w:rPr>
      </w:pPr>
    </w:p>
    <w:p w14:paraId="3B8FF546" w14:textId="77777777" w:rsidR="00ED72CF" w:rsidRPr="00203808" w:rsidRDefault="00ED72CF" w:rsidP="00203808">
      <w:pPr>
        <w:spacing w:line="360" w:lineRule="auto"/>
        <w:jc w:val="both"/>
        <w:rPr>
          <w:rFonts w:cs="Arial"/>
          <w:sz w:val="22"/>
        </w:rPr>
      </w:pPr>
    </w:p>
    <w:p w14:paraId="1CC15C78" w14:textId="77777777" w:rsidR="00ED72CF" w:rsidRPr="00203808" w:rsidRDefault="00ED72CF" w:rsidP="00203808">
      <w:pPr>
        <w:spacing w:line="360" w:lineRule="auto"/>
        <w:jc w:val="both"/>
        <w:rPr>
          <w:rFonts w:cs="Arial"/>
          <w:sz w:val="22"/>
        </w:rPr>
      </w:pPr>
    </w:p>
    <w:p w14:paraId="4105197F" w14:textId="77777777" w:rsidR="00ED72CF" w:rsidRPr="00203808" w:rsidRDefault="00ED72CF" w:rsidP="00203808">
      <w:pPr>
        <w:spacing w:line="360" w:lineRule="auto"/>
        <w:jc w:val="both"/>
        <w:rPr>
          <w:rFonts w:cs="Arial"/>
          <w:sz w:val="22"/>
        </w:rPr>
      </w:pPr>
    </w:p>
    <w:p w14:paraId="7BAFF5EC" w14:textId="77777777" w:rsidR="00ED72CF" w:rsidRPr="00203808" w:rsidRDefault="00ED72CF" w:rsidP="00203808">
      <w:pPr>
        <w:spacing w:line="360" w:lineRule="auto"/>
        <w:jc w:val="both"/>
        <w:rPr>
          <w:rFonts w:cs="Arial"/>
          <w:sz w:val="22"/>
        </w:rPr>
      </w:pPr>
    </w:p>
    <w:p w14:paraId="287A684E" w14:textId="77777777" w:rsidR="00ED72CF" w:rsidRPr="00203808" w:rsidRDefault="00ED72CF" w:rsidP="00203808">
      <w:pPr>
        <w:spacing w:line="360" w:lineRule="auto"/>
        <w:jc w:val="both"/>
        <w:rPr>
          <w:rFonts w:cs="Arial"/>
          <w:sz w:val="22"/>
        </w:rPr>
      </w:pPr>
      <w:r w:rsidRPr="00203808">
        <w:rPr>
          <w:rFonts w:cs="Arial"/>
          <w:noProof/>
          <w:sz w:val="22"/>
        </w:rPr>
        <w:lastRenderedPageBreak/>
        <w:drawing>
          <wp:inline distT="0" distB="0" distL="0" distR="0" wp14:anchorId="6E089890" wp14:editId="5AD1BD87">
            <wp:extent cx="5731510" cy="7539355"/>
            <wp:effectExtent l="0" t="0" r="2540" b="4445"/>
            <wp:docPr id="475252470"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252470" name=""/>
                    <pic:cNvPicPr/>
                  </pic:nvPicPr>
                  <pic:blipFill>
                    <a:blip r:embed="rId40"/>
                    <a:stretch>
                      <a:fillRect/>
                    </a:stretch>
                  </pic:blipFill>
                  <pic:spPr>
                    <a:xfrm>
                      <a:off x="0" y="0"/>
                      <a:ext cx="5731510" cy="7539355"/>
                    </a:xfrm>
                    <a:prstGeom prst="rect">
                      <a:avLst/>
                    </a:prstGeom>
                  </pic:spPr>
                </pic:pic>
              </a:graphicData>
            </a:graphic>
          </wp:inline>
        </w:drawing>
      </w:r>
    </w:p>
    <w:p w14:paraId="7B003EB1" w14:textId="77777777" w:rsidR="00ED72CF" w:rsidRPr="00203808" w:rsidRDefault="00ED72CF" w:rsidP="00203808">
      <w:pPr>
        <w:spacing w:line="360" w:lineRule="auto"/>
        <w:jc w:val="both"/>
        <w:rPr>
          <w:rFonts w:cs="Arial"/>
          <w:sz w:val="22"/>
        </w:rPr>
      </w:pPr>
    </w:p>
    <w:p w14:paraId="5371FBA5" w14:textId="77777777" w:rsidR="00ED72CF" w:rsidRPr="00203808" w:rsidRDefault="00ED72CF" w:rsidP="00203808">
      <w:pPr>
        <w:spacing w:line="360" w:lineRule="auto"/>
        <w:jc w:val="both"/>
        <w:rPr>
          <w:rFonts w:cs="Arial"/>
          <w:sz w:val="22"/>
        </w:rPr>
      </w:pPr>
    </w:p>
    <w:p w14:paraId="56CFBFC8" w14:textId="77777777" w:rsidR="00ED72CF" w:rsidRPr="00203808" w:rsidRDefault="00ED72CF" w:rsidP="00203808">
      <w:pPr>
        <w:spacing w:line="360" w:lineRule="auto"/>
        <w:jc w:val="both"/>
        <w:rPr>
          <w:rFonts w:cs="Arial"/>
          <w:b/>
          <w:bCs/>
          <w:sz w:val="22"/>
        </w:rPr>
      </w:pPr>
      <w:r w:rsidRPr="00203808">
        <w:rPr>
          <w:rFonts w:cs="Arial"/>
          <w:b/>
          <w:bCs/>
          <w:sz w:val="22"/>
        </w:rPr>
        <w:t xml:space="preserve">APPENDIX 3: MARRIOTT INTERNATIONAL, INC. CONSOLIDATED STATEMENTS OF CASH FLOWS FISCAL YEARS 2025, 2024, 2023, 2022 AND 2021 </w:t>
      </w:r>
      <w:r w:rsidRPr="00203808">
        <w:rPr>
          <w:rFonts w:cs="Arial"/>
          <w:sz w:val="22"/>
        </w:rPr>
        <w:t>($ in millions)</w:t>
      </w:r>
    </w:p>
    <w:p w14:paraId="7AFD497F" w14:textId="77777777" w:rsidR="00ED72CF" w:rsidRPr="00203808" w:rsidRDefault="00ED72CF" w:rsidP="00203808">
      <w:pPr>
        <w:spacing w:line="360" w:lineRule="auto"/>
        <w:jc w:val="both"/>
        <w:rPr>
          <w:rFonts w:cs="Arial"/>
          <w:sz w:val="22"/>
        </w:rPr>
      </w:pPr>
    </w:p>
    <w:p w14:paraId="61F99847" w14:textId="77777777" w:rsidR="00ED72CF" w:rsidRPr="00203808" w:rsidRDefault="00ED72CF" w:rsidP="00203808">
      <w:pPr>
        <w:spacing w:line="360" w:lineRule="auto"/>
        <w:jc w:val="both"/>
        <w:rPr>
          <w:rFonts w:cs="Arial"/>
          <w:sz w:val="22"/>
        </w:rPr>
      </w:pPr>
      <w:r w:rsidRPr="00203808">
        <w:rPr>
          <w:rFonts w:cs="Arial"/>
          <w:noProof/>
          <w:sz w:val="22"/>
        </w:rPr>
        <w:lastRenderedPageBreak/>
        <w:drawing>
          <wp:inline distT="0" distB="0" distL="0" distR="0" wp14:anchorId="3B60CF91" wp14:editId="0C07BA42">
            <wp:extent cx="5731510" cy="7470140"/>
            <wp:effectExtent l="0" t="0" r="2540" b="0"/>
            <wp:docPr id="169662653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626531" name=""/>
                    <pic:cNvPicPr/>
                  </pic:nvPicPr>
                  <pic:blipFill>
                    <a:blip r:embed="rId41"/>
                    <a:stretch>
                      <a:fillRect/>
                    </a:stretch>
                  </pic:blipFill>
                  <pic:spPr>
                    <a:xfrm>
                      <a:off x="0" y="0"/>
                      <a:ext cx="5731510" cy="7470140"/>
                    </a:xfrm>
                    <a:prstGeom prst="rect">
                      <a:avLst/>
                    </a:prstGeom>
                  </pic:spPr>
                </pic:pic>
              </a:graphicData>
            </a:graphic>
          </wp:inline>
        </w:drawing>
      </w:r>
    </w:p>
    <w:p w14:paraId="3F53C179" w14:textId="77777777" w:rsidR="00ED72CF" w:rsidRPr="00203808" w:rsidRDefault="00ED72CF" w:rsidP="00203808">
      <w:pPr>
        <w:spacing w:line="360" w:lineRule="auto"/>
        <w:jc w:val="both"/>
        <w:rPr>
          <w:rFonts w:cs="Arial"/>
          <w:sz w:val="22"/>
        </w:rPr>
      </w:pPr>
    </w:p>
    <w:p w14:paraId="0B320518" w14:textId="77777777" w:rsidR="00ED72CF" w:rsidRPr="00203808" w:rsidRDefault="00ED72CF" w:rsidP="00203808">
      <w:pPr>
        <w:spacing w:line="360" w:lineRule="auto"/>
        <w:jc w:val="both"/>
        <w:rPr>
          <w:rFonts w:cs="Arial"/>
          <w:sz w:val="22"/>
        </w:rPr>
      </w:pPr>
    </w:p>
    <w:p w14:paraId="18FA1DCC" w14:textId="77777777" w:rsidR="00ED72CF" w:rsidRPr="00203808" w:rsidRDefault="00ED72CF" w:rsidP="00203808">
      <w:pPr>
        <w:spacing w:line="360" w:lineRule="auto"/>
        <w:jc w:val="both"/>
        <w:rPr>
          <w:rFonts w:cs="Arial"/>
          <w:sz w:val="22"/>
        </w:rPr>
      </w:pPr>
    </w:p>
    <w:p w14:paraId="4E55D7CD" w14:textId="77777777" w:rsidR="00ED72CF" w:rsidRPr="00203808" w:rsidRDefault="00ED72CF" w:rsidP="00203808">
      <w:pPr>
        <w:spacing w:line="360" w:lineRule="auto"/>
        <w:jc w:val="both"/>
        <w:rPr>
          <w:rFonts w:cs="Arial"/>
          <w:sz w:val="22"/>
        </w:rPr>
      </w:pPr>
    </w:p>
    <w:p w14:paraId="4E44B242" w14:textId="77777777" w:rsidR="00ED72CF" w:rsidRPr="00203808" w:rsidRDefault="00ED72CF" w:rsidP="00203808">
      <w:pPr>
        <w:spacing w:line="360" w:lineRule="auto"/>
        <w:jc w:val="both"/>
        <w:rPr>
          <w:rFonts w:cs="Arial"/>
          <w:sz w:val="22"/>
        </w:rPr>
      </w:pPr>
      <w:r w:rsidRPr="00203808">
        <w:rPr>
          <w:rFonts w:cs="Arial"/>
          <w:noProof/>
          <w:sz w:val="22"/>
        </w:rPr>
        <w:drawing>
          <wp:inline distT="0" distB="0" distL="0" distR="0" wp14:anchorId="1F811B85" wp14:editId="370970DE">
            <wp:extent cx="5731510" cy="7232015"/>
            <wp:effectExtent l="0" t="0" r="2540" b="6985"/>
            <wp:docPr id="349724957"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724957" name=""/>
                    <pic:cNvPicPr/>
                  </pic:nvPicPr>
                  <pic:blipFill>
                    <a:blip r:embed="rId42"/>
                    <a:stretch>
                      <a:fillRect/>
                    </a:stretch>
                  </pic:blipFill>
                  <pic:spPr>
                    <a:xfrm>
                      <a:off x="0" y="0"/>
                      <a:ext cx="5731510" cy="7232015"/>
                    </a:xfrm>
                    <a:prstGeom prst="rect">
                      <a:avLst/>
                    </a:prstGeom>
                  </pic:spPr>
                </pic:pic>
              </a:graphicData>
            </a:graphic>
          </wp:inline>
        </w:drawing>
      </w:r>
    </w:p>
    <w:p w14:paraId="3C775F33" w14:textId="77777777" w:rsidR="00ED72CF" w:rsidRPr="00203808" w:rsidRDefault="00ED72CF" w:rsidP="00203808">
      <w:pPr>
        <w:spacing w:line="360" w:lineRule="auto"/>
        <w:jc w:val="both"/>
        <w:rPr>
          <w:rFonts w:cs="Arial"/>
          <w:sz w:val="22"/>
        </w:rPr>
      </w:pPr>
    </w:p>
    <w:p w14:paraId="4A8BFD78" w14:textId="77777777" w:rsidR="00ED72CF" w:rsidRPr="00203808" w:rsidRDefault="00ED72CF" w:rsidP="00203808">
      <w:pPr>
        <w:spacing w:line="360" w:lineRule="auto"/>
        <w:jc w:val="both"/>
        <w:rPr>
          <w:rFonts w:cs="Arial"/>
          <w:sz w:val="22"/>
        </w:rPr>
      </w:pPr>
    </w:p>
    <w:p w14:paraId="7787CB8B" w14:textId="77777777" w:rsidR="00ED72CF" w:rsidRPr="00203808" w:rsidRDefault="00ED72CF" w:rsidP="00203808">
      <w:pPr>
        <w:spacing w:line="360" w:lineRule="auto"/>
        <w:jc w:val="both"/>
        <w:rPr>
          <w:rFonts w:cs="Arial"/>
          <w:sz w:val="22"/>
        </w:rPr>
      </w:pPr>
    </w:p>
    <w:p w14:paraId="2F98835E" w14:textId="77777777" w:rsidR="00ED72CF" w:rsidRPr="00203808" w:rsidRDefault="00ED72CF" w:rsidP="00203808">
      <w:pPr>
        <w:spacing w:line="360" w:lineRule="auto"/>
        <w:jc w:val="both"/>
        <w:rPr>
          <w:rFonts w:cs="Arial"/>
          <w:sz w:val="22"/>
        </w:rPr>
      </w:pPr>
    </w:p>
    <w:p w14:paraId="08F467F9" w14:textId="77777777" w:rsidR="00ED72CF" w:rsidRPr="00203808" w:rsidRDefault="00ED72CF" w:rsidP="00203808">
      <w:pPr>
        <w:spacing w:line="360" w:lineRule="auto"/>
        <w:jc w:val="both"/>
        <w:rPr>
          <w:rFonts w:cs="Arial"/>
          <w:sz w:val="22"/>
        </w:rPr>
      </w:pPr>
    </w:p>
    <w:p w14:paraId="23455F20" w14:textId="77777777" w:rsidR="00ED72CF" w:rsidRPr="00203808" w:rsidRDefault="00ED72CF" w:rsidP="00203808">
      <w:pPr>
        <w:spacing w:line="360" w:lineRule="auto"/>
        <w:jc w:val="both"/>
        <w:rPr>
          <w:rFonts w:cs="Arial"/>
          <w:sz w:val="22"/>
        </w:rPr>
      </w:pPr>
      <w:r w:rsidRPr="00203808">
        <w:rPr>
          <w:rFonts w:cs="Arial"/>
          <w:noProof/>
          <w:sz w:val="22"/>
        </w:rPr>
        <w:lastRenderedPageBreak/>
        <w:drawing>
          <wp:inline distT="0" distB="0" distL="0" distR="0" wp14:anchorId="003BCD4B" wp14:editId="113F6528">
            <wp:extent cx="5731510" cy="7077710"/>
            <wp:effectExtent l="0" t="0" r="2540" b="8890"/>
            <wp:docPr id="1413043855"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043855" name=""/>
                    <pic:cNvPicPr/>
                  </pic:nvPicPr>
                  <pic:blipFill>
                    <a:blip r:embed="rId43"/>
                    <a:stretch>
                      <a:fillRect/>
                    </a:stretch>
                  </pic:blipFill>
                  <pic:spPr>
                    <a:xfrm>
                      <a:off x="0" y="0"/>
                      <a:ext cx="5731510" cy="7077710"/>
                    </a:xfrm>
                    <a:prstGeom prst="rect">
                      <a:avLst/>
                    </a:prstGeom>
                  </pic:spPr>
                </pic:pic>
              </a:graphicData>
            </a:graphic>
          </wp:inline>
        </w:drawing>
      </w:r>
    </w:p>
    <w:p w14:paraId="375F13C9" w14:textId="77777777" w:rsidR="00ED72CF" w:rsidRPr="00203808" w:rsidRDefault="00ED72CF" w:rsidP="00203808">
      <w:pPr>
        <w:spacing w:line="360" w:lineRule="auto"/>
        <w:jc w:val="both"/>
        <w:rPr>
          <w:rFonts w:cs="Arial"/>
          <w:sz w:val="22"/>
        </w:rPr>
      </w:pPr>
    </w:p>
    <w:p w14:paraId="5586D298" w14:textId="77777777" w:rsidR="00ED72CF" w:rsidRPr="00203808" w:rsidRDefault="00ED72CF" w:rsidP="00203808">
      <w:pPr>
        <w:spacing w:line="360" w:lineRule="auto"/>
        <w:jc w:val="both"/>
        <w:rPr>
          <w:rFonts w:cs="Arial"/>
          <w:sz w:val="22"/>
        </w:rPr>
      </w:pPr>
    </w:p>
    <w:p w14:paraId="304A037C" w14:textId="77777777" w:rsidR="00ED72CF" w:rsidRPr="00203808" w:rsidRDefault="00ED72CF" w:rsidP="00203808">
      <w:pPr>
        <w:spacing w:line="360" w:lineRule="auto"/>
        <w:jc w:val="both"/>
        <w:rPr>
          <w:rFonts w:cs="Arial"/>
          <w:sz w:val="22"/>
        </w:rPr>
      </w:pPr>
    </w:p>
    <w:p w14:paraId="227485F7" w14:textId="77777777" w:rsidR="00ED72CF" w:rsidRPr="00203808" w:rsidRDefault="00ED72CF" w:rsidP="00203808">
      <w:pPr>
        <w:spacing w:line="360" w:lineRule="auto"/>
        <w:jc w:val="both"/>
        <w:rPr>
          <w:rFonts w:cs="Arial"/>
          <w:sz w:val="22"/>
        </w:rPr>
      </w:pPr>
    </w:p>
    <w:p w14:paraId="6B440701" w14:textId="77777777" w:rsidR="00ED72CF" w:rsidRPr="00203808" w:rsidRDefault="00ED72CF" w:rsidP="00203808">
      <w:pPr>
        <w:spacing w:line="360" w:lineRule="auto"/>
        <w:jc w:val="both"/>
        <w:rPr>
          <w:rFonts w:cs="Arial"/>
          <w:sz w:val="22"/>
        </w:rPr>
      </w:pPr>
    </w:p>
    <w:p w14:paraId="2BCDACFF" w14:textId="77777777" w:rsidR="00ED72CF" w:rsidRPr="00203808" w:rsidRDefault="00ED72CF" w:rsidP="00203808">
      <w:pPr>
        <w:spacing w:line="360" w:lineRule="auto"/>
        <w:jc w:val="both"/>
        <w:rPr>
          <w:rFonts w:cs="Arial"/>
          <w:sz w:val="22"/>
        </w:rPr>
      </w:pPr>
    </w:p>
    <w:p w14:paraId="0C728164" w14:textId="77777777" w:rsidR="00ED72CF" w:rsidRPr="00203808" w:rsidRDefault="00ED72CF" w:rsidP="00203808">
      <w:pPr>
        <w:spacing w:line="360" w:lineRule="auto"/>
        <w:jc w:val="both"/>
        <w:rPr>
          <w:rFonts w:cs="Arial"/>
          <w:sz w:val="22"/>
        </w:rPr>
      </w:pPr>
      <w:r w:rsidRPr="00203808">
        <w:rPr>
          <w:rFonts w:cs="Arial"/>
          <w:noProof/>
          <w:sz w:val="22"/>
        </w:rPr>
        <w:lastRenderedPageBreak/>
        <w:drawing>
          <wp:inline distT="0" distB="0" distL="0" distR="0" wp14:anchorId="481857C5" wp14:editId="68EBF72A">
            <wp:extent cx="5731510" cy="7151370"/>
            <wp:effectExtent l="0" t="0" r="2540" b="0"/>
            <wp:docPr id="1413604425"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604425" name=""/>
                    <pic:cNvPicPr/>
                  </pic:nvPicPr>
                  <pic:blipFill>
                    <a:blip r:embed="rId44"/>
                    <a:stretch>
                      <a:fillRect/>
                    </a:stretch>
                  </pic:blipFill>
                  <pic:spPr>
                    <a:xfrm>
                      <a:off x="0" y="0"/>
                      <a:ext cx="5731510" cy="7151370"/>
                    </a:xfrm>
                    <a:prstGeom prst="rect">
                      <a:avLst/>
                    </a:prstGeom>
                  </pic:spPr>
                </pic:pic>
              </a:graphicData>
            </a:graphic>
          </wp:inline>
        </w:drawing>
      </w:r>
    </w:p>
    <w:p w14:paraId="1FDA8922" w14:textId="77777777" w:rsidR="00ED72CF" w:rsidRPr="00203808" w:rsidRDefault="00ED72CF" w:rsidP="00203808">
      <w:pPr>
        <w:spacing w:line="360" w:lineRule="auto"/>
        <w:jc w:val="both"/>
        <w:rPr>
          <w:rFonts w:cs="Arial"/>
          <w:sz w:val="22"/>
        </w:rPr>
      </w:pPr>
    </w:p>
    <w:p w14:paraId="1DCBB2D9" w14:textId="77777777" w:rsidR="00ED72CF" w:rsidRPr="00203808" w:rsidRDefault="00ED72CF" w:rsidP="00203808">
      <w:pPr>
        <w:spacing w:line="360" w:lineRule="auto"/>
        <w:jc w:val="both"/>
        <w:rPr>
          <w:rFonts w:cs="Arial"/>
          <w:sz w:val="22"/>
        </w:rPr>
      </w:pPr>
    </w:p>
    <w:p w14:paraId="2A98EBFA" w14:textId="77777777" w:rsidR="00ED72CF" w:rsidRPr="00203808" w:rsidRDefault="00ED72CF" w:rsidP="00203808">
      <w:pPr>
        <w:spacing w:line="360" w:lineRule="auto"/>
        <w:jc w:val="both"/>
        <w:rPr>
          <w:rFonts w:cs="Arial"/>
          <w:sz w:val="22"/>
        </w:rPr>
      </w:pPr>
    </w:p>
    <w:p w14:paraId="47A191B0" w14:textId="77777777" w:rsidR="00ED72CF" w:rsidRPr="00203808" w:rsidRDefault="00ED72CF" w:rsidP="00203808">
      <w:pPr>
        <w:spacing w:line="360" w:lineRule="auto"/>
        <w:jc w:val="both"/>
        <w:rPr>
          <w:rFonts w:cs="Arial"/>
          <w:sz w:val="22"/>
        </w:rPr>
      </w:pPr>
    </w:p>
    <w:p w14:paraId="1C5EEBCD" w14:textId="77777777" w:rsidR="00ED72CF" w:rsidRPr="00203808" w:rsidRDefault="00ED72CF" w:rsidP="00203808">
      <w:pPr>
        <w:spacing w:line="360" w:lineRule="auto"/>
        <w:jc w:val="both"/>
        <w:rPr>
          <w:rFonts w:cs="Arial"/>
          <w:sz w:val="22"/>
        </w:rPr>
      </w:pPr>
    </w:p>
    <w:p w14:paraId="0088C94E" w14:textId="77777777" w:rsidR="00ED72CF" w:rsidRPr="00203808" w:rsidRDefault="00ED72CF" w:rsidP="00203808">
      <w:pPr>
        <w:spacing w:line="360" w:lineRule="auto"/>
        <w:jc w:val="both"/>
        <w:rPr>
          <w:rFonts w:cs="Arial"/>
          <w:sz w:val="22"/>
        </w:rPr>
      </w:pPr>
      <w:r w:rsidRPr="00203808">
        <w:rPr>
          <w:rFonts w:cs="Arial"/>
          <w:noProof/>
          <w:sz w:val="22"/>
        </w:rPr>
        <w:lastRenderedPageBreak/>
        <w:drawing>
          <wp:inline distT="0" distB="0" distL="0" distR="0" wp14:anchorId="3F75E711" wp14:editId="292E44BA">
            <wp:extent cx="5731510" cy="7292340"/>
            <wp:effectExtent l="0" t="0" r="2540" b="3810"/>
            <wp:docPr id="139048963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489631" name=""/>
                    <pic:cNvPicPr/>
                  </pic:nvPicPr>
                  <pic:blipFill>
                    <a:blip r:embed="rId45"/>
                    <a:stretch>
                      <a:fillRect/>
                    </a:stretch>
                  </pic:blipFill>
                  <pic:spPr>
                    <a:xfrm>
                      <a:off x="0" y="0"/>
                      <a:ext cx="5731510" cy="7292340"/>
                    </a:xfrm>
                    <a:prstGeom prst="rect">
                      <a:avLst/>
                    </a:prstGeom>
                  </pic:spPr>
                </pic:pic>
              </a:graphicData>
            </a:graphic>
          </wp:inline>
        </w:drawing>
      </w:r>
    </w:p>
    <w:p w14:paraId="1A9F60CC" w14:textId="77777777" w:rsidR="00ED72CF" w:rsidRPr="00203808" w:rsidRDefault="00ED72CF" w:rsidP="00203808">
      <w:pPr>
        <w:spacing w:line="360" w:lineRule="auto"/>
        <w:jc w:val="both"/>
        <w:rPr>
          <w:rFonts w:cs="Arial"/>
          <w:sz w:val="22"/>
        </w:rPr>
      </w:pPr>
    </w:p>
    <w:p w14:paraId="6F513312" w14:textId="77777777" w:rsidR="00ED72CF" w:rsidRPr="00203808" w:rsidRDefault="00ED72CF" w:rsidP="00203808">
      <w:pPr>
        <w:spacing w:line="360" w:lineRule="auto"/>
        <w:jc w:val="both"/>
        <w:rPr>
          <w:rFonts w:cs="Arial"/>
          <w:sz w:val="22"/>
        </w:rPr>
      </w:pPr>
    </w:p>
    <w:p w14:paraId="19213164" w14:textId="77777777" w:rsidR="00ED72CF" w:rsidRPr="00203808" w:rsidRDefault="00ED72CF" w:rsidP="00203808">
      <w:pPr>
        <w:spacing w:line="360" w:lineRule="auto"/>
        <w:jc w:val="both"/>
        <w:rPr>
          <w:rFonts w:cs="Arial"/>
          <w:sz w:val="22"/>
        </w:rPr>
      </w:pPr>
    </w:p>
    <w:p w14:paraId="29707E27" w14:textId="77777777" w:rsidR="00ED72CF" w:rsidRPr="00203808" w:rsidRDefault="00ED72CF" w:rsidP="00203808">
      <w:pPr>
        <w:spacing w:after="0" w:line="360" w:lineRule="auto"/>
        <w:jc w:val="both"/>
        <w:rPr>
          <w:rFonts w:cs="Arial"/>
          <w:sz w:val="22"/>
        </w:rPr>
      </w:pPr>
      <w:r w:rsidRPr="00203808">
        <w:rPr>
          <w:rFonts w:cs="Arial"/>
          <w:b/>
          <w:bCs/>
          <w:sz w:val="22"/>
          <w:u w:val="single"/>
        </w:rPr>
        <w:t>Appendix 3</w:t>
      </w:r>
      <w:r w:rsidRPr="00203808">
        <w:rPr>
          <w:rFonts w:cs="Arial"/>
          <w:b/>
          <w:bCs/>
          <w:sz w:val="22"/>
          <w:u w:val="single"/>
          <w:lang w:val="en-GB"/>
        </w:rPr>
        <w:t>:</w:t>
      </w:r>
      <w:r w:rsidRPr="00203808">
        <w:rPr>
          <w:rFonts w:cs="Arial"/>
          <w:b/>
          <w:bCs/>
          <w:sz w:val="22"/>
          <w:lang w:val="en-GB"/>
        </w:rPr>
        <w:t xml:space="preserve"> </w:t>
      </w:r>
      <w:r w:rsidRPr="00203808">
        <w:rPr>
          <w:rFonts w:cs="Arial"/>
          <w:b/>
          <w:bCs/>
          <w:sz w:val="22"/>
        </w:rPr>
        <w:t>Autor’s calculations of p</w:t>
      </w:r>
      <w:proofErr w:type="spellStart"/>
      <w:r w:rsidRPr="00203808">
        <w:rPr>
          <w:rFonts w:cs="Arial"/>
          <w:b/>
          <w:bCs/>
          <w:sz w:val="22"/>
          <w:lang w:val="en-GB"/>
        </w:rPr>
        <w:t>rofitability</w:t>
      </w:r>
      <w:proofErr w:type="spellEnd"/>
      <w:r w:rsidRPr="00203808">
        <w:rPr>
          <w:rFonts w:cs="Arial"/>
          <w:b/>
          <w:bCs/>
          <w:sz w:val="22"/>
          <w:lang w:val="en-GB"/>
        </w:rPr>
        <w:t xml:space="preserve"> ratios</w:t>
      </w:r>
      <w:r w:rsidRPr="00203808">
        <w:rPr>
          <w:rFonts w:cs="Arial"/>
          <w:sz w:val="22"/>
        </w:rPr>
        <w:t xml:space="preserve"> 2021-2025  </w:t>
      </w:r>
    </w:p>
    <w:p w14:paraId="5BA47A2E" w14:textId="77777777" w:rsidR="00ED72CF" w:rsidRPr="00203808" w:rsidRDefault="00ED72CF" w:rsidP="00203808">
      <w:pPr>
        <w:spacing w:after="0" w:line="360" w:lineRule="auto"/>
        <w:jc w:val="both"/>
        <w:rPr>
          <w:rFonts w:cs="Arial"/>
          <w:sz w:val="22"/>
          <w:lang w:val="en-GB"/>
        </w:rPr>
      </w:pPr>
    </w:p>
    <w:p w14:paraId="4FF012A6" w14:textId="77777777" w:rsidR="00ED72CF" w:rsidRPr="00203808" w:rsidRDefault="00ED72CF" w:rsidP="00203808">
      <w:pPr>
        <w:spacing w:after="0" w:line="360" w:lineRule="auto"/>
        <w:jc w:val="both"/>
        <w:rPr>
          <w:rFonts w:cs="Arial"/>
          <w:b/>
          <w:bCs/>
          <w:sz w:val="22"/>
          <w:lang w:val="en-GB"/>
        </w:rPr>
      </w:pPr>
      <w:r w:rsidRPr="00203808">
        <w:rPr>
          <w:rFonts w:cs="Arial"/>
          <w:b/>
          <w:bCs/>
          <w:sz w:val="22"/>
          <w:lang w:val="en-GB"/>
        </w:rPr>
        <w:t>1. Net Profit Margin</w:t>
      </w:r>
    </w:p>
    <w:p w14:paraId="48083F4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7F70398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Net Profit Margin = Net Income ÷ Revenue × 100</w:t>
      </w:r>
    </w:p>
    <w:p w14:paraId="0F5B7C0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Line correspondence:</w:t>
      </w:r>
    </w:p>
    <w:p w14:paraId="43B21B2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 xml:space="preserve">Numerator = Consolidated Statement of Income </w:t>
      </w:r>
      <w:r w:rsidRPr="00203808">
        <w:rPr>
          <w:rFonts w:cs="Arial"/>
          <w:sz w:val="22"/>
        </w:rPr>
        <w:t>-</w:t>
      </w:r>
      <w:r w:rsidRPr="00203808">
        <w:rPr>
          <w:rFonts w:cs="Arial"/>
          <w:sz w:val="22"/>
          <w:lang w:val="en-GB"/>
        </w:rPr>
        <w:t>Net income</w:t>
      </w:r>
    </w:p>
    <w:p w14:paraId="22C824E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 xml:space="preserve">Denominator = Consolidated Statement of Income </w:t>
      </w:r>
      <w:r w:rsidRPr="00203808">
        <w:rPr>
          <w:rFonts w:cs="Arial"/>
          <w:sz w:val="22"/>
        </w:rPr>
        <w:t>-</w:t>
      </w:r>
      <w:r w:rsidRPr="00203808">
        <w:rPr>
          <w:rFonts w:cs="Arial"/>
          <w:sz w:val="22"/>
          <w:lang w:val="en-GB"/>
        </w:rPr>
        <w:t>Total revenues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
        <w:gridCol w:w="1772"/>
        <w:gridCol w:w="2139"/>
        <w:gridCol w:w="2145"/>
        <w:gridCol w:w="1848"/>
      </w:tblGrid>
      <w:tr w:rsidR="00203808" w:rsidRPr="00203808" w14:paraId="35A4C39D"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733D3A56" w14:textId="77777777" w:rsidR="00ED72CF" w:rsidRPr="00203808" w:rsidRDefault="00ED72CF" w:rsidP="00203808">
            <w:pPr>
              <w:spacing w:after="0" w:line="360" w:lineRule="auto"/>
              <w:jc w:val="both"/>
              <w:rPr>
                <w:rFonts w:cs="Arial"/>
                <w:b/>
                <w:bCs/>
                <w:sz w:val="22"/>
                <w:lang w:val="en-GB"/>
              </w:rPr>
            </w:pPr>
            <w:r w:rsidRPr="00203808">
              <w:rPr>
                <w:rFonts w:cs="Arial"/>
                <w:b/>
                <w:bCs/>
                <w:sz w:val="22"/>
                <w:lang w:val="en-GB"/>
              </w:rPr>
              <w:t>Year</w:t>
            </w:r>
          </w:p>
        </w:tc>
        <w:tc>
          <w:tcPr>
            <w:tcW w:w="0" w:type="auto"/>
            <w:tcBorders>
              <w:top w:val="thinThickSmallGap" w:sz="24" w:space="0" w:color="auto"/>
              <w:bottom w:val="thickThinSmallGap" w:sz="24" w:space="0" w:color="auto"/>
            </w:tcBorders>
            <w:vAlign w:val="center"/>
            <w:hideMark/>
          </w:tcPr>
          <w:p w14:paraId="0EF3F5D3" w14:textId="77777777" w:rsidR="00ED72CF" w:rsidRPr="00203808" w:rsidRDefault="00ED72CF" w:rsidP="00203808">
            <w:pPr>
              <w:spacing w:after="0" w:line="360" w:lineRule="auto"/>
              <w:jc w:val="both"/>
              <w:rPr>
                <w:rFonts w:cs="Arial"/>
                <w:b/>
                <w:bCs/>
                <w:sz w:val="22"/>
                <w:lang w:val="en-GB"/>
              </w:rPr>
            </w:pPr>
            <w:r w:rsidRPr="00203808">
              <w:rPr>
                <w:rFonts w:cs="Arial"/>
                <w:b/>
                <w:bCs/>
                <w:sz w:val="22"/>
                <w:lang w:val="en-GB"/>
              </w:rPr>
              <w:t>Net income ($m)</w:t>
            </w:r>
          </w:p>
        </w:tc>
        <w:tc>
          <w:tcPr>
            <w:tcW w:w="0" w:type="auto"/>
            <w:tcBorders>
              <w:top w:val="thinThickSmallGap" w:sz="24" w:space="0" w:color="auto"/>
              <w:bottom w:val="thickThinSmallGap" w:sz="24" w:space="0" w:color="auto"/>
            </w:tcBorders>
            <w:vAlign w:val="center"/>
            <w:hideMark/>
          </w:tcPr>
          <w:p w14:paraId="402A4771" w14:textId="77777777" w:rsidR="00ED72CF" w:rsidRPr="00203808" w:rsidRDefault="00ED72CF" w:rsidP="00203808">
            <w:pPr>
              <w:spacing w:after="0" w:line="360" w:lineRule="auto"/>
              <w:jc w:val="both"/>
              <w:rPr>
                <w:rFonts w:cs="Arial"/>
                <w:b/>
                <w:bCs/>
                <w:sz w:val="22"/>
                <w:lang w:val="en-GB"/>
              </w:rPr>
            </w:pPr>
            <w:r w:rsidRPr="00203808">
              <w:rPr>
                <w:rFonts w:cs="Arial"/>
                <w:b/>
                <w:bCs/>
                <w:sz w:val="22"/>
                <w:lang w:val="en-GB"/>
              </w:rPr>
              <w:t>Total revenues ($m)</w:t>
            </w:r>
          </w:p>
        </w:tc>
        <w:tc>
          <w:tcPr>
            <w:tcW w:w="0" w:type="auto"/>
            <w:tcBorders>
              <w:top w:val="thinThickSmallGap" w:sz="24" w:space="0" w:color="auto"/>
              <w:bottom w:val="thickThinSmallGap" w:sz="24" w:space="0" w:color="auto"/>
            </w:tcBorders>
            <w:vAlign w:val="center"/>
            <w:hideMark/>
          </w:tcPr>
          <w:p w14:paraId="31037ED6" w14:textId="77777777" w:rsidR="00ED72CF" w:rsidRPr="00203808" w:rsidRDefault="00ED72CF" w:rsidP="00203808">
            <w:pPr>
              <w:spacing w:after="0" w:line="360" w:lineRule="auto"/>
              <w:jc w:val="both"/>
              <w:rPr>
                <w:rFonts w:cs="Arial"/>
                <w:b/>
                <w:bCs/>
                <w:sz w:val="22"/>
                <w:lang w:val="en-GB"/>
              </w:rPr>
            </w:pPr>
            <w:r w:rsidRPr="00203808">
              <w:rPr>
                <w:rFonts w:cs="Arial"/>
                <w:b/>
                <w:bCs/>
                <w:sz w:val="22"/>
                <w:lang w:val="en-GB"/>
              </w:rPr>
              <w:t>Calculation</w:t>
            </w:r>
          </w:p>
        </w:tc>
        <w:tc>
          <w:tcPr>
            <w:tcW w:w="0" w:type="auto"/>
            <w:tcBorders>
              <w:top w:val="thinThickSmallGap" w:sz="24" w:space="0" w:color="auto"/>
              <w:bottom w:val="thickThinSmallGap" w:sz="24" w:space="0" w:color="auto"/>
            </w:tcBorders>
            <w:vAlign w:val="center"/>
            <w:hideMark/>
          </w:tcPr>
          <w:p w14:paraId="6E25A7D7" w14:textId="77777777" w:rsidR="00ED72CF" w:rsidRPr="00203808" w:rsidRDefault="00ED72CF" w:rsidP="00203808">
            <w:pPr>
              <w:spacing w:after="0" w:line="360" w:lineRule="auto"/>
              <w:jc w:val="both"/>
              <w:rPr>
                <w:rFonts w:cs="Arial"/>
                <w:b/>
                <w:bCs/>
                <w:sz w:val="22"/>
                <w:lang w:val="en-GB"/>
              </w:rPr>
            </w:pPr>
            <w:r w:rsidRPr="00203808">
              <w:rPr>
                <w:rFonts w:cs="Arial"/>
                <w:b/>
                <w:bCs/>
                <w:sz w:val="22"/>
                <w:lang w:val="en-GB"/>
              </w:rPr>
              <w:t>Net Profit Margin</w:t>
            </w:r>
          </w:p>
        </w:tc>
      </w:tr>
      <w:tr w:rsidR="00203808" w:rsidRPr="00203808" w14:paraId="0E5EE9A1" w14:textId="77777777" w:rsidTr="008C2C42">
        <w:trPr>
          <w:tblCellSpacing w:w="15" w:type="dxa"/>
        </w:trPr>
        <w:tc>
          <w:tcPr>
            <w:tcW w:w="0" w:type="auto"/>
            <w:vAlign w:val="center"/>
            <w:hideMark/>
          </w:tcPr>
          <w:p w14:paraId="0CF1361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1CB4612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1,099</w:t>
            </w:r>
          </w:p>
        </w:tc>
        <w:tc>
          <w:tcPr>
            <w:tcW w:w="0" w:type="auto"/>
            <w:vAlign w:val="center"/>
            <w:hideMark/>
          </w:tcPr>
          <w:p w14:paraId="4EFFDE5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13,857</w:t>
            </w:r>
          </w:p>
        </w:tc>
        <w:tc>
          <w:tcPr>
            <w:tcW w:w="0" w:type="auto"/>
            <w:vAlign w:val="center"/>
            <w:hideMark/>
          </w:tcPr>
          <w:p w14:paraId="4902CE1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1,099 ÷ 13,857 × 100</w:t>
            </w:r>
          </w:p>
        </w:tc>
        <w:tc>
          <w:tcPr>
            <w:tcW w:w="0" w:type="auto"/>
            <w:vAlign w:val="center"/>
            <w:hideMark/>
          </w:tcPr>
          <w:p w14:paraId="0BA9DBB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7.93%</w:t>
            </w:r>
          </w:p>
        </w:tc>
      </w:tr>
      <w:tr w:rsidR="00203808" w:rsidRPr="00203808" w14:paraId="16F9E71D" w14:textId="77777777" w:rsidTr="008C2C42">
        <w:trPr>
          <w:tblCellSpacing w:w="15" w:type="dxa"/>
        </w:trPr>
        <w:tc>
          <w:tcPr>
            <w:tcW w:w="0" w:type="auto"/>
            <w:vAlign w:val="center"/>
            <w:hideMark/>
          </w:tcPr>
          <w:p w14:paraId="6A35796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207FACA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2,358</w:t>
            </w:r>
          </w:p>
        </w:tc>
        <w:tc>
          <w:tcPr>
            <w:tcW w:w="0" w:type="auto"/>
            <w:vAlign w:val="center"/>
            <w:hideMark/>
          </w:tcPr>
          <w:p w14:paraId="5D0E5D2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20,773</w:t>
            </w:r>
          </w:p>
        </w:tc>
        <w:tc>
          <w:tcPr>
            <w:tcW w:w="0" w:type="auto"/>
            <w:vAlign w:val="center"/>
            <w:hideMark/>
          </w:tcPr>
          <w:p w14:paraId="0B1871A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2,358 ÷ 20,773 × 100</w:t>
            </w:r>
          </w:p>
        </w:tc>
        <w:tc>
          <w:tcPr>
            <w:tcW w:w="0" w:type="auto"/>
            <w:vAlign w:val="center"/>
            <w:hideMark/>
          </w:tcPr>
          <w:p w14:paraId="43CC7D9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11.35%</w:t>
            </w:r>
          </w:p>
        </w:tc>
      </w:tr>
      <w:tr w:rsidR="00203808" w:rsidRPr="00203808" w14:paraId="2C8F9BF4" w14:textId="77777777" w:rsidTr="008C2C42">
        <w:trPr>
          <w:tblCellSpacing w:w="15" w:type="dxa"/>
        </w:trPr>
        <w:tc>
          <w:tcPr>
            <w:tcW w:w="0" w:type="auto"/>
            <w:vAlign w:val="center"/>
            <w:hideMark/>
          </w:tcPr>
          <w:p w14:paraId="0C24094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5D85603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3,083</w:t>
            </w:r>
          </w:p>
        </w:tc>
        <w:tc>
          <w:tcPr>
            <w:tcW w:w="0" w:type="auto"/>
            <w:vAlign w:val="center"/>
            <w:hideMark/>
          </w:tcPr>
          <w:p w14:paraId="60C8A28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23,713</w:t>
            </w:r>
          </w:p>
        </w:tc>
        <w:tc>
          <w:tcPr>
            <w:tcW w:w="0" w:type="auto"/>
            <w:vAlign w:val="center"/>
            <w:hideMark/>
          </w:tcPr>
          <w:p w14:paraId="0C10D82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3,083 ÷ 23,713 × 100</w:t>
            </w:r>
          </w:p>
        </w:tc>
        <w:tc>
          <w:tcPr>
            <w:tcW w:w="0" w:type="auto"/>
            <w:vAlign w:val="center"/>
            <w:hideMark/>
          </w:tcPr>
          <w:p w14:paraId="7D40732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13.00%</w:t>
            </w:r>
          </w:p>
        </w:tc>
      </w:tr>
      <w:tr w:rsidR="00203808" w:rsidRPr="00203808" w14:paraId="20EA00E7" w14:textId="77777777" w:rsidTr="008C2C42">
        <w:trPr>
          <w:tblCellSpacing w:w="15" w:type="dxa"/>
        </w:trPr>
        <w:tc>
          <w:tcPr>
            <w:tcW w:w="0" w:type="auto"/>
            <w:vAlign w:val="center"/>
            <w:hideMark/>
          </w:tcPr>
          <w:p w14:paraId="1C5EBD6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7993EEA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2,375</w:t>
            </w:r>
          </w:p>
        </w:tc>
        <w:tc>
          <w:tcPr>
            <w:tcW w:w="0" w:type="auto"/>
            <w:vAlign w:val="center"/>
            <w:hideMark/>
          </w:tcPr>
          <w:p w14:paraId="3B367FC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25,100</w:t>
            </w:r>
          </w:p>
        </w:tc>
        <w:tc>
          <w:tcPr>
            <w:tcW w:w="0" w:type="auto"/>
            <w:vAlign w:val="center"/>
            <w:hideMark/>
          </w:tcPr>
          <w:p w14:paraId="34D03D9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2,375 ÷ 25,100 × 100</w:t>
            </w:r>
          </w:p>
        </w:tc>
        <w:tc>
          <w:tcPr>
            <w:tcW w:w="0" w:type="auto"/>
            <w:vAlign w:val="center"/>
            <w:hideMark/>
          </w:tcPr>
          <w:p w14:paraId="33D8D82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9.46%</w:t>
            </w:r>
          </w:p>
        </w:tc>
      </w:tr>
      <w:tr w:rsidR="00203808" w:rsidRPr="00203808" w14:paraId="243C7D6E" w14:textId="77777777" w:rsidTr="008C2C42">
        <w:trPr>
          <w:tblCellSpacing w:w="15" w:type="dxa"/>
        </w:trPr>
        <w:tc>
          <w:tcPr>
            <w:tcW w:w="0" w:type="auto"/>
            <w:tcBorders>
              <w:bottom w:val="thinThickSmallGap" w:sz="24" w:space="0" w:color="auto"/>
            </w:tcBorders>
            <w:vAlign w:val="center"/>
            <w:hideMark/>
          </w:tcPr>
          <w:p w14:paraId="4C316D7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nThickSmallGap" w:sz="24" w:space="0" w:color="auto"/>
            </w:tcBorders>
            <w:vAlign w:val="center"/>
            <w:hideMark/>
          </w:tcPr>
          <w:p w14:paraId="1F4250D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2,601</w:t>
            </w:r>
          </w:p>
        </w:tc>
        <w:tc>
          <w:tcPr>
            <w:tcW w:w="0" w:type="auto"/>
            <w:tcBorders>
              <w:bottom w:val="thinThickSmallGap" w:sz="24" w:space="0" w:color="auto"/>
            </w:tcBorders>
            <w:vAlign w:val="center"/>
            <w:hideMark/>
          </w:tcPr>
          <w:p w14:paraId="4E25232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26,186</w:t>
            </w:r>
          </w:p>
        </w:tc>
        <w:tc>
          <w:tcPr>
            <w:tcW w:w="0" w:type="auto"/>
            <w:tcBorders>
              <w:bottom w:val="thinThickSmallGap" w:sz="24" w:space="0" w:color="auto"/>
            </w:tcBorders>
            <w:vAlign w:val="center"/>
            <w:hideMark/>
          </w:tcPr>
          <w:p w14:paraId="01C3369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2,601 ÷ 26,186 × 100</w:t>
            </w:r>
          </w:p>
        </w:tc>
        <w:tc>
          <w:tcPr>
            <w:tcW w:w="0" w:type="auto"/>
            <w:tcBorders>
              <w:bottom w:val="thinThickSmallGap" w:sz="24" w:space="0" w:color="auto"/>
            </w:tcBorders>
            <w:vAlign w:val="center"/>
            <w:hideMark/>
          </w:tcPr>
          <w:p w14:paraId="3912E08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9.93%</w:t>
            </w:r>
          </w:p>
        </w:tc>
      </w:tr>
    </w:tbl>
    <w:p w14:paraId="3FA49C09" w14:textId="77777777" w:rsidR="00ED72CF" w:rsidRPr="00203808" w:rsidRDefault="00ED72CF" w:rsidP="00203808">
      <w:pPr>
        <w:spacing w:after="0" w:line="360" w:lineRule="auto"/>
        <w:jc w:val="both"/>
        <w:rPr>
          <w:rFonts w:cs="Arial"/>
          <w:b/>
          <w:bCs/>
          <w:sz w:val="22"/>
          <w:u w:val="single"/>
        </w:rPr>
      </w:pPr>
    </w:p>
    <w:p w14:paraId="2902CC27" w14:textId="77777777" w:rsidR="00ED72CF" w:rsidRPr="00BE2860" w:rsidRDefault="00ED72CF" w:rsidP="00203808">
      <w:pPr>
        <w:spacing w:after="0" w:line="360" w:lineRule="auto"/>
        <w:jc w:val="both"/>
        <w:rPr>
          <w:rFonts w:cs="Arial"/>
          <w:b/>
          <w:bCs/>
          <w:sz w:val="22"/>
          <w:lang w:val="en-GB"/>
        </w:rPr>
      </w:pPr>
      <w:r w:rsidRPr="00BE2860">
        <w:rPr>
          <w:rFonts w:cs="Arial"/>
          <w:b/>
          <w:bCs/>
          <w:sz w:val="22"/>
          <w:lang w:val="en-GB"/>
        </w:rPr>
        <w:t>2. Operating Profit Margin</w:t>
      </w:r>
    </w:p>
    <w:p w14:paraId="6B5EC79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2E1ABF8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Operating Profit Margin = Operating Income ÷ Revenue × 100</w:t>
      </w:r>
    </w:p>
    <w:p w14:paraId="533233D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Line correspondence:</w:t>
      </w:r>
    </w:p>
    <w:p w14:paraId="47FBE03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Numerator = Consolidated Statement of Income-Operating income</w:t>
      </w:r>
    </w:p>
    <w:p w14:paraId="24D4F299" w14:textId="77777777" w:rsidR="00ED72CF" w:rsidRDefault="00ED72CF" w:rsidP="00203808">
      <w:pPr>
        <w:spacing w:after="0" w:line="360" w:lineRule="auto"/>
        <w:jc w:val="both"/>
        <w:rPr>
          <w:rFonts w:cs="Arial"/>
          <w:sz w:val="22"/>
          <w:lang w:val="en-GB"/>
        </w:rPr>
      </w:pPr>
      <w:r w:rsidRPr="00203808">
        <w:rPr>
          <w:rFonts w:cs="Arial"/>
          <w:sz w:val="22"/>
          <w:lang w:val="en-GB"/>
        </w:rPr>
        <w:t>Denominator = Consolidated Statement of Income-Total revenues</w:t>
      </w:r>
    </w:p>
    <w:p w14:paraId="31A7EA63" w14:textId="77777777" w:rsidR="00BE2860" w:rsidRDefault="00BE2860" w:rsidP="00203808">
      <w:pPr>
        <w:spacing w:after="0" w:line="360" w:lineRule="auto"/>
        <w:jc w:val="both"/>
        <w:rPr>
          <w:rFonts w:cs="Arial"/>
          <w:b/>
          <w:bCs/>
          <w:sz w:val="22"/>
          <w:lang w:val="en-GB"/>
        </w:rPr>
      </w:pPr>
    </w:p>
    <w:p w14:paraId="1BBE72A6" w14:textId="77777777" w:rsidR="00BE2860" w:rsidRDefault="00BE2860" w:rsidP="00203808">
      <w:pPr>
        <w:spacing w:after="0" w:line="360" w:lineRule="auto"/>
        <w:jc w:val="both"/>
        <w:rPr>
          <w:rFonts w:cs="Arial"/>
          <w:b/>
          <w:bCs/>
          <w:sz w:val="22"/>
          <w:lang w:val="en-GB"/>
        </w:rPr>
      </w:pPr>
    </w:p>
    <w:p w14:paraId="7C20F5A7" w14:textId="77777777" w:rsidR="00BE2860" w:rsidRDefault="00BE2860" w:rsidP="00203808">
      <w:pPr>
        <w:spacing w:after="0" w:line="360" w:lineRule="auto"/>
        <w:jc w:val="both"/>
        <w:rPr>
          <w:rFonts w:cs="Arial"/>
          <w:b/>
          <w:bCs/>
          <w:sz w:val="22"/>
          <w:lang w:val="en-GB"/>
        </w:rPr>
      </w:pPr>
    </w:p>
    <w:p w14:paraId="3230CCEF" w14:textId="77777777" w:rsidR="00BE2860" w:rsidRDefault="00BE2860" w:rsidP="00203808">
      <w:pPr>
        <w:spacing w:after="0" w:line="360" w:lineRule="auto"/>
        <w:jc w:val="both"/>
        <w:rPr>
          <w:rFonts w:cs="Arial"/>
          <w:b/>
          <w:bCs/>
          <w:sz w:val="22"/>
          <w:lang w:val="en-GB"/>
        </w:rPr>
      </w:pPr>
    </w:p>
    <w:p w14:paraId="54EB7CBC" w14:textId="77777777" w:rsidR="00BE2860" w:rsidRDefault="00BE2860" w:rsidP="00203808">
      <w:pPr>
        <w:spacing w:after="0" w:line="360" w:lineRule="auto"/>
        <w:jc w:val="both"/>
        <w:rPr>
          <w:rFonts w:cs="Arial"/>
          <w:b/>
          <w:bCs/>
          <w:sz w:val="22"/>
          <w:lang w:val="en-GB"/>
        </w:rPr>
      </w:pPr>
    </w:p>
    <w:p w14:paraId="43C15EEE" w14:textId="77777777" w:rsidR="00BE2860" w:rsidRPr="00203808" w:rsidRDefault="00BE2860" w:rsidP="00203808">
      <w:pPr>
        <w:spacing w:after="0" w:line="360" w:lineRule="auto"/>
        <w:jc w:val="both"/>
        <w:rPr>
          <w:rFonts w:cs="Arial"/>
          <w:b/>
          <w:bCs/>
          <w:sz w:val="22"/>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
        <w:gridCol w:w="2117"/>
        <w:gridCol w:w="1861"/>
        <w:gridCol w:w="1920"/>
        <w:gridCol w:w="2177"/>
      </w:tblGrid>
      <w:tr w:rsidR="00203808" w:rsidRPr="00203808" w14:paraId="548E9CE9"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186BAAE8" w14:textId="77777777" w:rsidR="00ED72CF" w:rsidRPr="00203808" w:rsidRDefault="00ED72CF" w:rsidP="00203808">
            <w:pPr>
              <w:spacing w:after="0" w:line="360" w:lineRule="auto"/>
              <w:jc w:val="both"/>
              <w:rPr>
                <w:rFonts w:cs="Arial"/>
                <w:b/>
                <w:bCs/>
                <w:sz w:val="22"/>
                <w:lang w:val="en-GB"/>
              </w:rPr>
            </w:pPr>
            <w:r w:rsidRPr="00203808">
              <w:rPr>
                <w:rFonts w:cs="Arial"/>
                <w:b/>
                <w:bCs/>
                <w:sz w:val="22"/>
                <w:lang w:val="en-GB"/>
              </w:rPr>
              <w:lastRenderedPageBreak/>
              <w:t>Year</w:t>
            </w:r>
          </w:p>
        </w:tc>
        <w:tc>
          <w:tcPr>
            <w:tcW w:w="0" w:type="auto"/>
            <w:tcBorders>
              <w:top w:val="thinThickSmallGap" w:sz="24" w:space="0" w:color="auto"/>
              <w:bottom w:val="thickThinSmallGap" w:sz="24" w:space="0" w:color="auto"/>
            </w:tcBorders>
            <w:vAlign w:val="center"/>
            <w:hideMark/>
          </w:tcPr>
          <w:p w14:paraId="75883928" w14:textId="77777777" w:rsidR="00ED72CF" w:rsidRPr="00203808" w:rsidRDefault="00ED72CF" w:rsidP="00203808">
            <w:pPr>
              <w:spacing w:after="0" w:line="360" w:lineRule="auto"/>
              <w:jc w:val="both"/>
              <w:rPr>
                <w:rFonts w:cs="Arial"/>
                <w:b/>
                <w:bCs/>
                <w:sz w:val="22"/>
                <w:lang w:val="en-GB"/>
              </w:rPr>
            </w:pPr>
            <w:r w:rsidRPr="00203808">
              <w:rPr>
                <w:rFonts w:cs="Arial"/>
                <w:b/>
                <w:bCs/>
                <w:sz w:val="22"/>
                <w:lang w:val="en-GB"/>
              </w:rPr>
              <w:t>Operating income ($m)</w:t>
            </w:r>
          </w:p>
        </w:tc>
        <w:tc>
          <w:tcPr>
            <w:tcW w:w="0" w:type="auto"/>
            <w:tcBorders>
              <w:top w:val="thinThickSmallGap" w:sz="24" w:space="0" w:color="auto"/>
              <w:bottom w:val="thickThinSmallGap" w:sz="24" w:space="0" w:color="auto"/>
            </w:tcBorders>
            <w:vAlign w:val="center"/>
            <w:hideMark/>
          </w:tcPr>
          <w:p w14:paraId="06059A30" w14:textId="77777777" w:rsidR="00ED72CF" w:rsidRPr="00203808" w:rsidRDefault="00ED72CF" w:rsidP="00203808">
            <w:pPr>
              <w:spacing w:after="0" w:line="360" w:lineRule="auto"/>
              <w:jc w:val="both"/>
              <w:rPr>
                <w:rFonts w:cs="Arial"/>
                <w:b/>
                <w:bCs/>
                <w:sz w:val="22"/>
                <w:lang w:val="en-GB"/>
              </w:rPr>
            </w:pPr>
            <w:r w:rsidRPr="00203808">
              <w:rPr>
                <w:rFonts w:cs="Arial"/>
                <w:b/>
                <w:bCs/>
                <w:sz w:val="22"/>
                <w:lang w:val="en-GB"/>
              </w:rPr>
              <w:t>Total revenues ($m)</w:t>
            </w:r>
          </w:p>
        </w:tc>
        <w:tc>
          <w:tcPr>
            <w:tcW w:w="0" w:type="auto"/>
            <w:tcBorders>
              <w:top w:val="thinThickSmallGap" w:sz="24" w:space="0" w:color="auto"/>
              <w:bottom w:val="thickThinSmallGap" w:sz="24" w:space="0" w:color="auto"/>
            </w:tcBorders>
            <w:vAlign w:val="center"/>
            <w:hideMark/>
          </w:tcPr>
          <w:p w14:paraId="1FF8D139" w14:textId="77777777" w:rsidR="00ED72CF" w:rsidRPr="00203808" w:rsidRDefault="00ED72CF" w:rsidP="00203808">
            <w:pPr>
              <w:spacing w:after="0" w:line="360" w:lineRule="auto"/>
              <w:jc w:val="both"/>
              <w:rPr>
                <w:rFonts w:cs="Arial"/>
                <w:b/>
                <w:bCs/>
                <w:sz w:val="22"/>
                <w:lang w:val="en-GB"/>
              </w:rPr>
            </w:pPr>
            <w:r w:rsidRPr="00203808">
              <w:rPr>
                <w:rFonts w:cs="Arial"/>
                <w:b/>
                <w:bCs/>
                <w:sz w:val="22"/>
                <w:lang w:val="en-GB"/>
              </w:rPr>
              <w:t>Calculation</w:t>
            </w:r>
          </w:p>
        </w:tc>
        <w:tc>
          <w:tcPr>
            <w:tcW w:w="0" w:type="auto"/>
            <w:tcBorders>
              <w:top w:val="thinThickSmallGap" w:sz="24" w:space="0" w:color="auto"/>
              <w:bottom w:val="thickThinSmallGap" w:sz="24" w:space="0" w:color="auto"/>
            </w:tcBorders>
            <w:vAlign w:val="center"/>
            <w:hideMark/>
          </w:tcPr>
          <w:p w14:paraId="277F2A83" w14:textId="77777777" w:rsidR="00ED72CF" w:rsidRPr="00203808" w:rsidRDefault="00ED72CF" w:rsidP="00203808">
            <w:pPr>
              <w:spacing w:after="0" w:line="360" w:lineRule="auto"/>
              <w:jc w:val="both"/>
              <w:rPr>
                <w:rFonts w:cs="Arial"/>
                <w:b/>
                <w:bCs/>
                <w:sz w:val="22"/>
                <w:lang w:val="en-GB"/>
              </w:rPr>
            </w:pPr>
            <w:r w:rsidRPr="00203808">
              <w:rPr>
                <w:rFonts w:cs="Arial"/>
                <w:b/>
                <w:bCs/>
                <w:sz w:val="22"/>
                <w:lang w:val="en-GB"/>
              </w:rPr>
              <w:t>Operating Profit Margin</w:t>
            </w:r>
          </w:p>
        </w:tc>
      </w:tr>
      <w:tr w:rsidR="00203808" w:rsidRPr="00203808" w14:paraId="53F17528" w14:textId="77777777" w:rsidTr="008C2C42">
        <w:trPr>
          <w:tblCellSpacing w:w="15" w:type="dxa"/>
        </w:trPr>
        <w:tc>
          <w:tcPr>
            <w:tcW w:w="0" w:type="auto"/>
            <w:vAlign w:val="center"/>
            <w:hideMark/>
          </w:tcPr>
          <w:p w14:paraId="7E266EC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2373F9B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1,750</w:t>
            </w:r>
          </w:p>
        </w:tc>
        <w:tc>
          <w:tcPr>
            <w:tcW w:w="0" w:type="auto"/>
            <w:vAlign w:val="center"/>
            <w:hideMark/>
          </w:tcPr>
          <w:p w14:paraId="333EE6D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13,857</w:t>
            </w:r>
          </w:p>
        </w:tc>
        <w:tc>
          <w:tcPr>
            <w:tcW w:w="0" w:type="auto"/>
            <w:vAlign w:val="center"/>
            <w:hideMark/>
          </w:tcPr>
          <w:p w14:paraId="0F29F93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1,750 ÷ 13,857 × 100</w:t>
            </w:r>
          </w:p>
        </w:tc>
        <w:tc>
          <w:tcPr>
            <w:tcW w:w="0" w:type="auto"/>
            <w:vAlign w:val="center"/>
            <w:hideMark/>
          </w:tcPr>
          <w:p w14:paraId="584B185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12.63%</w:t>
            </w:r>
          </w:p>
        </w:tc>
      </w:tr>
      <w:tr w:rsidR="00203808" w:rsidRPr="00203808" w14:paraId="1F1EE7EF" w14:textId="77777777" w:rsidTr="008C2C42">
        <w:trPr>
          <w:tblCellSpacing w:w="15" w:type="dxa"/>
        </w:trPr>
        <w:tc>
          <w:tcPr>
            <w:tcW w:w="0" w:type="auto"/>
            <w:vAlign w:val="center"/>
            <w:hideMark/>
          </w:tcPr>
          <w:p w14:paraId="7128582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33CB654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3,462</w:t>
            </w:r>
          </w:p>
        </w:tc>
        <w:tc>
          <w:tcPr>
            <w:tcW w:w="0" w:type="auto"/>
            <w:vAlign w:val="center"/>
            <w:hideMark/>
          </w:tcPr>
          <w:p w14:paraId="1CF83D5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20,773</w:t>
            </w:r>
          </w:p>
        </w:tc>
        <w:tc>
          <w:tcPr>
            <w:tcW w:w="0" w:type="auto"/>
            <w:vAlign w:val="center"/>
            <w:hideMark/>
          </w:tcPr>
          <w:p w14:paraId="7A56EEF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3,462 ÷ 20,773 × 100</w:t>
            </w:r>
          </w:p>
        </w:tc>
        <w:tc>
          <w:tcPr>
            <w:tcW w:w="0" w:type="auto"/>
            <w:vAlign w:val="center"/>
            <w:hideMark/>
          </w:tcPr>
          <w:p w14:paraId="7419DC2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16.67%</w:t>
            </w:r>
          </w:p>
        </w:tc>
      </w:tr>
      <w:tr w:rsidR="00203808" w:rsidRPr="00203808" w14:paraId="0EC36205" w14:textId="77777777" w:rsidTr="008C2C42">
        <w:trPr>
          <w:tblCellSpacing w:w="15" w:type="dxa"/>
        </w:trPr>
        <w:tc>
          <w:tcPr>
            <w:tcW w:w="0" w:type="auto"/>
            <w:vAlign w:val="center"/>
            <w:hideMark/>
          </w:tcPr>
          <w:p w14:paraId="7FB47EB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4A6ED40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3,864</w:t>
            </w:r>
          </w:p>
        </w:tc>
        <w:tc>
          <w:tcPr>
            <w:tcW w:w="0" w:type="auto"/>
            <w:vAlign w:val="center"/>
            <w:hideMark/>
          </w:tcPr>
          <w:p w14:paraId="18C7FEC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23,713</w:t>
            </w:r>
          </w:p>
        </w:tc>
        <w:tc>
          <w:tcPr>
            <w:tcW w:w="0" w:type="auto"/>
            <w:vAlign w:val="center"/>
            <w:hideMark/>
          </w:tcPr>
          <w:p w14:paraId="4B8719E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3,864 ÷ 23,713 × 100</w:t>
            </w:r>
          </w:p>
        </w:tc>
        <w:tc>
          <w:tcPr>
            <w:tcW w:w="0" w:type="auto"/>
            <w:vAlign w:val="center"/>
            <w:hideMark/>
          </w:tcPr>
          <w:p w14:paraId="18F8759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16.29%</w:t>
            </w:r>
          </w:p>
        </w:tc>
      </w:tr>
      <w:tr w:rsidR="00203808" w:rsidRPr="00203808" w14:paraId="644A6051" w14:textId="77777777" w:rsidTr="008C2C42">
        <w:trPr>
          <w:tblCellSpacing w:w="15" w:type="dxa"/>
        </w:trPr>
        <w:tc>
          <w:tcPr>
            <w:tcW w:w="0" w:type="auto"/>
            <w:vAlign w:val="center"/>
            <w:hideMark/>
          </w:tcPr>
          <w:p w14:paraId="7894169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643337E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3,767</w:t>
            </w:r>
          </w:p>
        </w:tc>
        <w:tc>
          <w:tcPr>
            <w:tcW w:w="0" w:type="auto"/>
            <w:vAlign w:val="center"/>
            <w:hideMark/>
          </w:tcPr>
          <w:p w14:paraId="1BF3A65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25,100</w:t>
            </w:r>
          </w:p>
        </w:tc>
        <w:tc>
          <w:tcPr>
            <w:tcW w:w="0" w:type="auto"/>
            <w:vAlign w:val="center"/>
            <w:hideMark/>
          </w:tcPr>
          <w:p w14:paraId="6D41AEF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3,767 ÷ 25,100 × 100</w:t>
            </w:r>
          </w:p>
        </w:tc>
        <w:tc>
          <w:tcPr>
            <w:tcW w:w="0" w:type="auto"/>
            <w:vAlign w:val="center"/>
            <w:hideMark/>
          </w:tcPr>
          <w:p w14:paraId="0BE17B7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15.01%</w:t>
            </w:r>
          </w:p>
        </w:tc>
      </w:tr>
      <w:tr w:rsidR="00203808" w:rsidRPr="00203808" w14:paraId="63DA306B" w14:textId="77777777" w:rsidTr="008C2C42">
        <w:trPr>
          <w:tblCellSpacing w:w="15" w:type="dxa"/>
        </w:trPr>
        <w:tc>
          <w:tcPr>
            <w:tcW w:w="0" w:type="auto"/>
            <w:tcBorders>
              <w:bottom w:val="thickThinSmallGap" w:sz="24" w:space="0" w:color="auto"/>
            </w:tcBorders>
            <w:vAlign w:val="center"/>
            <w:hideMark/>
          </w:tcPr>
          <w:p w14:paraId="145DE65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715A1BB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4,141</w:t>
            </w:r>
          </w:p>
        </w:tc>
        <w:tc>
          <w:tcPr>
            <w:tcW w:w="0" w:type="auto"/>
            <w:tcBorders>
              <w:bottom w:val="thickThinSmallGap" w:sz="24" w:space="0" w:color="auto"/>
            </w:tcBorders>
            <w:vAlign w:val="center"/>
            <w:hideMark/>
          </w:tcPr>
          <w:p w14:paraId="28E6880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26,186</w:t>
            </w:r>
          </w:p>
        </w:tc>
        <w:tc>
          <w:tcPr>
            <w:tcW w:w="0" w:type="auto"/>
            <w:tcBorders>
              <w:bottom w:val="thickThinSmallGap" w:sz="24" w:space="0" w:color="auto"/>
            </w:tcBorders>
            <w:vAlign w:val="center"/>
            <w:hideMark/>
          </w:tcPr>
          <w:p w14:paraId="2EFD969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4,141 ÷ 26,186 × 100</w:t>
            </w:r>
          </w:p>
        </w:tc>
        <w:tc>
          <w:tcPr>
            <w:tcW w:w="0" w:type="auto"/>
            <w:tcBorders>
              <w:bottom w:val="thickThinSmallGap" w:sz="24" w:space="0" w:color="auto"/>
            </w:tcBorders>
            <w:vAlign w:val="center"/>
            <w:hideMark/>
          </w:tcPr>
          <w:p w14:paraId="5187DA9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15.82%</w:t>
            </w:r>
          </w:p>
        </w:tc>
      </w:tr>
    </w:tbl>
    <w:p w14:paraId="448056FB" w14:textId="77777777" w:rsidR="00ED72CF" w:rsidRPr="00203808" w:rsidRDefault="00ED72CF" w:rsidP="00203808">
      <w:pPr>
        <w:spacing w:after="0" w:line="360" w:lineRule="auto"/>
        <w:jc w:val="both"/>
        <w:rPr>
          <w:rFonts w:cs="Arial"/>
          <w:b/>
          <w:bCs/>
          <w:sz w:val="22"/>
          <w:u w:val="single"/>
        </w:rPr>
      </w:pPr>
    </w:p>
    <w:p w14:paraId="0A95BA6C" w14:textId="77777777" w:rsidR="00ED72CF" w:rsidRPr="00203808" w:rsidRDefault="00ED72CF" w:rsidP="00203808">
      <w:pPr>
        <w:spacing w:after="0" w:line="360" w:lineRule="auto"/>
        <w:jc w:val="both"/>
        <w:rPr>
          <w:rFonts w:cs="Arial"/>
          <w:b/>
          <w:bCs/>
          <w:sz w:val="22"/>
          <w:lang w:val="en-GB"/>
        </w:rPr>
      </w:pPr>
      <w:r w:rsidRPr="00203808">
        <w:rPr>
          <w:rFonts w:cs="Arial"/>
          <w:b/>
          <w:bCs/>
          <w:sz w:val="22"/>
          <w:lang w:val="en-GB"/>
        </w:rPr>
        <w:t>3. Gross Profit Margin</w:t>
      </w:r>
    </w:p>
    <w:p w14:paraId="2D1D6F8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5D4CE4B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Gross Profit Margin = Gross Profit ÷ Revenue × 100</w:t>
      </w:r>
    </w:p>
    <w:p w14:paraId="69EF035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Line correspondence:</w:t>
      </w:r>
    </w:p>
    <w:p w14:paraId="115F152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Numerator = Standardised financial statement-Gross Profit</w:t>
      </w:r>
    </w:p>
    <w:p w14:paraId="07BBC4D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Denominator = Marriott Consolidated Statement of Income-Total revenues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
        <w:gridCol w:w="1711"/>
        <w:gridCol w:w="1454"/>
        <w:gridCol w:w="2145"/>
        <w:gridCol w:w="1970"/>
      </w:tblGrid>
      <w:tr w:rsidR="00203808" w:rsidRPr="00203808" w14:paraId="2A71BA47"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497AA0F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Year</w:t>
            </w:r>
          </w:p>
        </w:tc>
        <w:tc>
          <w:tcPr>
            <w:tcW w:w="0" w:type="auto"/>
            <w:tcBorders>
              <w:top w:val="thinThickSmallGap" w:sz="24" w:space="0" w:color="auto"/>
              <w:bottom w:val="thickThinSmallGap" w:sz="24" w:space="0" w:color="auto"/>
            </w:tcBorders>
            <w:vAlign w:val="center"/>
            <w:hideMark/>
          </w:tcPr>
          <w:p w14:paraId="007D835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Gross profit ($m)</w:t>
            </w:r>
          </w:p>
        </w:tc>
        <w:tc>
          <w:tcPr>
            <w:tcW w:w="0" w:type="auto"/>
            <w:tcBorders>
              <w:top w:val="thinThickSmallGap" w:sz="24" w:space="0" w:color="auto"/>
              <w:bottom w:val="thickThinSmallGap" w:sz="24" w:space="0" w:color="auto"/>
            </w:tcBorders>
            <w:vAlign w:val="center"/>
            <w:hideMark/>
          </w:tcPr>
          <w:p w14:paraId="6A254EA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Revenue ($m)</w:t>
            </w:r>
          </w:p>
        </w:tc>
        <w:tc>
          <w:tcPr>
            <w:tcW w:w="0" w:type="auto"/>
            <w:tcBorders>
              <w:top w:val="thinThickSmallGap" w:sz="24" w:space="0" w:color="auto"/>
              <w:bottom w:val="thickThinSmallGap" w:sz="24" w:space="0" w:color="auto"/>
            </w:tcBorders>
            <w:vAlign w:val="center"/>
            <w:hideMark/>
          </w:tcPr>
          <w:p w14:paraId="3446CAD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Calculation</w:t>
            </w:r>
          </w:p>
        </w:tc>
        <w:tc>
          <w:tcPr>
            <w:tcW w:w="0" w:type="auto"/>
            <w:tcBorders>
              <w:top w:val="thinThickSmallGap" w:sz="24" w:space="0" w:color="auto"/>
              <w:bottom w:val="thickThinSmallGap" w:sz="24" w:space="0" w:color="auto"/>
            </w:tcBorders>
            <w:vAlign w:val="center"/>
            <w:hideMark/>
          </w:tcPr>
          <w:p w14:paraId="1AE0503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Gross Profit Margin</w:t>
            </w:r>
          </w:p>
        </w:tc>
      </w:tr>
      <w:tr w:rsidR="00203808" w:rsidRPr="00203808" w14:paraId="0D78FDDF" w14:textId="77777777" w:rsidTr="008C2C42">
        <w:trPr>
          <w:tblCellSpacing w:w="15" w:type="dxa"/>
        </w:trPr>
        <w:tc>
          <w:tcPr>
            <w:tcW w:w="0" w:type="auto"/>
            <w:vAlign w:val="center"/>
            <w:hideMark/>
          </w:tcPr>
          <w:p w14:paraId="6803F20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7A691E9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2,801</w:t>
            </w:r>
          </w:p>
        </w:tc>
        <w:tc>
          <w:tcPr>
            <w:tcW w:w="0" w:type="auto"/>
            <w:vAlign w:val="center"/>
            <w:hideMark/>
          </w:tcPr>
          <w:p w14:paraId="2DC80A4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13,857</w:t>
            </w:r>
          </w:p>
        </w:tc>
        <w:tc>
          <w:tcPr>
            <w:tcW w:w="0" w:type="auto"/>
            <w:vAlign w:val="center"/>
            <w:hideMark/>
          </w:tcPr>
          <w:p w14:paraId="6E3E59D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2,801 ÷ 13,857 × 100</w:t>
            </w:r>
          </w:p>
        </w:tc>
        <w:tc>
          <w:tcPr>
            <w:tcW w:w="0" w:type="auto"/>
            <w:vAlign w:val="center"/>
            <w:hideMark/>
          </w:tcPr>
          <w:p w14:paraId="6908B0F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r>
      <w:tr w:rsidR="00203808" w:rsidRPr="00203808" w14:paraId="4D7AC971" w14:textId="77777777" w:rsidTr="008C2C42">
        <w:trPr>
          <w:tblCellSpacing w:w="15" w:type="dxa"/>
        </w:trPr>
        <w:tc>
          <w:tcPr>
            <w:tcW w:w="0" w:type="auto"/>
            <w:vAlign w:val="center"/>
            <w:hideMark/>
          </w:tcPr>
          <w:p w14:paraId="75B0123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7EB7259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4,558</w:t>
            </w:r>
          </w:p>
        </w:tc>
        <w:tc>
          <w:tcPr>
            <w:tcW w:w="0" w:type="auto"/>
            <w:vAlign w:val="center"/>
            <w:hideMark/>
          </w:tcPr>
          <w:p w14:paraId="5329DD7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20,773</w:t>
            </w:r>
          </w:p>
        </w:tc>
        <w:tc>
          <w:tcPr>
            <w:tcW w:w="0" w:type="auto"/>
            <w:vAlign w:val="center"/>
            <w:hideMark/>
          </w:tcPr>
          <w:p w14:paraId="0821B5F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4,558 ÷ 20,773 × 100</w:t>
            </w:r>
          </w:p>
        </w:tc>
        <w:tc>
          <w:tcPr>
            <w:tcW w:w="0" w:type="auto"/>
            <w:vAlign w:val="center"/>
            <w:hideMark/>
          </w:tcPr>
          <w:p w14:paraId="104F4E4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21.94%</w:t>
            </w:r>
          </w:p>
        </w:tc>
      </w:tr>
      <w:tr w:rsidR="00203808" w:rsidRPr="00203808" w14:paraId="34358E43" w14:textId="77777777" w:rsidTr="008C2C42">
        <w:trPr>
          <w:tblCellSpacing w:w="15" w:type="dxa"/>
        </w:trPr>
        <w:tc>
          <w:tcPr>
            <w:tcW w:w="0" w:type="auto"/>
            <w:vAlign w:val="center"/>
            <w:hideMark/>
          </w:tcPr>
          <w:p w14:paraId="7A8ED11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53F90FF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4,980</w:t>
            </w:r>
          </w:p>
        </w:tc>
        <w:tc>
          <w:tcPr>
            <w:tcW w:w="0" w:type="auto"/>
            <w:vAlign w:val="center"/>
            <w:hideMark/>
          </w:tcPr>
          <w:p w14:paraId="14E5524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23,713</w:t>
            </w:r>
          </w:p>
        </w:tc>
        <w:tc>
          <w:tcPr>
            <w:tcW w:w="0" w:type="auto"/>
            <w:vAlign w:val="center"/>
            <w:hideMark/>
          </w:tcPr>
          <w:p w14:paraId="3C91B9A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4,980 ÷ 23,713 × 100</w:t>
            </w:r>
          </w:p>
        </w:tc>
        <w:tc>
          <w:tcPr>
            <w:tcW w:w="0" w:type="auto"/>
            <w:vAlign w:val="center"/>
            <w:hideMark/>
          </w:tcPr>
          <w:p w14:paraId="3D8BB89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21.00%</w:t>
            </w:r>
          </w:p>
        </w:tc>
      </w:tr>
      <w:tr w:rsidR="00203808" w:rsidRPr="00203808" w14:paraId="2023766D" w14:textId="77777777" w:rsidTr="008C2C42">
        <w:trPr>
          <w:tblCellSpacing w:w="15" w:type="dxa"/>
        </w:trPr>
        <w:tc>
          <w:tcPr>
            <w:tcW w:w="0" w:type="auto"/>
            <w:vAlign w:val="center"/>
            <w:hideMark/>
          </w:tcPr>
          <w:p w14:paraId="059F818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5338BBB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4,972</w:t>
            </w:r>
          </w:p>
        </w:tc>
        <w:tc>
          <w:tcPr>
            <w:tcW w:w="0" w:type="auto"/>
            <w:vAlign w:val="center"/>
            <w:hideMark/>
          </w:tcPr>
          <w:p w14:paraId="4285FA4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25,100</w:t>
            </w:r>
          </w:p>
        </w:tc>
        <w:tc>
          <w:tcPr>
            <w:tcW w:w="0" w:type="auto"/>
            <w:vAlign w:val="center"/>
            <w:hideMark/>
          </w:tcPr>
          <w:p w14:paraId="28DF425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4,972 ÷ 25,100 × 100</w:t>
            </w:r>
          </w:p>
        </w:tc>
        <w:tc>
          <w:tcPr>
            <w:tcW w:w="0" w:type="auto"/>
            <w:vAlign w:val="center"/>
            <w:hideMark/>
          </w:tcPr>
          <w:p w14:paraId="1802026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19.81%</w:t>
            </w:r>
          </w:p>
        </w:tc>
      </w:tr>
      <w:tr w:rsidR="00203808" w:rsidRPr="00203808" w14:paraId="02C3A72C" w14:textId="77777777" w:rsidTr="008C2C42">
        <w:trPr>
          <w:tblCellSpacing w:w="15" w:type="dxa"/>
        </w:trPr>
        <w:tc>
          <w:tcPr>
            <w:tcW w:w="0" w:type="auto"/>
            <w:tcBorders>
              <w:bottom w:val="thickThinSmallGap" w:sz="24" w:space="0" w:color="auto"/>
            </w:tcBorders>
            <w:vAlign w:val="center"/>
            <w:hideMark/>
          </w:tcPr>
          <w:p w14:paraId="0B82E5E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37B997A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5,222</w:t>
            </w:r>
          </w:p>
        </w:tc>
        <w:tc>
          <w:tcPr>
            <w:tcW w:w="0" w:type="auto"/>
            <w:tcBorders>
              <w:bottom w:val="thickThinSmallGap" w:sz="24" w:space="0" w:color="auto"/>
            </w:tcBorders>
            <w:vAlign w:val="center"/>
            <w:hideMark/>
          </w:tcPr>
          <w:p w14:paraId="65FB638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26,186</w:t>
            </w:r>
          </w:p>
        </w:tc>
        <w:tc>
          <w:tcPr>
            <w:tcW w:w="0" w:type="auto"/>
            <w:tcBorders>
              <w:bottom w:val="thickThinSmallGap" w:sz="24" w:space="0" w:color="auto"/>
            </w:tcBorders>
            <w:vAlign w:val="center"/>
            <w:hideMark/>
          </w:tcPr>
          <w:p w14:paraId="782693B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5,222 ÷ 26,186 × 100</w:t>
            </w:r>
          </w:p>
        </w:tc>
        <w:tc>
          <w:tcPr>
            <w:tcW w:w="0" w:type="auto"/>
            <w:tcBorders>
              <w:bottom w:val="thickThinSmallGap" w:sz="24" w:space="0" w:color="auto"/>
            </w:tcBorders>
            <w:vAlign w:val="center"/>
            <w:hideMark/>
          </w:tcPr>
          <w:p w14:paraId="7AFE244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19.94%</w:t>
            </w:r>
          </w:p>
        </w:tc>
      </w:tr>
    </w:tbl>
    <w:p w14:paraId="26F0E694" w14:textId="77777777" w:rsidR="00ED72CF" w:rsidRPr="00203808" w:rsidRDefault="00ED72CF" w:rsidP="00203808">
      <w:pPr>
        <w:spacing w:after="0" w:line="360" w:lineRule="auto"/>
        <w:jc w:val="both"/>
        <w:rPr>
          <w:rFonts w:cs="Arial"/>
          <w:b/>
          <w:bCs/>
          <w:sz w:val="22"/>
          <w:lang w:val="en-GB"/>
        </w:rPr>
      </w:pPr>
    </w:p>
    <w:p w14:paraId="02CA79F6" w14:textId="77777777" w:rsidR="00ED72CF" w:rsidRPr="00BE2860" w:rsidRDefault="00ED72CF" w:rsidP="00203808">
      <w:pPr>
        <w:spacing w:after="0" w:line="360" w:lineRule="auto"/>
        <w:jc w:val="both"/>
        <w:rPr>
          <w:rFonts w:cs="Arial"/>
          <w:b/>
          <w:bCs/>
          <w:sz w:val="22"/>
          <w:lang w:val="en-GB"/>
        </w:rPr>
      </w:pPr>
      <w:r w:rsidRPr="00BE2860">
        <w:rPr>
          <w:rFonts w:cs="Arial"/>
          <w:b/>
          <w:bCs/>
          <w:sz w:val="22"/>
          <w:lang w:val="en-GB"/>
        </w:rPr>
        <w:t>4. Return on Capital Employed (ROCE)</w:t>
      </w:r>
    </w:p>
    <w:p w14:paraId="2CB593B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4CF0493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ROCE = Operating Income ÷ Capital Employed × 100</w:t>
      </w:r>
    </w:p>
    <w:p w14:paraId="3935B83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Capital Employed = Total Assets-Current Liabilities</w:t>
      </w:r>
    </w:p>
    <w:p w14:paraId="5CEA06A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Line correspondence:</w:t>
      </w:r>
    </w:p>
    <w:p w14:paraId="190D1BB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lastRenderedPageBreak/>
        <w:t>Operating income = Consolidated Statement of Income</w:t>
      </w:r>
    </w:p>
    <w:p w14:paraId="26EE05E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Total assets = Consolidated Balance Sheet</w:t>
      </w:r>
    </w:p>
    <w:p w14:paraId="1465BD3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Current liabilities = Consolidated Balance Sheet</w:t>
      </w:r>
    </w:p>
    <w:p w14:paraId="1E18032E" w14:textId="77777777" w:rsidR="00ED72CF" w:rsidRPr="00203808" w:rsidRDefault="00ED72CF" w:rsidP="00203808">
      <w:pPr>
        <w:spacing w:after="0" w:line="360" w:lineRule="auto"/>
        <w:jc w:val="both"/>
        <w:rPr>
          <w:rFonts w:cs="Arial"/>
          <w:b/>
          <w:bCs/>
          <w:sz w:val="22"/>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
        <w:gridCol w:w="1560"/>
        <w:gridCol w:w="1159"/>
        <w:gridCol w:w="1435"/>
        <w:gridCol w:w="1537"/>
        <w:gridCol w:w="1562"/>
        <w:gridCol w:w="822"/>
      </w:tblGrid>
      <w:tr w:rsidR="00203808" w:rsidRPr="00203808" w14:paraId="60C86DC3"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1A3EB14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Year</w:t>
            </w:r>
          </w:p>
        </w:tc>
        <w:tc>
          <w:tcPr>
            <w:tcW w:w="0" w:type="auto"/>
            <w:tcBorders>
              <w:top w:val="thinThickSmallGap" w:sz="24" w:space="0" w:color="auto"/>
              <w:bottom w:val="thickThinSmallGap" w:sz="24" w:space="0" w:color="auto"/>
            </w:tcBorders>
            <w:vAlign w:val="center"/>
            <w:hideMark/>
          </w:tcPr>
          <w:p w14:paraId="7224127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Operating income ($m)</w:t>
            </w:r>
          </w:p>
        </w:tc>
        <w:tc>
          <w:tcPr>
            <w:tcW w:w="0" w:type="auto"/>
            <w:tcBorders>
              <w:top w:val="thinThickSmallGap" w:sz="24" w:space="0" w:color="auto"/>
              <w:bottom w:val="thickThinSmallGap" w:sz="24" w:space="0" w:color="auto"/>
            </w:tcBorders>
            <w:vAlign w:val="center"/>
            <w:hideMark/>
          </w:tcPr>
          <w:p w14:paraId="6CE61E7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Total assets ($m)</w:t>
            </w:r>
          </w:p>
        </w:tc>
        <w:tc>
          <w:tcPr>
            <w:tcW w:w="0" w:type="auto"/>
            <w:tcBorders>
              <w:top w:val="thinThickSmallGap" w:sz="24" w:space="0" w:color="auto"/>
              <w:bottom w:val="thickThinSmallGap" w:sz="24" w:space="0" w:color="auto"/>
            </w:tcBorders>
            <w:vAlign w:val="center"/>
            <w:hideMark/>
          </w:tcPr>
          <w:p w14:paraId="532CED4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Current liabilities ($m)</w:t>
            </w:r>
          </w:p>
        </w:tc>
        <w:tc>
          <w:tcPr>
            <w:tcW w:w="0" w:type="auto"/>
            <w:tcBorders>
              <w:top w:val="thinThickSmallGap" w:sz="24" w:space="0" w:color="auto"/>
              <w:bottom w:val="thickThinSmallGap" w:sz="24" w:space="0" w:color="auto"/>
            </w:tcBorders>
            <w:vAlign w:val="center"/>
            <w:hideMark/>
          </w:tcPr>
          <w:p w14:paraId="7D98132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Capital employed ($m)</w:t>
            </w:r>
          </w:p>
        </w:tc>
        <w:tc>
          <w:tcPr>
            <w:tcW w:w="0" w:type="auto"/>
            <w:tcBorders>
              <w:top w:val="thinThickSmallGap" w:sz="24" w:space="0" w:color="auto"/>
              <w:bottom w:val="thickThinSmallGap" w:sz="24" w:space="0" w:color="auto"/>
            </w:tcBorders>
            <w:vAlign w:val="center"/>
            <w:hideMark/>
          </w:tcPr>
          <w:p w14:paraId="4E23FF9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Calculation</w:t>
            </w:r>
          </w:p>
        </w:tc>
        <w:tc>
          <w:tcPr>
            <w:tcW w:w="0" w:type="auto"/>
            <w:tcBorders>
              <w:top w:val="thinThickSmallGap" w:sz="24" w:space="0" w:color="auto"/>
              <w:bottom w:val="thickThinSmallGap" w:sz="24" w:space="0" w:color="auto"/>
            </w:tcBorders>
            <w:vAlign w:val="center"/>
            <w:hideMark/>
          </w:tcPr>
          <w:p w14:paraId="5610E25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ROCE</w:t>
            </w:r>
          </w:p>
        </w:tc>
      </w:tr>
      <w:tr w:rsidR="00203808" w:rsidRPr="00203808" w14:paraId="700BF81F" w14:textId="77777777" w:rsidTr="008C2C42">
        <w:trPr>
          <w:tblCellSpacing w:w="15" w:type="dxa"/>
        </w:trPr>
        <w:tc>
          <w:tcPr>
            <w:tcW w:w="0" w:type="auto"/>
            <w:vAlign w:val="center"/>
            <w:hideMark/>
          </w:tcPr>
          <w:p w14:paraId="0427AE3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0153BF7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1,750</w:t>
            </w:r>
          </w:p>
        </w:tc>
        <w:tc>
          <w:tcPr>
            <w:tcW w:w="0" w:type="auto"/>
            <w:vAlign w:val="center"/>
            <w:hideMark/>
          </w:tcPr>
          <w:p w14:paraId="04E5DEC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25,553</w:t>
            </w:r>
          </w:p>
        </w:tc>
        <w:tc>
          <w:tcPr>
            <w:tcW w:w="0" w:type="auto"/>
            <w:vAlign w:val="center"/>
            <w:hideMark/>
          </w:tcPr>
          <w:p w14:paraId="01A02CE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6,407</w:t>
            </w:r>
          </w:p>
        </w:tc>
        <w:tc>
          <w:tcPr>
            <w:tcW w:w="0" w:type="auto"/>
            <w:vAlign w:val="center"/>
            <w:hideMark/>
          </w:tcPr>
          <w:p w14:paraId="78E71FC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19,146</w:t>
            </w:r>
          </w:p>
        </w:tc>
        <w:tc>
          <w:tcPr>
            <w:tcW w:w="0" w:type="auto"/>
            <w:vAlign w:val="center"/>
            <w:hideMark/>
          </w:tcPr>
          <w:p w14:paraId="55BB9E1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1,750 ÷ 19,146 × 100</w:t>
            </w:r>
          </w:p>
        </w:tc>
        <w:tc>
          <w:tcPr>
            <w:tcW w:w="0" w:type="auto"/>
            <w:vAlign w:val="center"/>
            <w:hideMark/>
          </w:tcPr>
          <w:p w14:paraId="19ABD4B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9.14%</w:t>
            </w:r>
          </w:p>
        </w:tc>
      </w:tr>
      <w:tr w:rsidR="00203808" w:rsidRPr="00203808" w14:paraId="1DFCB9EF" w14:textId="77777777" w:rsidTr="008C2C42">
        <w:trPr>
          <w:tblCellSpacing w:w="15" w:type="dxa"/>
        </w:trPr>
        <w:tc>
          <w:tcPr>
            <w:tcW w:w="0" w:type="auto"/>
            <w:vAlign w:val="center"/>
            <w:hideMark/>
          </w:tcPr>
          <w:p w14:paraId="163AAB5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63CBAF4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3,462</w:t>
            </w:r>
          </w:p>
        </w:tc>
        <w:tc>
          <w:tcPr>
            <w:tcW w:w="0" w:type="auto"/>
            <w:vAlign w:val="center"/>
            <w:hideMark/>
          </w:tcPr>
          <w:p w14:paraId="180FF0A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24,815</w:t>
            </w:r>
          </w:p>
        </w:tc>
        <w:tc>
          <w:tcPr>
            <w:tcW w:w="0" w:type="auto"/>
            <w:vAlign w:val="center"/>
            <w:hideMark/>
          </w:tcPr>
          <w:p w14:paraId="368F7FB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7,339</w:t>
            </w:r>
          </w:p>
        </w:tc>
        <w:tc>
          <w:tcPr>
            <w:tcW w:w="0" w:type="auto"/>
            <w:vAlign w:val="center"/>
            <w:hideMark/>
          </w:tcPr>
          <w:p w14:paraId="3A2496C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17,476</w:t>
            </w:r>
          </w:p>
        </w:tc>
        <w:tc>
          <w:tcPr>
            <w:tcW w:w="0" w:type="auto"/>
            <w:vAlign w:val="center"/>
            <w:hideMark/>
          </w:tcPr>
          <w:p w14:paraId="28B8582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3,462 ÷ 17,476 × 100</w:t>
            </w:r>
          </w:p>
        </w:tc>
        <w:tc>
          <w:tcPr>
            <w:tcW w:w="0" w:type="auto"/>
            <w:vAlign w:val="center"/>
            <w:hideMark/>
          </w:tcPr>
          <w:p w14:paraId="431BD66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19.82%</w:t>
            </w:r>
          </w:p>
        </w:tc>
      </w:tr>
      <w:tr w:rsidR="00203808" w:rsidRPr="00203808" w14:paraId="15BFA593" w14:textId="77777777" w:rsidTr="008C2C42">
        <w:trPr>
          <w:tblCellSpacing w:w="15" w:type="dxa"/>
        </w:trPr>
        <w:tc>
          <w:tcPr>
            <w:tcW w:w="0" w:type="auto"/>
            <w:vAlign w:val="center"/>
            <w:hideMark/>
          </w:tcPr>
          <w:p w14:paraId="0375C61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583E1A8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3,864</w:t>
            </w:r>
          </w:p>
        </w:tc>
        <w:tc>
          <w:tcPr>
            <w:tcW w:w="0" w:type="auto"/>
            <w:vAlign w:val="center"/>
            <w:hideMark/>
          </w:tcPr>
          <w:p w14:paraId="618C9EA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25,674</w:t>
            </w:r>
          </w:p>
        </w:tc>
        <w:tc>
          <w:tcPr>
            <w:tcW w:w="0" w:type="auto"/>
            <w:vAlign w:val="center"/>
            <w:hideMark/>
          </w:tcPr>
          <w:p w14:paraId="6AAE94C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7,762</w:t>
            </w:r>
          </w:p>
        </w:tc>
        <w:tc>
          <w:tcPr>
            <w:tcW w:w="0" w:type="auto"/>
            <w:vAlign w:val="center"/>
            <w:hideMark/>
          </w:tcPr>
          <w:p w14:paraId="468E6DA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17,912</w:t>
            </w:r>
          </w:p>
        </w:tc>
        <w:tc>
          <w:tcPr>
            <w:tcW w:w="0" w:type="auto"/>
            <w:vAlign w:val="center"/>
            <w:hideMark/>
          </w:tcPr>
          <w:p w14:paraId="6111BE4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3,864 ÷ 17,912 × 100</w:t>
            </w:r>
          </w:p>
        </w:tc>
        <w:tc>
          <w:tcPr>
            <w:tcW w:w="0" w:type="auto"/>
            <w:vAlign w:val="center"/>
            <w:hideMark/>
          </w:tcPr>
          <w:p w14:paraId="00BE0B2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21.57%</w:t>
            </w:r>
          </w:p>
        </w:tc>
      </w:tr>
      <w:tr w:rsidR="00203808" w:rsidRPr="00203808" w14:paraId="22004EDE" w14:textId="77777777" w:rsidTr="008C2C42">
        <w:trPr>
          <w:tblCellSpacing w:w="15" w:type="dxa"/>
        </w:trPr>
        <w:tc>
          <w:tcPr>
            <w:tcW w:w="0" w:type="auto"/>
            <w:vAlign w:val="center"/>
            <w:hideMark/>
          </w:tcPr>
          <w:p w14:paraId="743FC54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4D80281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3,767</w:t>
            </w:r>
          </w:p>
        </w:tc>
        <w:tc>
          <w:tcPr>
            <w:tcW w:w="0" w:type="auto"/>
            <w:vAlign w:val="center"/>
            <w:hideMark/>
          </w:tcPr>
          <w:p w14:paraId="488E12B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26,182</w:t>
            </w:r>
          </w:p>
        </w:tc>
        <w:tc>
          <w:tcPr>
            <w:tcW w:w="0" w:type="auto"/>
            <w:vAlign w:val="center"/>
            <w:hideMark/>
          </w:tcPr>
          <w:p w14:paraId="0D7161C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8,649</w:t>
            </w:r>
          </w:p>
        </w:tc>
        <w:tc>
          <w:tcPr>
            <w:tcW w:w="0" w:type="auto"/>
            <w:vAlign w:val="center"/>
            <w:hideMark/>
          </w:tcPr>
          <w:p w14:paraId="51C0107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17,533</w:t>
            </w:r>
          </w:p>
        </w:tc>
        <w:tc>
          <w:tcPr>
            <w:tcW w:w="0" w:type="auto"/>
            <w:vAlign w:val="center"/>
            <w:hideMark/>
          </w:tcPr>
          <w:p w14:paraId="5043850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3,767 ÷ 17,533 × 100</w:t>
            </w:r>
          </w:p>
        </w:tc>
        <w:tc>
          <w:tcPr>
            <w:tcW w:w="0" w:type="auto"/>
            <w:vAlign w:val="center"/>
            <w:hideMark/>
          </w:tcPr>
          <w:p w14:paraId="495376C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21.49%</w:t>
            </w:r>
          </w:p>
        </w:tc>
      </w:tr>
      <w:tr w:rsidR="00203808" w:rsidRPr="00203808" w14:paraId="2518AFEC" w14:textId="77777777" w:rsidTr="008C2C42">
        <w:trPr>
          <w:tblCellSpacing w:w="15" w:type="dxa"/>
        </w:trPr>
        <w:tc>
          <w:tcPr>
            <w:tcW w:w="0" w:type="auto"/>
            <w:tcBorders>
              <w:bottom w:val="thickThinSmallGap" w:sz="24" w:space="0" w:color="auto"/>
            </w:tcBorders>
            <w:vAlign w:val="center"/>
            <w:hideMark/>
          </w:tcPr>
          <w:p w14:paraId="00DE525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6C08EC0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4,141</w:t>
            </w:r>
          </w:p>
        </w:tc>
        <w:tc>
          <w:tcPr>
            <w:tcW w:w="0" w:type="auto"/>
            <w:tcBorders>
              <w:bottom w:val="thickThinSmallGap" w:sz="24" w:space="0" w:color="auto"/>
            </w:tcBorders>
            <w:vAlign w:val="center"/>
            <w:hideMark/>
          </w:tcPr>
          <w:p w14:paraId="2D54ADE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27,540</w:t>
            </w:r>
          </w:p>
        </w:tc>
        <w:tc>
          <w:tcPr>
            <w:tcW w:w="0" w:type="auto"/>
            <w:tcBorders>
              <w:bottom w:val="thickThinSmallGap" w:sz="24" w:space="0" w:color="auto"/>
            </w:tcBorders>
            <w:vAlign w:val="center"/>
            <w:hideMark/>
          </w:tcPr>
          <w:p w14:paraId="249F593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8,398</w:t>
            </w:r>
          </w:p>
        </w:tc>
        <w:tc>
          <w:tcPr>
            <w:tcW w:w="0" w:type="auto"/>
            <w:tcBorders>
              <w:bottom w:val="thickThinSmallGap" w:sz="24" w:space="0" w:color="auto"/>
            </w:tcBorders>
            <w:vAlign w:val="center"/>
            <w:hideMark/>
          </w:tcPr>
          <w:p w14:paraId="102D9F7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19,142</w:t>
            </w:r>
          </w:p>
        </w:tc>
        <w:tc>
          <w:tcPr>
            <w:tcW w:w="0" w:type="auto"/>
            <w:tcBorders>
              <w:bottom w:val="thickThinSmallGap" w:sz="24" w:space="0" w:color="auto"/>
            </w:tcBorders>
            <w:vAlign w:val="center"/>
            <w:hideMark/>
          </w:tcPr>
          <w:p w14:paraId="414A887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4,141 ÷ 19,142 × 100</w:t>
            </w:r>
          </w:p>
        </w:tc>
        <w:tc>
          <w:tcPr>
            <w:tcW w:w="0" w:type="auto"/>
            <w:tcBorders>
              <w:bottom w:val="thickThinSmallGap" w:sz="24" w:space="0" w:color="auto"/>
            </w:tcBorders>
            <w:vAlign w:val="center"/>
            <w:hideMark/>
          </w:tcPr>
          <w:p w14:paraId="6361417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21.63%</w:t>
            </w:r>
          </w:p>
        </w:tc>
      </w:tr>
    </w:tbl>
    <w:p w14:paraId="3F21ADBA" w14:textId="77777777" w:rsidR="00ED72CF" w:rsidRDefault="00ED72CF" w:rsidP="00203808">
      <w:pPr>
        <w:spacing w:after="0" w:line="360" w:lineRule="auto"/>
        <w:jc w:val="both"/>
        <w:rPr>
          <w:rFonts w:cs="Arial"/>
          <w:b/>
          <w:bCs/>
          <w:sz w:val="22"/>
          <w:u w:val="single"/>
        </w:rPr>
      </w:pPr>
    </w:p>
    <w:p w14:paraId="45B18758" w14:textId="77777777" w:rsidR="00BE2860" w:rsidRDefault="00BE2860" w:rsidP="00203808">
      <w:pPr>
        <w:spacing w:after="0" w:line="360" w:lineRule="auto"/>
        <w:jc w:val="both"/>
        <w:rPr>
          <w:rFonts w:cs="Arial"/>
          <w:b/>
          <w:bCs/>
          <w:sz w:val="22"/>
          <w:u w:val="single"/>
        </w:rPr>
      </w:pPr>
    </w:p>
    <w:p w14:paraId="534A17C4" w14:textId="77777777" w:rsidR="00BE2860" w:rsidRDefault="00BE2860" w:rsidP="00203808">
      <w:pPr>
        <w:spacing w:after="0" w:line="360" w:lineRule="auto"/>
        <w:jc w:val="both"/>
        <w:rPr>
          <w:rFonts w:cs="Arial"/>
          <w:b/>
          <w:bCs/>
          <w:sz w:val="22"/>
          <w:u w:val="single"/>
        </w:rPr>
      </w:pPr>
    </w:p>
    <w:p w14:paraId="015DE083" w14:textId="77777777" w:rsidR="00BE2860" w:rsidRDefault="00BE2860" w:rsidP="00203808">
      <w:pPr>
        <w:spacing w:after="0" w:line="360" w:lineRule="auto"/>
        <w:jc w:val="both"/>
        <w:rPr>
          <w:rFonts w:cs="Arial"/>
          <w:b/>
          <w:bCs/>
          <w:sz w:val="22"/>
          <w:u w:val="single"/>
        </w:rPr>
      </w:pPr>
    </w:p>
    <w:p w14:paraId="45F98266" w14:textId="77777777" w:rsidR="00BE2860" w:rsidRDefault="00BE2860" w:rsidP="00203808">
      <w:pPr>
        <w:spacing w:after="0" w:line="360" w:lineRule="auto"/>
        <w:jc w:val="both"/>
        <w:rPr>
          <w:rFonts w:cs="Arial"/>
          <w:b/>
          <w:bCs/>
          <w:sz w:val="22"/>
          <w:u w:val="single"/>
        </w:rPr>
      </w:pPr>
    </w:p>
    <w:p w14:paraId="435935BA" w14:textId="77777777" w:rsidR="00BE2860" w:rsidRDefault="00BE2860" w:rsidP="00203808">
      <w:pPr>
        <w:spacing w:after="0" w:line="360" w:lineRule="auto"/>
        <w:jc w:val="both"/>
        <w:rPr>
          <w:rFonts w:cs="Arial"/>
          <w:b/>
          <w:bCs/>
          <w:sz w:val="22"/>
          <w:u w:val="single"/>
        </w:rPr>
      </w:pPr>
    </w:p>
    <w:p w14:paraId="4CC2DD3B" w14:textId="77777777" w:rsidR="00BE2860" w:rsidRDefault="00BE2860" w:rsidP="00203808">
      <w:pPr>
        <w:spacing w:after="0" w:line="360" w:lineRule="auto"/>
        <w:jc w:val="both"/>
        <w:rPr>
          <w:rFonts w:cs="Arial"/>
          <w:b/>
          <w:bCs/>
          <w:sz w:val="22"/>
          <w:u w:val="single"/>
        </w:rPr>
      </w:pPr>
    </w:p>
    <w:p w14:paraId="2E7B6BB5" w14:textId="77777777" w:rsidR="00BE2860" w:rsidRDefault="00BE2860" w:rsidP="00203808">
      <w:pPr>
        <w:spacing w:after="0" w:line="360" w:lineRule="auto"/>
        <w:jc w:val="both"/>
        <w:rPr>
          <w:rFonts w:cs="Arial"/>
          <w:b/>
          <w:bCs/>
          <w:sz w:val="22"/>
          <w:u w:val="single"/>
        </w:rPr>
      </w:pPr>
    </w:p>
    <w:p w14:paraId="585A1E57" w14:textId="77777777" w:rsidR="00BE2860" w:rsidRDefault="00BE2860" w:rsidP="00203808">
      <w:pPr>
        <w:spacing w:after="0" w:line="360" w:lineRule="auto"/>
        <w:jc w:val="both"/>
        <w:rPr>
          <w:rFonts w:cs="Arial"/>
          <w:b/>
          <w:bCs/>
          <w:sz w:val="22"/>
          <w:u w:val="single"/>
        </w:rPr>
      </w:pPr>
    </w:p>
    <w:p w14:paraId="150AA17C" w14:textId="77777777" w:rsidR="00BE2860" w:rsidRDefault="00BE2860" w:rsidP="00203808">
      <w:pPr>
        <w:spacing w:after="0" w:line="360" w:lineRule="auto"/>
        <w:jc w:val="both"/>
        <w:rPr>
          <w:rFonts w:cs="Arial"/>
          <w:b/>
          <w:bCs/>
          <w:sz w:val="22"/>
          <w:u w:val="single"/>
        </w:rPr>
      </w:pPr>
    </w:p>
    <w:p w14:paraId="186BEB75" w14:textId="77777777" w:rsidR="00BE2860" w:rsidRDefault="00BE2860" w:rsidP="00203808">
      <w:pPr>
        <w:spacing w:after="0" w:line="360" w:lineRule="auto"/>
        <w:jc w:val="both"/>
        <w:rPr>
          <w:rFonts w:cs="Arial"/>
          <w:b/>
          <w:bCs/>
          <w:sz w:val="22"/>
          <w:u w:val="single"/>
        </w:rPr>
      </w:pPr>
    </w:p>
    <w:p w14:paraId="20C599E0" w14:textId="77777777" w:rsidR="00BE2860" w:rsidRDefault="00BE2860" w:rsidP="00203808">
      <w:pPr>
        <w:spacing w:after="0" w:line="360" w:lineRule="auto"/>
        <w:jc w:val="both"/>
        <w:rPr>
          <w:rFonts w:cs="Arial"/>
          <w:b/>
          <w:bCs/>
          <w:sz w:val="22"/>
          <w:u w:val="single"/>
        </w:rPr>
      </w:pPr>
    </w:p>
    <w:p w14:paraId="1E424574" w14:textId="77777777" w:rsidR="00BE2860" w:rsidRDefault="00BE2860" w:rsidP="00203808">
      <w:pPr>
        <w:spacing w:after="0" w:line="360" w:lineRule="auto"/>
        <w:jc w:val="both"/>
        <w:rPr>
          <w:rFonts w:cs="Arial"/>
          <w:b/>
          <w:bCs/>
          <w:sz w:val="22"/>
          <w:u w:val="single"/>
        </w:rPr>
      </w:pPr>
    </w:p>
    <w:p w14:paraId="1A0BE053" w14:textId="77777777" w:rsidR="00BE2860" w:rsidRDefault="00BE2860" w:rsidP="00203808">
      <w:pPr>
        <w:spacing w:after="0" w:line="360" w:lineRule="auto"/>
        <w:jc w:val="both"/>
        <w:rPr>
          <w:rFonts w:cs="Arial"/>
          <w:b/>
          <w:bCs/>
          <w:sz w:val="22"/>
          <w:u w:val="single"/>
        </w:rPr>
      </w:pPr>
    </w:p>
    <w:p w14:paraId="5F392AE8" w14:textId="77777777" w:rsidR="00BE2860" w:rsidRPr="00203808" w:rsidRDefault="00BE2860" w:rsidP="00203808">
      <w:pPr>
        <w:spacing w:after="0" w:line="360" w:lineRule="auto"/>
        <w:jc w:val="both"/>
        <w:rPr>
          <w:rFonts w:cs="Arial"/>
          <w:b/>
          <w:bCs/>
          <w:sz w:val="22"/>
          <w:u w:val="single"/>
        </w:rPr>
      </w:pPr>
    </w:p>
    <w:p w14:paraId="0A128CDE" w14:textId="77777777" w:rsidR="00ED72CF" w:rsidRPr="00203808" w:rsidRDefault="00ED72CF" w:rsidP="00203808">
      <w:pPr>
        <w:spacing w:after="0" w:line="360" w:lineRule="auto"/>
        <w:jc w:val="both"/>
        <w:rPr>
          <w:rFonts w:cs="Arial"/>
          <w:sz w:val="22"/>
        </w:rPr>
      </w:pPr>
      <w:r w:rsidRPr="00203808">
        <w:rPr>
          <w:rFonts w:cs="Arial"/>
          <w:b/>
          <w:bCs/>
          <w:sz w:val="22"/>
          <w:u w:val="single"/>
        </w:rPr>
        <w:lastRenderedPageBreak/>
        <w:t>Appendix 4</w:t>
      </w:r>
      <w:r w:rsidRPr="00203808">
        <w:rPr>
          <w:rFonts w:cs="Arial"/>
          <w:b/>
          <w:bCs/>
          <w:sz w:val="22"/>
          <w:u w:val="single"/>
          <w:lang w:val="en-GB"/>
        </w:rPr>
        <w:t>:</w:t>
      </w:r>
      <w:r w:rsidRPr="00203808">
        <w:rPr>
          <w:rFonts w:cs="Arial"/>
          <w:b/>
          <w:bCs/>
          <w:sz w:val="22"/>
          <w:lang w:val="en-GB"/>
        </w:rPr>
        <w:t xml:space="preserve"> </w:t>
      </w:r>
      <w:r w:rsidRPr="00203808">
        <w:rPr>
          <w:rFonts w:cs="Arial"/>
          <w:b/>
          <w:bCs/>
          <w:sz w:val="22"/>
        </w:rPr>
        <w:t xml:space="preserve">Autor’s calculations of </w:t>
      </w:r>
      <w:r w:rsidRPr="00203808">
        <w:rPr>
          <w:rFonts w:cs="Arial"/>
          <w:sz w:val="22"/>
          <w:lang w:val="en-GB"/>
        </w:rPr>
        <w:t>Liquidity Ratios</w:t>
      </w:r>
      <w:r w:rsidRPr="00203808">
        <w:rPr>
          <w:rFonts w:cs="Arial"/>
          <w:sz w:val="22"/>
        </w:rPr>
        <w:t xml:space="preserve"> 2021-2025  </w:t>
      </w:r>
    </w:p>
    <w:p w14:paraId="04B2E16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 Current Ratio</w:t>
      </w:r>
    </w:p>
    <w:p w14:paraId="5D7D6A6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2F67F0A6" w14:textId="77777777" w:rsidR="00ED72CF" w:rsidRPr="00203808" w:rsidRDefault="00ED72CF" w:rsidP="00203808">
      <w:pPr>
        <w:spacing w:after="0" w:line="360" w:lineRule="auto"/>
        <w:jc w:val="both"/>
        <w:rPr>
          <w:rFonts w:cs="Arial"/>
          <w:b/>
          <w:bCs/>
          <w:sz w:val="22"/>
          <w:lang w:val="fr-FR"/>
        </w:rPr>
      </w:pPr>
      <w:r w:rsidRPr="00203808">
        <w:rPr>
          <w:rFonts w:cs="Arial"/>
          <w:sz w:val="22"/>
          <w:lang w:val="fr-FR"/>
        </w:rPr>
        <w:t xml:space="preserve">Current Ratio = Current Assets ÷ Current </w:t>
      </w:r>
      <w:proofErr w:type="spellStart"/>
      <w:r w:rsidRPr="00203808">
        <w:rPr>
          <w:rFonts w:cs="Arial"/>
          <w:sz w:val="22"/>
          <w:lang w:val="fr-FR"/>
        </w:rPr>
        <w:t>Liabilities</w:t>
      </w:r>
      <w:proofErr w:type="spellEnd"/>
    </w:p>
    <w:p w14:paraId="4187D41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Line correspondence:</w:t>
      </w:r>
    </w:p>
    <w:p w14:paraId="12E1452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Numerator = Consolidated Balance Sheet-Current assets</w:t>
      </w:r>
    </w:p>
    <w:p w14:paraId="6726191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Denominator = Consolidated Balance Sheet-Current liabilities</w:t>
      </w:r>
    </w:p>
    <w:tbl>
      <w:tblPr>
        <w:tblW w:w="9434" w:type="dxa"/>
        <w:tblCellSpacing w:w="15" w:type="dxa"/>
        <w:tblCellMar>
          <w:top w:w="15" w:type="dxa"/>
          <w:left w:w="15" w:type="dxa"/>
          <w:bottom w:w="15" w:type="dxa"/>
          <w:right w:w="15" w:type="dxa"/>
        </w:tblCellMar>
        <w:tblLook w:val="04A0" w:firstRow="1" w:lastRow="0" w:firstColumn="1" w:lastColumn="0" w:noHBand="0" w:noVBand="1"/>
      </w:tblPr>
      <w:tblGrid>
        <w:gridCol w:w="697"/>
        <w:gridCol w:w="2506"/>
        <w:gridCol w:w="2752"/>
        <w:gridCol w:w="1755"/>
        <w:gridCol w:w="1724"/>
      </w:tblGrid>
      <w:tr w:rsidR="00203808" w:rsidRPr="00203808" w14:paraId="3CB3CD6E" w14:textId="77777777" w:rsidTr="008C2C42">
        <w:trPr>
          <w:trHeight w:val="504"/>
          <w:tblHeader/>
          <w:tblCellSpacing w:w="15" w:type="dxa"/>
        </w:trPr>
        <w:tc>
          <w:tcPr>
            <w:tcW w:w="0" w:type="auto"/>
            <w:tcBorders>
              <w:top w:val="thinThickSmallGap" w:sz="24" w:space="0" w:color="auto"/>
              <w:bottom w:val="thickThinSmallGap" w:sz="24" w:space="0" w:color="auto"/>
            </w:tcBorders>
            <w:vAlign w:val="center"/>
            <w:hideMark/>
          </w:tcPr>
          <w:p w14:paraId="3B9C9AB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Year</w:t>
            </w:r>
          </w:p>
        </w:tc>
        <w:tc>
          <w:tcPr>
            <w:tcW w:w="0" w:type="auto"/>
            <w:tcBorders>
              <w:top w:val="thinThickSmallGap" w:sz="24" w:space="0" w:color="auto"/>
              <w:bottom w:val="thickThinSmallGap" w:sz="24" w:space="0" w:color="auto"/>
            </w:tcBorders>
            <w:vAlign w:val="center"/>
            <w:hideMark/>
          </w:tcPr>
          <w:p w14:paraId="01E8036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Current assets ($m)</w:t>
            </w:r>
          </w:p>
        </w:tc>
        <w:tc>
          <w:tcPr>
            <w:tcW w:w="0" w:type="auto"/>
            <w:tcBorders>
              <w:top w:val="thinThickSmallGap" w:sz="24" w:space="0" w:color="auto"/>
              <w:bottom w:val="thickThinSmallGap" w:sz="24" w:space="0" w:color="auto"/>
            </w:tcBorders>
            <w:vAlign w:val="center"/>
            <w:hideMark/>
          </w:tcPr>
          <w:p w14:paraId="3CD80EC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Current liabilities ($m)</w:t>
            </w:r>
          </w:p>
        </w:tc>
        <w:tc>
          <w:tcPr>
            <w:tcW w:w="0" w:type="auto"/>
            <w:tcBorders>
              <w:top w:val="thinThickSmallGap" w:sz="24" w:space="0" w:color="auto"/>
              <w:bottom w:val="thickThinSmallGap" w:sz="24" w:space="0" w:color="auto"/>
            </w:tcBorders>
            <w:vAlign w:val="center"/>
            <w:hideMark/>
          </w:tcPr>
          <w:p w14:paraId="47BB487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Calculation</w:t>
            </w:r>
          </w:p>
        </w:tc>
        <w:tc>
          <w:tcPr>
            <w:tcW w:w="0" w:type="auto"/>
            <w:tcBorders>
              <w:top w:val="thinThickSmallGap" w:sz="24" w:space="0" w:color="auto"/>
              <w:bottom w:val="thickThinSmallGap" w:sz="24" w:space="0" w:color="auto"/>
            </w:tcBorders>
            <w:vAlign w:val="center"/>
            <w:hideMark/>
          </w:tcPr>
          <w:p w14:paraId="76D74D0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Current Ratio</w:t>
            </w:r>
          </w:p>
        </w:tc>
      </w:tr>
      <w:tr w:rsidR="00203808" w:rsidRPr="00203808" w14:paraId="09392388" w14:textId="77777777" w:rsidTr="008C2C42">
        <w:trPr>
          <w:trHeight w:val="514"/>
          <w:tblCellSpacing w:w="15" w:type="dxa"/>
        </w:trPr>
        <w:tc>
          <w:tcPr>
            <w:tcW w:w="0" w:type="auto"/>
            <w:vAlign w:val="center"/>
            <w:hideMark/>
          </w:tcPr>
          <w:p w14:paraId="58DCC96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2927697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3,626</w:t>
            </w:r>
          </w:p>
        </w:tc>
        <w:tc>
          <w:tcPr>
            <w:tcW w:w="0" w:type="auto"/>
            <w:vAlign w:val="center"/>
            <w:hideMark/>
          </w:tcPr>
          <w:p w14:paraId="68057CB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6,407</w:t>
            </w:r>
          </w:p>
        </w:tc>
        <w:tc>
          <w:tcPr>
            <w:tcW w:w="0" w:type="auto"/>
            <w:vAlign w:val="center"/>
            <w:hideMark/>
          </w:tcPr>
          <w:p w14:paraId="358DDF0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3,626 ÷ 6,407</w:t>
            </w:r>
          </w:p>
        </w:tc>
        <w:tc>
          <w:tcPr>
            <w:tcW w:w="0" w:type="auto"/>
            <w:vAlign w:val="center"/>
            <w:hideMark/>
          </w:tcPr>
          <w:p w14:paraId="1EB10C7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0.57</w:t>
            </w:r>
          </w:p>
        </w:tc>
      </w:tr>
      <w:tr w:rsidR="00203808" w:rsidRPr="00203808" w14:paraId="480FFEE1" w14:textId="77777777" w:rsidTr="008C2C42">
        <w:trPr>
          <w:trHeight w:val="514"/>
          <w:tblCellSpacing w:w="15" w:type="dxa"/>
        </w:trPr>
        <w:tc>
          <w:tcPr>
            <w:tcW w:w="0" w:type="auto"/>
            <w:vAlign w:val="center"/>
            <w:hideMark/>
          </w:tcPr>
          <w:p w14:paraId="7014BF2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66F5C4C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3,313</w:t>
            </w:r>
          </w:p>
        </w:tc>
        <w:tc>
          <w:tcPr>
            <w:tcW w:w="0" w:type="auto"/>
            <w:vAlign w:val="center"/>
            <w:hideMark/>
          </w:tcPr>
          <w:p w14:paraId="7D8A29E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7,339</w:t>
            </w:r>
          </w:p>
        </w:tc>
        <w:tc>
          <w:tcPr>
            <w:tcW w:w="0" w:type="auto"/>
            <w:vAlign w:val="center"/>
            <w:hideMark/>
          </w:tcPr>
          <w:p w14:paraId="3876848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3,313 ÷ 7,339</w:t>
            </w:r>
          </w:p>
        </w:tc>
        <w:tc>
          <w:tcPr>
            <w:tcW w:w="0" w:type="auto"/>
            <w:vAlign w:val="center"/>
            <w:hideMark/>
          </w:tcPr>
          <w:p w14:paraId="35C7ABA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0.45</w:t>
            </w:r>
          </w:p>
        </w:tc>
      </w:tr>
      <w:tr w:rsidR="00203808" w:rsidRPr="00203808" w14:paraId="2B00CAEE" w14:textId="77777777" w:rsidTr="008C2C42">
        <w:trPr>
          <w:trHeight w:val="504"/>
          <w:tblCellSpacing w:w="15" w:type="dxa"/>
        </w:trPr>
        <w:tc>
          <w:tcPr>
            <w:tcW w:w="0" w:type="auto"/>
            <w:vAlign w:val="center"/>
            <w:hideMark/>
          </w:tcPr>
          <w:p w14:paraId="28B1CAD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47BF706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3,311</w:t>
            </w:r>
          </w:p>
        </w:tc>
        <w:tc>
          <w:tcPr>
            <w:tcW w:w="0" w:type="auto"/>
            <w:vAlign w:val="center"/>
            <w:hideMark/>
          </w:tcPr>
          <w:p w14:paraId="1648C2A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7,762</w:t>
            </w:r>
          </w:p>
        </w:tc>
        <w:tc>
          <w:tcPr>
            <w:tcW w:w="0" w:type="auto"/>
            <w:vAlign w:val="center"/>
            <w:hideMark/>
          </w:tcPr>
          <w:p w14:paraId="0060CF0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3,311 ÷ 7,762</w:t>
            </w:r>
          </w:p>
        </w:tc>
        <w:tc>
          <w:tcPr>
            <w:tcW w:w="0" w:type="auto"/>
            <w:vAlign w:val="center"/>
            <w:hideMark/>
          </w:tcPr>
          <w:p w14:paraId="1CF2D5C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0.43</w:t>
            </w:r>
          </w:p>
        </w:tc>
      </w:tr>
      <w:tr w:rsidR="00203808" w:rsidRPr="00203808" w14:paraId="752D65D7" w14:textId="77777777" w:rsidTr="008C2C42">
        <w:trPr>
          <w:trHeight w:val="514"/>
          <w:tblCellSpacing w:w="15" w:type="dxa"/>
        </w:trPr>
        <w:tc>
          <w:tcPr>
            <w:tcW w:w="0" w:type="auto"/>
            <w:vAlign w:val="center"/>
            <w:hideMark/>
          </w:tcPr>
          <w:p w14:paraId="5875C9D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39CC9AC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3,485</w:t>
            </w:r>
          </w:p>
        </w:tc>
        <w:tc>
          <w:tcPr>
            <w:tcW w:w="0" w:type="auto"/>
            <w:vAlign w:val="center"/>
            <w:hideMark/>
          </w:tcPr>
          <w:p w14:paraId="795B09E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8,649</w:t>
            </w:r>
          </w:p>
        </w:tc>
        <w:tc>
          <w:tcPr>
            <w:tcW w:w="0" w:type="auto"/>
            <w:vAlign w:val="center"/>
            <w:hideMark/>
          </w:tcPr>
          <w:p w14:paraId="3496D60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3,485 ÷ 8,649</w:t>
            </w:r>
          </w:p>
        </w:tc>
        <w:tc>
          <w:tcPr>
            <w:tcW w:w="0" w:type="auto"/>
            <w:vAlign w:val="center"/>
            <w:hideMark/>
          </w:tcPr>
          <w:p w14:paraId="199E9E5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0.40</w:t>
            </w:r>
          </w:p>
        </w:tc>
      </w:tr>
      <w:tr w:rsidR="00203808" w:rsidRPr="00203808" w14:paraId="277F264A" w14:textId="77777777" w:rsidTr="008C2C42">
        <w:trPr>
          <w:trHeight w:val="504"/>
          <w:tblCellSpacing w:w="15" w:type="dxa"/>
        </w:trPr>
        <w:tc>
          <w:tcPr>
            <w:tcW w:w="0" w:type="auto"/>
            <w:tcBorders>
              <w:bottom w:val="thickThinSmallGap" w:sz="24" w:space="0" w:color="auto"/>
            </w:tcBorders>
            <w:vAlign w:val="center"/>
            <w:hideMark/>
          </w:tcPr>
          <w:p w14:paraId="69A8DB1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0DE9260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3,584</w:t>
            </w:r>
          </w:p>
        </w:tc>
        <w:tc>
          <w:tcPr>
            <w:tcW w:w="0" w:type="auto"/>
            <w:tcBorders>
              <w:bottom w:val="thickThinSmallGap" w:sz="24" w:space="0" w:color="auto"/>
            </w:tcBorders>
            <w:vAlign w:val="center"/>
            <w:hideMark/>
          </w:tcPr>
          <w:p w14:paraId="4464578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8,398</w:t>
            </w:r>
          </w:p>
        </w:tc>
        <w:tc>
          <w:tcPr>
            <w:tcW w:w="0" w:type="auto"/>
            <w:tcBorders>
              <w:bottom w:val="thickThinSmallGap" w:sz="24" w:space="0" w:color="auto"/>
            </w:tcBorders>
            <w:vAlign w:val="center"/>
            <w:hideMark/>
          </w:tcPr>
          <w:p w14:paraId="587F658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3,584 ÷ 8,398</w:t>
            </w:r>
          </w:p>
        </w:tc>
        <w:tc>
          <w:tcPr>
            <w:tcW w:w="0" w:type="auto"/>
            <w:tcBorders>
              <w:bottom w:val="thickThinSmallGap" w:sz="24" w:space="0" w:color="auto"/>
            </w:tcBorders>
            <w:vAlign w:val="center"/>
            <w:hideMark/>
          </w:tcPr>
          <w:p w14:paraId="2A66094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0.43</w:t>
            </w:r>
          </w:p>
        </w:tc>
      </w:tr>
    </w:tbl>
    <w:p w14:paraId="53ECA685" w14:textId="77777777" w:rsidR="00ED72CF" w:rsidRPr="00203808" w:rsidRDefault="00ED72CF" w:rsidP="00203808">
      <w:pPr>
        <w:spacing w:after="0" w:line="360" w:lineRule="auto"/>
        <w:jc w:val="both"/>
        <w:rPr>
          <w:rFonts w:cs="Arial"/>
          <w:b/>
          <w:bCs/>
          <w:sz w:val="22"/>
          <w:u w:val="single"/>
        </w:rPr>
      </w:pPr>
    </w:p>
    <w:p w14:paraId="38BD1AA7" w14:textId="77777777" w:rsidR="00ED72CF" w:rsidRPr="00BE2860" w:rsidRDefault="00ED72CF" w:rsidP="00203808">
      <w:pPr>
        <w:spacing w:after="0" w:line="360" w:lineRule="auto"/>
        <w:jc w:val="both"/>
        <w:rPr>
          <w:rFonts w:cs="Arial"/>
          <w:b/>
          <w:bCs/>
          <w:sz w:val="22"/>
          <w:lang w:val="en-GB"/>
        </w:rPr>
      </w:pPr>
      <w:r w:rsidRPr="00BE2860">
        <w:rPr>
          <w:rFonts w:cs="Arial"/>
          <w:b/>
          <w:bCs/>
          <w:sz w:val="22"/>
          <w:lang w:val="en-GB"/>
        </w:rPr>
        <w:t>2. Quick Ratio</w:t>
      </w:r>
    </w:p>
    <w:p w14:paraId="49B4467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23FF4BB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Quick Ratio = (Cash and Equivalents + Accounts and Notes Receivable) ÷ Current Liabilities</w:t>
      </w:r>
    </w:p>
    <w:p w14:paraId="1408B68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Line correspondence:</w:t>
      </w:r>
    </w:p>
    <w:p w14:paraId="2D4FF77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Cash and equivalents = Consolidated Balance Sheet</w:t>
      </w:r>
    </w:p>
    <w:p w14:paraId="6FD6866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Accounts and notes receivable, net = Consolidated Balance Sheet</w:t>
      </w:r>
    </w:p>
    <w:p w14:paraId="13EFBB6C" w14:textId="77777777" w:rsidR="00ED72CF" w:rsidRDefault="00ED72CF" w:rsidP="00203808">
      <w:pPr>
        <w:spacing w:after="0" w:line="360" w:lineRule="auto"/>
        <w:jc w:val="both"/>
        <w:rPr>
          <w:rFonts w:cs="Arial"/>
          <w:sz w:val="22"/>
          <w:lang w:val="en-GB"/>
        </w:rPr>
      </w:pPr>
      <w:r w:rsidRPr="00203808">
        <w:rPr>
          <w:rFonts w:cs="Arial"/>
          <w:sz w:val="22"/>
          <w:lang w:val="en-GB"/>
        </w:rPr>
        <w:t>Current liabilities = Consolidated Balance Sheet</w:t>
      </w:r>
    </w:p>
    <w:p w14:paraId="5B28D1C2" w14:textId="77777777" w:rsidR="00BE2860" w:rsidRDefault="00BE2860" w:rsidP="00203808">
      <w:pPr>
        <w:spacing w:after="0" w:line="360" w:lineRule="auto"/>
        <w:jc w:val="both"/>
        <w:rPr>
          <w:rFonts w:cs="Arial"/>
          <w:sz w:val="22"/>
          <w:lang w:val="en-GB"/>
        </w:rPr>
      </w:pPr>
    </w:p>
    <w:p w14:paraId="5AAE5C51" w14:textId="77777777" w:rsidR="00BE2860" w:rsidRDefault="00BE2860" w:rsidP="00203808">
      <w:pPr>
        <w:spacing w:after="0" w:line="360" w:lineRule="auto"/>
        <w:jc w:val="both"/>
        <w:rPr>
          <w:rFonts w:cs="Arial"/>
          <w:sz w:val="22"/>
          <w:lang w:val="en-GB"/>
        </w:rPr>
      </w:pPr>
    </w:p>
    <w:p w14:paraId="3951A9F6" w14:textId="77777777" w:rsidR="00BE2860" w:rsidRDefault="00BE2860" w:rsidP="00203808">
      <w:pPr>
        <w:spacing w:after="0" w:line="360" w:lineRule="auto"/>
        <w:jc w:val="both"/>
        <w:rPr>
          <w:rFonts w:cs="Arial"/>
          <w:sz w:val="22"/>
          <w:lang w:val="en-GB"/>
        </w:rPr>
      </w:pPr>
    </w:p>
    <w:p w14:paraId="6616BF3C" w14:textId="77777777" w:rsidR="00BE2860" w:rsidRPr="00203808" w:rsidRDefault="00BE2860" w:rsidP="00203808">
      <w:pPr>
        <w:spacing w:after="0" w:line="360" w:lineRule="auto"/>
        <w:jc w:val="both"/>
        <w:rPr>
          <w:rFonts w:cs="Arial"/>
          <w:b/>
          <w:bCs/>
          <w:sz w:val="22"/>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
        <w:gridCol w:w="1022"/>
        <w:gridCol w:w="1703"/>
        <w:gridCol w:w="2024"/>
        <w:gridCol w:w="2190"/>
        <w:gridCol w:w="1136"/>
      </w:tblGrid>
      <w:tr w:rsidR="00203808" w:rsidRPr="00203808" w14:paraId="63C7D070"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6EF5DE2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lastRenderedPageBreak/>
              <w:t>Year</w:t>
            </w:r>
          </w:p>
        </w:tc>
        <w:tc>
          <w:tcPr>
            <w:tcW w:w="0" w:type="auto"/>
            <w:tcBorders>
              <w:top w:val="thinThickSmallGap" w:sz="24" w:space="0" w:color="auto"/>
              <w:bottom w:val="thickThinSmallGap" w:sz="24" w:space="0" w:color="auto"/>
            </w:tcBorders>
            <w:vAlign w:val="center"/>
            <w:hideMark/>
          </w:tcPr>
          <w:p w14:paraId="69582F5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Cash ($m)</w:t>
            </w:r>
          </w:p>
        </w:tc>
        <w:tc>
          <w:tcPr>
            <w:tcW w:w="0" w:type="auto"/>
            <w:tcBorders>
              <w:top w:val="thinThickSmallGap" w:sz="24" w:space="0" w:color="auto"/>
              <w:bottom w:val="thickThinSmallGap" w:sz="24" w:space="0" w:color="auto"/>
            </w:tcBorders>
            <w:vAlign w:val="center"/>
            <w:hideMark/>
          </w:tcPr>
          <w:p w14:paraId="771C3C9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Receivables ($m)</w:t>
            </w:r>
          </w:p>
        </w:tc>
        <w:tc>
          <w:tcPr>
            <w:tcW w:w="0" w:type="auto"/>
            <w:tcBorders>
              <w:top w:val="thinThickSmallGap" w:sz="24" w:space="0" w:color="auto"/>
              <w:bottom w:val="thickThinSmallGap" w:sz="24" w:space="0" w:color="auto"/>
            </w:tcBorders>
            <w:vAlign w:val="center"/>
            <w:hideMark/>
          </w:tcPr>
          <w:p w14:paraId="114E85D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Current liabilities ($m)</w:t>
            </w:r>
          </w:p>
        </w:tc>
        <w:tc>
          <w:tcPr>
            <w:tcW w:w="0" w:type="auto"/>
            <w:tcBorders>
              <w:top w:val="thinThickSmallGap" w:sz="24" w:space="0" w:color="auto"/>
              <w:bottom w:val="thickThinSmallGap" w:sz="24" w:space="0" w:color="auto"/>
            </w:tcBorders>
            <w:vAlign w:val="center"/>
            <w:hideMark/>
          </w:tcPr>
          <w:p w14:paraId="0C7065B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Calculation</w:t>
            </w:r>
          </w:p>
        </w:tc>
        <w:tc>
          <w:tcPr>
            <w:tcW w:w="0" w:type="auto"/>
            <w:tcBorders>
              <w:top w:val="thinThickSmallGap" w:sz="24" w:space="0" w:color="auto"/>
              <w:bottom w:val="thickThinSmallGap" w:sz="24" w:space="0" w:color="auto"/>
            </w:tcBorders>
            <w:vAlign w:val="center"/>
            <w:hideMark/>
          </w:tcPr>
          <w:p w14:paraId="4EF9E4B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Quick Ratio</w:t>
            </w:r>
          </w:p>
        </w:tc>
      </w:tr>
      <w:tr w:rsidR="00203808" w:rsidRPr="00203808" w14:paraId="6EF8A83F" w14:textId="77777777" w:rsidTr="008C2C42">
        <w:trPr>
          <w:tblCellSpacing w:w="15" w:type="dxa"/>
        </w:trPr>
        <w:tc>
          <w:tcPr>
            <w:tcW w:w="0" w:type="auto"/>
            <w:vAlign w:val="center"/>
            <w:hideMark/>
          </w:tcPr>
          <w:p w14:paraId="03944CF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6B59E90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1,393</w:t>
            </w:r>
          </w:p>
        </w:tc>
        <w:tc>
          <w:tcPr>
            <w:tcW w:w="0" w:type="auto"/>
            <w:vAlign w:val="center"/>
            <w:hideMark/>
          </w:tcPr>
          <w:p w14:paraId="734EE74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1,982</w:t>
            </w:r>
          </w:p>
        </w:tc>
        <w:tc>
          <w:tcPr>
            <w:tcW w:w="0" w:type="auto"/>
            <w:vAlign w:val="center"/>
            <w:hideMark/>
          </w:tcPr>
          <w:p w14:paraId="350B47F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6,407</w:t>
            </w:r>
          </w:p>
        </w:tc>
        <w:tc>
          <w:tcPr>
            <w:tcW w:w="0" w:type="auto"/>
            <w:vAlign w:val="center"/>
            <w:hideMark/>
          </w:tcPr>
          <w:p w14:paraId="0CD498F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(1,393 + 1,982) ÷ 6,407</w:t>
            </w:r>
          </w:p>
        </w:tc>
        <w:tc>
          <w:tcPr>
            <w:tcW w:w="0" w:type="auto"/>
            <w:vAlign w:val="center"/>
            <w:hideMark/>
          </w:tcPr>
          <w:p w14:paraId="52FDD59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0.53</w:t>
            </w:r>
          </w:p>
        </w:tc>
      </w:tr>
      <w:tr w:rsidR="00203808" w:rsidRPr="00203808" w14:paraId="413B3114" w14:textId="77777777" w:rsidTr="008C2C42">
        <w:trPr>
          <w:tblCellSpacing w:w="15" w:type="dxa"/>
        </w:trPr>
        <w:tc>
          <w:tcPr>
            <w:tcW w:w="0" w:type="auto"/>
            <w:vAlign w:val="center"/>
            <w:hideMark/>
          </w:tcPr>
          <w:p w14:paraId="545B6C4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5255AF2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507</w:t>
            </w:r>
          </w:p>
        </w:tc>
        <w:tc>
          <w:tcPr>
            <w:tcW w:w="0" w:type="auto"/>
            <w:vAlign w:val="center"/>
            <w:hideMark/>
          </w:tcPr>
          <w:p w14:paraId="3C2CDFA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2,571</w:t>
            </w:r>
          </w:p>
        </w:tc>
        <w:tc>
          <w:tcPr>
            <w:tcW w:w="0" w:type="auto"/>
            <w:vAlign w:val="center"/>
            <w:hideMark/>
          </w:tcPr>
          <w:p w14:paraId="208BFE6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7,339</w:t>
            </w:r>
          </w:p>
        </w:tc>
        <w:tc>
          <w:tcPr>
            <w:tcW w:w="0" w:type="auto"/>
            <w:vAlign w:val="center"/>
            <w:hideMark/>
          </w:tcPr>
          <w:p w14:paraId="35AA8F6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(507 + 2,571) ÷ 7,339</w:t>
            </w:r>
          </w:p>
        </w:tc>
        <w:tc>
          <w:tcPr>
            <w:tcW w:w="0" w:type="auto"/>
            <w:vAlign w:val="center"/>
            <w:hideMark/>
          </w:tcPr>
          <w:p w14:paraId="6B4B424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0.42</w:t>
            </w:r>
          </w:p>
        </w:tc>
      </w:tr>
      <w:tr w:rsidR="00203808" w:rsidRPr="00203808" w14:paraId="28602C8F" w14:textId="77777777" w:rsidTr="008C2C42">
        <w:trPr>
          <w:tblCellSpacing w:w="15" w:type="dxa"/>
        </w:trPr>
        <w:tc>
          <w:tcPr>
            <w:tcW w:w="0" w:type="auto"/>
            <w:vAlign w:val="center"/>
            <w:hideMark/>
          </w:tcPr>
          <w:p w14:paraId="16D6B39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45B4943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338</w:t>
            </w:r>
          </w:p>
        </w:tc>
        <w:tc>
          <w:tcPr>
            <w:tcW w:w="0" w:type="auto"/>
            <w:vAlign w:val="center"/>
            <w:hideMark/>
          </w:tcPr>
          <w:p w14:paraId="3BA65B6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2,712</w:t>
            </w:r>
          </w:p>
        </w:tc>
        <w:tc>
          <w:tcPr>
            <w:tcW w:w="0" w:type="auto"/>
            <w:vAlign w:val="center"/>
            <w:hideMark/>
          </w:tcPr>
          <w:p w14:paraId="780CF69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7,762</w:t>
            </w:r>
          </w:p>
        </w:tc>
        <w:tc>
          <w:tcPr>
            <w:tcW w:w="0" w:type="auto"/>
            <w:vAlign w:val="center"/>
            <w:hideMark/>
          </w:tcPr>
          <w:p w14:paraId="245E362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(338 + 2,712) ÷ 7,762</w:t>
            </w:r>
          </w:p>
        </w:tc>
        <w:tc>
          <w:tcPr>
            <w:tcW w:w="0" w:type="auto"/>
            <w:vAlign w:val="center"/>
            <w:hideMark/>
          </w:tcPr>
          <w:p w14:paraId="4D509B3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0.39</w:t>
            </w:r>
          </w:p>
        </w:tc>
      </w:tr>
      <w:tr w:rsidR="00203808" w:rsidRPr="00203808" w14:paraId="6C1602B3" w14:textId="77777777" w:rsidTr="008C2C42">
        <w:trPr>
          <w:tblCellSpacing w:w="15" w:type="dxa"/>
        </w:trPr>
        <w:tc>
          <w:tcPr>
            <w:tcW w:w="0" w:type="auto"/>
            <w:vAlign w:val="center"/>
            <w:hideMark/>
          </w:tcPr>
          <w:p w14:paraId="0C9A22A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1030E73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396</w:t>
            </w:r>
          </w:p>
        </w:tc>
        <w:tc>
          <w:tcPr>
            <w:tcW w:w="0" w:type="auto"/>
            <w:vAlign w:val="center"/>
            <w:hideMark/>
          </w:tcPr>
          <w:p w14:paraId="3F2314C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2,795</w:t>
            </w:r>
          </w:p>
        </w:tc>
        <w:tc>
          <w:tcPr>
            <w:tcW w:w="0" w:type="auto"/>
            <w:vAlign w:val="center"/>
            <w:hideMark/>
          </w:tcPr>
          <w:p w14:paraId="3FE1E4E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8,649</w:t>
            </w:r>
          </w:p>
        </w:tc>
        <w:tc>
          <w:tcPr>
            <w:tcW w:w="0" w:type="auto"/>
            <w:vAlign w:val="center"/>
            <w:hideMark/>
          </w:tcPr>
          <w:p w14:paraId="5818138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(396 + 2,795) ÷ 8,649</w:t>
            </w:r>
          </w:p>
        </w:tc>
        <w:tc>
          <w:tcPr>
            <w:tcW w:w="0" w:type="auto"/>
            <w:vAlign w:val="center"/>
            <w:hideMark/>
          </w:tcPr>
          <w:p w14:paraId="2EB18A5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0.37</w:t>
            </w:r>
          </w:p>
        </w:tc>
      </w:tr>
      <w:tr w:rsidR="00203808" w:rsidRPr="00203808" w14:paraId="51B41424" w14:textId="77777777" w:rsidTr="008C2C42">
        <w:trPr>
          <w:tblCellSpacing w:w="15" w:type="dxa"/>
        </w:trPr>
        <w:tc>
          <w:tcPr>
            <w:tcW w:w="0" w:type="auto"/>
            <w:tcBorders>
              <w:bottom w:val="thickThinSmallGap" w:sz="24" w:space="0" w:color="auto"/>
            </w:tcBorders>
            <w:vAlign w:val="center"/>
            <w:hideMark/>
          </w:tcPr>
          <w:p w14:paraId="237282F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7B1713F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358</w:t>
            </w:r>
          </w:p>
        </w:tc>
        <w:tc>
          <w:tcPr>
            <w:tcW w:w="0" w:type="auto"/>
            <w:tcBorders>
              <w:bottom w:val="thickThinSmallGap" w:sz="24" w:space="0" w:color="auto"/>
            </w:tcBorders>
            <w:vAlign w:val="center"/>
            <w:hideMark/>
          </w:tcPr>
          <w:p w14:paraId="3F6613E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2,909</w:t>
            </w:r>
          </w:p>
        </w:tc>
        <w:tc>
          <w:tcPr>
            <w:tcW w:w="0" w:type="auto"/>
            <w:tcBorders>
              <w:bottom w:val="thickThinSmallGap" w:sz="24" w:space="0" w:color="auto"/>
            </w:tcBorders>
            <w:vAlign w:val="center"/>
            <w:hideMark/>
          </w:tcPr>
          <w:p w14:paraId="4A16FDE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8,398</w:t>
            </w:r>
          </w:p>
        </w:tc>
        <w:tc>
          <w:tcPr>
            <w:tcW w:w="0" w:type="auto"/>
            <w:tcBorders>
              <w:bottom w:val="thickThinSmallGap" w:sz="24" w:space="0" w:color="auto"/>
            </w:tcBorders>
            <w:vAlign w:val="center"/>
            <w:hideMark/>
          </w:tcPr>
          <w:p w14:paraId="6F17777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(358 + 2,909) ÷ 8,398</w:t>
            </w:r>
          </w:p>
        </w:tc>
        <w:tc>
          <w:tcPr>
            <w:tcW w:w="0" w:type="auto"/>
            <w:tcBorders>
              <w:bottom w:val="thickThinSmallGap" w:sz="24" w:space="0" w:color="auto"/>
            </w:tcBorders>
            <w:vAlign w:val="center"/>
            <w:hideMark/>
          </w:tcPr>
          <w:p w14:paraId="724EBCF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0.39</w:t>
            </w:r>
          </w:p>
        </w:tc>
      </w:tr>
    </w:tbl>
    <w:p w14:paraId="04757CC7" w14:textId="77777777" w:rsidR="00ED72CF" w:rsidRPr="00203808" w:rsidRDefault="00ED72CF" w:rsidP="00203808">
      <w:pPr>
        <w:spacing w:after="0" w:line="360" w:lineRule="auto"/>
        <w:jc w:val="both"/>
        <w:rPr>
          <w:rFonts w:cs="Arial"/>
          <w:b/>
          <w:bCs/>
          <w:sz w:val="22"/>
          <w:u w:val="single"/>
        </w:rPr>
      </w:pPr>
    </w:p>
    <w:p w14:paraId="2A408DA6" w14:textId="77777777" w:rsidR="00ED72CF" w:rsidRPr="00BE2860" w:rsidRDefault="00ED72CF" w:rsidP="00203808">
      <w:pPr>
        <w:spacing w:after="0" w:line="360" w:lineRule="auto"/>
        <w:jc w:val="both"/>
        <w:rPr>
          <w:rFonts w:cs="Arial"/>
          <w:b/>
          <w:bCs/>
          <w:sz w:val="22"/>
          <w:lang w:val="en-GB"/>
        </w:rPr>
      </w:pPr>
      <w:r w:rsidRPr="00BE2860">
        <w:rPr>
          <w:rFonts w:cs="Arial"/>
          <w:b/>
          <w:bCs/>
          <w:sz w:val="22"/>
          <w:lang w:val="en-GB"/>
        </w:rPr>
        <w:t>3. Cash Ratio</w:t>
      </w:r>
    </w:p>
    <w:p w14:paraId="0986EB5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17FFB19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Cash Ratio = Cash and Equivalents ÷ Current Liabilities</w:t>
      </w:r>
    </w:p>
    <w:p w14:paraId="474BC14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Line correspondence:</w:t>
      </w:r>
    </w:p>
    <w:p w14:paraId="40434E3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Numerator = Consolidated Balance Sheet-Cash and equivalents</w:t>
      </w:r>
    </w:p>
    <w:p w14:paraId="711D348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Denominator = Consolidated Balance Sheet-Current liabilities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
        <w:gridCol w:w="2690"/>
        <w:gridCol w:w="2200"/>
        <w:gridCol w:w="1405"/>
        <w:gridCol w:w="1164"/>
      </w:tblGrid>
      <w:tr w:rsidR="00203808" w:rsidRPr="00203808" w14:paraId="4F26AA1C"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08750BF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Year</w:t>
            </w:r>
          </w:p>
        </w:tc>
        <w:tc>
          <w:tcPr>
            <w:tcW w:w="0" w:type="auto"/>
            <w:tcBorders>
              <w:top w:val="thinThickSmallGap" w:sz="24" w:space="0" w:color="auto"/>
              <w:bottom w:val="thickThinSmallGap" w:sz="24" w:space="0" w:color="auto"/>
            </w:tcBorders>
            <w:vAlign w:val="center"/>
            <w:hideMark/>
          </w:tcPr>
          <w:p w14:paraId="0D59C6F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Cash and equivalents ($m)</w:t>
            </w:r>
          </w:p>
        </w:tc>
        <w:tc>
          <w:tcPr>
            <w:tcW w:w="0" w:type="auto"/>
            <w:tcBorders>
              <w:top w:val="thinThickSmallGap" w:sz="24" w:space="0" w:color="auto"/>
              <w:bottom w:val="thickThinSmallGap" w:sz="24" w:space="0" w:color="auto"/>
            </w:tcBorders>
            <w:vAlign w:val="center"/>
            <w:hideMark/>
          </w:tcPr>
          <w:p w14:paraId="48320A2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Current liabilities ($m)</w:t>
            </w:r>
          </w:p>
        </w:tc>
        <w:tc>
          <w:tcPr>
            <w:tcW w:w="0" w:type="auto"/>
            <w:tcBorders>
              <w:top w:val="thinThickSmallGap" w:sz="24" w:space="0" w:color="auto"/>
              <w:bottom w:val="thickThinSmallGap" w:sz="24" w:space="0" w:color="auto"/>
            </w:tcBorders>
            <w:vAlign w:val="center"/>
            <w:hideMark/>
          </w:tcPr>
          <w:p w14:paraId="42BD5F8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Calculation</w:t>
            </w:r>
          </w:p>
        </w:tc>
        <w:tc>
          <w:tcPr>
            <w:tcW w:w="0" w:type="auto"/>
            <w:tcBorders>
              <w:top w:val="thinThickSmallGap" w:sz="24" w:space="0" w:color="auto"/>
              <w:bottom w:val="thickThinSmallGap" w:sz="24" w:space="0" w:color="auto"/>
            </w:tcBorders>
            <w:vAlign w:val="center"/>
            <w:hideMark/>
          </w:tcPr>
          <w:p w14:paraId="760594B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Cash Ratio</w:t>
            </w:r>
          </w:p>
        </w:tc>
      </w:tr>
      <w:tr w:rsidR="00203808" w:rsidRPr="00203808" w14:paraId="4B649F22" w14:textId="77777777" w:rsidTr="008C2C42">
        <w:trPr>
          <w:tblCellSpacing w:w="15" w:type="dxa"/>
        </w:trPr>
        <w:tc>
          <w:tcPr>
            <w:tcW w:w="0" w:type="auto"/>
            <w:vAlign w:val="center"/>
            <w:hideMark/>
          </w:tcPr>
          <w:p w14:paraId="1958E39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021FF58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1,393</w:t>
            </w:r>
          </w:p>
        </w:tc>
        <w:tc>
          <w:tcPr>
            <w:tcW w:w="0" w:type="auto"/>
            <w:vAlign w:val="center"/>
            <w:hideMark/>
          </w:tcPr>
          <w:p w14:paraId="1F1AA4B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6,407</w:t>
            </w:r>
          </w:p>
        </w:tc>
        <w:tc>
          <w:tcPr>
            <w:tcW w:w="0" w:type="auto"/>
            <w:vAlign w:val="center"/>
            <w:hideMark/>
          </w:tcPr>
          <w:p w14:paraId="5C2ED40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1,393 ÷ 6,407</w:t>
            </w:r>
          </w:p>
        </w:tc>
        <w:tc>
          <w:tcPr>
            <w:tcW w:w="0" w:type="auto"/>
            <w:vAlign w:val="center"/>
            <w:hideMark/>
          </w:tcPr>
          <w:p w14:paraId="0B8A156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0.22</w:t>
            </w:r>
          </w:p>
        </w:tc>
      </w:tr>
      <w:tr w:rsidR="00203808" w:rsidRPr="00203808" w14:paraId="242CCDD4" w14:textId="77777777" w:rsidTr="008C2C42">
        <w:trPr>
          <w:tblCellSpacing w:w="15" w:type="dxa"/>
        </w:trPr>
        <w:tc>
          <w:tcPr>
            <w:tcW w:w="0" w:type="auto"/>
            <w:vAlign w:val="center"/>
            <w:hideMark/>
          </w:tcPr>
          <w:p w14:paraId="6E39BF7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3872B8C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507</w:t>
            </w:r>
          </w:p>
        </w:tc>
        <w:tc>
          <w:tcPr>
            <w:tcW w:w="0" w:type="auto"/>
            <w:vAlign w:val="center"/>
            <w:hideMark/>
          </w:tcPr>
          <w:p w14:paraId="2426A87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7,339</w:t>
            </w:r>
          </w:p>
        </w:tc>
        <w:tc>
          <w:tcPr>
            <w:tcW w:w="0" w:type="auto"/>
            <w:vAlign w:val="center"/>
            <w:hideMark/>
          </w:tcPr>
          <w:p w14:paraId="7A18D93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507 ÷ 7,339</w:t>
            </w:r>
          </w:p>
        </w:tc>
        <w:tc>
          <w:tcPr>
            <w:tcW w:w="0" w:type="auto"/>
            <w:vAlign w:val="center"/>
            <w:hideMark/>
          </w:tcPr>
          <w:p w14:paraId="26519E2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0.07</w:t>
            </w:r>
          </w:p>
        </w:tc>
      </w:tr>
      <w:tr w:rsidR="00203808" w:rsidRPr="00203808" w14:paraId="6E86E787" w14:textId="77777777" w:rsidTr="008C2C42">
        <w:trPr>
          <w:tblCellSpacing w:w="15" w:type="dxa"/>
        </w:trPr>
        <w:tc>
          <w:tcPr>
            <w:tcW w:w="0" w:type="auto"/>
            <w:vAlign w:val="center"/>
            <w:hideMark/>
          </w:tcPr>
          <w:p w14:paraId="65E1166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072660B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338</w:t>
            </w:r>
          </w:p>
        </w:tc>
        <w:tc>
          <w:tcPr>
            <w:tcW w:w="0" w:type="auto"/>
            <w:vAlign w:val="center"/>
            <w:hideMark/>
          </w:tcPr>
          <w:p w14:paraId="66581AE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7,762</w:t>
            </w:r>
          </w:p>
        </w:tc>
        <w:tc>
          <w:tcPr>
            <w:tcW w:w="0" w:type="auto"/>
            <w:vAlign w:val="center"/>
            <w:hideMark/>
          </w:tcPr>
          <w:p w14:paraId="5D0CD70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338 ÷ 7,762</w:t>
            </w:r>
          </w:p>
        </w:tc>
        <w:tc>
          <w:tcPr>
            <w:tcW w:w="0" w:type="auto"/>
            <w:vAlign w:val="center"/>
            <w:hideMark/>
          </w:tcPr>
          <w:p w14:paraId="50A1E97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0.04</w:t>
            </w:r>
          </w:p>
        </w:tc>
      </w:tr>
      <w:tr w:rsidR="00203808" w:rsidRPr="00203808" w14:paraId="5D639CA8" w14:textId="77777777" w:rsidTr="008C2C42">
        <w:trPr>
          <w:tblCellSpacing w:w="15" w:type="dxa"/>
        </w:trPr>
        <w:tc>
          <w:tcPr>
            <w:tcW w:w="0" w:type="auto"/>
            <w:vAlign w:val="center"/>
            <w:hideMark/>
          </w:tcPr>
          <w:p w14:paraId="486D09B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1A19E1F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396</w:t>
            </w:r>
          </w:p>
        </w:tc>
        <w:tc>
          <w:tcPr>
            <w:tcW w:w="0" w:type="auto"/>
            <w:vAlign w:val="center"/>
            <w:hideMark/>
          </w:tcPr>
          <w:p w14:paraId="6DFF3EB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8,649</w:t>
            </w:r>
          </w:p>
        </w:tc>
        <w:tc>
          <w:tcPr>
            <w:tcW w:w="0" w:type="auto"/>
            <w:vAlign w:val="center"/>
            <w:hideMark/>
          </w:tcPr>
          <w:p w14:paraId="7416A95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396 ÷ 8,649</w:t>
            </w:r>
          </w:p>
        </w:tc>
        <w:tc>
          <w:tcPr>
            <w:tcW w:w="0" w:type="auto"/>
            <w:vAlign w:val="center"/>
            <w:hideMark/>
          </w:tcPr>
          <w:p w14:paraId="246BFA0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0.05</w:t>
            </w:r>
          </w:p>
        </w:tc>
      </w:tr>
      <w:tr w:rsidR="00203808" w:rsidRPr="00203808" w14:paraId="4F4BF0AB" w14:textId="77777777" w:rsidTr="008C2C42">
        <w:trPr>
          <w:tblCellSpacing w:w="15" w:type="dxa"/>
        </w:trPr>
        <w:tc>
          <w:tcPr>
            <w:tcW w:w="0" w:type="auto"/>
            <w:tcBorders>
              <w:bottom w:val="thickThinSmallGap" w:sz="24" w:space="0" w:color="auto"/>
            </w:tcBorders>
            <w:vAlign w:val="center"/>
            <w:hideMark/>
          </w:tcPr>
          <w:p w14:paraId="517DC92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6199A04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358</w:t>
            </w:r>
          </w:p>
        </w:tc>
        <w:tc>
          <w:tcPr>
            <w:tcW w:w="0" w:type="auto"/>
            <w:tcBorders>
              <w:bottom w:val="thickThinSmallGap" w:sz="24" w:space="0" w:color="auto"/>
            </w:tcBorders>
            <w:vAlign w:val="center"/>
            <w:hideMark/>
          </w:tcPr>
          <w:p w14:paraId="5DA67A7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8,398</w:t>
            </w:r>
          </w:p>
        </w:tc>
        <w:tc>
          <w:tcPr>
            <w:tcW w:w="0" w:type="auto"/>
            <w:tcBorders>
              <w:bottom w:val="thickThinSmallGap" w:sz="24" w:space="0" w:color="auto"/>
            </w:tcBorders>
            <w:vAlign w:val="center"/>
            <w:hideMark/>
          </w:tcPr>
          <w:p w14:paraId="56B5FE2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358 ÷ 8,398</w:t>
            </w:r>
          </w:p>
        </w:tc>
        <w:tc>
          <w:tcPr>
            <w:tcW w:w="0" w:type="auto"/>
            <w:tcBorders>
              <w:bottom w:val="thickThinSmallGap" w:sz="24" w:space="0" w:color="auto"/>
            </w:tcBorders>
            <w:vAlign w:val="center"/>
            <w:hideMark/>
          </w:tcPr>
          <w:p w14:paraId="1EE4EC5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0.04</w:t>
            </w:r>
          </w:p>
        </w:tc>
      </w:tr>
    </w:tbl>
    <w:p w14:paraId="2F5C9DE6" w14:textId="77777777" w:rsidR="00ED72CF" w:rsidRPr="00203808" w:rsidRDefault="00ED72CF" w:rsidP="00203808">
      <w:pPr>
        <w:spacing w:after="0" w:line="360" w:lineRule="auto"/>
        <w:jc w:val="both"/>
        <w:rPr>
          <w:rFonts w:cs="Arial"/>
          <w:b/>
          <w:bCs/>
          <w:sz w:val="22"/>
          <w:u w:val="single"/>
        </w:rPr>
      </w:pPr>
    </w:p>
    <w:p w14:paraId="23FFCF56" w14:textId="77777777" w:rsidR="00BE2860" w:rsidRDefault="00BE2860" w:rsidP="00203808">
      <w:pPr>
        <w:spacing w:after="0" w:line="360" w:lineRule="auto"/>
        <w:jc w:val="both"/>
        <w:rPr>
          <w:rFonts w:cs="Arial"/>
          <w:b/>
          <w:bCs/>
          <w:sz w:val="22"/>
          <w:u w:val="single"/>
        </w:rPr>
      </w:pPr>
    </w:p>
    <w:p w14:paraId="54697B37" w14:textId="77777777" w:rsidR="00BE2860" w:rsidRDefault="00BE2860" w:rsidP="00203808">
      <w:pPr>
        <w:spacing w:after="0" w:line="360" w:lineRule="auto"/>
        <w:jc w:val="both"/>
        <w:rPr>
          <w:rFonts w:cs="Arial"/>
          <w:b/>
          <w:bCs/>
          <w:sz w:val="22"/>
          <w:u w:val="single"/>
        </w:rPr>
      </w:pPr>
    </w:p>
    <w:p w14:paraId="01EE14CA" w14:textId="77777777" w:rsidR="00BE2860" w:rsidRDefault="00BE2860" w:rsidP="00203808">
      <w:pPr>
        <w:spacing w:after="0" w:line="360" w:lineRule="auto"/>
        <w:jc w:val="both"/>
        <w:rPr>
          <w:rFonts w:cs="Arial"/>
          <w:b/>
          <w:bCs/>
          <w:sz w:val="22"/>
          <w:u w:val="single"/>
        </w:rPr>
      </w:pPr>
    </w:p>
    <w:p w14:paraId="0DFE249A" w14:textId="77777777" w:rsidR="00BE2860" w:rsidRDefault="00BE2860" w:rsidP="00203808">
      <w:pPr>
        <w:spacing w:after="0" w:line="360" w:lineRule="auto"/>
        <w:jc w:val="both"/>
        <w:rPr>
          <w:rFonts w:cs="Arial"/>
          <w:b/>
          <w:bCs/>
          <w:sz w:val="22"/>
          <w:u w:val="single"/>
        </w:rPr>
      </w:pPr>
    </w:p>
    <w:p w14:paraId="400C6CAC" w14:textId="77777777" w:rsidR="00BE2860" w:rsidRDefault="00BE2860" w:rsidP="00203808">
      <w:pPr>
        <w:spacing w:after="0" w:line="360" w:lineRule="auto"/>
        <w:jc w:val="both"/>
        <w:rPr>
          <w:rFonts w:cs="Arial"/>
          <w:b/>
          <w:bCs/>
          <w:sz w:val="22"/>
          <w:u w:val="single"/>
        </w:rPr>
      </w:pPr>
    </w:p>
    <w:p w14:paraId="3F1BB9C7" w14:textId="77777777" w:rsidR="00BE2860" w:rsidRDefault="00BE2860" w:rsidP="00203808">
      <w:pPr>
        <w:spacing w:after="0" w:line="360" w:lineRule="auto"/>
        <w:jc w:val="both"/>
        <w:rPr>
          <w:rFonts w:cs="Arial"/>
          <w:b/>
          <w:bCs/>
          <w:sz w:val="22"/>
          <w:u w:val="single"/>
        </w:rPr>
      </w:pPr>
    </w:p>
    <w:p w14:paraId="5C64F0A6" w14:textId="77777777" w:rsidR="00BE2860" w:rsidRDefault="00BE2860" w:rsidP="00203808">
      <w:pPr>
        <w:spacing w:after="0" w:line="360" w:lineRule="auto"/>
        <w:jc w:val="both"/>
        <w:rPr>
          <w:rFonts w:cs="Arial"/>
          <w:b/>
          <w:bCs/>
          <w:sz w:val="22"/>
          <w:u w:val="single"/>
        </w:rPr>
      </w:pPr>
    </w:p>
    <w:p w14:paraId="34266458" w14:textId="77777777" w:rsidR="00BE2860" w:rsidRDefault="00BE2860" w:rsidP="00203808">
      <w:pPr>
        <w:spacing w:after="0" w:line="360" w:lineRule="auto"/>
        <w:jc w:val="both"/>
        <w:rPr>
          <w:rFonts w:cs="Arial"/>
          <w:b/>
          <w:bCs/>
          <w:sz w:val="22"/>
          <w:u w:val="single"/>
        </w:rPr>
      </w:pPr>
    </w:p>
    <w:p w14:paraId="3582904C" w14:textId="77777777" w:rsidR="00BE2860" w:rsidRDefault="00BE2860" w:rsidP="00203808">
      <w:pPr>
        <w:spacing w:after="0" w:line="360" w:lineRule="auto"/>
        <w:jc w:val="both"/>
        <w:rPr>
          <w:rFonts w:cs="Arial"/>
          <w:b/>
          <w:bCs/>
          <w:sz w:val="22"/>
          <w:u w:val="single"/>
        </w:rPr>
      </w:pPr>
    </w:p>
    <w:p w14:paraId="0F2248DD" w14:textId="3FE4544B" w:rsidR="00ED72CF" w:rsidRPr="00203808" w:rsidRDefault="00ED72CF" w:rsidP="00203808">
      <w:pPr>
        <w:spacing w:after="0" w:line="360" w:lineRule="auto"/>
        <w:jc w:val="both"/>
        <w:rPr>
          <w:rFonts w:cs="Arial"/>
          <w:b/>
          <w:bCs/>
          <w:sz w:val="22"/>
        </w:rPr>
      </w:pPr>
      <w:r w:rsidRPr="00203808">
        <w:rPr>
          <w:rFonts w:cs="Arial"/>
          <w:b/>
          <w:bCs/>
          <w:sz w:val="22"/>
          <w:u w:val="single"/>
        </w:rPr>
        <w:lastRenderedPageBreak/>
        <w:t>Appendix 5</w:t>
      </w:r>
      <w:r w:rsidRPr="00203808">
        <w:rPr>
          <w:rFonts w:cs="Arial"/>
          <w:b/>
          <w:bCs/>
          <w:sz w:val="22"/>
          <w:u w:val="single"/>
          <w:lang w:val="en-GB"/>
        </w:rPr>
        <w:t>:</w:t>
      </w:r>
      <w:r w:rsidRPr="00203808">
        <w:rPr>
          <w:rFonts w:cs="Arial"/>
          <w:b/>
          <w:bCs/>
          <w:sz w:val="22"/>
          <w:lang w:val="en-GB"/>
        </w:rPr>
        <w:t xml:space="preserve"> </w:t>
      </w:r>
      <w:r w:rsidRPr="00203808">
        <w:rPr>
          <w:rFonts w:cs="Arial"/>
          <w:b/>
          <w:bCs/>
          <w:sz w:val="22"/>
        </w:rPr>
        <w:t xml:space="preserve">Autor’s calculations of </w:t>
      </w:r>
      <w:r w:rsidRPr="00203808">
        <w:rPr>
          <w:rFonts w:cs="Arial"/>
          <w:sz w:val="22"/>
          <w:lang w:val="en-GB"/>
        </w:rPr>
        <w:t>Efficiency Ratios</w:t>
      </w:r>
      <w:r w:rsidRPr="00203808">
        <w:rPr>
          <w:rFonts w:cs="Arial"/>
          <w:b/>
          <w:bCs/>
          <w:sz w:val="22"/>
        </w:rPr>
        <w:t xml:space="preserve"> </w:t>
      </w:r>
      <w:r w:rsidRPr="00203808">
        <w:rPr>
          <w:rFonts w:cs="Arial"/>
          <w:sz w:val="22"/>
        </w:rPr>
        <w:t xml:space="preserve">2021-2025  </w:t>
      </w:r>
    </w:p>
    <w:p w14:paraId="315204A0" w14:textId="77777777" w:rsidR="00ED72CF" w:rsidRPr="00BE2860" w:rsidRDefault="00ED72CF" w:rsidP="00203808">
      <w:pPr>
        <w:spacing w:after="0" w:line="360" w:lineRule="auto"/>
        <w:jc w:val="both"/>
        <w:rPr>
          <w:rFonts w:cs="Arial"/>
          <w:b/>
          <w:bCs/>
          <w:sz w:val="22"/>
          <w:lang w:val="en-GB"/>
        </w:rPr>
      </w:pPr>
      <w:r w:rsidRPr="00BE2860">
        <w:rPr>
          <w:rFonts w:cs="Arial"/>
          <w:b/>
          <w:bCs/>
          <w:sz w:val="22"/>
          <w:lang w:val="en-GB"/>
        </w:rPr>
        <w:t>1. Days Sales of Inventory (DSI)</w:t>
      </w:r>
    </w:p>
    <w:p w14:paraId="32884CC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31F5982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DSI = Average Inventory ÷ Cost of Revenue × 365</w:t>
      </w:r>
    </w:p>
    <w:p w14:paraId="35D9E1D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Marriott's Consolidated Balance Sheets do not present a separate material inventory line comparable to that of a manufacturing or retail company. Consequently, DSI is classified as N/A rather than being reported as zero.</w:t>
      </w:r>
    </w:p>
    <w:p w14:paraId="02B8A868" w14:textId="77777777" w:rsidR="00ED72CF" w:rsidRPr="00203808" w:rsidRDefault="00ED72CF" w:rsidP="00203808">
      <w:pPr>
        <w:spacing w:after="0" w:line="360" w:lineRule="auto"/>
        <w:jc w:val="both"/>
        <w:rPr>
          <w:rFonts w:cs="Arial"/>
          <w:b/>
          <w:bCs/>
          <w:sz w:val="22"/>
          <w:lang w:val="en-GB"/>
        </w:rPr>
      </w:pPr>
      <w:r w:rsidRPr="00203808">
        <w:rPr>
          <w:rFonts w:cs="Arial"/>
          <w:b/>
          <w:bCs/>
          <w:sz w:val="22"/>
          <w:u w:val="single"/>
          <w:lang w:val="en-GB"/>
        </w:rPr>
        <w:t>Table:</w:t>
      </w:r>
      <w:r w:rsidRPr="00203808">
        <w:rPr>
          <w:rFonts w:cs="Arial"/>
          <w:b/>
          <w:bCs/>
          <w:sz w:val="22"/>
          <w:lang w:val="en-GB"/>
        </w:rPr>
        <w:t xml:space="preserve"> Calculation of DSI, 2021–2025</w:t>
      </w:r>
    </w:p>
    <w:tbl>
      <w:tblPr>
        <w:tblW w:w="8974" w:type="dxa"/>
        <w:tblCellSpacing w:w="15" w:type="dxa"/>
        <w:tblCellMar>
          <w:top w:w="15" w:type="dxa"/>
          <w:left w:w="15" w:type="dxa"/>
          <w:bottom w:w="15" w:type="dxa"/>
          <w:right w:w="15" w:type="dxa"/>
        </w:tblCellMar>
        <w:tblLook w:val="04A0" w:firstRow="1" w:lastRow="0" w:firstColumn="1" w:lastColumn="0" w:noHBand="0" w:noVBand="1"/>
      </w:tblPr>
      <w:tblGrid>
        <w:gridCol w:w="1104"/>
        <w:gridCol w:w="7016"/>
        <w:gridCol w:w="854"/>
      </w:tblGrid>
      <w:tr w:rsidR="00203808" w:rsidRPr="00203808" w14:paraId="5F30C7A5" w14:textId="77777777" w:rsidTr="008C2C42">
        <w:trPr>
          <w:trHeight w:val="490"/>
          <w:tblHeader/>
          <w:tblCellSpacing w:w="15" w:type="dxa"/>
        </w:trPr>
        <w:tc>
          <w:tcPr>
            <w:tcW w:w="0" w:type="auto"/>
            <w:tcBorders>
              <w:top w:val="thinThickSmallGap" w:sz="24" w:space="0" w:color="auto"/>
              <w:bottom w:val="thickThinSmallGap" w:sz="24" w:space="0" w:color="auto"/>
            </w:tcBorders>
            <w:vAlign w:val="center"/>
            <w:hideMark/>
          </w:tcPr>
          <w:p w14:paraId="012147F8" w14:textId="77777777" w:rsidR="00ED72CF" w:rsidRPr="00203808" w:rsidRDefault="00ED72CF" w:rsidP="00203808">
            <w:pPr>
              <w:spacing w:after="0" w:line="360" w:lineRule="auto"/>
              <w:jc w:val="both"/>
              <w:rPr>
                <w:rFonts w:cs="Arial"/>
                <w:b/>
                <w:bCs/>
                <w:sz w:val="22"/>
                <w:lang w:val="en-GB"/>
              </w:rPr>
            </w:pPr>
            <w:r w:rsidRPr="00203808">
              <w:rPr>
                <w:rFonts w:cs="Arial"/>
                <w:b/>
                <w:bCs/>
                <w:sz w:val="22"/>
                <w:lang w:val="en-GB"/>
              </w:rPr>
              <w:t>Year</w:t>
            </w:r>
          </w:p>
        </w:tc>
        <w:tc>
          <w:tcPr>
            <w:tcW w:w="0" w:type="auto"/>
            <w:tcBorders>
              <w:top w:val="thinThickSmallGap" w:sz="24" w:space="0" w:color="auto"/>
              <w:bottom w:val="thickThinSmallGap" w:sz="24" w:space="0" w:color="auto"/>
            </w:tcBorders>
            <w:vAlign w:val="center"/>
            <w:hideMark/>
          </w:tcPr>
          <w:p w14:paraId="74D2B2AF" w14:textId="77777777" w:rsidR="00ED72CF" w:rsidRPr="00203808" w:rsidRDefault="00ED72CF" w:rsidP="00203808">
            <w:pPr>
              <w:spacing w:after="0" w:line="360" w:lineRule="auto"/>
              <w:jc w:val="both"/>
              <w:rPr>
                <w:rFonts w:cs="Arial"/>
                <w:b/>
                <w:bCs/>
                <w:sz w:val="22"/>
                <w:lang w:val="en-GB"/>
              </w:rPr>
            </w:pPr>
            <w:r w:rsidRPr="00203808">
              <w:rPr>
                <w:rFonts w:cs="Arial"/>
                <w:b/>
                <w:bCs/>
                <w:sz w:val="22"/>
                <w:lang w:val="en-GB"/>
              </w:rPr>
              <w:t>Inventory</w:t>
            </w:r>
          </w:p>
        </w:tc>
        <w:tc>
          <w:tcPr>
            <w:tcW w:w="0" w:type="auto"/>
            <w:tcBorders>
              <w:top w:val="thinThickSmallGap" w:sz="24" w:space="0" w:color="auto"/>
              <w:bottom w:val="thickThinSmallGap" w:sz="24" w:space="0" w:color="auto"/>
            </w:tcBorders>
            <w:vAlign w:val="center"/>
            <w:hideMark/>
          </w:tcPr>
          <w:p w14:paraId="521DE040" w14:textId="77777777" w:rsidR="00ED72CF" w:rsidRPr="00203808" w:rsidRDefault="00ED72CF" w:rsidP="00203808">
            <w:pPr>
              <w:spacing w:after="0" w:line="360" w:lineRule="auto"/>
              <w:jc w:val="both"/>
              <w:rPr>
                <w:rFonts w:cs="Arial"/>
                <w:b/>
                <w:bCs/>
                <w:sz w:val="22"/>
                <w:lang w:val="en-GB"/>
              </w:rPr>
            </w:pPr>
            <w:r w:rsidRPr="00203808">
              <w:rPr>
                <w:rFonts w:cs="Arial"/>
                <w:b/>
                <w:bCs/>
                <w:sz w:val="22"/>
                <w:lang w:val="en-GB"/>
              </w:rPr>
              <w:t>DSI</w:t>
            </w:r>
          </w:p>
        </w:tc>
      </w:tr>
      <w:tr w:rsidR="00203808" w:rsidRPr="00203808" w14:paraId="0E8822DB" w14:textId="77777777" w:rsidTr="008C2C42">
        <w:trPr>
          <w:trHeight w:val="500"/>
          <w:tblCellSpacing w:w="15" w:type="dxa"/>
        </w:trPr>
        <w:tc>
          <w:tcPr>
            <w:tcW w:w="0" w:type="auto"/>
            <w:vAlign w:val="center"/>
            <w:hideMark/>
          </w:tcPr>
          <w:p w14:paraId="6D68015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4A0794B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No separate material inventory line</w:t>
            </w:r>
          </w:p>
        </w:tc>
        <w:tc>
          <w:tcPr>
            <w:tcW w:w="0" w:type="auto"/>
            <w:vAlign w:val="center"/>
            <w:hideMark/>
          </w:tcPr>
          <w:p w14:paraId="1FE0CF9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N/A</w:t>
            </w:r>
          </w:p>
        </w:tc>
      </w:tr>
      <w:tr w:rsidR="00203808" w:rsidRPr="00203808" w14:paraId="40D5D445" w14:textId="77777777" w:rsidTr="008C2C42">
        <w:trPr>
          <w:trHeight w:val="500"/>
          <w:tblCellSpacing w:w="15" w:type="dxa"/>
        </w:trPr>
        <w:tc>
          <w:tcPr>
            <w:tcW w:w="0" w:type="auto"/>
            <w:vAlign w:val="center"/>
            <w:hideMark/>
          </w:tcPr>
          <w:p w14:paraId="17ADE6F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0582E03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No separate material inventory line</w:t>
            </w:r>
          </w:p>
        </w:tc>
        <w:tc>
          <w:tcPr>
            <w:tcW w:w="0" w:type="auto"/>
            <w:vAlign w:val="center"/>
            <w:hideMark/>
          </w:tcPr>
          <w:p w14:paraId="08E1285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N/A</w:t>
            </w:r>
          </w:p>
        </w:tc>
      </w:tr>
      <w:tr w:rsidR="00203808" w:rsidRPr="00203808" w14:paraId="7D04D9FD" w14:textId="77777777" w:rsidTr="008C2C42">
        <w:trPr>
          <w:trHeight w:val="490"/>
          <w:tblCellSpacing w:w="15" w:type="dxa"/>
        </w:trPr>
        <w:tc>
          <w:tcPr>
            <w:tcW w:w="0" w:type="auto"/>
            <w:vAlign w:val="center"/>
            <w:hideMark/>
          </w:tcPr>
          <w:p w14:paraId="663D312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5493C06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No separate material inventory line</w:t>
            </w:r>
          </w:p>
        </w:tc>
        <w:tc>
          <w:tcPr>
            <w:tcW w:w="0" w:type="auto"/>
            <w:vAlign w:val="center"/>
            <w:hideMark/>
          </w:tcPr>
          <w:p w14:paraId="4349B07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N/A</w:t>
            </w:r>
          </w:p>
        </w:tc>
      </w:tr>
      <w:tr w:rsidR="00203808" w:rsidRPr="00203808" w14:paraId="017FC02D" w14:textId="77777777" w:rsidTr="008C2C42">
        <w:trPr>
          <w:trHeight w:val="500"/>
          <w:tblCellSpacing w:w="15" w:type="dxa"/>
        </w:trPr>
        <w:tc>
          <w:tcPr>
            <w:tcW w:w="0" w:type="auto"/>
            <w:vAlign w:val="center"/>
            <w:hideMark/>
          </w:tcPr>
          <w:p w14:paraId="3E2BC7A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30973E8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No separate material inventory line</w:t>
            </w:r>
          </w:p>
        </w:tc>
        <w:tc>
          <w:tcPr>
            <w:tcW w:w="0" w:type="auto"/>
            <w:vAlign w:val="center"/>
            <w:hideMark/>
          </w:tcPr>
          <w:p w14:paraId="35470B0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N/A</w:t>
            </w:r>
          </w:p>
        </w:tc>
      </w:tr>
      <w:tr w:rsidR="00203808" w:rsidRPr="00203808" w14:paraId="10C9CB53" w14:textId="77777777" w:rsidTr="008C2C42">
        <w:trPr>
          <w:trHeight w:val="490"/>
          <w:tblCellSpacing w:w="15" w:type="dxa"/>
        </w:trPr>
        <w:tc>
          <w:tcPr>
            <w:tcW w:w="0" w:type="auto"/>
            <w:tcBorders>
              <w:bottom w:val="thickThinSmallGap" w:sz="24" w:space="0" w:color="auto"/>
            </w:tcBorders>
            <w:vAlign w:val="center"/>
            <w:hideMark/>
          </w:tcPr>
          <w:p w14:paraId="1CFC38A5" w14:textId="77777777" w:rsidR="00ED72CF" w:rsidRPr="00203808" w:rsidRDefault="00ED72CF" w:rsidP="00203808">
            <w:pPr>
              <w:spacing w:after="0" w:line="360" w:lineRule="auto"/>
              <w:jc w:val="both"/>
              <w:rPr>
                <w:rFonts w:cs="Arial"/>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1315D18F" w14:textId="77777777" w:rsidR="00ED72CF" w:rsidRPr="00203808" w:rsidRDefault="00ED72CF" w:rsidP="00203808">
            <w:pPr>
              <w:spacing w:after="0" w:line="360" w:lineRule="auto"/>
              <w:jc w:val="both"/>
              <w:rPr>
                <w:rFonts w:cs="Arial"/>
                <w:sz w:val="22"/>
                <w:lang w:val="en-GB"/>
              </w:rPr>
            </w:pPr>
            <w:r w:rsidRPr="00203808">
              <w:rPr>
                <w:rFonts w:cs="Arial"/>
                <w:sz w:val="22"/>
                <w:lang w:val="en-GB"/>
              </w:rPr>
              <w:t>No separate material inventory line</w:t>
            </w:r>
          </w:p>
        </w:tc>
        <w:tc>
          <w:tcPr>
            <w:tcW w:w="0" w:type="auto"/>
            <w:tcBorders>
              <w:bottom w:val="thickThinSmallGap" w:sz="24" w:space="0" w:color="auto"/>
            </w:tcBorders>
            <w:vAlign w:val="center"/>
            <w:hideMark/>
          </w:tcPr>
          <w:p w14:paraId="47152218" w14:textId="77777777" w:rsidR="00ED72CF" w:rsidRPr="00203808" w:rsidRDefault="00ED72CF" w:rsidP="00203808">
            <w:pPr>
              <w:spacing w:after="0" w:line="360" w:lineRule="auto"/>
              <w:jc w:val="both"/>
              <w:rPr>
                <w:rFonts w:cs="Arial"/>
                <w:sz w:val="22"/>
                <w:lang w:val="en-GB"/>
              </w:rPr>
            </w:pPr>
            <w:r w:rsidRPr="00203808">
              <w:rPr>
                <w:rFonts w:cs="Arial"/>
                <w:sz w:val="22"/>
                <w:lang w:val="en-GB"/>
              </w:rPr>
              <w:t>N/A</w:t>
            </w:r>
          </w:p>
        </w:tc>
      </w:tr>
    </w:tbl>
    <w:p w14:paraId="2889EDCB" w14:textId="77777777" w:rsidR="00ED72CF" w:rsidRPr="00203808" w:rsidRDefault="00ED72CF" w:rsidP="00203808">
      <w:pPr>
        <w:spacing w:after="0" w:line="360" w:lineRule="auto"/>
        <w:jc w:val="both"/>
        <w:rPr>
          <w:rFonts w:cs="Arial"/>
          <w:b/>
          <w:bCs/>
          <w:sz w:val="22"/>
          <w:lang w:val="en-GB"/>
        </w:rPr>
      </w:pPr>
    </w:p>
    <w:p w14:paraId="4E7458E4" w14:textId="77777777" w:rsidR="00ED72CF" w:rsidRPr="00BE2860" w:rsidRDefault="00ED72CF" w:rsidP="00203808">
      <w:pPr>
        <w:spacing w:after="0" w:line="360" w:lineRule="auto"/>
        <w:jc w:val="both"/>
        <w:rPr>
          <w:rFonts w:cs="Arial"/>
          <w:b/>
          <w:bCs/>
          <w:sz w:val="22"/>
          <w:lang w:val="en-GB"/>
        </w:rPr>
      </w:pPr>
      <w:r w:rsidRPr="00BE2860">
        <w:rPr>
          <w:rFonts w:cs="Arial"/>
          <w:b/>
          <w:bCs/>
          <w:sz w:val="22"/>
          <w:lang w:val="en-GB"/>
        </w:rPr>
        <w:t>2. Days Sales Outstanding (DSO)</w:t>
      </w:r>
    </w:p>
    <w:p w14:paraId="6082FBF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1C0A1EF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DSO = Accounts Receivable ÷ Revenue × 365</w:t>
      </w:r>
    </w:p>
    <w:p w14:paraId="4B52751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Using year-end receivables for consistency:</w:t>
      </w:r>
    </w:p>
    <w:p w14:paraId="3563F11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Line correspondence:</w:t>
      </w:r>
    </w:p>
    <w:p w14:paraId="5625D0F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Accounts receivable = Consolidated Balance Sheet-Accounts and notes receivable, ne</w:t>
      </w:r>
      <w:r w:rsidRPr="00203808">
        <w:rPr>
          <w:rFonts w:cs="Arial"/>
          <w:sz w:val="22"/>
        </w:rPr>
        <w:t>t</w:t>
      </w:r>
    </w:p>
    <w:p w14:paraId="03CF1929" w14:textId="77777777" w:rsidR="00ED72CF" w:rsidRDefault="00ED72CF" w:rsidP="00203808">
      <w:pPr>
        <w:spacing w:after="0" w:line="360" w:lineRule="auto"/>
        <w:jc w:val="both"/>
        <w:rPr>
          <w:rFonts w:cs="Arial"/>
          <w:sz w:val="22"/>
          <w:lang w:val="en-GB"/>
        </w:rPr>
      </w:pPr>
      <w:r w:rsidRPr="00203808">
        <w:rPr>
          <w:rFonts w:cs="Arial"/>
          <w:sz w:val="22"/>
          <w:lang w:val="en-GB"/>
        </w:rPr>
        <w:t>Revenue = Consolidated Statement of Income</w:t>
      </w:r>
      <w:r w:rsidRPr="00203808">
        <w:rPr>
          <w:rFonts w:cs="Arial"/>
          <w:sz w:val="22"/>
        </w:rPr>
        <w:t>-</w:t>
      </w:r>
      <w:r w:rsidRPr="00203808">
        <w:rPr>
          <w:rFonts w:cs="Arial"/>
          <w:sz w:val="22"/>
          <w:lang w:val="en-GB"/>
        </w:rPr>
        <w:t>Total revenue</w:t>
      </w:r>
    </w:p>
    <w:p w14:paraId="61ADFEE4" w14:textId="77777777" w:rsidR="00BE2860" w:rsidRDefault="00BE2860" w:rsidP="00203808">
      <w:pPr>
        <w:spacing w:after="0" w:line="360" w:lineRule="auto"/>
        <w:jc w:val="both"/>
        <w:rPr>
          <w:rFonts w:cs="Arial"/>
          <w:b/>
          <w:bCs/>
          <w:sz w:val="22"/>
          <w:lang w:val="en-GB"/>
        </w:rPr>
      </w:pPr>
    </w:p>
    <w:p w14:paraId="1FA48065" w14:textId="77777777" w:rsidR="00BE2860" w:rsidRDefault="00BE2860" w:rsidP="00203808">
      <w:pPr>
        <w:spacing w:after="0" w:line="360" w:lineRule="auto"/>
        <w:jc w:val="both"/>
        <w:rPr>
          <w:rFonts w:cs="Arial"/>
          <w:b/>
          <w:bCs/>
          <w:sz w:val="22"/>
          <w:lang w:val="en-GB"/>
        </w:rPr>
      </w:pPr>
    </w:p>
    <w:p w14:paraId="65A4475A" w14:textId="77777777" w:rsidR="00BE2860" w:rsidRDefault="00BE2860" w:rsidP="00203808">
      <w:pPr>
        <w:spacing w:after="0" w:line="360" w:lineRule="auto"/>
        <w:jc w:val="both"/>
        <w:rPr>
          <w:rFonts w:cs="Arial"/>
          <w:b/>
          <w:bCs/>
          <w:sz w:val="22"/>
          <w:lang w:val="en-GB"/>
        </w:rPr>
      </w:pPr>
    </w:p>
    <w:p w14:paraId="70D3DD47" w14:textId="77777777" w:rsidR="00BE2860" w:rsidRDefault="00BE2860" w:rsidP="00203808">
      <w:pPr>
        <w:spacing w:after="0" w:line="360" w:lineRule="auto"/>
        <w:jc w:val="both"/>
        <w:rPr>
          <w:rFonts w:cs="Arial"/>
          <w:b/>
          <w:bCs/>
          <w:sz w:val="22"/>
          <w:lang w:val="en-GB"/>
        </w:rPr>
      </w:pPr>
    </w:p>
    <w:p w14:paraId="55A864F9" w14:textId="77777777" w:rsidR="00BE2860" w:rsidRDefault="00BE2860" w:rsidP="00203808">
      <w:pPr>
        <w:spacing w:after="0" w:line="360" w:lineRule="auto"/>
        <w:jc w:val="both"/>
        <w:rPr>
          <w:rFonts w:cs="Arial"/>
          <w:b/>
          <w:bCs/>
          <w:sz w:val="22"/>
          <w:lang w:val="en-GB"/>
        </w:rPr>
      </w:pPr>
    </w:p>
    <w:p w14:paraId="1EF98B60" w14:textId="77777777" w:rsidR="00BE2860" w:rsidRPr="00203808" w:rsidRDefault="00BE2860" w:rsidP="00203808">
      <w:pPr>
        <w:spacing w:after="0" w:line="360" w:lineRule="auto"/>
        <w:jc w:val="both"/>
        <w:rPr>
          <w:rFonts w:cs="Arial"/>
          <w:b/>
          <w:bCs/>
          <w:sz w:val="22"/>
          <w:lang w:val="en-GB"/>
        </w:rPr>
      </w:pPr>
    </w:p>
    <w:tbl>
      <w:tblPr>
        <w:tblW w:w="8155" w:type="dxa"/>
        <w:tblCellSpacing w:w="15" w:type="dxa"/>
        <w:tblCellMar>
          <w:top w:w="15" w:type="dxa"/>
          <w:left w:w="15" w:type="dxa"/>
          <w:bottom w:w="15" w:type="dxa"/>
          <w:right w:w="15" w:type="dxa"/>
        </w:tblCellMar>
        <w:tblLook w:val="04A0" w:firstRow="1" w:lastRow="0" w:firstColumn="1" w:lastColumn="0" w:noHBand="0" w:noVBand="1"/>
      </w:tblPr>
      <w:tblGrid>
        <w:gridCol w:w="809"/>
        <w:gridCol w:w="3727"/>
        <w:gridCol w:w="2125"/>
        <w:gridCol w:w="1494"/>
      </w:tblGrid>
      <w:tr w:rsidR="00203808" w:rsidRPr="00203808" w14:paraId="29ED1CEB" w14:textId="77777777" w:rsidTr="008C2C42">
        <w:trPr>
          <w:trHeight w:val="507"/>
          <w:tblHeader/>
          <w:tblCellSpacing w:w="15" w:type="dxa"/>
        </w:trPr>
        <w:tc>
          <w:tcPr>
            <w:tcW w:w="0" w:type="auto"/>
            <w:tcBorders>
              <w:top w:val="thinThickSmallGap" w:sz="24" w:space="0" w:color="auto"/>
              <w:bottom w:val="thickThinSmallGap" w:sz="24" w:space="0" w:color="auto"/>
            </w:tcBorders>
            <w:vAlign w:val="center"/>
            <w:hideMark/>
          </w:tcPr>
          <w:p w14:paraId="3B04E38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lastRenderedPageBreak/>
              <w:t>Year</w:t>
            </w:r>
          </w:p>
        </w:tc>
        <w:tc>
          <w:tcPr>
            <w:tcW w:w="0" w:type="auto"/>
            <w:tcBorders>
              <w:top w:val="thinThickSmallGap" w:sz="24" w:space="0" w:color="auto"/>
              <w:bottom w:val="thickThinSmallGap" w:sz="24" w:space="0" w:color="auto"/>
            </w:tcBorders>
            <w:vAlign w:val="center"/>
            <w:hideMark/>
          </w:tcPr>
          <w:p w14:paraId="459A982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Accounts receivable ($m)</w:t>
            </w:r>
          </w:p>
        </w:tc>
        <w:tc>
          <w:tcPr>
            <w:tcW w:w="0" w:type="auto"/>
            <w:tcBorders>
              <w:top w:val="thinThickSmallGap" w:sz="24" w:space="0" w:color="auto"/>
              <w:bottom w:val="thickThinSmallGap" w:sz="24" w:space="0" w:color="auto"/>
            </w:tcBorders>
            <w:vAlign w:val="center"/>
            <w:hideMark/>
          </w:tcPr>
          <w:p w14:paraId="56CADFC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Revenue ($m)</w:t>
            </w:r>
          </w:p>
        </w:tc>
        <w:tc>
          <w:tcPr>
            <w:tcW w:w="0" w:type="auto"/>
            <w:tcBorders>
              <w:top w:val="thinThickSmallGap" w:sz="24" w:space="0" w:color="auto"/>
              <w:bottom w:val="thickThinSmallGap" w:sz="24" w:space="0" w:color="auto"/>
            </w:tcBorders>
            <w:vAlign w:val="center"/>
            <w:hideMark/>
          </w:tcPr>
          <w:p w14:paraId="3FF80BE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DSO</w:t>
            </w:r>
          </w:p>
        </w:tc>
      </w:tr>
      <w:tr w:rsidR="00203808" w:rsidRPr="00203808" w14:paraId="7454E1A7" w14:textId="77777777" w:rsidTr="008C2C42">
        <w:trPr>
          <w:trHeight w:val="517"/>
          <w:tblCellSpacing w:w="15" w:type="dxa"/>
        </w:trPr>
        <w:tc>
          <w:tcPr>
            <w:tcW w:w="0" w:type="auto"/>
            <w:vAlign w:val="center"/>
            <w:hideMark/>
          </w:tcPr>
          <w:p w14:paraId="087B3D3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7AE8124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1,982</w:t>
            </w:r>
          </w:p>
        </w:tc>
        <w:tc>
          <w:tcPr>
            <w:tcW w:w="0" w:type="auto"/>
            <w:vAlign w:val="center"/>
            <w:hideMark/>
          </w:tcPr>
          <w:p w14:paraId="34127A4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13,857</w:t>
            </w:r>
          </w:p>
        </w:tc>
        <w:tc>
          <w:tcPr>
            <w:tcW w:w="0" w:type="auto"/>
            <w:vAlign w:val="center"/>
            <w:hideMark/>
          </w:tcPr>
          <w:p w14:paraId="43E99DB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52.2 days</w:t>
            </w:r>
          </w:p>
        </w:tc>
      </w:tr>
      <w:tr w:rsidR="00203808" w:rsidRPr="00203808" w14:paraId="7B1FA229" w14:textId="77777777" w:rsidTr="008C2C42">
        <w:trPr>
          <w:trHeight w:val="517"/>
          <w:tblCellSpacing w:w="15" w:type="dxa"/>
        </w:trPr>
        <w:tc>
          <w:tcPr>
            <w:tcW w:w="0" w:type="auto"/>
            <w:vAlign w:val="center"/>
            <w:hideMark/>
          </w:tcPr>
          <w:p w14:paraId="7761B1E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79F232C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2,571</w:t>
            </w:r>
          </w:p>
        </w:tc>
        <w:tc>
          <w:tcPr>
            <w:tcW w:w="0" w:type="auto"/>
            <w:vAlign w:val="center"/>
            <w:hideMark/>
          </w:tcPr>
          <w:p w14:paraId="5B93942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20,773</w:t>
            </w:r>
          </w:p>
        </w:tc>
        <w:tc>
          <w:tcPr>
            <w:tcW w:w="0" w:type="auto"/>
            <w:vAlign w:val="center"/>
            <w:hideMark/>
          </w:tcPr>
          <w:p w14:paraId="47A7602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45.2 days</w:t>
            </w:r>
          </w:p>
        </w:tc>
      </w:tr>
      <w:tr w:rsidR="00203808" w:rsidRPr="00203808" w14:paraId="41BA518B" w14:textId="77777777" w:rsidTr="008C2C42">
        <w:trPr>
          <w:trHeight w:val="507"/>
          <w:tblCellSpacing w:w="15" w:type="dxa"/>
        </w:trPr>
        <w:tc>
          <w:tcPr>
            <w:tcW w:w="0" w:type="auto"/>
            <w:vAlign w:val="center"/>
            <w:hideMark/>
          </w:tcPr>
          <w:p w14:paraId="079CE66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293E9E8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2,712</w:t>
            </w:r>
          </w:p>
        </w:tc>
        <w:tc>
          <w:tcPr>
            <w:tcW w:w="0" w:type="auto"/>
            <w:vAlign w:val="center"/>
            <w:hideMark/>
          </w:tcPr>
          <w:p w14:paraId="6253AC7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23,713</w:t>
            </w:r>
          </w:p>
        </w:tc>
        <w:tc>
          <w:tcPr>
            <w:tcW w:w="0" w:type="auto"/>
            <w:vAlign w:val="center"/>
            <w:hideMark/>
          </w:tcPr>
          <w:p w14:paraId="3F0BC61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41.7 days</w:t>
            </w:r>
          </w:p>
        </w:tc>
      </w:tr>
      <w:tr w:rsidR="00203808" w:rsidRPr="00203808" w14:paraId="56180CCB" w14:textId="77777777" w:rsidTr="008C2C42">
        <w:trPr>
          <w:trHeight w:val="517"/>
          <w:tblCellSpacing w:w="15" w:type="dxa"/>
        </w:trPr>
        <w:tc>
          <w:tcPr>
            <w:tcW w:w="0" w:type="auto"/>
            <w:vAlign w:val="center"/>
            <w:hideMark/>
          </w:tcPr>
          <w:p w14:paraId="23D7136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0D0FD1A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2,795</w:t>
            </w:r>
          </w:p>
        </w:tc>
        <w:tc>
          <w:tcPr>
            <w:tcW w:w="0" w:type="auto"/>
            <w:vAlign w:val="center"/>
            <w:hideMark/>
          </w:tcPr>
          <w:p w14:paraId="32E9A8F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25,100</w:t>
            </w:r>
          </w:p>
        </w:tc>
        <w:tc>
          <w:tcPr>
            <w:tcW w:w="0" w:type="auto"/>
            <w:vAlign w:val="center"/>
            <w:hideMark/>
          </w:tcPr>
          <w:p w14:paraId="4904BEC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40.6 days</w:t>
            </w:r>
          </w:p>
        </w:tc>
      </w:tr>
      <w:tr w:rsidR="00203808" w:rsidRPr="00203808" w14:paraId="4ED77D2A" w14:textId="77777777" w:rsidTr="008C2C42">
        <w:trPr>
          <w:trHeight w:val="507"/>
          <w:tblCellSpacing w:w="15" w:type="dxa"/>
        </w:trPr>
        <w:tc>
          <w:tcPr>
            <w:tcW w:w="0" w:type="auto"/>
            <w:tcBorders>
              <w:bottom w:val="thickThinSmallGap" w:sz="24" w:space="0" w:color="auto"/>
            </w:tcBorders>
            <w:vAlign w:val="center"/>
            <w:hideMark/>
          </w:tcPr>
          <w:p w14:paraId="73AFB78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3721034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2,909</w:t>
            </w:r>
          </w:p>
        </w:tc>
        <w:tc>
          <w:tcPr>
            <w:tcW w:w="0" w:type="auto"/>
            <w:tcBorders>
              <w:bottom w:val="thickThinSmallGap" w:sz="24" w:space="0" w:color="auto"/>
            </w:tcBorders>
            <w:vAlign w:val="center"/>
            <w:hideMark/>
          </w:tcPr>
          <w:p w14:paraId="08875BB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26,186</w:t>
            </w:r>
          </w:p>
        </w:tc>
        <w:tc>
          <w:tcPr>
            <w:tcW w:w="0" w:type="auto"/>
            <w:tcBorders>
              <w:bottom w:val="thickThinSmallGap" w:sz="24" w:space="0" w:color="auto"/>
            </w:tcBorders>
            <w:vAlign w:val="center"/>
            <w:hideMark/>
          </w:tcPr>
          <w:p w14:paraId="4BD53ED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40.5 days</w:t>
            </w:r>
          </w:p>
        </w:tc>
      </w:tr>
    </w:tbl>
    <w:p w14:paraId="3BE998AA" w14:textId="77777777" w:rsidR="00ED72CF" w:rsidRPr="00BE2860" w:rsidRDefault="00ED72CF" w:rsidP="00203808">
      <w:pPr>
        <w:spacing w:after="0" w:line="360" w:lineRule="auto"/>
        <w:jc w:val="both"/>
        <w:rPr>
          <w:rFonts w:cs="Arial"/>
          <w:b/>
          <w:bCs/>
          <w:sz w:val="22"/>
          <w:lang w:val="en-GB"/>
        </w:rPr>
      </w:pPr>
      <w:r w:rsidRPr="00BE2860">
        <w:rPr>
          <w:rFonts w:cs="Arial"/>
          <w:b/>
          <w:bCs/>
          <w:sz w:val="22"/>
          <w:lang w:val="en-GB"/>
        </w:rPr>
        <w:t>3. Days Payables Outstanding (DPO)</w:t>
      </w:r>
    </w:p>
    <w:p w14:paraId="0B92748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Marriott does not disclose a conventional manufacturing-style cost of sales. Therefore, the standardised cost-of-revenue series from Stock</w:t>
      </w:r>
      <w:r w:rsidRPr="00203808">
        <w:rPr>
          <w:rFonts w:cs="Arial"/>
          <w:sz w:val="22"/>
        </w:rPr>
        <w:t xml:space="preserve"> </w:t>
      </w:r>
      <w:r w:rsidRPr="00203808">
        <w:rPr>
          <w:rFonts w:cs="Arial"/>
          <w:sz w:val="22"/>
          <w:lang w:val="en-GB"/>
        </w:rPr>
        <w:t>Analysis is used as a proxy.</w:t>
      </w:r>
    </w:p>
    <w:p w14:paraId="0C8CE61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1463B6A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DPO = Accounts Payable ÷ Cost of Revenue × 365</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
        <w:gridCol w:w="2310"/>
        <w:gridCol w:w="3436"/>
        <w:gridCol w:w="1030"/>
      </w:tblGrid>
      <w:tr w:rsidR="00203808" w:rsidRPr="00203808" w14:paraId="04ADCBA5"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5063FF2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Year</w:t>
            </w:r>
          </w:p>
        </w:tc>
        <w:tc>
          <w:tcPr>
            <w:tcW w:w="0" w:type="auto"/>
            <w:tcBorders>
              <w:top w:val="thinThickSmallGap" w:sz="24" w:space="0" w:color="auto"/>
              <w:bottom w:val="thickThinSmallGap" w:sz="24" w:space="0" w:color="auto"/>
            </w:tcBorders>
            <w:vAlign w:val="center"/>
            <w:hideMark/>
          </w:tcPr>
          <w:p w14:paraId="273FB7F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Accounts payable ($m)</w:t>
            </w:r>
          </w:p>
        </w:tc>
        <w:tc>
          <w:tcPr>
            <w:tcW w:w="0" w:type="auto"/>
            <w:tcBorders>
              <w:top w:val="thinThickSmallGap" w:sz="24" w:space="0" w:color="auto"/>
              <w:bottom w:val="thickThinSmallGap" w:sz="24" w:space="0" w:color="auto"/>
            </w:tcBorders>
            <w:vAlign w:val="center"/>
            <w:hideMark/>
          </w:tcPr>
          <w:p w14:paraId="52810E7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Standardised cost of revenue ($m)</w:t>
            </w:r>
          </w:p>
        </w:tc>
        <w:tc>
          <w:tcPr>
            <w:tcW w:w="0" w:type="auto"/>
            <w:tcBorders>
              <w:top w:val="thinThickSmallGap" w:sz="24" w:space="0" w:color="auto"/>
              <w:bottom w:val="thickThinSmallGap" w:sz="24" w:space="0" w:color="auto"/>
            </w:tcBorders>
            <w:vAlign w:val="center"/>
            <w:hideMark/>
          </w:tcPr>
          <w:p w14:paraId="3C14CA9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DPO</w:t>
            </w:r>
          </w:p>
        </w:tc>
      </w:tr>
      <w:tr w:rsidR="00203808" w:rsidRPr="00203808" w14:paraId="3855524E" w14:textId="77777777" w:rsidTr="008C2C42">
        <w:trPr>
          <w:tblCellSpacing w:w="15" w:type="dxa"/>
        </w:trPr>
        <w:tc>
          <w:tcPr>
            <w:tcW w:w="0" w:type="auto"/>
            <w:vAlign w:val="center"/>
            <w:hideMark/>
          </w:tcPr>
          <w:p w14:paraId="1A6A2DE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767053F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726</w:t>
            </w:r>
          </w:p>
        </w:tc>
        <w:tc>
          <w:tcPr>
            <w:tcW w:w="0" w:type="auto"/>
            <w:vAlign w:val="center"/>
            <w:hideMark/>
          </w:tcPr>
          <w:p w14:paraId="4E51B1B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Standardised series</w:t>
            </w:r>
          </w:p>
        </w:tc>
        <w:tc>
          <w:tcPr>
            <w:tcW w:w="0" w:type="auto"/>
            <w:vAlign w:val="center"/>
            <w:hideMark/>
          </w:tcPr>
          <w:p w14:paraId="2F1AF5D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24.0 days</w:t>
            </w:r>
          </w:p>
        </w:tc>
      </w:tr>
      <w:tr w:rsidR="00203808" w:rsidRPr="00203808" w14:paraId="72722674" w14:textId="77777777" w:rsidTr="008C2C42">
        <w:trPr>
          <w:tblCellSpacing w:w="15" w:type="dxa"/>
        </w:trPr>
        <w:tc>
          <w:tcPr>
            <w:tcW w:w="0" w:type="auto"/>
            <w:vAlign w:val="center"/>
            <w:hideMark/>
          </w:tcPr>
          <w:p w14:paraId="3C434C1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7CCAA1F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746</w:t>
            </w:r>
          </w:p>
        </w:tc>
        <w:tc>
          <w:tcPr>
            <w:tcW w:w="0" w:type="auto"/>
            <w:vAlign w:val="center"/>
            <w:hideMark/>
          </w:tcPr>
          <w:p w14:paraId="04B5310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Standardised series</w:t>
            </w:r>
          </w:p>
        </w:tc>
        <w:tc>
          <w:tcPr>
            <w:tcW w:w="0" w:type="auto"/>
            <w:vAlign w:val="center"/>
            <w:hideMark/>
          </w:tcPr>
          <w:p w14:paraId="362632A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16.8 days</w:t>
            </w:r>
          </w:p>
        </w:tc>
      </w:tr>
      <w:tr w:rsidR="00203808" w:rsidRPr="00203808" w14:paraId="3754B367" w14:textId="77777777" w:rsidTr="008C2C42">
        <w:trPr>
          <w:tblCellSpacing w:w="15" w:type="dxa"/>
        </w:trPr>
        <w:tc>
          <w:tcPr>
            <w:tcW w:w="0" w:type="auto"/>
            <w:vAlign w:val="center"/>
            <w:hideMark/>
          </w:tcPr>
          <w:p w14:paraId="203A1EA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70B7103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738</w:t>
            </w:r>
          </w:p>
        </w:tc>
        <w:tc>
          <w:tcPr>
            <w:tcW w:w="0" w:type="auto"/>
            <w:vAlign w:val="center"/>
            <w:hideMark/>
          </w:tcPr>
          <w:p w14:paraId="39F6BBA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Standardised series</w:t>
            </w:r>
          </w:p>
        </w:tc>
        <w:tc>
          <w:tcPr>
            <w:tcW w:w="0" w:type="auto"/>
            <w:vAlign w:val="center"/>
            <w:hideMark/>
          </w:tcPr>
          <w:p w14:paraId="4989678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14.4 days</w:t>
            </w:r>
          </w:p>
        </w:tc>
      </w:tr>
      <w:tr w:rsidR="00203808" w:rsidRPr="00203808" w14:paraId="64EA158D" w14:textId="77777777" w:rsidTr="008C2C42">
        <w:trPr>
          <w:tblCellSpacing w:w="15" w:type="dxa"/>
        </w:trPr>
        <w:tc>
          <w:tcPr>
            <w:tcW w:w="0" w:type="auto"/>
            <w:vAlign w:val="center"/>
            <w:hideMark/>
          </w:tcPr>
          <w:p w14:paraId="477353B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2E5EFFB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763</w:t>
            </w:r>
          </w:p>
        </w:tc>
        <w:tc>
          <w:tcPr>
            <w:tcW w:w="0" w:type="auto"/>
            <w:vAlign w:val="center"/>
            <w:hideMark/>
          </w:tcPr>
          <w:p w14:paraId="0D8451A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Standardised series</w:t>
            </w:r>
          </w:p>
        </w:tc>
        <w:tc>
          <w:tcPr>
            <w:tcW w:w="0" w:type="auto"/>
            <w:vAlign w:val="center"/>
            <w:hideMark/>
          </w:tcPr>
          <w:p w14:paraId="283DC63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13.8 days</w:t>
            </w:r>
          </w:p>
        </w:tc>
      </w:tr>
      <w:tr w:rsidR="00203808" w:rsidRPr="00203808" w14:paraId="545AEB11" w14:textId="77777777" w:rsidTr="008C2C42">
        <w:trPr>
          <w:tblCellSpacing w:w="15" w:type="dxa"/>
        </w:trPr>
        <w:tc>
          <w:tcPr>
            <w:tcW w:w="0" w:type="auto"/>
            <w:tcBorders>
              <w:bottom w:val="thickThinSmallGap" w:sz="24" w:space="0" w:color="auto"/>
            </w:tcBorders>
            <w:vAlign w:val="center"/>
            <w:hideMark/>
          </w:tcPr>
          <w:p w14:paraId="0349BFC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3F5005C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814</w:t>
            </w:r>
          </w:p>
        </w:tc>
        <w:tc>
          <w:tcPr>
            <w:tcW w:w="0" w:type="auto"/>
            <w:tcBorders>
              <w:bottom w:val="thickThinSmallGap" w:sz="24" w:space="0" w:color="auto"/>
            </w:tcBorders>
            <w:vAlign w:val="center"/>
            <w:hideMark/>
          </w:tcPr>
          <w:p w14:paraId="7BFB334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Standardised series</w:t>
            </w:r>
          </w:p>
        </w:tc>
        <w:tc>
          <w:tcPr>
            <w:tcW w:w="0" w:type="auto"/>
            <w:tcBorders>
              <w:bottom w:val="thickThinSmallGap" w:sz="24" w:space="0" w:color="auto"/>
            </w:tcBorders>
            <w:vAlign w:val="center"/>
            <w:hideMark/>
          </w:tcPr>
          <w:p w14:paraId="6EEB4FA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14.2 days</w:t>
            </w:r>
          </w:p>
        </w:tc>
      </w:tr>
    </w:tbl>
    <w:p w14:paraId="3EF8D6B3" w14:textId="77777777" w:rsidR="00ED72CF" w:rsidRDefault="00ED72CF" w:rsidP="00203808">
      <w:pPr>
        <w:spacing w:after="0" w:line="360" w:lineRule="auto"/>
        <w:jc w:val="both"/>
        <w:rPr>
          <w:rFonts w:cs="Arial"/>
          <w:sz w:val="22"/>
        </w:rPr>
      </w:pPr>
    </w:p>
    <w:p w14:paraId="40379C06" w14:textId="77777777" w:rsidR="00BE2860" w:rsidRDefault="00BE2860" w:rsidP="00203808">
      <w:pPr>
        <w:spacing w:after="0" w:line="360" w:lineRule="auto"/>
        <w:jc w:val="both"/>
        <w:rPr>
          <w:rFonts w:cs="Arial"/>
          <w:sz w:val="22"/>
        </w:rPr>
      </w:pPr>
    </w:p>
    <w:p w14:paraId="5958D6DB" w14:textId="77777777" w:rsidR="00BE2860" w:rsidRDefault="00BE2860" w:rsidP="00203808">
      <w:pPr>
        <w:spacing w:after="0" w:line="360" w:lineRule="auto"/>
        <w:jc w:val="both"/>
        <w:rPr>
          <w:rFonts w:cs="Arial"/>
          <w:sz w:val="22"/>
        </w:rPr>
      </w:pPr>
    </w:p>
    <w:p w14:paraId="29EA132F" w14:textId="77777777" w:rsidR="00BE2860" w:rsidRDefault="00BE2860" w:rsidP="00203808">
      <w:pPr>
        <w:spacing w:after="0" w:line="360" w:lineRule="auto"/>
        <w:jc w:val="both"/>
        <w:rPr>
          <w:rFonts w:cs="Arial"/>
          <w:sz w:val="22"/>
        </w:rPr>
      </w:pPr>
    </w:p>
    <w:p w14:paraId="48965E43" w14:textId="77777777" w:rsidR="00BE2860" w:rsidRDefault="00BE2860" w:rsidP="00203808">
      <w:pPr>
        <w:spacing w:after="0" w:line="360" w:lineRule="auto"/>
        <w:jc w:val="both"/>
        <w:rPr>
          <w:rFonts w:cs="Arial"/>
          <w:sz w:val="22"/>
        </w:rPr>
      </w:pPr>
    </w:p>
    <w:p w14:paraId="7A22CA5B" w14:textId="77777777" w:rsidR="00BE2860" w:rsidRDefault="00BE2860" w:rsidP="00203808">
      <w:pPr>
        <w:spacing w:after="0" w:line="360" w:lineRule="auto"/>
        <w:jc w:val="both"/>
        <w:rPr>
          <w:rFonts w:cs="Arial"/>
          <w:sz w:val="22"/>
        </w:rPr>
      </w:pPr>
    </w:p>
    <w:p w14:paraId="31F2D277" w14:textId="77777777" w:rsidR="00BE2860" w:rsidRDefault="00BE2860" w:rsidP="00203808">
      <w:pPr>
        <w:spacing w:after="0" w:line="360" w:lineRule="auto"/>
        <w:jc w:val="both"/>
        <w:rPr>
          <w:rFonts w:cs="Arial"/>
          <w:sz w:val="22"/>
        </w:rPr>
      </w:pPr>
    </w:p>
    <w:p w14:paraId="2C78A961" w14:textId="77777777" w:rsidR="00BE2860" w:rsidRDefault="00BE2860" w:rsidP="00203808">
      <w:pPr>
        <w:spacing w:after="0" w:line="360" w:lineRule="auto"/>
        <w:jc w:val="both"/>
        <w:rPr>
          <w:rFonts w:cs="Arial"/>
          <w:sz w:val="22"/>
        </w:rPr>
      </w:pPr>
    </w:p>
    <w:p w14:paraId="17DAFF9C" w14:textId="77777777" w:rsidR="00BE2860" w:rsidRDefault="00BE2860" w:rsidP="00203808">
      <w:pPr>
        <w:spacing w:after="0" w:line="360" w:lineRule="auto"/>
        <w:jc w:val="both"/>
        <w:rPr>
          <w:rFonts w:cs="Arial"/>
          <w:sz w:val="22"/>
        </w:rPr>
      </w:pPr>
    </w:p>
    <w:p w14:paraId="7CF9175C" w14:textId="77777777" w:rsidR="00BE2860" w:rsidRDefault="00BE2860" w:rsidP="00203808">
      <w:pPr>
        <w:spacing w:after="0" w:line="360" w:lineRule="auto"/>
        <w:jc w:val="both"/>
        <w:rPr>
          <w:rFonts w:cs="Arial"/>
          <w:sz w:val="22"/>
        </w:rPr>
      </w:pPr>
    </w:p>
    <w:p w14:paraId="1CB9BA7F" w14:textId="77777777" w:rsidR="00BE2860" w:rsidRPr="00203808" w:rsidRDefault="00BE2860" w:rsidP="00203808">
      <w:pPr>
        <w:spacing w:after="0" w:line="360" w:lineRule="auto"/>
        <w:jc w:val="both"/>
        <w:rPr>
          <w:rFonts w:cs="Arial"/>
          <w:sz w:val="22"/>
        </w:rPr>
      </w:pPr>
    </w:p>
    <w:p w14:paraId="6B515D9A" w14:textId="77777777" w:rsidR="00ED72CF" w:rsidRPr="00203808" w:rsidRDefault="00ED72CF" w:rsidP="00203808">
      <w:pPr>
        <w:spacing w:after="0" w:line="360" w:lineRule="auto"/>
        <w:jc w:val="both"/>
        <w:rPr>
          <w:rFonts w:cs="Arial"/>
          <w:sz w:val="22"/>
          <w:lang w:val="en-GB"/>
        </w:rPr>
      </w:pPr>
      <w:r w:rsidRPr="00203808">
        <w:rPr>
          <w:rFonts w:cs="Arial"/>
          <w:b/>
          <w:bCs/>
          <w:sz w:val="22"/>
          <w:u w:val="single"/>
        </w:rPr>
        <w:lastRenderedPageBreak/>
        <w:t xml:space="preserve">Appendix </w:t>
      </w:r>
      <w:proofErr w:type="gramStart"/>
      <w:r w:rsidRPr="00203808">
        <w:rPr>
          <w:rFonts w:cs="Arial"/>
          <w:b/>
          <w:bCs/>
          <w:sz w:val="22"/>
          <w:u w:val="single"/>
        </w:rPr>
        <w:t xml:space="preserve">6 </w:t>
      </w:r>
      <w:r w:rsidRPr="00203808">
        <w:rPr>
          <w:rFonts w:cs="Arial"/>
          <w:b/>
          <w:bCs/>
          <w:sz w:val="22"/>
          <w:u w:val="single"/>
          <w:lang w:val="en-GB"/>
        </w:rPr>
        <w:t>:</w:t>
      </w:r>
      <w:proofErr w:type="gramEnd"/>
      <w:r w:rsidRPr="00203808">
        <w:rPr>
          <w:rFonts w:cs="Arial"/>
          <w:b/>
          <w:bCs/>
          <w:sz w:val="22"/>
          <w:lang w:val="en-GB"/>
        </w:rPr>
        <w:t xml:space="preserve"> </w:t>
      </w:r>
      <w:r w:rsidRPr="00203808">
        <w:rPr>
          <w:rFonts w:cs="Arial"/>
          <w:b/>
          <w:bCs/>
          <w:sz w:val="22"/>
        </w:rPr>
        <w:t xml:space="preserve">Autor’s calculations of </w:t>
      </w:r>
      <w:r w:rsidRPr="00203808">
        <w:rPr>
          <w:rFonts w:cs="Arial"/>
          <w:sz w:val="22"/>
          <w:lang w:val="en-GB"/>
        </w:rPr>
        <w:t>Gearing Ratios</w:t>
      </w:r>
      <w:r w:rsidRPr="00203808">
        <w:rPr>
          <w:rFonts w:cs="Arial"/>
          <w:sz w:val="22"/>
        </w:rPr>
        <w:t xml:space="preserve"> 2021-2025  </w:t>
      </w:r>
    </w:p>
    <w:p w14:paraId="2B80CF3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 Debt-to-Assets</w:t>
      </w:r>
    </w:p>
    <w:p w14:paraId="079A249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3F7B2DE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Debt-to-Assets = Total Interest-Bearing Debt ÷ Total Assets × 100</w:t>
      </w:r>
    </w:p>
    <w:p w14:paraId="739D618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Total debt = Current portion of long-term debt + Long-term debt.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
        <w:gridCol w:w="1552"/>
        <w:gridCol w:w="1760"/>
        <w:gridCol w:w="2267"/>
        <w:gridCol w:w="1530"/>
      </w:tblGrid>
      <w:tr w:rsidR="00203808" w:rsidRPr="00203808" w14:paraId="5DB3348B"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77B2FA4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Year</w:t>
            </w:r>
          </w:p>
        </w:tc>
        <w:tc>
          <w:tcPr>
            <w:tcW w:w="0" w:type="auto"/>
            <w:tcBorders>
              <w:top w:val="thinThickSmallGap" w:sz="24" w:space="0" w:color="auto"/>
              <w:bottom w:val="thickThinSmallGap" w:sz="24" w:space="0" w:color="auto"/>
            </w:tcBorders>
            <w:vAlign w:val="center"/>
            <w:hideMark/>
          </w:tcPr>
          <w:p w14:paraId="2838D41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Total debt ($m)</w:t>
            </w:r>
          </w:p>
        </w:tc>
        <w:tc>
          <w:tcPr>
            <w:tcW w:w="0" w:type="auto"/>
            <w:tcBorders>
              <w:top w:val="thinThickSmallGap" w:sz="24" w:space="0" w:color="auto"/>
              <w:bottom w:val="thickThinSmallGap" w:sz="24" w:space="0" w:color="auto"/>
            </w:tcBorders>
            <w:vAlign w:val="center"/>
            <w:hideMark/>
          </w:tcPr>
          <w:p w14:paraId="272DE6F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Total assets ($m)</w:t>
            </w:r>
          </w:p>
        </w:tc>
        <w:tc>
          <w:tcPr>
            <w:tcW w:w="0" w:type="auto"/>
            <w:tcBorders>
              <w:top w:val="thinThickSmallGap" w:sz="24" w:space="0" w:color="auto"/>
              <w:bottom w:val="thickThinSmallGap" w:sz="24" w:space="0" w:color="auto"/>
            </w:tcBorders>
            <w:vAlign w:val="center"/>
            <w:hideMark/>
          </w:tcPr>
          <w:p w14:paraId="2701DBA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Calculation</w:t>
            </w:r>
          </w:p>
        </w:tc>
        <w:tc>
          <w:tcPr>
            <w:tcW w:w="0" w:type="auto"/>
            <w:tcBorders>
              <w:top w:val="thinThickSmallGap" w:sz="24" w:space="0" w:color="auto"/>
              <w:bottom w:val="thickThinSmallGap" w:sz="24" w:space="0" w:color="auto"/>
            </w:tcBorders>
            <w:vAlign w:val="center"/>
            <w:hideMark/>
          </w:tcPr>
          <w:p w14:paraId="0D53AA2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Debt-to-Assets</w:t>
            </w:r>
          </w:p>
        </w:tc>
      </w:tr>
      <w:tr w:rsidR="00203808" w:rsidRPr="00203808" w14:paraId="43FD399E" w14:textId="77777777" w:rsidTr="008C2C42">
        <w:trPr>
          <w:tblCellSpacing w:w="15" w:type="dxa"/>
        </w:trPr>
        <w:tc>
          <w:tcPr>
            <w:tcW w:w="0" w:type="auto"/>
            <w:vAlign w:val="center"/>
            <w:hideMark/>
          </w:tcPr>
          <w:p w14:paraId="3EF38FF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20E5C30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10,138</w:t>
            </w:r>
          </w:p>
        </w:tc>
        <w:tc>
          <w:tcPr>
            <w:tcW w:w="0" w:type="auto"/>
            <w:vAlign w:val="center"/>
            <w:hideMark/>
          </w:tcPr>
          <w:p w14:paraId="2978B3E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25,553</w:t>
            </w:r>
          </w:p>
        </w:tc>
        <w:tc>
          <w:tcPr>
            <w:tcW w:w="0" w:type="auto"/>
            <w:vAlign w:val="center"/>
            <w:hideMark/>
          </w:tcPr>
          <w:p w14:paraId="169A40C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10,138 ÷ 25,553 × 100</w:t>
            </w:r>
          </w:p>
        </w:tc>
        <w:tc>
          <w:tcPr>
            <w:tcW w:w="0" w:type="auto"/>
            <w:vAlign w:val="center"/>
            <w:hideMark/>
          </w:tcPr>
          <w:p w14:paraId="36B4751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39.7%</w:t>
            </w:r>
          </w:p>
        </w:tc>
      </w:tr>
      <w:tr w:rsidR="00203808" w:rsidRPr="00203808" w14:paraId="5B7FD1A0" w14:textId="77777777" w:rsidTr="008C2C42">
        <w:trPr>
          <w:tblCellSpacing w:w="15" w:type="dxa"/>
        </w:trPr>
        <w:tc>
          <w:tcPr>
            <w:tcW w:w="0" w:type="auto"/>
            <w:vAlign w:val="center"/>
            <w:hideMark/>
          </w:tcPr>
          <w:p w14:paraId="64982DB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3D1E1AE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10,064</w:t>
            </w:r>
          </w:p>
        </w:tc>
        <w:tc>
          <w:tcPr>
            <w:tcW w:w="0" w:type="auto"/>
            <w:vAlign w:val="center"/>
            <w:hideMark/>
          </w:tcPr>
          <w:p w14:paraId="46FBA2F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24,815</w:t>
            </w:r>
          </w:p>
        </w:tc>
        <w:tc>
          <w:tcPr>
            <w:tcW w:w="0" w:type="auto"/>
            <w:vAlign w:val="center"/>
            <w:hideMark/>
          </w:tcPr>
          <w:p w14:paraId="3EA8497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10,064 ÷ 24,815 × 100</w:t>
            </w:r>
          </w:p>
        </w:tc>
        <w:tc>
          <w:tcPr>
            <w:tcW w:w="0" w:type="auto"/>
            <w:vAlign w:val="center"/>
            <w:hideMark/>
          </w:tcPr>
          <w:p w14:paraId="5916D1E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40.6%</w:t>
            </w:r>
          </w:p>
        </w:tc>
      </w:tr>
      <w:tr w:rsidR="00203808" w:rsidRPr="00203808" w14:paraId="22B2369F" w14:textId="77777777" w:rsidTr="008C2C42">
        <w:trPr>
          <w:tblCellSpacing w:w="15" w:type="dxa"/>
        </w:trPr>
        <w:tc>
          <w:tcPr>
            <w:tcW w:w="0" w:type="auto"/>
            <w:vAlign w:val="center"/>
            <w:hideMark/>
          </w:tcPr>
          <w:p w14:paraId="5199DC3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16A2E65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11,873</w:t>
            </w:r>
          </w:p>
        </w:tc>
        <w:tc>
          <w:tcPr>
            <w:tcW w:w="0" w:type="auto"/>
            <w:vAlign w:val="center"/>
            <w:hideMark/>
          </w:tcPr>
          <w:p w14:paraId="026AFA0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25,674</w:t>
            </w:r>
          </w:p>
        </w:tc>
        <w:tc>
          <w:tcPr>
            <w:tcW w:w="0" w:type="auto"/>
            <w:vAlign w:val="center"/>
            <w:hideMark/>
          </w:tcPr>
          <w:p w14:paraId="5D06023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11,873 ÷ 25,674 × 100</w:t>
            </w:r>
          </w:p>
        </w:tc>
        <w:tc>
          <w:tcPr>
            <w:tcW w:w="0" w:type="auto"/>
            <w:vAlign w:val="center"/>
            <w:hideMark/>
          </w:tcPr>
          <w:p w14:paraId="4A9073A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46.2%</w:t>
            </w:r>
          </w:p>
        </w:tc>
      </w:tr>
      <w:tr w:rsidR="00203808" w:rsidRPr="00203808" w14:paraId="545AE710" w14:textId="77777777" w:rsidTr="008C2C42">
        <w:trPr>
          <w:tblCellSpacing w:w="15" w:type="dxa"/>
        </w:trPr>
        <w:tc>
          <w:tcPr>
            <w:tcW w:w="0" w:type="auto"/>
            <w:vAlign w:val="center"/>
            <w:hideMark/>
          </w:tcPr>
          <w:p w14:paraId="29E640E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0154171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14,447</w:t>
            </w:r>
          </w:p>
        </w:tc>
        <w:tc>
          <w:tcPr>
            <w:tcW w:w="0" w:type="auto"/>
            <w:vAlign w:val="center"/>
            <w:hideMark/>
          </w:tcPr>
          <w:p w14:paraId="1207746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26,182</w:t>
            </w:r>
          </w:p>
        </w:tc>
        <w:tc>
          <w:tcPr>
            <w:tcW w:w="0" w:type="auto"/>
            <w:vAlign w:val="center"/>
            <w:hideMark/>
          </w:tcPr>
          <w:p w14:paraId="430A389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14,447 ÷ 26,182 × 100</w:t>
            </w:r>
          </w:p>
        </w:tc>
        <w:tc>
          <w:tcPr>
            <w:tcW w:w="0" w:type="auto"/>
            <w:vAlign w:val="center"/>
            <w:hideMark/>
          </w:tcPr>
          <w:p w14:paraId="7A2ABB2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55.2%</w:t>
            </w:r>
          </w:p>
        </w:tc>
      </w:tr>
      <w:tr w:rsidR="00203808" w:rsidRPr="00203808" w14:paraId="631EB7AC" w14:textId="77777777" w:rsidTr="008C2C42">
        <w:trPr>
          <w:tblCellSpacing w:w="15" w:type="dxa"/>
        </w:trPr>
        <w:tc>
          <w:tcPr>
            <w:tcW w:w="0" w:type="auto"/>
            <w:tcBorders>
              <w:bottom w:val="thickThinSmallGap" w:sz="24" w:space="0" w:color="auto"/>
            </w:tcBorders>
            <w:vAlign w:val="center"/>
            <w:hideMark/>
          </w:tcPr>
          <w:p w14:paraId="3E5F42A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678BF0F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16,204</w:t>
            </w:r>
          </w:p>
        </w:tc>
        <w:tc>
          <w:tcPr>
            <w:tcW w:w="0" w:type="auto"/>
            <w:tcBorders>
              <w:bottom w:val="thickThinSmallGap" w:sz="24" w:space="0" w:color="auto"/>
            </w:tcBorders>
            <w:vAlign w:val="center"/>
            <w:hideMark/>
          </w:tcPr>
          <w:p w14:paraId="7EA7B20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27,540</w:t>
            </w:r>
          </w:p>
        </w:tc>
        <w:tc>
          <w:tcPr>
            <w:tcW w:w="0" w:type="auto"/>
            <w:tcBorders>
              <w:bottom w:val="thickThinSmallGap" w:sz="24" w:space="0" w:color="auto"/>
            </w:tcBorders>
            <w:vAlign w:val="center"/>
            <w:hideMark/>
          </w:tcPr>
          <w:p w14:paraId="0264C9C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16,204 ÷ 27,540 × 100</w:t>
            </w:r>
          </w:p>
        </w:tc>
        <w:tc>
          <w:tcPr>
            <w:tcW w:w="0" w:type="auto"/>
            <w:tcBorders>
              <w:bottom w:val="thickThinSmallGap" w:sz="24" w:space="0" w:color="auto"/>
            </w:tcBorders>
            <w:vAlign w:val="center"/>
            <w:hideMark/>
          </w:tcPr>
          <w:p w14:paraId="6F9C881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58.8%</w:t>
            </w:r>
          </w:p>
        </w:tc>
      </w:tr>
    </w:tbl>
    <w:p w14:paraId="2C792B0F" w14:textId="77777777" w:rsidR="00ED72CF" w:rsidRPr="00203808" w:rsidRDefault="00ED72CF" w:rsidP="00203808">
      <w:pPr>
        <w:spacing w:after="0" w:line="360" w:lineRule="auto"/>
        <w:jc w:val="both"/>
        <w:rPr>
          <w:rFonts w:cs="Arial"/>
          <w:sz w:val="22"/>
        </w:rPr>
      </w:pPr>
    </w:p>
    <w:p w14:paraId="3F75B5AB" w14:textId="77777777" w:rsidR="00ED72CF" w:rsidRPr="00BE2860" w:rsidRDefault="00ED72CF" w:rsidP="00203808">
      <w:pPr>
        <w:spacing w:after="0" w:line="360" w:lineRule="auto"/>
        <w:jc w:val="both"/>
        <w:rPr>
          <w:rFonts w:cs="Arial"/>
          <w:b/>
          <w:bCs/>
          <w:sz w:val="22"/>
          <w:lang w:val="en-GB"/>
        </w:rPr>
      </w:pPr>
      <w:r w:rsidRPr="00BE2860">
        <w:rPr>
          <w:rFonts w:cs="Arial"/>
          <w:b/>
          <w:bCs/>
          <w:sz w:val="22"/>
          <w:lang w:val="en-GB"/>
        </w:rPr>
        <w:t>2. Debt-to-Equity</w:t>
      </w:r>
    </w:p>
    <w:p w14:paraId="21C7251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6FE666C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Debt-to-Equity = Total Debt ÷ Shareholders' Equity × 100</w:t>
      </w:r>
    </w:p>
    <w:p w14:paraId="7502ADF2" w14:textId="77777777" w:rsidR="00ED72CF" w:rsidRPr="00203808" w:rsidRDefault="00ED72CF" w:rsidP="00203808">
      <w:pPr>
        <w:spacing w:after="0" w:line="360" w:lineRule="auto"/>
        <w:jc w:val="both"/>
        <w:rPr>
          <w:rFonts w:cs="Arial"/>
          <w:b/>
          <w:bCs/>
          <w:sz w:val="22"/>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
        <w:gridCol w:w="1552"/>
        <w:gridCol w:w="2573"/>
        <w:gridCol w:w="1482"/>
      </w:tblGrid>
      <w:tr w:rsidR="00203808" w:rsidRPr="00203808" w14:paraId="6AF84FE8"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02D8174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Year</w:t>
            </w:r>
          </w:p>
        </w:tc>
        <w:tc>
          <w:tcPr>
            <w:tcW w:w="0" w:type="auto"/>
            <w:tcBorders>
              <w:top w:val="thinThickSmallGap" w:sz="24" w:space="0" w:color="auto"/>
              <w:bottom w:val="thickThinSmallGap" w:sz="24" w:space="0" w:color="auto"/>
            </w:tcBorders>
            <w:vAlign w:val="center"/>
            <w:hideMark/>
          </w:tcPr>
          <w:p w14:paraId="3701A3B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Total debt ($m)</w:t>
            </w:r>
          </w:p>
        </w:tc>
        <w:tc>
          <w:tcPr>
            <w:tcW w:w="0" w:type="auto"/>
            <w:tcBorders>
              <w:top w:val="thinThickSmallGap" w:sz="24" w:space="0" w:color="auto"/>
              <w:bottom w:val="thickThinSmallGap" w:sz="24" w:space="0" w:color="auto"/>
            </w:tcBorders>
            <w:vAlign w:val="center"/>
            <w:hideMark/>
          </w:tcPr>
          <w:p w14:paraId="54F32BD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Shareholders' equity ($m)</w:t>
            </w:r>
          </w:p>
        </w:tc>
        <w:tc>
          <w:tcPr>
            <w:tcW w:w="0" w:type="auto"/>
            <w:tcBorders>
              <w:top w:val="thinThickSmallGap" w:sz="24" w:space="0" w:color="auto"/>
              <w:bottom w:val="thickThinSmallGap" w:sz="24" w:space="0" w:color="auto"/>
            </w:tcBorders>
            <w:vAlign w:val="center"/>
            <w:hideMark/>
          </w:tcPr>
          <w:p w14:paraId="0FE54E4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Debt-to-Equity</w:t>
            </w:r>
          </w:p>
        </w:tc>
      </w:tr>
      <w:tr w:rsidR="00203808" w:rsidRPr="00203808" w14:paraId="6CFF6475" w14:textId="77777777" w:rsidTr="008C2C42">
        <w:trPr>
          <w:tblCellSpacing w:w="15" w:type="dxa"/>
        </w:trPr>
        <w:tc>
          <w:tcPr>
            <w:tcW w:w="0" w:type="auto"/>
            <w:vAlign w:val="center"/>
            <w:hideMark/>
          </w:tcPr>
          <w:p w14:paraId="531E62E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4FC4254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10,138</w:t>
            </w:r>
          </w:p>
        </w:tc>
        <w:tc>
          <w:tcPr>
            <w:tcW w:w="0" w:type="auto"/>
            <w:vAlign w:val="center"/>
            <w:hideMark/>
          </w:tcPr>
          <w:p w14:paraId="32D7294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1,414</w:t>
            </w:r>
          </w:p>
        </w:tc>
        <w:tc>
          <w:tcPr>
            <w:tcW w:w="0" w:type="auto"/>
            <w:vAlign w:val="center"/>
            <w:hideMark/>
          </w:tcPr>
          <w:p w14:paraId="0358494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716.7%</w:t>
            </w:r>
          </w:p>
        </w:tc>
      </w:tr>
      <w:tr w:rsidR="00203808" w:rsidRPr="00203808" w14:paraId="3473F5B0" w14:textId="77777777" w:rsidTr="008C2C42">
        <w:trPr>
          <w:tblCellSpacing w:w="15" w:type="dxa"/>
        </w:trPr>
        <w:tc>
          <w:tcPr>
            <w:tcW w:w="0" w:type="auto"/>
            <w:vAlign w:val="center"/>
            <w:hideMark/>
          </w:tcPr>
          <w:p w14:paraId="1CBDC38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370308F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10,064</w:t>
            </w:r>
          </w:p>
        </w:tc>
        <w:tc>
          <w:tcPr>
            <w:tcW w:w="0" w:type="auto"/>
            <w:vAlign w:val="center"/>
            <w:hideMark/>
          </w:tcPr>
          <w:p w14:paraId="0A7B5C9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568</w:t>
            </w:r>
          </w:p>
        </w:tc>
        <w:tc>
          <w:tcPr>
            <w:tcW w:w="0" w:type="auto"/>
            <w:vAlign w:val="center"/>
            <w:hideMark/>
          </w:tcPr>
          <w:p w14:paraId="399C18E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1,768.3%</w:t>
            </w:r>
          </w:p>
        </w:tc>
      </w:tr>
      <w:tr w:rsidR="00203808" w:rsidRPr="00203808" w14:paraId="4A46171D" w14:textId="77777777" w:rsidTr="008C2C42">
        <w:trPr>
          <w:tblCellSpacing w:w="15" w:type="dxa"/>
        </w:trPr>
        <w:tc>
          <w:tcPr>
            <w:tcW w:w="0" w:type="auto"/>
            <w:vAlign w:val="center"/>
            <w:hideMark/>
          </w:tcPr>
          <w:p w14:paraId="5FA53B6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60E3B4E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11,873</w:t>
            </w:r>
          </w:p>
        </w:tc>
        <w:tc>
          <w:tcPr>
            <w:tcW w:w="0" w:type="auto"/>
            <w:vAlign w:val="center"/>
            <w:hideMark/>
          </w:tcPr>
          <w:p w14:paraId="1AA0ED3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(682)</w:t>
            </w:r>
          </w:p>
        </w:tc>
        <w:tc>
          <w:tcPr>
            <w:tcW w:w="0" w:type="auto"/>
            <w:vAlign w:val="center"/>
            <w:hideMark/>
          </w:tcPr>
          <w:p w14:paraId="2ABA5B1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N/M</w:t>
            </w:r>
          </w:p>
        </w:tc>
      </w:tr>
      <w:tr w:rsidR="00203808" w:rsidRPr="00203808" w14:paraId="74A3FD89" w14:textId="77777777" w:rsidTr="008C2C42">
        <w:trPr>
          <w:tblCellSpacing w:w="15" w:type="dxa"/>
        </w:trPr>
        <w:tc>
          <w:tcPr>
            <w:tcW w:w="0" w:type="auto"/>
            <w:vAlign w:val="center"/>
            <w:hideMark/>
          </w:tcPr>
          <w:p w14:paraId="7DF19A7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38C076E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14,447</w:t>
            </w:r>
          </w:p>
        </w:tc>
        <w:tc>
          <w:tcPr>
            <w:tcW w:w="0" w:type="auto"/>
            <w:vAlign w:val="center"/>
            <w:hideMark/>
          </w:tcPr>
          <w:p w14:paraId="4A9ED03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(2,992)</w:t>
            </w:r>
          </w:p>
        </w:tc>
        <w:tc>
          <w:tcPr>
            <w:tcW w:w="0" w:type="auto"/>
            <w:vAlign w:val="center"/>
            <w:hideMark/>
          </w:tcPr>
          <w:p w14:paraId="49A5B1D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N/M</w:t>
            </w:r>
          </w:p>
        </w:tc>
      </w:tr>
      <w:tr w:rsidR="00203808" w:rsidRPr="00203808" w14:paraId="690A7113" w14:textId="77777777" w:rsidTr="008C2C42">
        <w:trPr>
          <w:tblCellSpacing w:w="15" w:type="dxa"/>
        </w:trPr>
        <w:tc>
          <w:tcPr>
            <w:tcW w:w="0" w:type="auto"/>
            <w:tcBorders>
              <w:bottom w:val="thickThinSmallGap" w:sz="24" w:space="0" w:color="auto"/>
            </w:tcBorders>
            <w:vAlign w:val="center"/>
            <w:hideMark/>
          </w:tcPr>
          <w:p w14:paraId="524263B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57F8092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16,204</w:t>
            </w:r>
          </w:p>
        </w:tc>
        <w:tc>
          <w:tcPr>
            <w:tcW w:w="0" w:type="auto"/>
            <w:tcBorders>
              <w:bottom w:val="thickThinSmallGap" w:sz="24" w:space="0" w:color="auto"/>
            </w:tcBorders>
            <w:vAlign w:val="center"/>
            <w:hideMark/>
          </w:tcPr>
          <w:p w14:paraId="61849E7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(3,771)</w:t>
            </w:r>
          </w:p>
        </w:tc>
        <w:tc>
          <w:tcPr>
            <w:tcW w:w="0" w:type="auto"/>
            <w:tcBorders>
              <w:bottom w:val="thickThinSmallGap" w:sz="24" w:space="0" w:color="auto"/>
            </w:tcBorders>
            <w:vAlign w:val="center"/>
            <w:hideMark/>
          </w:tcPr>
          <w:p w14:paraId="37C0585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N/M</w:t>
            </w:r>
          </w:p>
        </w:tc>
      </w:tr>
    </w:tbl>
    <w:p w14:paraId="50A0D3D2" w14:textId="77777777" w:rsidR="00ED72CF" w:rsidRPr="00203808" w:rsidRDefault="00ED72CF" w:rsidP="00203808">
      <w:pPr>
        <w:spacing w:after="0" w:line="360" w:lineRule="auto"/>
        <w:jc w:val="both"/>
        <w:rPr>
          <w:rFonts w:cs="Arial"/>
          <w:b/>
          <w:bCs/>
          <w:sz w:val="22"/>
          <w:lang w:val="en-GB"/>
        </w:rPr>
      </w:pPr>
    </w:p>
    <w:p w14:paraId="44EB0B09" w14:textId="77777777" w:rsidR="00ED72CF" w:rsidRPr="00BE2860" w:rsidRDefault="00ED72CF" w:rsidP="00203808">
      <w:pPr>
        <w:spacing w:after="0" w:line="360" w:lineRule="auto"/>
        <w:jc w:val="both"/>
        <w:rPr>
          <w:rFonts w:cs="Arial"/>
          <w:b/>
          <w:bCs/>
          <w:sz w:val="22"/>
          <w:lang w:val="en-GB"/>
        </w:rPr>
      </w:pPr>
      <w:r w:rsidRPr="00BE2860">
        <w:rPr>
          <w:rFonts w:cs="Arial"/>
          <w:b/>
          <w:bCs/>
          <w:sz w:val="22"/>
          <w:lang w:val="en-GB"/>
        </w:rPr>
        <w:t>3. Interest Coverage</w:t>
      </w:r>
    </w:p>
    <w:p w14:paraId="081339C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649B60A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Interest Coverage = Operating Income ÷ Interest Expense</w:t>
      </w:r>
    </w:p>
    <w:p w14:paraId="37D7C1B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Line correspondence:</w:t>
      </w:r>
    </w:p>
    <w:p w14:paraId="6B2F0AD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Operating income = Consolidated Statement of Income</w:t>
      </w:r>
    </w:p>
    <w:p w14:paraId="06BF4B3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Interest expense = Consolidated Statement of Income</w:t>
      </w:r>
      <w:bookmarkStart w:id="32" w:name="_Hlk237258248"/>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
        <w:gridCol w:w="2310"/>
        <w:gridCol w:w="2200"/>
        <w:gridCol w:w="1221"/>
        <w:gridCol w:w="1824"/>
      </w:tblGrid>
      <w:tr w:rsidR="00203808" w:rsidRPr="00203808" w14:paraId="7ED58FBE"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73B4917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lastRenderedPageBreak/>
              <w:t>Year</w:t>
            </w:r>
          </w:p>
        </w:tc>
        <w:tc>
          <w:tcPr>
            <w:tcW w:w="0" w:type="auto"/>
            <w:tcBorders>
              <w:top w:val="thinThickSmallGap" w:sz="24" w:space="0" w:color="auto"/>
              <w:bottom w:val="thickThinSmallGap" w:sz="24" w:space="0" w:color="auto"/>
            </w:tcBorders>
            <w:vAlign w:val="center"/>
            <w:hideMark/>
          </w:tcPr>
          <w:p w14:paraId="713D1C9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Operating income ($m)</w:t>
            </w:r>
          </w:p>
        </w:tc>
        <w:tc>
          <w:tcPr>
            <w:tcW w:w="0" w:type="auto"/>
            <w:tcBorders>
              <w:top w:val="thinThickSmallGap" w:sz="24" w:space="0" w:color="auto"/>
              <w:bottom w:val="thickThinSmallGap" w:sz="24" w:space="0" w:color="auto"/>
            </w:tcBorders>
            <w:vAlign w:val="center"/>
            <w:hideMark/>
          </w:tcPr>
          <w:p w14:paraId="507F3DC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Interest expense ($m)</w:t>
            </w:r>
          </w:p>
        </w:tc>
        <w:tc>
          <w:tcPr>
            <w:tcW w:w="0" w:type="auto"/>
            <w:tcBorders>
              <w:top w:val="thinThickSmallGap" w:sz="24" w:space="0" w:color="auto"/>
              <w:bottom w:val="thickThinSmallGap" w:sz="24" w:space="0" w:color="auto"/>
            </w:tcBorders>
            <w:vAlign w:val="center"/>
            <w:hideMark/>
          </w:tcPr>
          <w:p w14:paraId="3C70C7B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Calculation</w:t>
            </w:r>
          </w:p>
        </w:tc>
        <w:tc>
          <w:tcPr>
            <w:tcW w:w="0" w:type="auto"/>
            <w:tcBorders>
              <w:top w:val="thinThickSmallGap" w:sz="24" w:space="0" w:color="auto"/>
              <w:bottom w:val="thickThinSmallGap" w:sz="24" w:space="0" w:color="auto"/>
            </w:tcBorders>
            <w:vAlign w:val="center"/>
            <w:hideMark/>
          </w:tcPr>
          <w:p w14:paraId="4DA99C1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Interest Coverage</w:t>
            </w:r>
          </w:p>
        </w:tc>
      </w:tr>
      <w:tr w:rsidR="00203808" w:rsidRPr="00203808" w14:paraId="7B5F6DC2" w14:textId="77777777" w:rsidTr="008C2C42">
        <w:trPr>
          <w:tblCellSpacing w:w="15" w:type="dxa"/>
        </w:trPr>
        <w:tc>
          <w:tcPr>
            <w:tcW w:w="0" w:type="auto"/>
            <w:vAlign w:val="center"/>
            <w:hideMark/>
          </w:tcPr>
          <w:p w14:paraId="61F85C1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0FF2BA8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1,750</w:t>
            </w:r>
          </w:p>
        </w:tc>
        <w:tc>
          <w:tcPr>
            <w:tcW w:w="0" w:type="auto"/>
            <w:vAlign w:val="center"/>
            <w:hideMark/>
          </w:tcPr>
          <w:p w14:paraId="6DEB69E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420</w:t>
            </w:r>
          </w:p>
        </w:tc>
        <w:tc>
          <w:tcPr>
            <w:tcW w:w="0" w:type="auto"/>
            <w:vAlign w:val="center"/>
            <w:hideMark/>
          </w:tcPr>
          <w:p w14:paraId="7B4B4D2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1,750 ÷ 420</w:t>
            </w:r>
          </w:p>
        </w:tc>
        <w:tc>
          <w:tcPr>
            <w:tcW w:w="0" w:type="auto"/>
            <w:vAlign w:val="center"/>
            <w:hideMark/>
          </w:tcPr>
          <w:p w14:paraId="12DB1FC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4.17x</w:t>
            </w:r>
          </w:p>
        </w:tc>
      </w:tr>
      <w:tr w:rsidR="00203808" w:rsidRPr="00203808" w14:paraId="360A8799" w14:textId="77777777" w:rsidTr="008C2C42">
        <w:trPr>
          <w:tblCellSpacing w:w="15" w:type="dxa"/>
        </w:trPr>
        <w:tc>
          <w:tcPr>
            <w:tcW w:w="0" w:type="auto"/>
            <w:vAlign w:val="center"/>
            <w:hideMark/>
          </w:tcPr>
          <w:p w14:paraId="1702A27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5B1F73C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3,462</w:t>
            </w:r>
          </w:p>
        </w:tc>
        <w:tc>
          <w:tcPr>
            <w:tcW w:w="0" w:type="auto"/>
            <w:vAlign w:val="center"/>
            <w:hideMark/>
          </w:tcPr>
          <w:p w14:paraId="60A9EDF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403</w:t>
            </w:r>
          </w:p>
        </w:tc>
        <w:tc>
          <w:tcPr>
            <w:tcW w:w="0" w:type="auto"/>
            <w:vAlign w:val="center"/>
            <w:hideMark/>
          </w:tcPr>
          <w:p w14:paraId="7219FD0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3,462 ÷ 403</w:t>
            </w:r>
          </w:p>
        </w:tc>
        <w:tc>
          <w:tcPr>
            <w:tcW w:w="0" w:type="auto"/>
            <w:vAlign w:val="center"/>
            <w:hideMark/>
          </w:tcPr>
          <w:p w14:paraId="6A0DFF5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8.59x</w:t>
            </w:r>
          </w:p>
        </w:tc>
      </w:tr>
      <w:tr w:rsidR="00203808" w:rsidRPr="00203808" w14:paraId="6F67DB79" w14:textId="77777777" w:rsidTr="008C2C42">
        <w:trPr>
          <w:tblCellSpacing w:w="15" w:type="dxa"/>
        </w:trPr>
        <w:tc>
          <w:tcPr>
            <w:tcW w:w="0" w:type="auto"/>
            <w:vAlign w:val="center"/>
            <w:hideMark/>
          </w:tcPr>
          <w:p w14:paraId="4D00D93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349ADF2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3,864</w:t>
            </w:r>
          </w:p>
        </w:tc>
        <w:tc>
          <w:tcPr>
            <w:tcW w:w="0" w:type="auto"/>
            <w:vAlign w:val="center"/>
            <w:hideMark/>
          </w:tcPr>
          <w:p w14:paraId="346F23B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565</w:t>
            </w:r>
          </w:p>
        </w:tc>
        <w:tc>
          <w:tcPr>
            <w:tcW w:w="0" w:type="auto"/>
            <w:vAlign w:val="center"/>
            <w:hideMark/>
          </w:tcPr>
          <w:p w14:paraId="26BA3A2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3,864 ÷ 565</w:t>
            </w:r>
          </w:p>
        </w:tc>
        <w:tc>
          <w:tcPr>
            <w:tcW w:w="0" w:type="auto"/>
            <w:vAlign w:val="center"/>
            <w:hideMark/>
          </w:tcPr>
          <w:p w14:paraId="51561B7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6.84x</w:t>
            </w:r>
          </w:p>
        </w:tc>
      </w:tr>
      <w:tr w:rsidR="00203808" w:rsidRPr="00203808" w14:paraId="003D38DB" w14:textId="77777777" w:rsidTr="008C2C42">
        <w:trPr>
          <w:tblCellSpacing w:w="15" w:type="dxa"/>
        </w:trPr>
        <w:tc>
          <w:tcPr>
            <w:tcW w:w="0" w:type="auto"/>
            <w:vAlign w:val="center"/>
            <w:hideMark/>
          </w:tcPr>
          <w:p w14:paraId="7E5BA2D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1C833C4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3,767</w:t>
            </w:r>
          </w:p>
        </w:tc>
        <w:tc>
          <w:tcPr>
            <w:tcW w:w="0" w:type="auto"/>
            <w:vAlign w:val="center"/>
            <w:hideMark/>
          </w:tcPr>
          <w:p w14:paraId="71ABEA0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695</w:t>
            </w:r>
          </w:p>
        </w:tc>
        <w:tc>
          <w:tcPr>
            <w:tcW w:w="0" w:type="auto"/>
            <w:vAlign w:val="center"/>
            <w:hideMark/>
          </w:tcPr>
          <w:p w14:paraId="6B3DC28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3,767 ÷ 695</w:t>
            </w:r>
          </w:p>
        </w:tc>
        <w:tc>
          <w:tcPr>
            <w:tcW w:w="0" w:type="auto"/>
            <w:vAlign w:val="center"/>
            <w:hideMark/>
          </w:tcPr>
          <w:p w14:paraId="3B5D2AB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5.42x</w:t>
            </w:r>
          </w:p>
        </w:tc>
      </w:tr>
      <w:tr w:rsidR="00203808" w:rsidRPr="00203808" w14:paraId="3F4D8B16" w14:textId="77777777" w:rsidTr="008C2C42">
        <w:trPr>
          <w:tblCellSpacing w:w="15" w:type="dxa"/>
        </w:trPr>
        <w:tc>
          <w:tcPr>
            <w:tcW w:w="0" w:type="auto"/>
            <w:tcBorders>
              <w:bottom w:val="thickThinSmallGap" w:sz="24" w:space="0" w:color="auto"/>
            </w:tcBorders>
            <w:vAlign w:val="center"/>
            <w:hideMark/>
          </w:tcPr>
          <w:p w14:paraId="47BAD2C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6534A5A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4,141</w:t>
            </w:r>
          </w:p>
        </w:tc>
        <w:tc>
          <w:tcPr>
            <w:tcW w:w="0" w:type="auto"/>
            <w:tcBorders>
              <w:bottom w:val="thickThinSmallGap" w:sz="24" w:space="0" w:color="auto"/>
            </w:tcBorders>
            <w:vAlign w:val="center"/>
            <w:hideMark/>
          </w:tcPr>
          <w:p w14:paraId="2FC4214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809</w:t>
            </w:r>
          </w:p>
        </w:tc>
        <w:tc>
          <w:tcPr>
            <w:tcW w:w="0" w:type="auto"/>
            <w:tcBorders>
              <w:bottom w:val="thickThinSmallGap" w:sz="24" w:space="0" w:color="auto"/>
            </w:tcBorders>
            <w:vAlign w:val="center"/>
            <w:hideMark/>
          </w:tcPr>
          <w:p w14:paraId="123E902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4,141 ÷ 809</w:t>
            </w:r>
          </w:p>
        </w:tc>
        <w:tc>
          <w:tcPr>
            <w:tcW w:w="0" w:type="auto"/>
            <w:tcBorders>
              <w:bottom w:val="thickThinSmallGap" w:sz="24" w:space="0" w:color="auto"/>
            </w:tcBorders>
            <w:vAlign w:val="center"/>
            <w:hideMark/>
          </w:tcPr>
          <w:p w14:paraId="052D8B8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5.12x</w:t>
            </w:r>
          </w:p>
        </w:tc>
      </w:tr>
      <w:bookmarkEnd w:id="32"/>
    </w:tbl>
    <w:p w14:paraId="1CDD9FD0" w14:textId="77777777" w:rsidR="00ED72CF" w:rsidRDefault="00ED72CF" w:rsidP="00203808">
      <w:pPr>
        <w:spacing w:after="0" w:line="360" w:lineRule="auto"/>
        <w:jc w:val="both"/>
        <w:rPr>
          <w:rFonts w:cs="Arial"/>
          <w:sz w:val="22"/>
        </w:rPr>
      </w:pPr>
    </w:p>
    <w:p w14:paraId="20F0AAE9" w14:textId="77777777" w:rsidR="00BE2860" w:rsidRDefault="00BE2860" w:rsidP="00203808">
      <w:pPr>
        <w:spacing w:after="0" w:line="360" w:lineRule="auto"/>
        <w:jc w:val="both"/>
        <w:rPr>
          <w:rFonts w:cs="Arial"/>
          <w:sz w:val="22"/>
        </w:rPr>
      </w:pPr>
    </w:p>
    <w:p w14:paraId="71AA647E" w14:textId="77777777" w:rsidR="00BE2860" w:rsidRDefault="00BE2860" w:rsidP="00203808">
      <w:pPr>
        <w:spacing w:after="0" w:line="360" w:lineRule="auto"/>
        <w:jc w:val="both"/>
        <w:rPr>
          <w:rFonts w:cs="Arial"/>
          <w:sz w:val="22"/>
        </w:rPr>
      </w:pPr>
    </w:p>
    <w:p w14:paraId="5853835C" w14:textId="77777777" w:rsidR="00BE2860" w:rsidRDefault="00BE2860" w:rsidP="00203808">
      <w:pPr>
        <w:spacing w:after="0" w:line="360" w:lineRule="auto"/>
        <w:jc w:val="both"/>
        <w:rPr>
          <w:rFonts w:cs="Arial"/>
          <w:sz w:val="22"/>
        </w:rPr>
      </w:pPr>
    </w:p>
    <w:p w14:paraId="26530D1C" w14:textId="77777777" w:rsidR="00BE2860" w:rsidRDefault="00BE2860" w:rsidP="00203808">
      <w:pPr>
        <w:spacing w:after="0" w:line="360" w:lineRule="auto"/>
        <w:jc w:val="both"/>
        <w:rPr>
          <w:rFonts w:cs="Arial"/>
          <w:sz w:val="22"/>
        </w:rPr>
      </w:pPr>
    </w:p>
    <w:p w14:paraId="0E70E855" w14:textId="77777777" w:rsidR="00BE2860" w:rsidRDefault="00BE2860" w:rsidP="00203808">
      <w:pPr>
        <w:spacing w:after="0" w:line="360" w:lineRule="auto"/>
        <w:jc w:val="both"/>
        <w:rPr>
          <w:rFonts w:cs="Arial"/>
          <w:sz w:val="22"/>
        </w:rPr>
      </w:pPr>
    </w:p>
    <w:p w14:paraId="03D7ED62" w14:textId="77777777" w:rsidR="00BE2860" w:rsidRDefault="00BE2860" w:rsidP="00203808">
      <w:pPr>
        <w:spacing w:after="0" w:line="360" w:lineRule="auto"/>
        <w:jc w:val="both"/>
        <w:rPr>
          <w:rFonts w:cs="Arial"/>
          <w:sz w:val="22"/>
        </w:rPr>
      </w:pPr>
    </w:p>
    <w:p w14:paraId="437C5C5D" w14:textId="77777777" w:rsidR="00BE2860" w:rsidRDefault="00BE2860" w:rsidP="00203808">
      <w:pPr>
        <w:spacing w:after="0" w:line="360" w:lineRule="auto"/>
        <w:jc w:val="both"/>
        <w:rPr>
          <w:rFonts w:cs="Arial"/>
          <w:sz w:val="22"/>
        </w:rPr>
      </w:pPr>
    </w:p>
    <w:p w14:paraId="5ECD26B8" w14:textId="77777777" w:rsidR="00BE2860" w:rsidRDefault="00BE2860" w:rsidP="00203808">
      <w:pPr>
        <w:spacing w:after="0" w:line="360" w:lineRule="auto"/>
        <w:jc w:val="both"/>
        <w:rPr>
          <w:rFonts w:cs="Arial"/>
          <w:sz w:val="22"/>
        </w:rPr>
      </w:pPr>
    </w:p>
    <w:p w14:paraId="36A60142" w14:textId="77777777" w:rsidR="00BE2860" w:rsidRDefault="00BE2860" w:rsidP="00203808">
      <w:pPr>
        <w:spacing w:after="0" w:line="360" w:lineRule="auto"/>
        <w:jc w:val="both"/>
        <w:rPr>
          <w:rFonts w:cs="Arial"/>
          <w:sz w:val="22"/>
        </w:rPr>
      </w:pPr>
    </w:p>
    <w:p w14:paraId="04A8429B" w14:textId="77777777" w:rsidR="00BE2860" w:rsidRDefault="00BE2860" w:rsidP="00203808">
      <w:pPr>
        <w:spacing w:after="0" w:line="360" w:lineRule="auto"/>
        <w:jc w:val="both"/>
        <w:rPr>
          <w:rFonts w:cs="Arial"/>
          <w:sz w:val="22"/>
        </w:rPr>
      </w:pPr>
    </w:p>
    <w:p w14:paraId="6D5E031E" w14:textId="77777777" w:rsidR="00BE2860" w:rsidRDefault="00BE2860" w:rsidP="00203808">
      <w:pPr>
        <w:spacing w:after="0" w:line="360" w:lineRule="auto"/>
        <w:jc w:val="both"/>
        <w:rPr>
          <w:rFonts w:cs="Arial"/>
          <w:sz w:val="22"/>
        </w:rPr>
      </w:pPr>
    </w:p>
    <w:p w14:paraId="0AE05121" w14:textId="77777777" w:rsidR="00BE2860" w:rsidRDefault="00BE2860" w:rsidP="00203808">
      <w:pPr>
        <w:spacing w:after="0" w:line="360" w:lineRule="auto"/>
        <w:jc w:val="both"/>
        <w:rPr>
          <w:rFonts w:cs="Arial"/>
          <w:sz w:val="22"/>
        </w:rPr>
      </w:pPr>
    </w:p>
    <w:p w14:paraId="26173834" w14:textId="77777777" w:rsidR="00BE2860" w:rsidRDefault="00BE2860" w:rsidP="00203808">
      <w:pPr>
        <w:spacing w:after="0" w:line="360" w:lineRule="auto"/>
        <w:jc w:val="both"/>
        <w:rPr>
          <w:rFonts w:cs="Arial"/>
          <w:sz w:val="22"/>
        </w:rPr>
      </w:pPr>
    </w:p>
    <w:p w14:paraId="538866A7" w14:textId="77777777" w:rsidR="00BE2860" w:rsidRDefault="00BE2860" w:rsidP="00203808">
      <w:pPr>
        <w:spacing w:after="0" w:line="360" w:lineRule="auto"/>
        <w:jc w:val="both"/>
        <w:rPr>
          <w:rFonts w:cs="Arial"/>
          <w:sz w:val="22"/>
        </w:rPr>
      </w:pPr>
    </w:p>
    <w:p w14:paraId="7B1B5C4D" w14:textId="77777777" w:rsidR="00BE2860" w:rsidRDefault="00BE2860" w:rsidP="00203808">
      <w:pPr>
        <w:spacing w:after="0" w:line="360" w:lineRule="auto"/>
        <w:jc w:val="both"/>
        <w:rPr>
          <w:rFonts w:cs="Arial"/>
          <w:sz w:val="22"/>
        </w:rPr>
      </w:pPr>
    </w:p>
    <w:p w14:paraId="140F6E7C" w14:textId="77777777" w:rsidR="00BE2860" w:rsidRDefault="00BE2860" w:rsidP="00203808">
      <w:pPr>
        <w:spacing w:after="0" w:line="360" w:lineRule="auto"/>
        <w:jc w:val="both"/>
        <w:rPr>
          <w:rFonts w:cs="Arial"/>
          <w:sz w:val="22"/>
        </w:rPr>
      </w:pPr>
    </w:p>
    <w:p w14:paraId="50398F96" w14:textId="77777777" w:rsidR="00BE2860" w:rsidRDefault="00BE2860" w:rsidP="00203808">
      <w:pPr>
        <w:spacing w:after="0" w:line="360" w:lineRule="auto"/>
        <w:jc w:val="both"/>
        <w:rPr>
          <w:rFonts w:cs="Arial"/>
          <w:sz w:val="22"/>
        </w:rPr>
      </w:pPr>
    </w:p>
    <w:p w14:paraId="604B4F26" w14:textId="77777777" w:rsidR="00BE2860" w:rsidRDefault="00BE2860" w:rsidP="00203808">
      <w:pPr>
        <w:spacing w:after="0" w:line="360" w:lineRule="auto"/>
        <w:jc w:val="both"/>
        <w:rPr>
          <w:rFonts w:cs="Arial"/>
          <w:sz w:val="22"/>
        </w:rPr>
      </w:pPr>
    </w:p>
    <w:p w14:paraId="568DB666" w14:textId="77777777" w:rsidR="00BE2860" w:rsidRDefault="00BE2860" w:rsidP="00203808">
      <w:pPr>
        <w:spacing w:after="0" w:line="360" w:lineRule="auto"/>
        <w:jc w:val="both"/>
        <w:rPr>
          <w:rFonts w:cs="Arial"/>
          <w:sz w:val="22"/>
        </w:rPr>
      </w:pPr>
    </w:p>
    <w:p w14:paraId="7FDEC551" w14:textId="77777777" w:rsidR="00BE2860" w:rsidRDefault="00BE2860" w:rsidP="00203808">
      <w:pPr>
        <w:spacing w:after="0" w:line="360" w:lineRule="auto"/>
        <w:jc w:val="both"/>
        <w:rPr>
          <w:rFonts w:cs="Arial"/>
          <w:sz w:val="22"/>
        </w:rPr>
      </w:pPr>
    </w:p>
    <w:p w14:paraId="06FD7460" w14:textId="77777777" w:rsidR="00BE2860" w:rsidRDefault="00BE2860" w:rsidP="00203808">
      <w:pPr>
        <w:spacing w:after="0" w:line="360" w:lineRule="auto"/>
        <w:jc w:val="both"/>
        <w:rPr>
          <w:rFonts w:cs="Arial"/>
          <w:sz w:val="22"/>
        </w:rPr>
      </w:pPr>
    </w:p>
    <w:p w14:paraId="1F5B1192" w14:textId="77777777" w:rsidR="00BE2860" w:rsidRDefault="00BE2860" w:rsidP="00203808">
      <w:pPr>
        <w:spacing w:after="0" w:line="360" w:lineRule="auto"/>
        <w:jc w:val="both"/>
        <w:rPr>
          <w:rFonts w:cs="Arial"/>
          <w:sz w:val="22"/>
        </w:rPr>
      </w:pPr>
    </w:p>
    <w:p w14:paraId="234B0464" w14:textId="77777777" w:rsidR="00BE2860" w:rsidRDefault="00BE2860" w:rsidP="00203808">
      <w:pPr>
        <w:spacing w:after="0" w:line="360" w:lineRule="auto"/>
        <w:jc w:val="both"/>
        <w:rPr>
          <w:rFonts w:cs="Arial"/>
          <w:sz w:val="22"/>
        </w:rPr>
      </w:pPr>
    </w:p>
    <w:p w14:paraId="28E54FC5" w14:textId="77777777" w:rsidR="00BE2860" w:rsidRDefault="00BE2860" w:rsidP="00203808">
      <w:pPr>
        <w:spacing w:after="0" w:line="360" w:lineRule="auto"/>
        <w:jc w:val="both"/>
        <w:rPr>
          <w:rFonts w:cs="Arial"/>
          <w:sz w:val="22"/>
        </w:rPr>
      </w:pPr>
    </w:p>
    <w:p w14:paraId="74DB15C2" w14:textId="77777777" w:rsidR="00BE2860" w:rsidRPr="00203808" w:rsidRDefault="00BE2860" w:rsidP="00203808">
      <w:pPr>
        <w:spacing w:after="0" w:line="360" w:lineRule="auto"/>
        <w:jc w:val="both"/>
        <w:rPr>
          <w:rFonts w:cs="Arial"/>
          <w:sz w:val="22"/>
        </w:rPr>
      </w:pPr>
    </w:p>
    <w:p w14:paraId="7D48B9B6" w14:textId="77777777" w:rsidR="00ED72CF" w:rsidRPr="00203808" w:rsidRDefault="00ED72CF" w:rsidP="00203808">
      <w:pPr>
        <w:spacing w:after="0" w:line="360" w:lineRule="auto"/>
        <w:jc w:val="both"/>
        <w:rPr>
          <w:rFonts w:cs="Arial"/>
          <w:sz w:val="22"/>
          <w:lang w:val="en-GB"/>
        </w:rPr>
      </w:pPr>
      <w:r w:rsidRPr="00203808">
        <w:rPr>
          <w:rFonts w:cs="Arial"/>
          <w:b/>
          <w:bCs/>
          <w:sz w:val="22"/>
          <w:u w:val="single"/>
        </w:rPr>
        <w:lastRenderedPageBreak/>
        <w:t xml:space="preserve">Appendix </w:t>
      </w:r>
      <w:proofErr w:type="gramStart"/>
      <w:r w:rsidRPr="00203808">
        <w:rPr>
          <w:rFonts w:cs="Arial"/>
          <w:b/>
          <w:bCs/>
          <w:sz w:val="22"/>
          <w:u w:val="single"/>
        </w:rPr>
        <w:t xml:space="preserve">7 </w:t>
      </w:r>
      <w:r w:rsidRPr="00203808">
        <w:rPr>
          <w:rFonts w:cs="Arial"/>
          <w:b/>
          <w:bCs/>
          <w:sz w:val="22"/>
          <w:u w:val="single"/>
          <w:lang w:val="en-GB"/>
        </w:rPr>
        <w:t>:</w:t>
      </w:r>
      <w:proofErr w:type="gramEnd"/>
      <w:r w:rsidRPr="00203808">
        <w:rPr>
          <w:rFonts w:cs="Arial"/>
          <w:b/>
          <w:bCs/>
          <w:sz w:val="22"/>
          <w:lang w:val="en-GB"/>
        </w:rPr>
        <w:t xml:space="preserve"> </w:t>
      </w:r>
      <w:r w:rsidRPr="00203808">
        <w:rPr>
          <w:rFonts w:cs="Arial"/>
          <w:b/>
          <w:bCs/>
          <w:sz w:val="22"/>
        </w:rPr>
        <w:t xml:space="preserve">Autor’s calculations of </w:t>
      </w:r>
      <w:r w:rsidRPr="00203808">
        <w:rPr>
          <w:rFonts w:cs="Arial"/>
          <w:sz w:val="22"/>
          <w:lang w:val="en-GB"/>
        </w:rPr>
        <w:t>Investment Ratios</w:t>
      </w:r>
      <w:r w:rsidRPr="00203808">
        <w:rPr>
          <w:rFonts w:cs="Arial"/>
          <w:b/>
          <w:bCs/>
          <w:sz w:val="22"/>
        </w:rPr>
        <w:t xml:space="preserve"> </w:t>
      </w:r>
      <w:r w:rsidRPr="00203808">
        <w:rPr>
          <w:rFonts w:cs="Arial"/>
          <w:sz w:val="22"/>
        </w:rPr>
        <w:t xml:space="preserve">2021-2025  </w:t>
      </w:r>
    </w:p>
    <w:p w14:paraId="6A09826F" w14:textId="77777777" w:rsidR="00ED72CF" w:rsidRPr="00BE2860" w:rsidRDefault="00ED72CF" w:rsidP="00203808">
      <w:pPr>
        <w:spacing w:after="0" w:line="360" w:lineRule="auto"/>
        <w:jc w:val="both"/>
        <w:rPr>
          <w:rFonts w:cs="Arial"/>
          <w:b/>
          <w:bCs/>
          <w:sz w:val="22"/>
          <w:lang w:val="en-GB"/>
        </w:rPr>
      </w:pPr>
      <w:r w:rsidRPr="00BE2860">
        <w:rPr>
          <w:rFonts w:cs="Arial"/>
          <w:b/>
          <w:bCs/>
          <w:sz w:val="22"/>
          <w:lang w:val="en-GB"/>
        </w:rPr>
        <w:t>1. Earnings Per Share (EPS)</w:t>
      </w:r>
    </w:p>
    <w:p w14:paraId="09DDDE5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EPS is reported directly by Marriott in its Consolidated Statements of Income.</w:t>
      </w:r>
    </w:p>
    <w:p w14:paraId="1FA6F59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63294B3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Diluted EPS = Net Income Available to Common Shareholders ÷ Diluted Weighted Average Shares</w:t>
      </w:r>
    </w:p>
    <w:p w14:paraId="4238871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 this analysis, the reported diluted EPS is used rather than recalculating it</w:t>
      </w:r>
      <w:bookmarkStart w:id="33" w:name="_Hlk237258337"/>
    </w:p>
    <w:tbl>
      <w:tblPr>
        <w:tblW w:w="6192" w:type="dxa"/>
        <w:tblCellSpacing w:w="15" w:type="dxa"/>
        <w:tblCellMar>
          <w:top w:w="15" w:type="dxa"/>
          <w:left w:w="15" w:type="dxa"/>
          <w:bottom w:w="15" w:type="dxa"/>
          <w:right w:w="15" w:type="dxa"/>
        </w:tblCellMar>
        <w:tblLook w:val="04A0" w:firstRow="1" w:lastRow="0" w:firstColumn="1" w:lastColumn="0" w:noHBand="0" w:noVBand="1"/>
      </w:tblPr>
      <w:tblGrid>
        <w:gridCol w:w="1872"/>
        <w:gridCol w:w="4320"/>
      </w:tblGrid>
      <w:tr w:rsidR="00203808" w:rsidRPr="00203808" w14:paraId="15C04524" w14:textId="77777777" w:rsidTr="008C2C42">
        <w:trPr>
          <w:trHeight w:val="401"/>
          <w:tblHeader/>
          <w:tblCellSpacing w:w="15" w:type="dxa"/>
        </w:trPr>
        <w:tc>
          <w:tcPr>
            <w:tcW w:w="0" w:type="auto"/>
            <w:tcBorders>
              <w:top w:val="thinThickSmallGap" w:sz="24" w:space="0" w:color="auto"/>
              <w:bottom w:val="thickThinSmallGap" w:sz="24" w:space="0" w:color="auto"/>
            </w:tcBorders>
            <w:vAlign w:val="center"/>
            <w:hideMark/>
          </w:tcPr>
          <w:p w14:paraId="0DA3DAC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Year</w:t>
            </w:r>
          </w:p>
        </w:tc>
        <w:tc>
          <w:tcPr>
            <w:tcW w:w="0" w:type="auto"/>
            <w:tcBorders>
              <w:top w:val="thinThickSmallGap" w:sz="24" w:space="0" w:color="auto"/>
              <w:bottom w:val="thickThinSmallGap" w:sz="24" w:space="0" w:color="auto"/>
            </w:tcBorders>
            <w:vAlign w:val="center"/>
            <w:hideMark/>
          </w:tcPr>
          <w:p w14:paraId="620C87B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Diluted EPS</w:t>
            </w:r>
          </w:p>
        </w:tc>
      </w:tr>
      <w:tr w:rsidR="00203808" w:rsidRPr="00203808" w14:paraId="050B5602" w14:textId="77777777" w:rsidTr="008C2C42">
        <w:trPr>
          <w:trHeight w:val="409"/>
          <w:tblCellSpacing w:w="15" w:type="dxa"/>
        </w:trPr>
        <w:tc>
          <w:tcPr>
            <w:tcW w:w="0" w:type="auto"/>
            <w:vAlign w:val="center"/>
            <w:hideMark/>
          </w:tcPr>
          <w:p w14:paraId="0C2923A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2148E87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$3.34</w:t>
            </w:r>
          </w:p>
        </w:tc>
      </w:tr>
      <w:tr w:rsidR="00203808" w:rsidRPr="00203808" w14:paraId="4EF10FDB" w14:textId="77777777" w:rsidTr="008C2C42">
        <w:trPr>
          <w:trHeight w:val="409"/>
          <w:tblCellSpacing w:w="15" w:type="dxa"/>
        </w:trPr>
        <w:tc>
          <w:tcPr>
            <w:tcW w:w="0" w:type="auto"/>
            <w:vAlign w:val="center"/>
            <w:hideMark/>
          </w:tcPr>
          <w:p w14:paraId="1EEF3B5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5AC4E77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$7.24</w:t>
            </w:r>
          </w:p>
        </w:tc>
      </w:tr>
      <w:tr w:rsidR="00203808" w:rsidRPr="00203808" w14:paraId="6EB0CCB3" w14:textId="77777777" w:rsidTr="008C2C42">
        <w:trPr>
          <w:trHeight w:val="401"/>
          <w:tblCellSpacing w:w="15" w:type="dxa"/>
        </w:trPr>
        <w:tc>
          <w:tcPr>
            <w:tcW w:w="0" w:type="auto"/>
            <w:vAlign w:val="center"/>
            <w:hideMark/>
          </w:tcPr>
          <w:p w14:paraId="10FA2AE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684D0B2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$10.18</w:t>
            </w:r>
          </w:p>
        </w:tc>
      </w:tr>
      <w:tr w:rsidR="00203808" w:rsidRPr="00203808" w14:paraId="0D4986AF" w14:textId="77777777" w:rsidTr="008C2C42">
        <w:trPr>
          <w:trHeight w:val="409"/>
          <w:tblCellSpacing w:w="15" w:type="dxa"/>
        </w:trPr>
        <w:tc>
          <w:tcPr>
            <w:tcW w:w="0" w:type="auto"/>
            <w:vAlign w:val="center"/>
            <w:hideMark/>
          </w:tcPr>
          <w:p w14:paraId="0FA9D57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016EA8A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$8.33</w:t>
            </w:r>
          </w:p>
        </w:tc>
      </w:tr>
      <w:tr w:rsidR="00203808" w:rsidRPr="00203808" w14:paraId="7D67EE49" w14:textId="77777777" w:rsidTr="008C2C42">
        <w:trPr>
          <w:trHeight w:val="401"/>
          <w:tblCellSpacing w:w="15" w:type="dxa"/>
        </w:trPr>
        <w:tc>
          <w:tcPr>
            <w:tcW w:w="0" w:type="auto"/>
            <w:tcBorders>
              <w:bottom w:val="thickThinSmallGap" w:sz="24" w:space="0" w:color="auto"/>
            </w:tcBorders>
            <w:vAlign w:val="center"/>
            <w:hideMark/>
          </w:tcPr>
          <w:p w14:paraId="58C0A3E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715C4FA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$9.51</w:t>
            </w:r>
          </w:p>
        </w:tc>
      </w:tr>
      <w:bookmarkEnd w:id="33"/>
    </w:tbl>
    <w:p w14:paraId="172D7137" w14:textId="77777777" w:rsidR="00ED72CF" w:rsidRPr="00203808" w:rsidRDefault="00ED72CF" w:rsidP="00203808">
      <w:pPr>
        <w:spacing w:after="0" w:line="360" w:lineRule="auto"/>
        <w:jc w:val="both"/>
        <w:rPr>
          <w:rFonts w:cs="Arial"/>
          <w:b/>
          <w:bCs/>
          <w:sz w:val="22"/>
          <w:u w:val="single"/>
        </w:rPr>
      </w:pPr>
    </w:p>
    <w:p w14:paraId="455D06D9" w14:textId="77777777" w:rsidR="00ED72CF" w:rsidRPr="00BE2860" w:rsidRDefault="00ED72CF" w:rsidP="00203808">
      <w:pPr>
        <w:spacing w:after="0" w:line="360" w:lineRule="auto"/>
        <w:jc w:val="both"/>
        <w:rPr>
          <w:rFonts w:cs="Arial"/>
          <w:b/>
          <w:bCs/>
          <w:sz w:val="22"/>
          <w:lang w:val="en-GB"/>
        </w:rPr>
      </w:pPr>
      <w:r w:rsidRPr="00BE2860">
        <w:rPr>
          <w:rFonts w:cs="Arial"/>
          <w:b/>
          <w:bCs/>
          <w:sz w:val="22"/>
          <w:lang w:val="en-GB"/>
        </w:rPr>
        <w:t>2. Price-to-Earnings Ratio (P/E)</w:t>
      </w:r>
    </w:p>
    <w:p w14:paraId="1CDC91B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54CE0B7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P/E = Year-end Share Price ÷ Diluted EPS</w:t>
      </w:r>
    </w:p>
    <w:p w14:paraId="7F9BB29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The year-end share prices and historical P/E series are obtained from Stock Analysis.</w:t>
      </w:r>
      <w:bookmarkStart w:id="34" w:name="_Hlk23725839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
        <w:gridCol w:w="2445"/>
        <w:gridCol w:w="1577"/>
        <w:gridCol w:w="736"/>
      </w:tblGrid>
      <w:tr w:rsidR="00203808" w:rsidRPr="00203808" w14:paraId="51D75D91"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131F588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Year</w:t>
            </w:r>
          </w:p>
        </w:tc>
        <w:tc>
          <w:tcPr>
            <w:tcW w:w="0" w:type="auto"/>
            <w:tcBorders>
              <w:top w:val="thinThickSmallGap" w:sz="24" w:space="0" w:color="auto"/>
              <w:bottom w:val="thickThinSmallGap" w:sz="24" w:space="0" w:color="auto"/>
            </w:tcBorders>
            <w:vAlign w:val="center"/>
            <w:hideMark/>
          </w:tcPr>
          <w:p w14:paraId="3494B8E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Year-end share price ($)</w:t>
            </w:r>
          </w:p>
        </w:tc>
        <w:tc>
          <w:tcPr>
            <w:tcW w:w="0" w:type="auto"/>
            <w:tcBorders>
              <w:top w:val="thinThickSmallGap" w:sz="24" w:space="0" w:color="auto"/>
              <w:bottom w:val="thickThinSmallGap" w:sz="24" w:space="0" w:color="auto"/>
            </w:tcBorders>
            <w:vAlign w:val="center"/>
            <w:hideMark/>
          </w:tcPr>
          <w:p w14:paraId="4886E2D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Diluted EPS ($)</w:t>
            </w:r>
          </w:p>
        </w:tc>
        <w:tc>
          <w:tcPr>
            <w:tcW w:w="0" w:type="auto"/>
            <w:tcBorders>
              <w:top w:val="thinThickSmallGap" w:sz="24" w:space="0" w:color="auto"/>
              <w:bottom w:val="thickThinSmallGap" w:sz="24" w:space="0" w:color="auto"/>
            </w:tcBorders>
            <w:vAlign w:val="center"/>
            <w:hideMark/>
          </w:tcPr>
          <w:p w14:paraId="79B93947" w14:textId="77777777" w:rsidR="00ED72CF" w:rsidRPr="00203808" w:rsidRDefault="00ED72CF" w:rsidP="00203808">
            <w:pPr>
              <w:spacing w:after="0" w:line="360" w:lineRule="auto"/>
              <w:jc w:val="both"/>
              <w:rPr>
                <w:rFonts w:cs="Arial"/>
                <w:b/>
                <w:bCs/>
                <w:sz w:val="22"/>
                <w:highlight w:val="yellow"/>
                <w:lang w:val="en-GB"/>
              </w:rPr>
            </w:pPr>
            <w:r w:rsidRPr="00203808">
              <w:rPr>
                <w:rFonts w:cs="Arial"/>
                <w:sz w:val="22"/>
                <w:highlight w:val="yellow"/>
                <w:lang w:val="en-GB"/>
              </w:rPr>
              <w:t>P/E</w:t>
            </w:r>
          </w:p>
        </w:tc>
      </w:tr>
      <w:tr w:rsidR="00203808" w:rsidRPr="00203808" w14:paraId="43C48E5F" w14:textId="77777777" w:rsidTr="008C2C42">
        <w:trPr>
          <w:tblCellSpacing w:w="15" w:type="dxa"/>
        </w:trPr>
        <w:tc>
          <w:tcPr>
            <w:tcW w:w="0" w:type="auto"/>
            <w:vAlign w:val="center"/>
            <w:hideMark/>
          </w:tcPr>
          <w:p w14:paraId="4E2D586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3CA5EB6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165.24</w:t>
            </w:r>
          </w:p>
        </w:tc>
        <w:tc>
          <w:tcPr>
            <w:tcW w:w="0" w:type="auto"/>
            <w:vAlign w:val="center"/>
            <w:hideMark/>
          </w:tcPr>
          <w:p w14:paraId="44454CF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3.34</w:t>
            </w:r>
          </w:p>
        </w:tc>
        <w:tc>
          <w:tcPr>
            <w:tcW w:w="0" w:type="auto"/>
            <w:vAlign w:val="center"/>
            <w:hideMark/>
          </w:tcPr>
          <w:p w14:paraId="31A5E164" w14:textId="77777777" w:rsidR="00ED72CF" w:rsidRPr="00203808" w:rsidRDefault="00ED72CF" w:rsidP="00203808">
            <w:pPr>
              <w:spacing w:after="0" w:line="360" w:lineRule="auto"/>
              <w:jc w:val="both"/>
              <w:rPr>
                <w:rFonts w:cs="Arial"/>
                <w:b/>
                <w:bCs/>
                <w:sz w:val="22"/>
                <w:highlight w:val="yellow"/>
                <w:lang w:val="en-GB"/>
              </w:rPr>
            </w:pPr>
            <w:r w:rsidRPr="00203808">
              <w:rPr>
                <w:rFonts w:cs="Arial"/>
                <w:sz w:val="22"/>
                <w:highlight w:val="yellow"/>
                <w:lang w:val="en-GB"/>
              </w:rPr>
              <w:t>49.47x</w:t>
            </w:r>
          </w:p>
        </w:tc>
      </w:tr>
      <w:tr w:rsidR="00203808" w:rsidRPr="00203808" w14:paraId="4F150DCD" w14:textId="77777777" w:rsidTr="008C2C42">
        <w:trPr>
          <w:tblCellSpacing w:w="15" w:type="dxa"/>
        </w:trPr>
        <w:tc>
          <w:tcPr>
            <w:tcW w:w="0" w:type="auto"/>
            <w:vAlign w:val="center"/>
            <w:hideMark/>
          </w:tcPr>
          <w:p w14:paraId="6696B29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3E4D5FA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148.89</w:t>
            </w:r>
          </w:p>
        </w:tc>
        <w:tc>
          <w:tcPr>
            <w:tcW w:w="0" w:type="auto"/>
            <w:vAlign w:val="center"/>
            <w:hideMark/>
          </w:tcPr>
          <w:p w14:paraId="395AA67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7.24</w:t>
            </w:r>
          </w:p>
        </w:tc>
        <w:tc>
          <w:tcPr>
            <w:tcW w:w="0" w:type="auto"/>
            <w:vAlign w:val="center"/>
            <w:hideMark/>
          </w:tcPr>
          <w:p w14:paraId="65B0EA30" w14:textId="77777777" w:rsidR="00ED72CF" w:rsidRPr="00203808" w:rsidRDefault="00ED72CF" w:rsidP="00203808">
            <w:pPr>
              <w:spacing w:after="0" w:line="360" w:lineRule="auto"/>
              <w:jc w:val="both"/>
              <w:rPr>
                <w:rFonts w:cs="Arial"/>
                <w:b/>
                <w:bCs/>
                <w:sz w:val="22"/>
                <w:highlight w:val="yellow"/>
                <w:lang w:val="en-GB"/>
              </w:rPr>
            </w:pPr>
            <w:r w:rsidRPr="00203808">
              <w:rPr>
                <w:rFonts w:cs="Arial"/>
                <w:sz w:val="22"/>
                <w:highlight w:val="yellow"/>
                <w:lang w:val="en-GB"/>
              </w:rPr>
              <w:t>20.56x</w:t>
            </w:r>
          </w:p>
        </w:tc>
      </w:tr>
      <w:tr w:rsidR="00203808" w:rsidRPr="00203808" w14:paraId="11A73815" w14:textId="77777777" w:rsidTr="008C2C42">
        <w:trPr>
          <w:tblCellSpacing w:w="15" w:type="dxa"/>
        </w:trPr>
        <w:tc>
          <w:tcPr>
            <w:tcW w:w="0" w:type="auto"/>
            <w:vAlign w:val="center"/>
            <w:hideMark/>
          </w:tcPr>
          <w:p w14:paraId="75BF4D8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470F49D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225.51</w:t>
            </w:r>
          </w:p>
        </w:tc>
        <w:tc>
          <w:tcPr>
            <w:tcW w:w="0" w:type="auto"/>
            <w:vAlign w:val="center"/>
            <w:hideMark/>
          </w:tcPr>
          <w:p w14:paraId="3091276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10.18</w:t>
            </w:r>
          </w:p>
        </w:tc>
        <w:tc>
          <w:tcPr>
            <w:tcW w:w="0" w:type="auto"/>
            <w:vAlign w:val="center"/>
            <w:hideMark/>
          </w:tcPr>
          <w:p w14:paraId="4BA19A3F" w14:textId="77777777" w:rsidR="00ED72CF" w:rsidRPr="00203808" w:rsidRDefault="00ED72CF" w:rsidP="00203808">
            <w:pPr>
              <w:spacing w:after="0" w:line="360" w:lineRule="auto"/>
              <w:jc w:val="both"/>
              <w:rPr>
                <w:rFonts w:cs="Arial"/>
                <w:b/>
                <w:bCs/>
                <w:sz w:val="22"/>
                <w:highlight w:val="yellow"/>
                <w:lang w:val="en-GB"/>
              </w:rPr>
            </w:pPr>
            <w:r w:rsidRPr="00203808">
              <w:rPr>
                <w:rFonts w:cs="Arial"/>
                <w:sz w:val="22"/>
                <w:highlight w:val="yellow"/>
                <w:lang w:val="en-GB"/>
              </w:rPr>
              <w:t>22.15x</w:t>
            </w:r>
          </w:p>
        </w:tc>
      </w:tr>
      <w:tr w:rsidR="00203808" w:rsidRPr="00203808" w14:paraId="7D6F90FF" w14:textId="77777777" w:rsidTr="008C2C42">
        <w:trPr>
          <w:tblCellSpacing w:w="15" w:type="dxa"/>
        </w:trPr>
        <w:tc>
          <w:tcPr>
            <w:tcW w:w="0" w:type="auto"/>
            <w:vAlign w:val="center"/>
            <w:hideMark/>
          </w:tcPr>
          <w:p w14:paraId="571F454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65B0E7B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278.94</w:t>
            </w:r>
          </w:p>
        </w:tc>
        <w:tc>
          <w:tcPr>
            <w:tcW w:w="0" w:type="auto"/>
            <w:vAlign w:val="center"/>
            <w:hideMark/>
          </w:tcPr>
          <w:p w14:paraId="4EB54EA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8.33</w:t>
            </w:r>
          </w:p>
        </w:tc>
        <w:tc>
          <w:tcPr>
            <w:tcW w:w="0" w:type="auto"/>
            <w:vAlign w:val="center"/>
            <w:hideMark/>
          </w:tcPr>
          <w:p w14:paraId="1C978FAD" w14:textId="77777777" w:rsidR="00ED72CF" w:rsidRPr="00203808" w:rsidRDefault="00ED72CF" w:rsidP="00203808">
            <w:pPr>
              <w:spacing w:after="0" w:line="360" w:lineRule="auto"/>
              <w:jc w:val="both"/>
              <w:rPr>
                <w:rFonts w:cs="Arial"/>
                <w:b/>
                <w:bCs/>
                <w:sz w:val="22"/>
                <w:highlight w:val="yellow"/>
                <w:lang w:val="en-GB"/>
              </w:rPr>
            </w:pPr>
            <w:r w:rsidRPr="00203808">
              <w:rPr>
                <w:rFonts w:cs="Arial"/>
                <w:sz w:val="22"/>
                <w:highlight w:val="yellow"/>
                <w:lang w:val="en-GB"/>
              </w:rPr>
              <w:t>33.49x</w:t>
            </w:r>
          </w:p>
        </w:tc>
      </w:tr>
      <w:tr w:rsidR="00203808" w:rsidRPr="00203808" w14:paraId="622C82F2" w14:textId="77777777" w:rsidTr="008C2C42">
        <w:trPr>
          <w:tblCellSpacing w:w="15" w:type="dxa"/>
        </w:trPr>
        <w:tc>
          <w:tcPr>
            <w:tcW w:w="0" w:type="auto"/>
            <w:tcBorders>
              <w:bottom w:val="thickThinSmallGap" w:sz="24" w:space="0" w:color="auto"/>
            </w:tcBorders>
            <w:vAlign w:val="center"/>
            <w:hideMark/>
          </w:tcPr>
          <w:p w14:paraId="3C1A8CD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6199AD8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310.24</w:t>
            </w:r>
          </w:p>
        </w:tc>
        <w:tc>
          <w:tcPr>
            <w:tcW w:w="0" w:type="auto"/>
            <w:tcBorders>
              <w:bottom w:val="thickThinSmallGap" w:sz="24" w:space="0" w:color="auto"/>
            </w:tcBorders>
            <w:vAlign w:val="center"/>
            <w:hideMark/>
          </w:tcPr>
          <w:p w14:paraId="5FA21DC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9.51</w:t>
            </w:r>
          </w:p>
        </w:tc>
        <w:tc>
          <w:tcPr>
            <w:tcW w:w="0" w:type="auto"/>
            <w:tcBorders>
              <w:bottom w:val="thickThinSmallGap" w:sz="24" w:space="0" w:color="auto"/>
            </w:tcBorders>
            <w:vAlign w:val="center"/>
            <w:hideMark/>
          </w:tcPr>
          <w:p w14:paraId="695E4FE9" w14:textId="77777777" w:rsidR="00ED72CF" w:rsidRPr="00203808" w:rsidRDefault="00ED72CF" w:rsidP="00203808">
            <w:pPr>
              <w:spacing w:after="0" w:line="360" w:lineRule="auto"/>
              <w:jc w:val="both"/>
              <w:rPr>
                <w:rFonts w:cs="Arial"/>
                <w:b/>
                <w:bCs/>
                <w:sz w:val="22"/>
                <w:highlight w:val="yellow"/>
                <w:lang w:val="en-GB"/>
              </w:rPr>
            </w:pPr>
            <w:r w:rsidRPr="00203808">
              <w:rPr>
                <w:rFonts w:cs="Arial"/>
                <w:sz w:val="22"/>
                <w:highlight w:val="yellow"/>
                <w:lang w:val="en-GB"/>
              </w:rPr>
              <w:t>32.62x</w:t>
            </w:r>
          </w:p>
        </w:tc>
      </w:tr>
      <w:bookmarkEnd w:id="34"/>
    </w:tbl>
    <w:p w14:paraId="60A86DEE" w14:textId="77777777" w:rsidR="00ED72CF" w:rsidRPr="00203808" w:rsidRDefault="00ED72CF" w:rsidP="00203808">
      <w:pPr>
        <w:spacing w:after="0" w:line="360" w:lineRule="auto"/>
        <w:jc w:val="both"/>
        <w:rPr>
          <w:rFonts w:cs="Arial"/>
          <w:b/>
          <w:bCs/>
          <w:sz w:val="22"/>
          <w:u w:val="single"/>
        </w:rPr>
      </w:pPr>
    </w:p>
    <w:p w14:paraId="388E3281" w14:textId="77777777" w:rsidR="00ED72CF" w:rsidRPr="00BE2860" w:rsidRDefault="00ED72CF" w:rsidP="00203808">
      <w:pPr>
        <w:spacing w:after="0" w:line="360" w:lineRule="auto"/>
        <w:jc w:val="both"/>
        <w:rPr>
          <w:rFonts w:cs="Arial"/>
          <w:b/>
          <w:bCs/>
          <w:sz w:val="22"/>
          <w:lang w:val="en-GB"/>
        </w:rPr>
      </w:pPr>
      <w:r w:rsidRPr="00BE2860">
        <w:rPr>
          <w:rFonts w:cs="Arial"/>
          <w:b/>
          <w:bCs/>
          <w:sz w:val="22"/>
          <w:lang w:val="en-GB"/>
        </w:rPr>
        <w:t>3. Dividend Yield</w:t>
      </w:r>
    </w:p>
    <w:p w14:paraId="4234600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6E55766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Dividend Yield = Annual Dividend per Share ÷ Year-end Share Price × 100</w:t>
      </w:r>
    </w:p>
    <w:p w14:paraId="5FAB9F7C" w14:textId="77777777" w:rsidR="00ED72CF" w:rsidRPr="00203808" w:rsidRDefault="00ED72CF" w:rsidP="00203808">
      <w:pPr>
        <w:spacing w:after="0" w:line="360" w:lineRule="auto"/>
        <w:jc w:val="both"/>
        <w:rPr>
          <w:rFonts w:cs="Arial"/>
          <w:b/>
          <w:bCs/>
          <w:sz w:val="22"/>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
        <w:gridCol w:w="2621"/>
        <w:gridCol w:w="2175"/>
        <w:gridCol w:w="1884"/>
        <w:gridCol w:w="1395"/>
      </w:tblGrid>
      <w:tr w:rsidR="00203808" w:rsidRPr="00203808" w14:paraId="7A58A8B8"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56124B1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lastRenderedPageBreak/>
              <w:t>Year</w:t>
            </w:r>
          </w:p>
        </w:tc>
        <w:tc>
          <w:tcPr>
            <w:tcW w:w="0" w:type="auto"/>
            <w:tcBorders>
              <w:top w:val="thinThickSmallGap" w:sz="24" w:space="0" w:color="auto"/>
              <w:bottom w:val="thickThinSmallGap" w:sz="24" w:space="0" w:color="auto"/>
            </w:tcBorders>
            <w:vAlign w:val="center"/>
            <w:hideMark/>
          </w:tcPr>
          <w:p w14:paraId="16D677B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Annual dividend per share ($)</w:t>
            </w:r>
          </w:p>
        </w:tc>
        <w:tc>
          <w:tcPr>
            <w:tcW w:w="0" w:type="auto"/>
            <w:tcBorders>
              <w:top w:val="thinThickSmallGap" w:sz="24" w:space="0" w:color="auto"/>
              <w:bottom w:val="thickThinSmallGap" w:sz="24" w:space="0" w:color="auto"/>
            </w:tcBorders>
            <w:vAlign w:val="center"/>
            <w:hideMark/>
          </w:tcPr>
          <w:p w14:paraId="3CBA4A5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Year-end share price ($)</w:t>
            </w:r>
          </w:p>
        </w:tc>
        <w:tc>
          <w:tcPr>
            <w:tcW w:w="0" w:type="auto"/>
            <w:tcBorders>
              <w:top w:val="thinThickSmallGap" w:sz="24" w:space="0" w:color="auto"/>
              <w:bottom w:val="thickThinSmallGap" w:sz="24" w:space="0" w:color="auto"/>
            </w:tcBorders>
            <w:vAlign w:val="center"/>
            <w:hideMark/>
          </w:tcPr>
          <w:p w14:paraId="51C3D12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Calculation</w:t>
            </w:r>
          </w:p>
        </w:tc>
        <w:tc>
          <w:tcPr>
            <w:tcW w:w="0" w:type="auto"/>
            <w:tcBorders>
              <w:top w:val="thinThickSmallGap" w:sz="24" w:space="0" w:color="auto"/>
              <w:bottom w:val="thickThinSmallGap" w:sz="24" w:space="0" w:color="auto"/>
            </w:tcBorders>
            <w:vAlign w:val="center"/>
            <w:hideMark/>
          </w:tcPr>
          <w:p w14:paraId="603C0A0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Dividend Yield</w:t>
            </w:r>
          </w:p>
        </w:tc>
      </w:tr>
      <w:tr w:rsidR="00203808" w:rsidRPr="00203808" w14:paraId="31F74422" w14:textId="77777777" w:rsidTr="008C2C42">
        <w:trPr>
          <w:tblCellSpacing w:w="15" w:type="dxa"/>
        </w:trPr>
        <w:tc>
          <w:tcPr>
            <w:tcW w:w="0" w:type="auto"/>
            <w:vAlign w:val="center"/>
            <w:hideMark/>
          </w:tcPr>
          <w:p w14:paraId="364D8B5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0" w:type="auto"/>
            <w:vAlign w:val="center"/>
            <w:hideMark/>
          </w:tcPr>
          <w:p w14:paraId="57E6484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0.00</w:t>
            </w:r>
          </w:p>
        </w:tc>
        <w:tc>
          <w:tcPr>
            <w:tcW w:w="0" w:type="auto"/>
            <w:vAlign w:val="center"/>
            <w:hideMark/>
          </w:tcPr>
          <w:p w14:paraId="386F282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165.24</w:t>
            </w:r>
          </w:p>
        </w:tc>
        <w:tc>
          <w:tcPr>
            <w:tcW w:w="0" w:type="auto"/>
            <w:vAlign w:val="center"/>
            <w:hideMark/>
          </w:tcPr>
          <w:p w14:paraId="1B63422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0.00 ÷ 165.24 × 100</w:t>
            </w:r>
          </w:p>
        </w:tc>
        <w:tc>
          <w:tcPr>
            <w:tcW w:w="0" w:type="auto"/>
            <w:vAlign w:val="center"/>
            <w:hideMark/>
          </w:tcPr>
          <w:p w14:paraId="49ED5C3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0.00%</w:t>
            </w:r>
          </w:p>
        </w:tc>
      </w:tr>
      <w:tr w:rsidR="00203808" w:rsidRPr="00203808" w14:paraId="5499D4AB" w14:textId="77777777" w:rsidTr="008C2C42">
        <w:trPr>
          <w:tblCellSpacing w:w="15" w:type="dxa"/>
        </w:trPr>
        <w:tc>
          <w:tcPr>
            <w:tcW w:w="0" w:type="auto"/>
            <w:vAlign w:val="center"/>
            <w:hideMark/>
          </w:tcPr>
          <w:p w14:paraId="75FD8EE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0" w:type="auto"/>
            <w:vAlign w:val="center"/>
            <w:hideMark/>
          </w:tcPr>
          <w:p w14:paraId="1B5F7FB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1.00</w:t>
            </w:r>
          </w:p>
        </w:tc>
        <w:tc>
          <w:tcPr>
            <w:tcW w:w="0" w:type="auto"/>
            <w:vAlign w:val="center"/>
            <w:hideMark/>
          </w:tcPr>
          <w:p w14:paraId="39B2926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148.89</w:t>
            </w:r>
          </w:p>
        </w:tc>
        <w:tc>
          <w:tcPr>
            <w:tcW w:w="0" w:type="auto"/>
            <w:vAlign w:val="center"/>
            <w:hideMark/>
          </w:tcPr>
          <w:p w14:paraId="12A8335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1.00 ÷ 148.89 × 100</w:t>
            </w:r>
          </w:p>
        </w:tc>
        <w:tc>
          <w:tcPr>
            <w:tcW w:w="0" w:type="auto"/>
            <w:vAlign w:val="center"/>
            <w:hideMark/>
          </w:tcPr>
          <w:p w14:paraId="59C779D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0.67%</w:t>
            </w:r>
          </w:p>
        </w:tc>
      </w:tr>
      <w:tr w:rsidR="00203808" w:rsidRPr="00203808" w14:paraId="6CD8AE3C" w14:textId="77777777" w:rsidTr="008C2C42">
        <w:trPr>
          <w:tblCellSpacing w:w="15" w:type="dxa"/>
        </w:trPr>
        <w:tc>
          <w:tcPr>
            <w:tcW w:w="0" w:type="auto"/>
            <w:vAlign w:val="center"/>
            <w:hideMark/>
          </w:tcPr>
          <w:p w14:paraId="2C807A5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0" w:type="auto"/>
            <w:vAlign w:val="center"/>
            <w:hideMark/>
          </w:tcPr>
          <w:p w14:paraId="57E31E3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1.96</w:t>
            </w:r>
          </w:p>
        </w:tc>
        <w:tc>
          <w:tcPr>
            <w:tcW w:w="0" w:type="auto"/>
            <w:vAlign w:val="center"/>
            <w:hideMark/>
          </w:tcPr>
          <w:p w14:paraId="3F0C364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225.51</w:t>
            </w:r>
          </w:p>
        </w:tc>
        <w:tc>
          <w:tcPr>
            <w:tcW w:w="0" w:type="auto"/>
            <w:vAlign w:val="center"/>
            <w:hideMark/>
          </w:tcPr>
          <w:p w14:paraId="528AD7A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1.96 ÷ 225.51 × 100</w:t>
            </w:r>
          </w:p>
        </w:tc>
        <w:tc>
          <w:tcPr>
            <w:tcW w:w="0" w:type="auto"/>
            <w:vAlign w:val="center"/>
            <w:hideMark/>
          </w:tcPr>
          <w:p w14:paraId="3380BCD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0.87%</w:t>
            </w:r>
          </w:p>
        </w:tc>
      </w:tr>
      <w:tr w:rsidR="00203808" w:rsidRPr="00203808" w14:paraId="25A8820C" w14:textId="77777777" w:rsidTr="008C2C42">
        <w:trPr>
          <w:tblCellSpacing w:w="15" w:type="dxa"/>
        </w:trPr>
        <w:tc>
          <w:tcPr>
            <w:tcW w:w="0" w:type="auto"/>
            <w:vAlign w:val="center"/>
            <w:hideMark/>
          </w:tcPr>
          <w:p w14:paraId="4FA12DD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0" w:type="auto"/>
            <w:vAlign w:val="center"/>
            <w:hideMark/>
          </w:tcPr>
          <w:p w14:paraId="7569005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2.41</w:t>
            </w:r>
          </w:p>
        </w:tc>
        <w:tc>
          <w:tcPr>
            <w:tcW w:w="0" w:type="auto"/>
            <w:vAlign w:val="center"/>
            <w:hideMark/>
          </w:tcPr>
          <w:p w14:paraId="583F55B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278.94</w:t>
            </w:r>
          </w:p>
        </w:tc>
        <w:tc>
          <w:tcPr>
            <w:tcW w:w="0" w:type="auto"/>
            <w:vAlign w:val="center"/>
            <w:hideMark/>
          </w:tcPr>
          <w:p w14:paraId="10C7F8D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2.41 ÷ 278.94 × 100</w:t>
            </w:r>
          </w:p>
        </w:tc>
        <w:tc>
          <w:tcPr>
            <w:tcW w:w="0" w:type="auto"/>
            <w:vAlign w:val="center"/>
            <w:hideMark/>
          </w:tcPr>
          <w:p w14:paraId="62A316A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0.86%</w:t>
            </w:r>
          </w:p>
        </w:tc>
      </w:tr>
      <w:tr w:rsidR="00203808" w:rsidRPr="00203808" w14:paraId="759E2456" w14:textId="77777777" w:rsidTr="008C2C42">
        <w:trPr>
          <w:tblCellSpacing w:w="15" w:type="dxa"/>
        </w:trPr>
        <w:tc>
          <w:tcPr>
            <w:tcW w:w="0" w:type="auto"/>
            <w:tcBorders>
              <w:bottom w:val="thickThinSmallGap" w:sz="24" w:space="0" w:color="auto"/>
            </w:tcBorders>
            <w:vAlign w:val="center"/>
            <w:hideMark/>
          </w:tcPr>
          <w:p w14:paraId="4C91D27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0" w:type="auto"/>
            <w:tcBorders>
              <w:bottom w:val="thickThinSmallGap" w:sz="24" w:space="0" w:color="auto"/>
            </w:tcBorders>
            <w:vAlign w:val="center"/>
            <w:hideMark/>
          </w:tcPr>
          <w:p w14:paraId="1144CDD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2.64</w:t>
            </w:r>
          </w:p>
        </w:tc>
        <w:tc>
          <w:tcPr>
            <w:tcW w:w="0" w:type="auto"/>
            <w:tcBorders>
              <w:bottom w:val="thickThinSmallGap" w:sz="24" w:space="0" w:color="auto"/>
            </w:tcBorders>
            <w:vAlign w:val="center"/>
            <w:hideMark/>
          </w:tcPr>
          <w:p w14:paraId="179A89E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310.24</w:t>
            </w:r>
          </w:p>
        </w:tc>
        <w:tc>
          <w:tcPr>
            <w:tcW w:w="0" w:type="auto"/>
            <w:tcBorders>
              <w:bottom w:val="thickThinSmallGap" w:sz="24" w:space="0" w:color="auto"/>
            </w:tcBorders>
            <w:vAlign w:val="center"/>
            <w:hideMark/>
          </w:tcPr>
          <w:p w14:paraId="1EAA1F7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2.64 ÷ 310.24 × 100</w:t>
            </w:r>
          </w:p>
        </w:tc>
        <w:tc>
          <w:tcPr>
            <w:tcW w:w="0" w:type="auto"/>
            <w:tcBorders>
              <w:bottom w:val="thickThinSmallGap" w:sz="24" w:space="0" w:color="auto"/>
            </w:tcBorders>
            <w:vAlign w:val="center"/>
            <w:hideMark/>
          </w:tcPr>
          <w:p w14:paraId="7F86E8C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0.85%</w:t>
            </w:r>
          </w:p>
        </w:tc>
      </w:tr>
    </w:tbl>
    <w:p w14:paraId="4EE50109" w14:textId="77777777" w:rsidR="00ED72CF" w:rsidRPr="00203808" w:rsidRDefault="00ED72CF" w:rsidP="00203808">
      <w:pPr>
        <w:spacing w:after="0" w:line="360" w:lineRule="auto"/>
        <w:jc w:val="both"/>
        <w:rPr>
          <w:rFonts w:cs="Arial"/>
          <w:b/>
          <w:bCs/>
          <w:sz w:val="22"/>
          <w:u w:val="single"/>
        </w:rPr>
      </w:pPr>
    </w:p>
    <w:p w14:paraId="4265919B" w14:textId="77777777" w:rsidR="00ED72CF" w:rsidRPr="00203808" w:rsidRDefault="00ED72CF" w:rsidP="00203808">
      <w:pPr>
        <w:spacing w:after="0" w:line="360" w:lineRule="auto"/>
        <w:jc w:val="both"/>
        <w:rPr>
          <w:rFonts w:cs="Arial"/>
          <w:b/>
          <w:bCs/>
          <w:sz w:val="22"/>
          <w:u w:val="single"/>
        </w:rPr>
      </w:pPr>
    </w:p>
    <w:p w14:paraId="4D8FD142" w14:textId="77777777" w:rsidR="00ED72CF" w:rsidRPr="00203808" w:rsidRDefault="00ED72CF" w:rsidP="00203808">
      <w:pPr>
        <w:spacing w:after="0" w:line="360" w:lineRule="auto"/>
        <w:jc w:val="both"/>
        <w:rPr>
          <w:rFonts w:cs="Arial"/>
          <w:b/>
          <w:bCs/>
          <w:sz w:val="22"/>
          <w:u w:val="single"/>
        </w:rPr>
      </w:pPr>
    </w:p>
    <w:p w14:paraId="215BA4AC" w14:textId="77777777" w:rsidR="00ED72CF" w:rsidRPr="00203808" w:rsidRDefault="00ED72CF" w:rsidP="00203808">
      <w:pPr>
        <w:spacing w:after="0" w:line="360" w:lineRule="auto"/>
        <w:jc w:val="both"/>
        <w:rPr>
          <w:rFonts w:cs="Arial"/>
          <w:b/>
          <w:bCs/>
          <w:sz w:val="22"/>
          <w:u w:val="single"/>
        </w:rPr>
      </w:pPr>
    </w:p>
    <w:p w14:paraId="53C93034" w14:textId="77777777" w:rsidR="00ED72CF" w:rsidRPr="00203808" w:rsidRDefault="00ED72CF" w:rsidP="00203808">
      <w:pPr>
        <w:spacing w:after="0" w:line="360" w:lineRule="auto"/>
        <w:jc w:val="both"/>
        <w:rPr>
          <w:rFonts w:cs="Arial"/>
          <w:b/>
          <w:bCs/>
          <w:sz w:val="22"/>
          <w:u w:val="single"/>
        </w:rPr>
      </w:pPr>
    </w:p>
    <w:p w14:paraId="684B0CEF" w14:textId="77777777" w:rsidR="00ED72CF" w:rsidRPr="00203808" w:rsidRDefault="00ED72CF" w:rsidP="00203808">
      <w:pPr>
        <w:spacing w:after="0" w:line="360" w:lineRule="auto"/>
        <w:jc w:val="both"/>
        <w:rPr>
          <w:rFonts w:cs="Arial"/>
          <w:b/>
          <w:bCs/>
          <w:sz w:val="22"/>
          <w:u w:val="single"/>
        </w:rPr>
      </w:pPr>
    </w:p>
    <w:p w14:paraId="223C290F" w14:textId="77777777" w:rsidR="00ED72CF" w:rsidRPr="00203808" w:rsidRDefault="00ED72CF" w:rsidP="00203808">
      <w:pPr>
        <w:spacing w:after="0" w:line="360" w:lineRule="auto"/>
        <w:jc w:val="both"/>
        <w:rPr>
          <w:rFonts w:cs="Arial"/>
          <w:b/>
          <w:bCs/>
          <w:sz w:val="22"/>
          <w:u w:val="single"/>
        </w:rPr>
      </w:pPr>
    </w:p>
    <w:p w14:paraId="78FFDE11" w14:textId="77777777" w:rsidR="00ED72CF" w:rsidRPr="00203808" w:rsidRDefault="00ED72CF" w:rsidP="00203808">
      <w:pPr>
        <w:spacing w:after="0" w:line="360" w:lineRule="auto"/>
        <w:jc w:val="both"/>
        <w:rPr>
          <w:rFonts w:cs="Arial"/>
          <w:b/>
          <w:bCs/>
          <w:sz w:val="22"/>
          <w:u w:val="single"/>
        </w:rPr>
      </w:pPr>
    </w:p>
    <w:p w14:paraId="0AF7262B" w14:textId="77777777" w:rsidR="00ED72CF" w:rsidRPr="00203808" w:rsidRDefault="00ED72CF" w:rsidP="00203808">
      <w:pPr>
        <w:spacing w:after="0" w:line="360" w:lineRule="auto"/>
        <w:jc w:val="both"/>
        <w:rPr>
          <w:rFonts w:cs="Arial"/>
          <w:b/>
          <w:bCs/>
          <w:sz w:val="22"/>
          <w:u w:val="single"/>
        </w:rPr>
      </w:pPr>
    </w:p>
    <w:p w14:paraId="467FF9FD" w14:textId="77777777" w:rsidR="00ED72CF" w:rsidRPr="00203808" w:rsidRDefault="00ED72CF" w:rsidP="00203808">
      <w:pPr>
        <w:spacing w:after="0" w:line="360" w:lineRule="auto"/>
        <w:jc w:val="both"/>
        <w:rPr>
          <w:rFonts w:cs="Arial"/>
          <w:b/>
          <w:bCs/>
          <w:sz w:val="22"/>
          <w:u w:val="single"/>
        </w:rPr>
      </w:pPr>
    </w:p>
    <w:p w14:paraId="36A64BDB" w14:textId="77777777" w:rsidR="00ED72CF" w:rsidRPr="00203808" w:rsidRDefault="00ED72CF" w:rsidP="00203808">
      <w:pPr>
        <w:spacing w:after="0" w:line="360" w:lineRule="auto"/>
        <w:jc w:val="both"/>
        <w:rPr>
          <w:rFonts w:cs="Arial"/>
          <w:b/>
          <w:bCs/>
          <w:sz w:val="22"/>
          <w:u w:val="single"/>
        </w:rPr>
      </w:pPr>
    </w:p>
    <w:p w14:paraId="24B8EE72" w14:textId="77777777" w:rsidR="00ED72CF" w:rsidRPr="00203808" w:rsidRDefault="00ED72CF" w:rsidP="00203808">
      <w:pPr>
        <w:spacing w:after="0" w:line="360" w:lineRule="auto"/>
        <w:jc w:val="both"/>
        <w:rPr>
          <w:rFonts w:cs="Arial"/>
          <w:b/>
          <w:bCs/>
          <w:sz w:val="22"/>
          <w:u w:val="single"/>
        </w:rPr>
      </w:pPr>
    </w:p>
    <w:p w14:paraId="65A055BE" w14:textId="77777777" w:rsidR="00ED72CF" w:rsidRPr="00203808" w:rsidRDefault="00ED72CF" w:rsidP="00203808">
      <w:pPr>
        <w:spacing w:after="0" w:line="360" w:lineRule="auto"/>
        <w:jc w:val="both"/>
        <w:rPr>
          <w:rFonts w:cs="Arial"/>
          <w:b/>
          <w:bCs/>
          <w:sz w:val="22"/>
          <w:u w:val="single"/>
        </w:rPr>
      </w:pPr>
    </w:p>
    <w:p w14:paraId="53063B0E" w14:textId="77777777" w:rsidR="00ED72CF" w:rsidRPr="00203808" w:rsidRDefault="00ED72CF" w:rsidP="00203808">
      <w:pPr>
        <w:spacing w:after="0" w:line="360" w:lineRule="auto"/>
        <w:jc w:val="both"/>
        <w:rPr>
          <w:rFonts w:cs="Arial"/>
          <w:b/>
          <w:bCs/>
          <w:sz w:val="22"/>
          <w:u w:val="single"/>
        </w:rPr>
      </w:pPr>
    </w:p>
    <w:p w14:paraId="31146A8B" w14:textId="77777777" w:rsidR="00ED72CF" w:rsidRPr="00203808" w:rsidRDefault="00ED72CF" w:rsidP="00203808">
      <w:pPr>
        <w:spacing w:after="0" w:line="360" w:lineRule="auto"/>
        <w:jc w:val="both"/>
        <w:rPr>
          <w:rFonts w:cs="Arial"/>
          <w:b/>
          <w:bCs/>
          <w:sz w:val="22"/>
          <w:u w:val="single"/>
        </w:rPr>
      </w:pPr>
    </w:p>
    <w:p w14:paraId="774823E5" w14:textId="77777777" w:rsidR="00ED72CF" w:rsidRPr="00203808" w:rsidRDefault="00ED72CF" w:rsidP="00203808">
      <w:pPr>
        <w:spacing w:after="0" w:line="360" w:lineRule="auto"/>
        <w:jc w:val="both"/>
        <w:rPr>
          <w:rFonts w:cs="Arial"/>
          <w:b/>
          <w:bCs/>
          <w:sz w:val="22"/>
          <w:u w:val="single"/>
        </w:rPr>
      </w:pPr>
    </w:p>
    <w:p w14:paraId="2595FA62" w14:textId="77777777" w:rsidR="00ED72CF" w:rsidRPr="00203808" w:rsidRDefault="00ED72CF" w:rsidP="00203808">
      <w:pPr>
        <w:spacing w:after="0" w:line="360" w:lineRule="auto"/>
        <w:jc w:val="both"/>
        <w:rPr>
          <w:rFonts w:cs="Arial"/>
          <w:b/>
          <w:bCs/>
          <w:sz w:val="22"/>
          <w:u w:val="single"/>
        </w:rPr>
      </w:pPr>
    </w:p>
    <w:p w14:paraId="05B3548D" w14:textId="77777777" w:rsidR="00ED72CF" w:rsidRPr="00203808" w:rsidRDefault="00ED72CF" w:rsidP="00203808">
      <w:pPr>
        <w:spacing w:after="0" w:line="360" w:lineRule="auto"/>
        <w:jc w:val="both"/>
        <w:rPr>
          <w:rFonts w:cs="Arial"/>
          <w:b/>
          <w:bCs/>
          <w:sz w:val="22"/>
          <w:u w:val="single"/>
        </w:rPr>
      </w:pPr>
    </w:p>
    <w:p w14:paraId="4BBF5B9F" w14:textId="77777777" w:rsidR="00ED72CF" w:rsidRPr="00203808" w:rsidRDefault="00ED72CF" w:rsidP="00203808">
      <w:pPr>
        <w:spacing w:after="0" w:line="360" w:lineRule="auto"/>
        <w:jc w:val="both"/>
        <w:rPr>
          <w:rFonts w:cs="Arial"/>
          <w:b/>
          <w:bCs/>
          <w:sz w:val="22"/>
          <w:u w:val="single"/>
        </w:rPr>
      </w:pPr>
    </w:p>
    <w:p w14:paraId="072AB7A9" w14:textId="77777777" w:rsidR="00ED72CF" w:rsidRPr="00203808" w:rsidRDefault="00ED72CF" w:rsidP="00203808">
      <w:pPr>
        <w:spacing w:after="0" w:line="360" w:lineRule="auto"/>
        <w:jc w:val="both"/>
        <w:rPr>
          <w:rFonts w:cs="Arial"/>
          <w:b/>
          <w:bCs/>
          <w:sz w:val="22"/>
          <w:u w:val="single"/>
        </w:rPr>
      </w:pPr>
    </w:p>
    <w:p w14:paraId="0CD47A28" w14:textId="77777777" w:rsidR="00ED72CF" w:rsidRPr="00203808" w:rsidRDefault="00ED72CF" w:rsidP="00203808">
      <w:pPr>
        <w:spacing w:after="0" w:line="360" w:lineRule="auto"/>
        <w:jc w:val="both"/>
        <w:rPr>
          <w:rFonts w:cs="Arial"/>
          <w:b/>
          <w:bCs/>
          <w:sz w:val="22"/>
        </w:rPr>
      </w:pPr>
      <w:r w:rsidRPr="00203808">
        <w:rPr>
          <w:rFonts w:cs="Arial"/>
          <w:b/>
          <w:bCs/>
          <w:sz w:val="22"/>
          <w:u w:val="single"/>
        </w:rPr>
        <w:lastRenderedPageBreak/>
        <w:t xml:space="preserve">Appendix 8: </w:t>
      </w:r>
      <w:r w:rsidRPr="00203808">
        <w:rPr>
          <w:rFonts w:cs="Arial"/>
          <w:b/>
          <w:bCs/>
          <w:sz w:val="22"/>
        </w:rPr>
        <w:t>HILTON WORLDWIDE HOLDINGS INC. CONSOLIDATED BALANCE SHEETS (in millions, except share data)-2025</w:t>
      </w:r>
    </w:p>
    <w:p w14:paraId="4E5F0701" w14:textId="77777777" w:rsidR="00ED72CF" w:rsidRPr="00203808" w:rsidRDefault="00ED72CF" w:rsidP="00203808">
      <w:pPr>
        <w:spacing w:after="0" w:line="360" w:lineRule="auto"/>
        <w:jc w:val="both"/>
        <w:rPr>
          <w:rFonts w:cs="Arial"/>
          <w:b/>
          <w:bCs/>
          <w:sz w:val="22"/>
          <w:u w:val="single"/>
        </w:rPr>
      </w:pPr>
      <w:r w:rsidRPr="00203808">
        <w:rPr>
          <w:rFonts w:cs="Arial"/>
          <w:noProof/>
          <w:sz w:val="22"/>
        </w:rPr>
        <w:drawing>
          <wp:inline distT="0" distB="0" distL="0" distR="0" wp14:anchorId="6F0F6D55" wp14:editId="3DE246F2">
            <wp:extent cx="5731510" cy="7026910"/>
            <wp:effectExtent l="0" t="0" r="2540" b="2540"/>
            <wp:docPr id="1762387726"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387726" name=""/>
                    <pic:cNvPicPr/>
                  </pic:nvPicPr>
                  <pic:blipFill>
                    <a:blip r:embed="rId46"/>
                    <a:stretch>
                      <a:fillRect/>
                    </a:stretch>
                  </pic:blipFill>
                  <pic:spPr>
                    <a:xfrm>
                      <a:off x="0" y="0"/>
                      <a:ext cx="5731510" cy="7026910"/>
                    </a:xfrm>
                    <a:prstGeom prst="rect">
                      <a:avLst/>
                    </a:prstGeom>
                  </pic:spPr>
                </pic:pic>
              </a:graphicData>
            </a:graphic>
          </wp:inline>
        </w:drawing>
      </w:r>
    </w:p>
    <w:p w14:paraId="2E9C8D3A" w14:textId="77777777" w:rsidR="00ED72CF" w:rsidRPr="00203808" w:rsidRDefault="00ED72CF" w:rsidP="00203808">
      <w:pPr>
        <w:spacing w:after="0" w:line="360" w:lineRule="auto"/>
        <w:jc w:val="both"/>
        <w:rPr>
          <w:rFonts w:cs="Arial"/>
          <w:b/>
          <w:bCs/>
          <w:sz w:val="22"/>
          <w:u w:val="single"/>
        </w:rPr>
      </w:pPr>
    </w:p>
    <w:p w14:paraId="46E2B812" w14:textId="77777777" w:rsidR="00ED72CF" w:rsidRPr="00203808" w:rsidRDefault="00ED72CF" w:rsidP="00203808">
      <w:pPr>
        <w:spacing w:after="0" w:line="360" w:lineRule="auto"/>
        <w:jc w:val="both"/>
        <w:rPr>
          <w:rFonts w:cs="Arial"/>
          <w:b/>
          <w:bCs/>
          <w:sz w:val="22"/>
          <w:u w:val="single"/>
        </w:rPr>
      </w:pPr>
    </w:p>
    <w:p w14:paraId="02BC67C1" w14:textId="77777777" w:rsidR="00ED72CF" w:rsidRPr="00203808" w:rsidRDefault="00ED72CF" w:rsidP="00203808">
      <w:pPr>
        <w:spacing w:after="0" w:line="360" w:lineRule="auto"/>
        <w:jc w:val="both"/>
        <w:rPr>
          <w:rFonts w:cs="Arial"/>
          <w:b/>
          <w:bCs/>
          <w:sz w:val="22"/>
          <w:u w:val="single"/>
        </w:rPr>
      </w:pPr>
    </w:p>
    <w:p w14:paraId="10E50918" w14:textId="77777777" w:rsidR="00ED72CF" w:rsidRPr="00203808" w:rsidRDefault="00ED72CF" w:rsidP="00203808">
      <w:pPr>
        <w:spacing w:after="0" w:line="360" w:lineRule="auto"/>
        <w:jc w:val="both"/>
        <w:rPr>
          <w:rFonts w:cs="Arial"/>
          <w:b/>
          <w:bCs/>
          <w:sz w:val="22"/>
          <w:u w:val="single"/>
        </w:rPr>
      </w:pPr>
    </w:p>
    <w:p w14:paraId="3D9A971E" w14:textId="77777777" w:rsidR="00ED72CF" w:rsidRPr="00203808" w:rsidRDefault="00ED72CF" w:rsidP="00203808">
      <w:pPr>
        <w:spacing w:after="0" w:line="360" w:lineRule="auto"/>
        <w:jc w:val="both"/>
        <w:rPr>
          <w:rFonts w:cs="Arial"/>
          <w:b/>
          <w:bCs/>
          <w:sz w:val="22"/>
          <w:lang w:val="en-GB"/>
        </w:rPr>
      </w:pPr>
      <w:r w:rsidRPr="00203808">
        <w:rPr>
          <w:rFonts w:cs="Arial"/>
          <w:b/>
          <w:bCs/>
          <w:sz w:val="22"/>
        </w:rPr>
        <w:t>Appendix 9: Autor’s calculation of W</w:t>
      </w:r>
      <w:proofErr w:type="spellStart"/>
      <w:r w:rsidRPr="00203808">
        <w:rPr>
          <w:rFonts w:cs="Arial"/>
          <w:b/>
          <w:bCs/>
          <w:sz w:val="22"/>
          <w:lang w:val="en-GB"/>
        </w:rPr>
        <w:t>orking</w:t>
      </w:r>
      <w:proofErr w:type="spellEnd"/>
      <w:r w:rsidRPr="00203808">
        <w:rPr>
          <w:rFonts w:cs="Arial"/>
          <w:b/>
          <w:bCs/>
          <w:sz w:val="22"/>
          <w:lang w:val="en-GB"/>
        </w:rPr>
        <w:t xml:space="preserve"> Capital Position</w:t>
      </w:r>
    </w:p>
    <w:p w14:paraId="6EA4299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Formula:</w:t>
      </w:r>
    </w:p>
    <w:p w14:paraId="2ADD9CC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Net Working Capital = Current Assets - Current Liabilities</w:t>
      </w:r>
    </w:p>
    <w:p w14:paraId="12D4DE1B" w14:textId="77777777" w:rsidR="00ED72CF" w:rsidRPr="00203808" w:rsidRDefault="00ED72CF" w:rsidP="00203808">
      <w:pPr>
        <w:spacing w:after="0" w:line="360" w:lineRule="auto"/>
        <w:jc w:val="both"/>
        <w:rPr>
          <w:rFonts w:cs="Arial"/>
          <w:b/>
          <w:bCs/>
          <w:sz w:val="22"/>
          <w:lang w:val="en-GB"/>
        </w:rPr>
      </w:pPr>
    </w:p>
    <w:tbl>
      <w:tblPr>
        <w:tblW w:w="9853" w:type="dxa"/>
        <w:tblCellSpacing w:w="15" w:type="dxa"/>
        <w:tblCellMar>
          <w:top w:w="15" w:type="dxa"/>
          <w:left w:w="15" w:type="dxa"/>
          <w:bottom w:w="15" w:type="dxa"/>
          <w:right w:w="15" w:type="dxa"/>
        </w:tblCellMar>
        <w:tblLook w:val="04A0" w:firstRow="1" w:lastRow="0" w:firstColumn="1" w:lastColumn="0" w:noHBand="0" w:noVBand="1"/>
      </w:tblPr>
      <w:tblGrid>
        <w:gridCol w:w="1124"/>
        <w:gridCol w:w="1764"/>
        <w:gridCol w:w="2565"/>
        <w:gridCol w:w="1530"/>
        <w:gridCol w:w="2870"/>
      </w:tblGrid>
      <w:tr w:rsidR="00203808" w:rsidRPr="00203808" w14:paraId="1435D01C" w14:textId="77777777" w:rsidTr="008C2C42">
        <w:trPr>
          <w:trHeight w:val="907"/>
          <w:tblHeader/>
          <w:tblCellSpacing w:w="15" w:type="dxa"/>
        </w:trPr>
        <w:tc>
          <w:tcPr>
            <w:tcW w:w="1079" w:type="dxa"/>
            <w:tcBorders>
              <w:top w:val="thinThickSmallGap" w:sz="24" w:space="0" w:color="auto"/>
              <w:bottom w:val="thickThinSmallGap" w:sz="24" w:space="0" w:color="auto"/>
            </w:tcBorders>
            <w:vAlign w:val="center"/>
            <w:hideMark/>
          </w:tcPr>
          <w:p w14:paraId="0B597AC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Year</w:t>
            </w:r>
          </w:p>
        </w:tc>
        <w:tc>
          <w:tcPr>
            <w:tcW w:w="1734" w:type="dxa"/>
            <w:tcBorders>
              <w:top w:val="thinThickSmallGap" w:sz="24" w:space="0" w:color="auto"/>
              <w:bottom w:val="thickThinSmallGap" w:sz="24" w:space="0" w:color="auto"/>
            </w:tcBorders>
            <w:vAlign w:val="center"/>
            <w:hideMark/>
          </w:tcPr>
          <w:p w14:paraId="02C86E1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Current Assets ($m)</w:t>
            </w:r>
          </w:p>
        </w:tc>
        <w:tc>
          <w:tcPr>
            <w:tcW w:w="0" w:type="auto"/>
            <w:tcBorders>
              <w:top w:val="thinThickSmallGap" w:sz="24" w:space="0" w:color="auto"/>
              <w:bottom w:val="thickThinSmallGap" w:sz="24" w:space="0" w:color="auto"/>
            </w:tcBorders>
            <w:vAlign w:val="center"/>
            <w:hideMark/>
          </w:tcPr>
          <w:p w14:paraId="5E33AEC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Current Liabilities ($m)</w:t>
            </w:r>
          </w:p>
        </w:tc>
        <w:tc>
          <w:tcPr>
            <w:tcW w:w="0" w:type="auto"/>
            <w:tcBorders>
              <w:top w:val="thinThickSmallGap" w:sz="24" w:space="0" w:color="auto"/>
              <w:bottom w:val="thickThinSmallGap" w:sz="24" w:space="0" w:color="auto"/>
            </w:tcBorders>
            <w:vAlign w:val="center"/>
            <w:hideMark/>
          </w:tcPr>
          <w:p w14:paraId="7FC6283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Calculation</w:t>
            </w:r>
          </w:p>
        </w:tc>
        <w:tc>
          <w:tcPr>
            <w:tcW w:w="0" w:type="auto"/>
            <w:tcBorders>
              <w:top w:val="thinThickSmallGap" w:sz="24" w:space="0" w:color="auto"/>
              <w:bottom w:val="thickThinSmallGap" w:sz="24" w:space="0" w:color="auto"/>
            </w:tcBorders>
            <w:vAlign w:val="center"/>
            <w:hideMark/>
          </w:tcPr>
          <w:p w14:paraId="7001E83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Net Working Capital ($m)</w:t>
            </w:r>
          </w:p>
        </w:tc>
      </w:tr>
      <w:tr w:rsidR="00203808" w:rsidRPr="00203808" w14:paraId="16059E7D" w14:textId="77777777" w:rsidTr="008C2C42">
        <w:trPr>
          <w:trHeight w:val="458"/>
          <w:tblCellSpacing w:w="15" w:type="dxa"/>
        </w:trPr>
        <w:tc>
          <w:tcPr>
            <w:tcW w:w="1079" w:type="dxa"/>
            <w:vAlign w:val="center"/>
            <w:hideMark/>
          </w:tcPr>
          <w:p w14:paraId="6F7D851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2021</w:t>
            </w:r>
          </w:p>
        </w:tc>
        <w:tc>
          <w:tcPr>
            <w:tcW w:w="1734" w:type="dxa"/>
            <w:vAlign w:val="center"/>
            <w:hideMark/>
          </w:tcPr>
          <w:p w14:paraId="3D67585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3,626</w:t>
            </w:r>
          </w:p>
        </w:tc>
        <w:tc>
          <w:tcPr>
            <w:tcW w:w="0" w:type="auto"/>
            <w:vAlign w:val="center"/>
            <w:hideMark/>
          </w:tcPr>
          <w:p w14:paraId="40B4AFB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6,407</w:t>
            </w:r>
          </w:p>
        </w:tc>
        <w:tc>
          <w:tcPr>
            <w:tcW w:w="0" w:type="auto"/>
            <w:vAlign w:val="center"/>
            <w:hideMark/>
          </w:tcPr>
          <w:p w14:paraId="6EC4C19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3,626 - 6,407</w:t>
            </w:r>
          </w:p>
        </w:tc>
        <w:tc>
          <w:tcPr>
            <w:tcW w:w="0" w:type="auto"/>
            <w:vAlign w:val="center"/>
            <w:hideMark/>
          </w:tcPr>
          <w:p w14:paraId="0D44733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(2,781)</w:t>
            </w:r>
          </w:p>
        </w:tc>
      </w:tr>
      <w:tr w:rsidR="00203808" w:rsidRPr="00203808" w14:paraId="2D5C2FF3" w14:textId="77777777" w:rsidTr="008C2C42">
        <w:trPr>
          <w:trHeight w:val="458"/>
          <w:tblCellSpacing w:w="15" w:type="dxa"/>
        </w:trPr>
        <w:tc>
          <w:tcPr>
            <w:tcW w:w="1079" w:type="dxa"/>
            <w:vAlign w:val="center"/>
            <w:hideMark/>
          </w:tcPr>
          <w:p w14:paraId="709DE52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2022</w:t>
            </w:r>
          </w:p>
        </w:tc>
        <w:tc>
          <w:tcPr>
            <w:tcW w:w="1734" w:type="dxa"/>
            <w:vAlign w:val="center"/>
            <w:hideMark/>
          </w:tcPr>
          <w:p w14:paraId="746C9E1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3,313</w:t>
            </w:r>
          </w:p>
        </w:tc>
        <w:tc>
          <w:tcPr>
            <w:tcW w:w="0" w:type="auto"/>
            <w:vAlign w:val="center"/>
            <w:hideMark/>
          </w:tcPr>
          <w:p w14:paraId="05F90C7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7,339</w:t>
            </w:r>
          </w:p>
        </w:tc>
        <w:tc>
          <w:tcPr>
            <w:tcW w:w="0" w:type="auto"/>
            <w:vAlign w:val="center"/>
            <w:hideMark/>
          </w:tcPr>
          <w:p w14:paraId="3E5F97F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3,313 - 7,339</w:t>
            </w:r>
          </w:p>
        </w:tc>
        <w:tc>
          <w:tcPr>
            <w:tcW w:w="0" w:type="auto"/>
            <w:vAlign w:val="center"/>
            <w:hideMark/>
          </w:tcPr>
          <w:p w14:paraId="745649D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(4,026)</w:t>
            </w:r>
          </w:p>
        </w:tc>
      </w:tr>
      <w:tr w:rsidR="00203808" w:rsidRPr="00203808" w14:paraId="540E6443" w14:textId="77777777" w:rsidTr="008C2C42">
        <w:trPr>
          <w:trHeight w:val="458"/>
          <w:tblCellSpacing w:w="15" w:type="dxa"/>
        </w:trPr>
        <w:tc>
          <w:tcPr>
            <w:tcW w:w="1079" w:type="dxa"/>
            <w:vAlign w:val="center"/>
            <w:hideMark/>
          </w:tcPr>
          <w:p w14:paraId="44A84B9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2023</w:t>
            </w:r>
          </w:p>
        </w:tc>
        <w:tc>
          <w:tcPr>
            <w:tcW w:w="1734" w:type="dxa"/>
            <w:vAlign w:val="center"/>
            <w:hideMark/>
          </w:tcPr>
          <w:p w14:paraId="07683F7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3,311</w:t>
            </w:r>
          </w:p>
        </w:tc>
        <w:tc>
          <w:tcPr>
            <w:tcW w:w="0" w:type="auto"/>
            <w:vAlign w:val="center"/>
            <w:hideMark/>
          </w:tcPr>
          <w:p w14:paraId="4558664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7,762</w:t>
            </w:r>
          </w:p>
        </w:tc>
        <w:tc>
          <w:tcPr>
            <w:tcW w:w="0" w:type="auto"/>
            <w:vAlign w:val="center"/>
            <w:hideMark/>
          </w:tcPr>
          <w:p w14:paraId="6B581FF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3,311 - 7,762</w:t>
            </w:r>
          </w:p>
        </w:tc>
        <w:tc>
          <w:tcPr>
            <w:tcW w:w="0" w:type="auto"/>
            <w:vAlign w:val="center"/>
            <w:hideMark/>
          </w:tcPr>
          <w:p w14:paraId="2ECEF15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(4,451)</w:t>
            </w:r>
          </w:p>
        </w:tc>
      </w:tr>
      <w:tr w:rsidR="00203808" w:rsidRPr="00203808" w14:paraId="097EF9DB" w14:textId="77777777" w:rsidTr="008C2C42">
        <w:trPr>
          <w:trHeight w:val="458"/>
          <w:tblCellSpacing w:w="15" w:type="dxa"/>
        </w:trPr>
        <w:tc>
          <w:tcPr>
            <w:tcW w:w="1079" w:type="dxa"/>
            <w:vAlign w:val="center"/>
            <w:hideMark/>
          </w:tcPr>
          <w:p w14:paraId="4729324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2024</w:t>
            </w:r>
          </w:p>
        </w:tc>
        <w:tc>
          <w:tcPr>
            <w:tcW w:w="1734" w:type="dxa"/>
            <w:vAlign w:val="center"/>
            <w:hideMark/>
          </w:tcPr>
          <w:p w14:paraId="1279F89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3,485</w:t>
            </w:r>
          </w:p>
        </w:tc>
        <w:tc>
          <w:tcPr>
            <w:tcW w:w="0" w:type="auto"/>
            <w:vAlign w:val="center"/>
            <w:hideMark/>
          </w:tcPr>
          <w:p w14:paraId="6C42F1A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8,649</w:t>
            </w:r>
          </w:p>
        </w:tc>
        <w:tc>
          <w:tcPr>
            <w:tcW w:w="0" w:type="auto"/>
            <w:vAlign w:val="center"/>
            <w:hideMark/>
          </w:tcPr>
          <w:p w14:paraId="5F3C847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3,485 - 8,649</w:t>
            </w:r>
          </w:p>
        </w:tc>
        <w:tc>
          <w:tcPr>
            <w:tcW w:w="0" w:type="auto"/>
            <w:vAlign w:val="center"/>
            <w:hideMark/>
          </w:tcPr>
          <w:p w14:paraId="2FB3382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(5,164)</w:t>
            </w:r>
          </w:p>
        </w:tc>
      </w:tr>
      <w:tr w:rsidR="00203808" w:rsidRPr="00203808" w14:paraId="4AC450DC" w14:textId="77777777" w:rsidTr="008C2C42">
        <w:trPr>
          <w:trHeight w:val="458"/>
          <w:tblCellSpacing w:w="15" w:type="dxa"/>
        </w:trPr>
        <w:tc>
          <w:tcPr>
            <w:tcW w:w="1079" w:type="dxa"/>
            <w:tcBorders>
              <w:bottom w:val="thickThinSmallGap" w:sz="24" w:space="0" w:color="auto"/>
            </w:tcBorders>
            <w:vAlign w:val="center"/>
            <w:hideMark/>
          </w:tcPr>
          <w:p w14:paraId="6744026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2025</w:t>
            </w:r>
          </w:p>
        </w:tc>
        <w:tc>
          <w:tcPr>
            <w:tcW w:w="1734" w:type="dxa"/>
            <w:tcBorders>
              <w:bottom w:val="thickThinSmallGap" w:sz="24" w:space="0" w:color="auto"/>
            </w:tcBorders>
            <w:vAlign w:val="center"/>
            <w:hideMark/>
          </w:tcPr>
          <w:p w14:paraId="371DEE7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3,584</w:t>
            </w:r>
          </w:p>
        </w:tc>
        <w:tc>
          <w:tcPr>
            <w:tcW w:w="0" w:type="auto"/>
            <w:tcBorders>
              <w:bottom w:val="thickThinSmallGap" w:sz="24" w:space="0" w:color="auto"/>
            </w:tcBorders>
            <w:vAlign w:val="center"/>
            <w:hideMark/>
          </w:tcPr>
          <w:p w14:paraId="1251D6B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8,398</w:t>
            </w:r>
          </w:p>
        </w:tc>
        <w:tc>
          <w:tcPr>
            <w:tcW w:w="0" w:type="auto"/>
            <w:tcBorders>
              <w:bottom w:val="thickThinSmallGap" w:sz="24" w:space="0" w:color="auto"/>
            </w:tcBorders>
            <w:vAlign w:val="center"/>
            <w:hideMark/>
          </w:tcPr>
          <w:p w14:paraId="68A63C7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3,584 - 8,398</w:t>
            </w:r>
          </w:p>
        </w:tc>
        <w:tc>
          <w:tcPr>
            <w:tcW w:w="0" w:type="auto"/>
            <w:tcBorders>
              <w:bottom w:val="thickThinSmallGap" w:sz="24" w:space="0" w:color="auto"/>
            </w:tcBorders>
            <w:vAlign w:val="center"/>
            <w:hideMark/>
          </w:tcPr>
          <w:p w14:paraId="4C6B485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(4,814)</w:t>
            </w:r>
          </w:p>
        </w:tc>
      </w:tr>
    </w:tbl>
    <w:p w14:paraId="685ED46C" w14:textId="77777777" w:rsidR="00ED72CF" w:rsidRPr="00203808" w:rsidRDefault="00ED72CF" w:rsidP="00203808">
      <w:pPr>
        <w:spacing w:after="0" w:line="360" w:lineRule="auto"/>
        <w:jc w:val="both"/>
        <w:rPr>
          <w:rFonts w:cs="Arial"/>
          <w:b/>
          <w:bCs/>
          <w:sz w:val="22"/>
          <w:u w:val="single"/>
        </w:rPr>
      </w:pPr>
    </w:p>
    <w:p w14:paraId="19081E89" w14:textId="77777777" w:rsidR="00ED72CF" w:rsidRPr="00203808" w:rsidRDefault="00ED72CF" w:rsidP="00203808">
      <w:pPr>
        <w:spacing w:after="0" w:line="360" w:lineRule="auto"/>
        <w:jc w:val="both"/>
        <w:rPr>
          <w:rFonts w:cs="Arial"/>
          <w:b/>
          <w:bCs/>
          <w:sz w:val="22"/>
          <w:lang w:val="en-GB"/>
        </w:rPr>
      </w:pPr>
      <w:bookmarkStart w:id="35" w:name="_Hlk237259450"/>
      <w:r w:rsidRPr="00203808">
        <w:rPr>
          <w:rFonts w:cs="Arial"/>
          <w:b/>
          <w:bCs/>
          <w:sz w:val="22"/>
          <w:u w:val="single"/>
        </w:rPr>
        <w:t>Appendix 10</w:t>
      </w:r>
      <w:r w:rsidRPr="00203808">
        <w:rPr>
          <w:rFonts w:cs="Arial"/>
          <w:b/>
          <w:bCs/>
          <w:sz w:val="22"/>
          <w:u w:val="single"/>
          <w:lang w:val="en-GB"/>
        </w:rPr>
        <w:t>:</w:t>
      </w:r>
      <w:r w:rsidRPr="00203808">
        <w:rPr>
          <w:rFonts w:cs="Arial"/>
          <w:b/>
          <w:bCs/>
          <w:sz w:val="22"/>
          <w:lang w:val="en-GB"/>
        </w:rPr>
        <w:t xml:space="preserve"> Recommended working-capital priorities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03"/>
        <w:gridCol w:w="3279"/>
        <w:gridCol w:w="858"/>
      </w:tblGrid>
      <w:tr w:rsidR="00203808" w:rsidRPr="00203808" w14:paraId="496DA543"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6788257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Reform</w:t>
            </w:r>
          </w:p>
        </w:tc>
        <w:tc>
          <w:tcPr>
            <w:tcW w:w="0" w:type="auto"/>
            <w:tcBorders>
              <w:top w:val="thinThickSmallGap" w:sz="24" w:space="0" w:color="auto"/>
              <w:bottom w:val="thickThinSmallGap" w:sz="24" w:space="0" w:color="auto"/>
            </w:tcBorders>
            <w:vAlign w:val="center"/>
            <w:hideMark/>
          </w:tcPr>
          <w:p w14:paraId="6D11385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Expected effect on liquidity</w:t>
            </w:r>
          </w:p>
        </w:tc>
        <w:tc>
          <w:tcPr>
            <w:tcW w:w="0" w:type="auto"/>
            <w:tcBorders>
              <w:top w:val="thinThickSmallGap" w:sz="24" w:space="0" w:color="auto"/>
              <w:bottom w:val="thickThinSmallGap" w:sz="24" w:space="0" w:color="auto"/>
            </w:tcBorders>
            <w:vAlign w:val="center"/>
            <w:hideMark/>
          </w:tcPr>
          <w:p w14:paraId="48AA543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Priority</w:t>
            </w:r>
          </w:p>
        </w:tc>
      </w:tr>
      <w:tr w:rsidR="00203808" w:rsidRPr="00203808" w14:paraId="02EC03A4" w14:textId="77777777" w:rsidTr="008C2C42">
        <w:trPr>
          <w:tblCellSpacing w:w="15" w:type="dxa"/>
        </w:trPr>
        <w:tc>
          <w:tcPr>
            <w:tcW w:w="0" w:type="auto"/>
            <w:vAlign w:val="center"/>
            <w:hideMark/>
          </w:tcPr>
          <w:p w14:paraId="0E69C8A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Reduce DSO further</w:t>
            </w:r>
          </w:p>
        </w:tc>
        <w:tc>
          <w:tcPr>
            <w:tcW w:w="0" w:type="auto"/>
            <w:vAlign w:val="center"/>
            <w:hideMark/>
          </w:tcPr>
          <w:p w14:paraId="0B440CFC"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Faster conversion of receivables into cash</w:t>
            </w:r>
          </w:p>
        </w:tc>
        <w:tc>
          <w:tcPr>
            <w:tcW w:w="0" w:type="auto"/>
            <w:vAlign w:val="center"/>
            <w:hideMark/>
          </w:tcPr>
          <w:p w14:paraId="4CB2D04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High</w:t>
            </w:r>
          </w:p>
        </w:tc>
      </w:tr>
      <w:tr w:rsidR="00203808" w:rsidRPr="00203808" w14:paraId="32A08652" w14:textId="77777777" w:rsidTr="008C2C42">
        <w:trPr>
          <w:tblCellSpacing w:w="15" w:type="dxa"/>
        </w:trPr>
        <w:tc>
          <w:tcPr>
            <w:tcW w:w="0" w:type="auto"/>
            <w:vAlign w:val="center"/>
            <w:hideMark/>
          </w:tcPr>
          <w:p w14:paraId="33545CA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Improve electronic collections</w:t>
            </w:r>
          </w:p>
        </w:tc>
        <w:tc>
          <w:tcPr>
            <w:tcW w:w="0" w:type="auto"/>
            <w:vAlign w:val="center"/>
            <w:hideMark/>
          </w:tcPr>
          <w:p w14:paraId="4672733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Faster and more predictable cash inflows</w:t>
            </w:r>
          </w:p>
        </w:tc>
        <w:tc>
          <w:tcPr>
            <w:tcW w:w="0" w:type="auto"/>
            <w:vAlign w:val="center"/>
            <w:hideMark/>
          </w:tcPr>
          <w:p w14:paraId="2FBAF6F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High</w:t>
            </w:r>
          </w:p>
        </w:tc>
      </w:tr>
      <w:tr w:rsidR="00203808" w:rsidRPr="00203808" w14:paraId="1E5A9D4C" w14:textId="77777777" w:rsidTr="008C2C42">
        <w:trPr>
          <w:tblCellSpacing w:w="15" w:type="dxa"/>
        </w:trPr>
        <w:tc>
          <w:tcPr>
            <w:tcW w:w="0" w:type="auto"/>
            <w:vAlign w:val="center"/>
            <w:hideMark/>
          </w:tcPr>
          <w:p w14:paraId="534DBA8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Negotiate appropriate supplier terms</w:t>
            </w:r>
          </w:p>
        </w:tc>
        <w:tc>
          <w:tcPr>
            <w:tcW w:w="0" w:type="auto"/>
            <w:vAlign w:val="center"/>
            <w:hideMark/>
          </w:tcPr>
          <w:p w14:paraId="67FA86F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Retains cash for longer</w:t>
            </w:r>
          </w:p>
        </w:tc>
        <w:tc>
          <w:tcPr>
            <w:tcW w:w="0" w:type="auto"/>
            <w:vAlign w:val="center"/>
            <w:hideMark/>
          </w:tcPr>
          <w:p w14:paraId="11199AF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Medium</w:t>
            </w:r>
          </w:p>
        </w:tc>
      </w:tr>
      <w:tr w:rsidR="00203808" w:rsidRPr="00203808" w14:paraId="7DA7024B" w14:textId="77777777" w:rsidTr="008C2C42">
        <w:trPr>
          <w:tblCellSpacing w:w="15" w:type="dxa"/>
        </w:trPr>
        <w:tc>
          <w:tcPr>
            <w:tcW w:w="0" w:type="auto"/>
            <w:vAlign w:val="center"/>
            <w:hideMark/>
          </w:tcPr>
          <w:p w14:paraId="15511C7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Tighten credit monitoring</w:t>
            </w:r>
          </w:p>
        </w:tc>
        <w:tc>
          <w:tcPr>
            <w:tcW w:w="0" w:type="auto"/>
            <w:vAlign w:val="center"/>
            <w:hideMark/>
          </w:tcPr>
          <w:p w14:paraId="63BEC3D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Reduces collection risk</w:t>
            </w:r>
          </w:p>
        </w:tc>
        <w:tc>
          <w:tcPr>
            <w:tcW w:w="0" w:type="auto"/>
            <w:vAlign w:val="center"/>
            <w:hideMark/>
          </w:tcPr>
          <w:p w14:paraId="286D216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High</w:t>
            </w:r>
          </w:p>
        </w:tc>
      </w:tr>
      <w:tr w:rsidR="00203808" w:rsidRPr="00203808" w14:paraId="0ED496F2" w14:textId="77777777" w:rsidTr="008C2C42">
        <w:trPr>
          <w:tblCellSpacing w:w="15" w:type="dxa"/>
        </w:trPr>
        <w:tc>
          <w:tcPr>
            <w:tcW w:w="0" w:type="auto"/>
            <w:vAlign w:val="center"/>
            <w:hideMark/>
          </w:tcPr>
          <w:p w14:paraId="0B0FF8F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Moderate discretionary share repurchases when necessary</w:t>
            </w:r>
          </w:p>
        </w:tc>
        <w:tc>
          <w:tcPr>
            <w:tcW w:w="0" w:type="auto"/>
            <w:vAlign w:val="center"/>
            <w:hideMark/>
          </w:tcPr>
          <w:p w14:paraId="7ECE45EF"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Preserves cash</w:t>
            </w:r>
          </w:p>
        </w:tc>
        <w:tc>
          <w:tcPr>
            <w:tcW w:w="0" w:type="auto"/>
            <w:vAlign w:val="center"/>
            <w:hideMark/>
          </w:tcPr>
          <w:p w14:paraId="4A5DE2D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High</w:t>
            </w:r>
          </w:p>
        </w:tc>
      </w:tr>
      <w:tr w:rsidR="00203808" w:rsidRPr="00203808" w14:paraId="39ABE832" w14:textId="77777777" w:rsidTr="008C2C42">
        <w:trPr>
          <w:tblCellSpacing w:w="15" w:type="dxa"/>
        </w:trPr>
        <w:tc>
          <w:tcPr>
            <w:tcW w:w="0" w:type="auto"/>
            <w:tcBorders>
              <w:bottom w:val="thickThinSmallGap" w:sz="24" w:space="0" w:color="auto"/>
            </w:tcBorders>
            <w:vAlign w:val="center"/>
            <w:hideMark/>
          </w:tcPr>
          <w:p w14:paraId="0CAF7BE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Maintain committed credit facilities</w:t>
            </w:r>
          </w:p>
        </w:tc>
        <w:tc>
          <w:tcPr>
            <w:tcW w:w="0" w:type="auto"/>
            <w:tcBorders>
              <w:bottom w:val="thickThinSmallGap" w:sz="24" w:space="0" w:color="auto"/>
            </w:tcBorders>
            <w:vAlign w:val="center"/>
            <w:hideMark/>
          </w:tcPr>
          <w:p w14:paraId="433163C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Provides liquidity protection</w:t>
            </w:r>
          </w:p>
        </w:tc>
        <w:tc>
          <w:tcPr>
            <w:tcW w:w="0" w:type="auto"/>
            <w:tcBorders>
              <w:bottom w:val="thickThinSmallGap" w:sz="24" w:space="0" w:color="auto"/>
            </w:tcBorders>
            <w:vAlign w:val="center"/>
            <w:hideMark/>
          </w:tcPr>
          <w:p w14:paraId="58CC88E0"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High</w:t>
            </w:r>
          </w:p>
        </w:tc>
      </w:tr>
    </w:tbl>
    <w:p w14:paraId="12F79272" w14:textId="77777777" w:rsidR="00ED72CF" w:rsidRDefault="00ED72CF" w:rsidP="00203808">
      <w:pPr>
        <w:spacing w:after="0" w:line="360" w:lineRule="auto"/>
        <w:jc w:val="both"/>
        <w:rPr>
          <w:rFonts w:cs="Arial"/>
          <w:sz w:val="22"/>
          <w:lang w:val="en-GB"/>
        </w:rPr>
      </w:pPr>
      <w:r w:rsidRPr="00203808">
        <w:rPr>
          <w:rFonts w:cs="Arial"/>
          <w:sz w:val="22"/>
          <w:lang w:val="en-GB"/>
        </w:rPr>
        <w:t xml:space="preserve">Source: Autor </w:t>
      </w:r>
    </w:p>
    <w:p w14:paraId="5510301C" w14:textId="77777777" w:rsidR="00BE2860" w:rsidRDefault="00BE2860" w:rsidP="00203808">
      <w:pPr>
        <w:spacing w:after="0" w:line="360" w:lineRule="auto"/>
        <w:jc w:val="both"/>
        <w:rPr>
          <w:rFonts w:cs="Arial"/>
          <w:sz w:val="22"/>
          <w:lang w:val="en-GB"/>
        </w:rPr>
      </w:pPr>
    </w:p>
    <w:p w14:paraId="7A951C0F" w14:textId="77777777" w:rsidR="00BE2860" w:rsidRDefault="00BE2860" w:rsidP="00203808">
      <w:pPr>
        <w:spacing w:after="0" w:line="360" w:lineRule="auto"/>
        <w:jc w:val="both"/>
        <w:rPr>
          <w:rFonts w:cs="Arial"/>
          <w:sz w:val="22"/>
          <w:lang w:val="en-GB"/>
        </w:rPr>
      </w:pPr>
    </w:p>
    <w:p w14:paraId="707FCDB0" w14:textId="77777777" w:rsidR="00BE2860" w:rsidRPr="00203808" w:rsidRDefault="00BE2860" w:rsidP="00203808">
      <w:pPr>
        <w:spacing w:after="0" w:line="360" w:lineRule="auto"/>
        <w:jc w:val="both"/>
        <w:rPr>
          <w:rFonts w:cs="Arial"/>
          <w:sz w:val="22"/>
          <w:lang w:val="en-GB"/>
        </w:rPr>
      </w:pPr>
    </w:p>
    <w:bookmarkEnd w:id="35"/>
    <w:p w14:paraId="3EB9CF72" w14:textId="5DA659BD" w:rsidR="00ED72CF" w:rsidRPr="00203808" w:rsidRDefault="00ED72CF" w:rsidP="00203808">
      <w:pPr>
        <w:spacing w:after="0" w:line="360" w:lineRule="auto"/>
        <w:jc w:val="both"/>
        <w:rPr>
          <w:rFonts w:cs="Arial"/>
          <w:b/>
          <w:bCs/>
          <w:sz w:val="22"/>
          <w:lang w:val="en-GB"/>
        </w:rPr>
      </w:pPr>
      <w:r w:rsidRPr="00203808">
        <w:rPr>
          <w:rFonts w:cs="Arial"/>
          <w:b/>
          <w:bCs/>
          <w:sz w:val="22"/>
          <w:u w:val="single"/>
        </w:rPr>
        <w:lastRenderedPageBreak/>
        <w:t>Appendix 1</w:t>
      </w:r>
      <w:r w:rsidR="00BE2860">
        <w:rPr>
          <w:rFonts w:cs="Arial"/>
          <w:b/>
          <w:bCs/>
          <w:sz w:val="22"/>
          <w:u w:val="single"/>
        </w:rPr>
        <w:t>1</w:t>
      </w:r>
      <w:r w:rsidRPr="00203808">
        <w:rPr>
          <w:rFonts w:cs="Arial"/>
          <w:b/>
          <w:bCs/>
          <w:sz w:val="22"/>
          <w:u w:val="single"/>
          <w:lang w:val="en-GB"/>
        </w:rPr>
        <w:t>:</w:t>
      </w:r>
      <w:r w:rsidRPr="00203808">
        <w:rPr>
          <w:rFonts w:cs="Arial"/>
          <w:b/>
          <w:bCs/>
          <w:sz w:val="22"/>
          <w:lang w:val="en-GB"/>
        </w:rPr>
        <w:t xml:space="preserve"> Recommended capital allocation priority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0"/>
        <w:gridCol w:w="4084"/>
        <w:gridCol w:w="3194"/>
      </w:tblGrid>
      <w:tr w:rsidR="00203808" w:rsidRPr="00203808" w14:paraId="177F63BD"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79580C72"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Priority</w:t>
            </w:r>
          </w:p>
        </w:tc>
        <w:tc>
          <w:tcPr>
            <w:tcW w:w="0" w:type="auto"/>
            <w:tcBorders>
              <w:top w:val="thinThickSmallGap" w:sz="24" w:space="0" w:color="auto"/>
              <w:bottom w:val="thickThinSmallGap" w:sz="24" w:space="0" w:color="auto"/>
            </w:tcBorders>
            <w:vAlign w:val="center"/>
            <w:hideMark/>
          </w:tcPr>
          <w:p w14:paraId="41E26EE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Recommended use of cash</w:t>
            </w:r>
          </w:p>
        </w:tc>
        <w:tc>
          <w:tcPr>
            <w:tcW w:w="0" w:type="auto"/>
            <w:tcBorders>
              <w:top w:val="thinThickSmallGap" w:sz="24" w:space="0" w:color="auto"/>
              <w:bottom w:val="thickThinSmallGap" w:sz="24" w:space="0" w:color="auto"/>
            </w:tcBorders>
            <w:vAlign w:val="center"/>
            <w:hideMark/>
          </w:tcPr>
          <w:p w14:paraId="26C610CE"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Strategic objective</w:t>
            </w:r>
          </w:p>
        </w:tc>
      </w:tr>
      <w:tr w:rsidR="00203808" w:rsidRPr="00203808" w14:paraId="7FD1BE18" w14:textId="77777777" w:rsidTr="008C2C42">
        <w:trPr>
          <w:tblCellSpacing w:w="15" w:type="dxa"/>
        </w:trPr>
        <w:tc>
          <w:tcPr>
            <w:tcW w:w="0" w:type="auto"/>
            <w:vAlign w:val="center"/>
            <w:hideMark/>
          </w:tcPr>
          <w:p w14:paraId="0D22064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1</w:t>
            </w:r>
          </w:p>
        </w:tc>
        <w:tc>
          <w:tcPr>
            <w:tcW w:w="0" w:type="auto"/>
            <w:vAlign w:val="center"/>
            <w:hideMark/>
          </w:tcPr>
          <w:p w14:paraId="6D57A99B"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Operating requirements</w:t>
            </w:r>
          </w:p>
        </w:tc>
        <w:tc>
          <w:tcPr>
            <w:tcW w:w="0" w:type="auto"/>
            <w:vAlign w:val="center"/>
            <w:hideMark/>
          </w:tcPr>
          <w:p w14:paraId="57129B0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Protect liquidity</w:t>
            </w:r>
          </w:p>
        </w:tc>
      </w:tr>
      <w:tr w:rsidR="00203808" w:rsidRPr="00203808" w14:paraId="3FFDD20C" w14:textId="77777777" w:rsidTr="008C2C42">
        <w:trPr>
          <w:tblCellSpacing w:w="15" w:type="dxa"/>
        </w:trPr>
        <w:tc>
          <w:tcPr>
            <w:tcW w:w="0" w:type="auto"/>
            <w:vAlign w:val="center"/>
            <w:hideMark/>
          </w:tcPr>
          <w:p w14:paraId="2C76902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2</w:t>
            </w:r>
          </w:p>
        </w:tc>
        <w:tc>
          <w:tcPr>
            <w:tcW w:w="0" w:type="auto"/>
            <w:vAlign w:val="center"/>
            <w:hideMark/>
          </w:tcPr>
          <w:p w14:paraId="5B854F0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Debt service and selective debt reduction</w:t>
            </w:r>
          </w:p>
        </w:tc>
        <w:tc>
          <w:tcPr>
            <w:tcW w:w="0" w:type="auto"/>
            <w:vAlign w:val="center"/>
            <w:hideMark/>
          </w:tcPr>
          <w:p w14:paraId="2435D374"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Reduce financial risk</w:t>
            </w:r>
          </w:p>
        </w:tc>
      </w:tr>
      <w:tr w:rsidR="00203808" w:rsidRPr="00203808" w14:paraId="0FCF7960" w14:textId="77777777" w:rsidTr="008C2C42">
        <w:trPr>
          <w:tblCellSpacing w:w="15" w:type="dxa"/>
        </w:trPr>
        <w:tc>
          <w:tcPr>
            <w:tcW w:w="0" w:type="auto"/>
            <w:vAlign w:val="center"/>
            <w:hideMark/>
          </w:tcPr>
          <w:p w14:paraId="076FE616"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3</w:t>
            </w:r>
          </w:p>
        </w:tc>
        <w:tc>
          <w:tcPr>
            <w:tcW w:w="0" w:type="auto"/>
            <w:vAlign w:val="center"/>
            <w:hideMark/>
          </w:tcPr>
          <w:p w14:paraId="6ADA97A8"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Strategic investment</w:t>
            </w:r>
          </w:p>
        </w:tc>
        <w:tc>
          <w:tcPr>
            <w:tcW w:w="0" w:type="auto"/>
            <w:vAlign w:val="center"/>
            <w:hideMark/>
          </w:tcPr>
          <w:p w14:paraId="5EF8F4AD"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Support long-term growth</w:t>
            </w:r>
          </w:p>
        </w:tc>
      </w:tr>
      <w:tr w:rsidR="00203808" w:rsidRPr="00203808" w14:paraId="3DBC1CB5" w14:textId="77777777" w:rsidTr="008C2C42">
        <w:trPr>
          <w:tblCellSpacing w:w="15" w:type="dxa"/>
        </w:trPr>
        <w:tc>
          <w:tcPr>
            <w:tcW w:w="0" w:type="auto"/>
            <w:vAlign w:val="center"/>
            <w:hideMark/>
          </w:tcPr>
          <w:p w14:paraId="25701A43"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4</w:t>
            </w:r>
          </w:p>
        </w:tc>
        <w:tc>
          <w:tcPr>
            <w:tcW w:w="0" w:type="auto"/>
            <w:vAlign w:val="center"/>
            <w:hideMark/>
          </w:tcPr>
          <w:p w14:paraId="58AC53A1"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Dividends</w:t>
            </w:r>
          </w:p>
        </w:tc>
        <w:tc>
          <w:tcPr>
            <w:tcW w:w="0" w:type="auto"/>
            <w:vAlign w:val="center"/>
            <w:hideMark/>
          </w:tcPr>
          <w:p w14:paraId="661138C7"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Maintain shareholder return</w:t>
            </w:r>
          </w:p>
        </w:tc>
      </w:tr>
      <w:tr w:rsidR="00203808" w:rsidRPr="00203808" w14:paraId="6FD42D5B" w14:textId="77777777" w:rsidTr="008C2C42">
        <w:trPr>
          <w:tblCellSpacing w:w="15" w:type="dxa"/>
        </w:trPr>
        <w:tc>
          <w:tcPr>
            <w:tcW w:w="0" w:type="auto"/>
            <w:tcBorders>
              <w:bottom w:val="thickThinSmallGap" w:sz="24" w:space="0" w:color="auto"/>
            </w:tcBorders>
            <w:vAlign w:val="center"/>
            <w:hideMark/>
          </w:tcPr>
          <w:p w14:paraId="74A6339A"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5</w:t>
            </w:r>
          </w:p>
        </w:tc>
        <w:tc>
          <w:tcPr>
            <w:tcW w:w="0" w:type="auto"/>
            <w:tcBorders>
              <w:bottom w:val="thickThinSmallGap" w:sz="24" w:space="0" w:color="auto"/>
            </w:tcBorders>
            <w:vAlign w:val="center"/>
            <w:hideMark/>
          </w:tcPr>
          <w:p w14:paraId="271691B5"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Share repurchases</w:t>
            </w:r>
          </w:p>
        </w:tc>
        <w:tc>
          <w:tcPr>
            <w:tcW w:w="0" w:type="auto"/>
            <w:tcBorders>
              <w:bottom w:val="thickThinSmallGap" w:sz="24" w:space="0" w:color="auto"/>
            </w:tcBorders>
            <w:vAlign w:val="center"/>
            <w:hideMark/>
          </w:tcPr>
          <w:p w14:paraId="27E0A2D9" w14:textId="77777777" w:rsidR="00ED72CF" w:rsidRPr="00203808" w:rsidRDefault="00ED72CF" w:rsidP="00203808">
            <w:pPr>
              <w:spacing w:after="0" w:line="360" w:lineRule="auto"/>
              <w:jc w:val="both"/>
              <w:rPr>
                <w:rFonts w:cs="Arial"/>
                <w:b/>
                <w:bCs/>
                <w:sz w:val="22"/>
                <w:lang w:val="en-GB"/>
              </w:rPr>
            </w:pPr>
            <w:r w:rsidRPr="00203808">
              <w:rPr>
                <w:rFonts w:cs="Arial"/>
                <w:sz w:val="22"/>
                <w:lang w:val="en-GB"/>
              </w:rPr>
              <w:t>Increase when leverage permits</w:t>
            </w:r>
          </w:p>
        </w:tc>
      </w:tr>
    </w:tbl>
    <w:p w14:paraId="39DCE3AF" w14:textId="77777777" w:rsidR="00ED72CF" w:rsidRPr="00203808" w:rsidRDefault="00ED72CF" w:rsidP="00203808">
      <w:pPr>
        <w:spacing w:after="0" w:line="360" w:lineRule="auto"/>
        <w:jc w:val="both"/>
        <w:rPr>
          <w:rFonts w:cs="Arial"/>
          <w:b/>
          <w:bCs/>
          <w:sz w:val="22"/>
          <w:u w:val="single"/>
        </w:rPr>
      </w:pPr>
    </w:p>
    <w:p w14:paraId="6A179281" w14:textId="77777777" w:rsidR="00ED72CF" w:rsidRPr="00203808" w:rsidRDefault="00ED72CF" w:rsidP="00203808">
      <w:pPr>
        <w:spacing w:after="0" w:line="360" w:lineRule="auto"/>
        <w:jc w:val="both"/>
        <w:rPr>
          <w:rFonts w:cs="Arial"/>
          <w:b/>
          <w:bCs/>
          <w:sz w:val="22"/>
          <w:u w:val="single"/>
        </w:rPr>
      </w:pPr>
    </w:p>
    <w:p w14:paraId="255C4837" w14:textId="34571832" w:rsidR="00ED72CF" w:rsidRPr="00203808" w:rsidRDefault="00ED72CF" w:rsidP="00203808">
      <w:pPr>
        <w:spacing w:after="0" w:line="360" w:lineRule="auto"/>
        <w:jc w:val="both"/>
        <w:rPr>
          <w:rFonts w:cs="Arial"/>
          <w:sz w:val="22"/>
        </w:rPr>
      </w:pPr>
      <w:proofErr w:type="spellStart"/>
      <w:r w:rsidRPr="00203808">
        <w:rPr>
          <w:rFonts w:cs="Arial"/>
          <w:b/>
          <w:bCs/>
          <w:sz w:val="22"/>
          <w:u w:val="single"/>
        </w:rPr>
        <w:t>Apendix</w:t>
      </w:r>
      <w:proofErr w:type="spellEnd"/>
      <w:r w:rsidRPr="00203808">
        <w:rPr>
          <w:rFonts w:cs="Arial"/>
          <w:b/>
          <w:bCs/>
          <w:sz w:val="22"/>
          <w:u w:val="single"/>
        </w:rPr>
        <w:t xml:space="preserve"> 1</w:t>
      </w:r>
      <w:r w:rsidR="00BE2860">
        <w:rPr>
          <w:rFonts w:cs="Arial"/>
          <w:b/>
          <w:bCs/>
          <w:sz w:val="22"/>
          <w:u w:val="single"/>
        </w:rPr>
        <w:t>2</w:t>
      </w:r>
      <w:r w:rsidRPr="00203808">
        <w:rPr>
          <w:rFonts w:cs="Arial"/>
          <w:b/>
          <w:bCs/>
          <w:sz w:val="22"/>
          <w:u w:val="single"/>
        </w:rPr>
        <w:t>:</w:t>
      </w:r>
      <w:r w:rsidRPr="00203808">
        <w:rPr>
          <w:rFonts w:cs="Arial"/>
          <w:b/>
          <w:bCs/>
          <w:sz w:val="22"/>
        </w:rPr>
        <w:t xml:space="preserve"> Autor’s</w:t>
      </w:r>
      <w:r w:rsidRPr="00203808">
        <w:rPr>
          <w:rFonts w:cs="Arial"/>
          <w:b/>
          <w:bCs/>
          <w:sz w:val="22"/>
          <w:u w:val="single"/>
        </w:rPr>
        <w:t xml:space="preserve"> </w:t>
      </w:r>
      <w:r w:rsidRPr="00203808">
        <w:rPr>
          <w:rFonts w:cs="Arial"/>
          <w:sz w:val="22"/>
        </w:rPr>
        <w:t xml:space="preserve">calculation of </w:t>
      </w:r>
      <w:r w:rsidRPr="00203808">
        <w:rPr>
          <w:rFonts w:cs="Arial"/>
          <w:b/>
          <w:bCs/>
          <w:sz w:val="22"/>
        </w:rPr>
        <w:t xml:space="preserve">PBP, ARR, NPV, PI, </w:t>
      </w:r>
      <w:r w:rsidRPr="00203808">
        <w:rPr>
          <w:rFonts w:cs="Arial"/>
          <w:sz w:val="22"/>
        </w:rPr>
        <w:t xml:space="preserve">and </w:t>
      </w:r>
      <w:r w:rsidRPr="00203808">
        <w:rPr>
          <w:rFonts w:cs="Arial"/>
          <w:b/>
          <w:bCs/>
          <w:sz w:val="22"/>
        </w:rPr>
        <w:t>IRR</w:t>
      </w:r>
      <w:r w:rsidRPr="00203808">
        <w:rPr>
          <w:rFonts w:cs="Arial"/>
          <w:sz w:val="22"/>
        </w:rPr>
        <w:t>.</w:t>
      </w:r>
    </w:p>
    <w:p w14:paraId="604B284A" w14:textId="77777777" w:rsidR="00ED72CF" w:rsidRPr="00203808" w:rsidRDefault="00ED72CF" w:rsidP="00203808">
      <w:pPr>
        <w:spacing w:after="0" w:line="360" w:lineRule="auto"/>
        <w:jc w:val="both"/>
        <w:rPr>
          <w:rFonts w:cs="Arial"/>
          <w:b/>
          <w:bCs/>
          <w:sz w:val="22"/>
        </w:rPr>
      </w:pPr>
      <w:r w:rsidRPr="00203808">
        <w:rPr>
          <w:rFonts w:cs="Arial"/>
          <w:b/>
          <w:bCs/>
          <w:sz w:val="22"/>
        </w:rPr>
        <w:t>a-Project information</w:t>
      </w:r>
    </w:p>
    <w:p w14:paraId="3E559592" w14:textId="77777777" w:rsidR="00ED72CF" w:rsidRPr="00203808" w:rsidRDefault="00ED72CF" w:rsidP="00203808">
      <w:pPr>
        <w:spacing w:after="0" w:line="360" w:lineRule="auto"/>
        <w:jc w:val="both"/>
        <w:rPr>
          <w:rFonts w:cs="Arial"/>
          <w:sz w:val="22"/>
        </w:rPr>
      </w:pPr>
      <w:bookmarkStart w:id="36" w:name="_Hlk237259950"/>
      <w:r w:rsidRPr="00203808">
        <w:rPr>
          <w:rFonts w:cs="Arial"/>
          <w:sz w:val="22"/>
        </w:rPr>
        <w:t>All projects require an initial investment of £50m and have a five-year life.</w:t>
      </w:r>
    </w:p>
    <w:tbl>
      <w:tblPr>
        <w:tblW w:w="0" w:type="auto"/>
        <w:tblLook w:val="04A0" w:firstRow="1" w:lastRow="0" w:firstColumn="1" w:lastColumn="0" w:noHBand="0" w:noVBand="1"/>
      </w:tblPr>
      <w:tblGrid>
        <w:gridCol w:w="1440"/>
        <w:gridCol w:w="1440"/>
        <w:gridCol w:w="1440"/>
        <w:gridCol w:w="1440"/>
        <w:gridCol w:w="1440"/>
        <w:gridCol w:w="1440"/>
      </w:tblGrid>
      <w:tr w:rsidR="00203808" w:rsidRPr="00203808" w14:paraId="2115BD7F" w14:textId="77777777" w:rsidTr="008C2C42">
        <w:tc>
          <w:tcPr>
            <w:tcW w:w="1440" w:type="dxa"/>
            <w:tcBorders>
              <w:top w:val="thinThickSmallGap" w:sz="24" w:space="0" w:color="auto"/>
              <w:bottom w:val="thickThinSmallGap" w:sz="24" w:space="0" w:color="auto"/>
            </w:tcBorders>
          </w:tcPr>
          <w:p w14:paraId="7457D116" w14:textId="77777777" w:rsidR="00ED72CF" w:rsidRPr="00203808" w:rsidRDefault="00ED72CF" w:rsidP="00203808">
            <w:pPr>
              <w:spacing w:after="0" w:line="360" w:lineRule="auto"/>
              <w:jc w:val="both"/>
              <w:rPr>
                <w:rFonts w:cs="Arial"/>
                <w:sz w:val="22"/>
              </w:rPr>
            </w:pPr>
            <w:r w:rsidRPr="00203808">
              <w:rPr>
                <w:rFonts w:cs="Arial"/>
                <w:sz w:val="22"/>
              </w:rPr>
              <w:t xml:space="preserve">Project (£m) </w:t>
            </w:r>
          </w:p>
        </w:tc>
        <w:tc>
          <w:tcPr>
            <w:tcW w:w="1440" w:type="dxa"/>
            <w:tcBorders>
              <w:top w:val="thinThickSmallGap" w:sz="24" w:space="0" w:color="auto"/>
              <w:bottom w:val="thickThinSmallGap" w:sz="24" w:space="0" w:color="auto"/>
            </w:tcBorders>
          </w:tcPr>
          <w:p w14:paraId="67FD2B08" w14:textId="77777777" w:rsidR="00ED72CF" w:rsidRPr="00203808" w:rsidRDefault="00ED72CF" w:rsidP="00203808">
            <w:pPr>
              <w:spacing w:after="0" w:line="360" w:lineRule="auto"/>
              <w:jc w:val="both"/>
              <w:rPr>
                <w:rFonts w:cs="Arial"/>
                <w:sz w:val="22"/>
              </w:rPr>
            </w:pPr>
            <w:r w:rsidRPr="00203808">
              <w:rPr>
                <w:rFonts w:cs="Arial"/>
                <w:sz w:val="22"/>
              </w:rPr>
              <w:t>Year 1</w:t>
            </w:r>
          </w:p>
        </w:tc>
        <w:tc>
          <w:tcPr>
            <w:tcW w:w="1440" w:type="dxa"/>
            <w:tcBorders>
              <w:top w:val="thinThickSmallGap" w:sz="24" w:space="0" w:color="auto"/>
              <w:bottom w:val="thickThinSmallGap" w:sz="24" w:space="0" w:color="auto"/>
            </w:tcBorders>
          </w:tcPr>
          <w:p w14:paraId="7668BD6D" w14:textId="77777777" w:rsidR="00ED72CF" w:rsidRPr="00203808" w:rsidRDefault="00ED72CF" w:rsidP="00203808">
            <w:pPr>
              <w:spacing w:after="0" w:line="360" w:lineRule="auto"/>
              <w:jc w:val="both"/>
              <w:rPr>
                <w:rFonts w:cs="Arial"/>
                <w:sz w:val="22"/>
              </w:rPr>
            </w:pPr>
            <w:r w:rsidRPr="00203808">
              <w:rPr>
                <w:rFonts w:cs="Arial"/>
                <w:sz w:val="22"/>
              </w:rPr>
              <w:t>Year 2</w:t>
            </w:r>
          </w:p>
        </w:tc>
        <w:tc>
          <w:tcPr>
            <w:tcW w:w="1440" w:type="dxa"/>
            <w:tcBorders>
              <w:top w:val="thinThickSmallGap" w:sz="24" w:space="0" w:color="auto"/>
              <w:bottom w:val="thickThinSmallGap" w:sz="24" w:space="0" w:color="auto"/>
            </w:tcBorders>
          </w:tcPr>
          <w:p w14:paraId="2B37F18A" w14:textId="77777777" w:rsidR="00ED72CF" w:rsidRPr="00203808" w:rsidRDefault="00ED72CF" w:rsidP="00203808">
            <w:pPr>
              <w:spacing w:after="0" w:line="360" w:lineRule="auto"/>
              <w:jc w:val="both"/>
              <w:rPr>
                <w:rFonts w:cs="Arial"/>
                <w:sz w:val="22"/>
              </w:rPr>
            </w:pPr>
            <w:r w:rsidRPr="00203808">
              <w:rPr>
                <w:rFonts w:cs="Arial"/>
                <w:sz w:val="22"/>
              </w:rPr>
              <w:t>Year 3</w:t>
            </w:r>
          </w:p>
        </w:tc>
        <w:tc>
          <w:tcPr>
            <w:tcW w:w="1440" w:type="dxa"/>
            <w:tcBorders>
              <w:top w:val="thinThickSmallGap" w:sz="24" w:space="0" w:color="auto"/>
              <w:bottom w:val="thickThinSmallGap" w:sz="24" w:space="0" w:color="auto"/>
            </w:tcBorders>
          </w:tcPr>
          <w:p w14:paraId="1C3A0730" w14:textId="77777777" w:rsidR="00ED72CF" w:rsidRPr="00203808" w:rsidRDefault="00ED72CF" w:rsidP="00203808">
            <w:pPr>
              <w:spacing w:after="0" w:line="360" w:lineRule="auto"/>
              <w:jc w:val="both"/>
              <w:rPr>
                <w:rFonts w:cs="Arial"/>
                <w:sz w:val="22"/>
              </w:rPr>
            </w:pPr>
            <w:r w:rsidRPr="00203808">
              <w:rPr>
                <w:rFonts w:cs="Arial"/>
                <w:sz w:val="22"/>
              </w:rPr>
              <w:t>Year   4</w:t>
            </w:r>
          </w:p>
        </w:tc>
        <w:tc>
          <w:tcPr>
            <w:tcW w:w="1440" w:type="dxa"/>
            <w:tcBorders>
              <w:top w:val="thinThickSmallGap" w:sz="24" w:space="0" w:color="auto"/>
              <w:bottom w:val="thickThinSmallGap" w:sz="24" w:space="0" w:color="auto"/>
            </w:tcBorders>
          </w:tcPr>
          <w:p w14:paraId="79327DEC" w14:textId="77777777" w:rsidR="00ED72CF" w:rsidRPr="00203808" w:rsidRDefault="00ED72CF" w:rsidP="00203808">
            <w:pPr>
              <w:spacing w:after="0" w:line="360" w:lineRule="auto"/>
              <w:jc w:val="both"/>
              <w:rPr>
                <w:rFonts w:cs="Arial"/>
                <w:sz w:val="22"/>
              </w:rPr>
            </w:pPr>
            <w:r w:rsidRPr="00203808">
              <w:rPr>
                <w:rFonts w:cs="Arial"/>
                <w:sz w:val="22"/>
              </w:rPr>
              <w:t>Year 5</w:t>
            </w:r>
          </w:p>
        </w:tc>
      </w:tr>
      <w:tr w:rsidR="00203808" w:rsidRPr="00203808" w14:paraId="3A7E12CF" w14:textId="77777777" w:rsidTr="008C2C42">
        <w:tc>
          <w:tcPr>
            <w:tcW w:w="1440" w:type="dxa"/>
            <w:tcBorders>
              <w:top w:val="thickThinSmallGap" w:sz="24" w:space="0" w:color="auto"/>
            </w:tcBorders>
          </w:tcPr>
          <w:p w14:paraId="5A13873A" w14:textId="77777777" w:rsidR="00ED72CF" w:rsidRPr="00203808" w:rsidRDefault="00ED72CF" w:rsidP="00203808">
            <w:pPr>
              <w:spacing w:after="0" w:line="360" w:lineRule="auto"/>
              <w:jc w:val="both"/>
              <w:rPr>
                <w:rFonts w:cs="Arial"/>
                <w:sz w:val="22"/>
              </w:rPr>
            </w:pPr>
            <w:r w:rsidRPr="00203808">
              <w:rPr>
                <w:rFonts w:cs="Arial"/>
                <w:sz w:val="22"/>
              </w:rPr>
              <w:t>Project A</w:t>
            </w:r>
          </w:p>
        </w:tc>
        <w:tc>
          <w:tcPr>
            <w:tcW w:w="1440" w:type="dxa"/>
            <w:tcBorders>
              <w:top w:val="thickThinSmallGap" w:sz="24" w:space="0" w:color="auto"/>
            </w:tcBorders>
          </w:tcPr>
          <w:p w14:paraId="3A37B0F6" w14:textId="77777777" w:rsidR="00ED72CF" w:rsidRPr="00203808" w:rsidRDefault="00ED72CF" w:rsidP="00203808">
            <w:pPr>
              <w:spacing w:after="0" w:line="360" w:lineRule="auto"/>
              <w:jc w:val="both"/>
              <w:rPr>
                <w:rFonts w:cs="Arial"/>
                <w:sz w:val="22"/>
              </w:rPr>
            </w:pPr>
            <w:r w:rsidRPr="00203808">
              <w:rPr>
                <w:rFonts w:cs="Arial"/>
                <w:sz w:val="22"/>
              </w:rPr>
              <w:t>10</w:t>
            </w:r>
          </w:p>
        </w:tc>
        <w:tc>
          <w:tcPr>
            <w:tcW w:w="1440" w:type="dxa"/>
            <w:tcBorders>
              <w:top w:val="thickThinSmallGap" w:sz="24" w:space="0" w:color="auto"/>
            </w:tcBorders>
          </w:tcPr>
          <w:p w14:paraId="058C8EA2" w14:textId="77777777" w:rsidR="00ED72CF" w:rsidRPr="00203808" w:rsidRDefault="00ED72CF" w:rsidP="00203808">
            <w:pPr>
              <w:spacing w:after="0" w:line="360" w:lineRule="auto"/>
              <w:jc w:val="both"/>
              <w:rPr>
                <w:rFonts w:cs="Arial"/>
                <w:sz w:val="22"/>
              </w:rPr>
            </w:pPr>
            <w:r w:rsidRPr="00203808">
              <w:rPr>
                <w:rFonts w:cs="Arial"/>
                <w:sz w:val="22"/>
              </w:rPr>
              <w:t>12</w:t>
            </w:r>
          </w:p>
        </w:tc>
        <w:tc>
          <w:tcPr>
            <w:tcW w:w="1440" w:type="dxa"/>
            <w:tcBorders>
              <w:top w:val="thickThinSmallGap" w:sz="24" w:space="0" w:color="auto"/>
            </w:tcBorders>
          </w:tcPr>
          <w:p w14:paraId="7C489857" w14:textId="77777777" w:rsidR="00ED72CF" w:rsidRPr="00203808" w:rsidRDefault="00ED72CF" w:rsidP="00203808">
            <w:pPr>
              <w:spacing w:after="0" w:line="360" w:lineRule="auto"/>
              <w:jc w:val="both"/>
              <w:rPr>
                <w:rFonts w:cs="Arial"/>
                <w:sz w:val="22"/>
              </w:rPr>
            </w:pPr>
            <w:r w:rsidRPr="00203808">
              <w:rPr>
                <w:rFonts w:cs="Arial"/>
                <w:sz w:val="22"/>
              </w:rPr>
              <w:t>14</w:t>
            </w:r>
          </w:p>
        </w:tc>
        <w:tc>
          <w:tcPr>
            <w:tcW w:w="1440" w:type="dxa"/>
            <w:tcBorders>
              <w:top w:val="thickThinSmallGap" w:sz="24" w:space="0" w:color="auto"/>
            </w:tcBorders>
          </w:tcPr>
          <w:p w14:paraId="08094A5A" w14:textId="77777777" w:rsidR="00ED72CF" w:rsidRPr="00203808" w:rsidRDefault="00ED72CF" w:rsidP="00203808">
            <w:pPr>
              <w:spacing w:after="0" w:line="360" w:lineRule="auto"/>
              <w:jc w:val="both"/>
              <w:rPr>
                <w:rFonts w:cs="Arial"/>
                <w:sz w:val="22"/>
              </w:rPr>
            </w:pPr>
            <w:r w:rsidRPr="00203808">
              <w:rPr>
                <w:rFonts w:cs="Arial"/>
                <w:sz w:val="22"/>
              </w:rPr>
              <w:t>10</w:t>
            </w:r>
          </w:p>
        </w:tc>
        <w:tc>
          <w:tcPr>
            <w:tcW w:w="1440" w:type="dxa"/>
            <w:tcBorders>
              <w:top w:val="thickThinSmallGap" w:sz="24" w:space="0" w:color="auto"/>
            </w:tcBorders>
          </w:tcPr>
          <w:p w14:paraId="67762533" w14:textId="77777777" w:rsidR="00ED72CF" w:rsidRPr="00203808" w:rsidRDefault="00ED72CF" w:rsidP="00203808">
            <w:pPr>
              <w:spacing w:after="0" w:line="360" w:lineRule="auto"/>
              <w:jc w:val="both"/>
              <w:rPr>
                <w:rFonts w:cs="Arial"/>
                <w:sz w:val="22"/>
              </w:rPr>
            </w:pPr>
            <w:r w:rsidRPr="00203808">
              <w:rPr>
                <w:rFonts w:cs="Arial"/>
                <w:sz w:val="22"/>
              </w:rPr>
              <w:t>8</w:t>
            </w:r>
          </w:p>
        </w:tc>
      </w:tr>
      <w:tr w:rsidR="00203808" w:rsidRPr="00203808" w14:paraId="701952BE" w14:textId="77777777" w:rsidTr="008C2C42">
        <w:tc>
          <w:tcPr>
            <w:tcW w:w="1440" w:type="dxa"/>
          </w:tcPr>
          <w:p w14:paraId="11A45DA7" w14:textId="77777777" w:rsidR="00ED72CF" w:rsidRPr="00203808" w:rsidRDefault="00ED72CF" w:rsidP="00203808">
            <w:pPr>
              <w:spacing w:after="0" w:line="360" w:lineRule="auto"/>
              <w:jc w:val="both"/>
              <w:rPr>
                <w:rFonts w:cs="Arial"/>
                <w:sz w:val="22"/>
              </w:rPr>
            </w:pPr>
            <w:r w:rsidRPr="00203808">
              <w:rPr>
                <w:rFonts w:cs="Arial"/>
                <w:sz w:val="22"/>
              </w:rPr>
              <w:t>Project B</w:t>
            </w:r>
          </w:p>
        </w:tc>
        <w:tc>
          <w:tcPr>
            <w:tcW w:w="1440" w:type="dxa"/>
          </w:tcPr>
          <w:p w14:paraId="69A989F6" w14:textId="77777777" w:rsidR="00ED72CF" w:rsidRPr="00203808" w:rsidRDefault="00ED72CF" w:rsidP="00203808">
            <w:pPr>
              <w:spacing w:after="0" w:line="360" w:lineRule="auto"/>
              <w:jc w:val="both"/>
              <w:rPr>
                <w:rFonts w:cs="Arial"/>
                <w:sz w:val="22"/>
              </w:rPr>
            </w:pPr>
            <w:r w:rsidRPr="00203808">
              <w:rPr>
                <w:rFonts w:cs="Arial"/>
                <w:sz w:val="22"/>
              </w:rPr>
              <w:t>11</w:t>
            </w:r>
          </w:p>
        </w:tc>
        <w:tc>
          <w:tcPr>
            <w:tcW w:w="1440" w:type="dxa"/>
          </w:tcPr>
          <w:p w14:paraId="281E8859" w14:textId="77777777" w:rsidR="00ED72CF" w:rsidRPr="00203808" w:rsidRDefault="00ED72CF" w:rsidP="00203808">
            <w:pPr>
              <w:spacing w:after="0" w:line="360" w:lineRule="auto"/>
              <w:jc w:val="both"/>
              <w:rPr>
                <w:rFonts w:cs="Arial"/>
                <w:sz w:val="22"/>
              </w:rPr>
            </w:pPr>
            <w:r w:rsidRPr="00203808">
              <w:rPr>
                <w:rFonts w:cs="Arial"/>
                <w:sz w:val="22"/>
              </w:rPr>
              <w:t>11</w:t>
            </w:r>
          </w:p>
        </w:tc>
        <w:tc>
          <w:tcPr>
            <w:tcW w:w="1440" w:type="dxa"/>
          </w:tcPr>
          <w:p w14:paraId="366179FA" w14:textId="77777777" w:rsidR="00ED72CF" w:rsidRPr="00203808" w:rsidRDefault="00ED72CF" w:rsidP="00203808">
            <w:pPr>
              <w:spacing w:after="0" w:line="360" w:lineRule="auto"/>
              <w:jc w:val="both"/>
              <w:rPr>
                <w:rFonts w:cs="Arial"/>
                <w:sz w:val="22"/>
              </w:rPr>
            </w:pPr>
            <w:r w:rsidRPr="00203808">
              <w:rPr>
                <w:rFonts w:cs="Arial"/>
                <w:sz w:val="22"/>
              </w:rPr>
              <w:t>11</w:t>
            </w:r>
          </w:p>
        </w:tc>
        <w:tc>
          <w:tcPr>
            <w:tcW w:w="1440" w:type="dxa"/>
          </w:tcPr>
          <w:p w14:paraId="549135C6" w14:textId="77777777" w:rsidR="00ED72CF" w:rsidRPr="00203808" w:rsidRDefault="00ED72CF" w:rsidP="00203808">
            <w:pPr>
              <w:spacing w:after="0" w:line="360" w:lineRule="auto"/>
              <w:jc w:val="both"/>
              <w:rPr>
                <w:rFonts w:cs="Arial"/>
                <w:sz w:val="22"/>
              </w:rPr>
            </w:pPr>
            <w:r w:rsidRPr="00203808">
              <w:rPr>
                <w:rFonts w:cs="Arial"/>
                <w:sz w:val="22"/>
              </w:rPr>
              <w:t>11</w:t>
            </w:r>
          </w:p>
        </w:tc>
        <w:tc>
          <w:tcPr>
            <w:tcW w:w="1440" w:type="dxa"/>
          </w:tcPr>
          <w:p w14:paraId="61C8D17B" w14:textId="77777777" w:rsidR="00ED72CF" w:rsidRPr="00203808" w:rsidRDefault="00ED72CF" w:rsidP="00203808">
            <w:pPr>
              <w:spacing w:after="0" w:line="360" w:lineRule="auto"/>
              <w:jc w:val="both"/>
              <w:rPr>
                <w:rFonts w:cs="Arial"/>
                <w:sz w:val="22"/>
              </w:rPr>
            </w:pPr>
            <w:r w:rsidRPr="00203808">
              <w:rPr>
                <w:rFonts w:cs="Arial"/>
                <w:sz w:val="22"/>
              </w:rPr>
              <w:t>11</w:t>
            </w:r>
          </w:p>
        </w:tc>
      </w:tr>
      <w:tr w:rsidR="00203808" w:rsidRPr="00203808" w14:paraId="24D857D8" w14:textId="77777777" w:rsidTr="008C2C42">
        <w:tc>
          <w:tcPr>
            <w:tcW w:w="1440" w:type="dxa"/>
            <w:tcBorders>
              <w:bottom w:val="thickThinSmallGap" w:sz="24" w:space="0" w:color="auto"/>
            </w:tcBorders>
          </w:tcPr>
          <w:p w14:paraId="168834EB" w14:textId="77777777" w:rsidR="00ED72CF" w:rsidRPr="00203808" w:rsidRDefault="00ED72CF" w:rsidP="00203808">
            <w:pPr>
              <w:spacing w:after="0" w:line="360" w:lineRule="auto"/>
              <w:jc w:val="both"/>
              <w:rPr>
                <w:rFonts w:cs="Arial"/>
                <w:sz w:val="22"/>
              </w:rPr>
            </w:pPr>
            <w:r w:rsidRPr="00203808">
              <w:rPr>
                <w:rFonts w:cs="Arial"/>
                <w:sz w:val="22"/>
              </w:rPr>
              <w:t>Project C</w:t>
            </w:r>
          </w:p>
        </w:tc>
        <w:tc>
          <w:tcPr>
            <w:tcW w:w="1440" w:type="dxa"/>
            <w:tcBorders>
              <w:bottom w:val="thickThinSmallGap" w:sz="24" w:space="0" w:color="auto"/>
            </w:tcBorders>
          </w:tcPr>
          <w:p w14:paraId="0262D273" w14:textId="77777777" w:rsidR="00ED72CF" w:rsidRPr="00203808" w:rsidRDefault="00ED72CF" w:rsidP="00203808">
            <w:pPr>
              <w:spacing w:after="0" w:line="360" w:lineRule="auto"/>
              <w:jc w:val="both"/>
              <w:rPr>
                <w:rFonts w:cs="Arial"/>
                <w:sz w:val="22"/>
              </w:rPr>
            </w:pPr>
            <w:r w:rsidRPr="00203808">
              <w:rPr>
                <w:rFonts w:cs="Arial"/>
                <w:sz w:val="22"/>
              </w:rPr>
              <w:t>5</w:t>
            </w:r>
          </w:p>
        </w:tc>
        <w:tc>
          <w:tcPr>
            <w:tcW w:w="1440" w:type="dxa"/>
            <w:tcBorders>
              <w:bottom w:val="thickThinSmallGap" w:sz="24" w:space="0" w:color="auto"/>
            </w:tcBorders>
          </w:tcPr>
          <w:p w14:paraId="2430264C" w14:textId="77777777" w:rsidR="00ED72CF" w:rsidRPr="00203808" w:rsidRDefault="00ED72CF" w:rsidP="00203808">
            <w:pPr>
              <w:spacing w:after="0" w:line="360" w:lineRule="auto"/>
              <w:jc w:val="both"/>
              <w:rPr>
                <w:rFonts w:cs="Arial"/>
                <w:sz w:val="22"/>
              </w:rPr>
            </w:pPr>
            <w:r w:rsidRPr="00203808">
              <w:rPr>
                <w:rFonts w:cs="Arial"/>
                <w:sz w:val="22"/>
              </w:rPr>
              <w:t>10</w:t>
            </w:r>
          </w:p>
        </w:tc>
        <w:tc>
          <w:tcPr>
            <w:tcW w:w="1440" w:type="dxa"/>
            <w:tcBorders>
              <w:bottom w:val="thickThinSmallGap" w:sz="24" w:space="0" w:color="auto"/>
            </w:tcBorders>
          </w:tcPr>
          <w:p w14:paraId="663A0501" w14:textId="77777777" w:rsidR="00ED72CF" w:rsidRPr="00203808" w:rsidRDefault="00ED72CF" w:rsidP="00203808">
            <w:pPr>
              <w:spacing w:after="0" w:line="360" w:lineRule="auto"/>
              <w:jc w:val="both"/>
              <w:rPr>
                <w:rFonts w:cs="Arial"/>
                <w:sz w:val="22"/>
              </w:rPr>
            </w:pPr>
            <w:r w:rsidRPr="00203808">
              <w:rPr>
                <w:rFonts w:cs="Arial"/>
                <w:sz w:val="22"/>
              </w:rPr>
              <w:t>20</w:t>
            </w:r>
          </w:p>
        </w:tc>
        <w:tc>
          <w:tcPr>
            <w:tcW w:w="1440" w:type="dxa"/>
            <w:tcBorders>
              <w:bottom w:val="thickThinSmallGap" w:sz="24" w:space="0" w:color="auto"/>
            </w:tcBorders>
          </w:tcPr>
          <w:p w14:paraId="5ADEEE93" w14:textId="77777777" w:rsidR="00ED72CF" w:rsidRPr="00203808" w:rsidRDefault="00ED72CF" w:rsidP="00203808">
            <w:pPr>
              <w:spacing w:after="0" w:line="360" w:lineRule="auto"/>
              <w:jc w:val="both"/>
              <w:rPr>
                <w:rFonts w:cs="Arial"/>
                <w:sz w:val="22"/>
              </w:rPr>
            </w:pPr>
            <w:r w:rsidRPr="00203808">
              <w:rPr>
                <w:rFonts w:cs="Arial"/>
                <w:sz w:val="22"/>
              </w:rPr>
              <w:t>25</w:t>
            </w:r>
          </w:p>
        </w:tc>
        <w:tc>
          <w:tcPr>
            <w:tcW w:w="1440" w:type="dxa"/>
            <w:tcBorders>
              <w:bottom w:val="thickThinSmallGap" w:sz="24" w:space="0" w:color="auto"/>
            </w:tcBorders>
          </w:tcPr>
          <w:p w14:paraId="357356DE" w14:textId="77777777" w:rsidR="00ED72CF" w:rsidRPr="00203808" w:rsidRDefault="00ED72CF" w:rsidP="00203808">
            <w:pPr>
              <w:spacing w:after="0" w:line="360" w:lineRule="auto"/>
              <w:jc w:val="both"/>
              <w:rPr>
                <w:rFonts w:cs="Arial"/>
                <w:sz w:val="22"/>
              </w:rPr>
            </w:pPr>
            <w:r w:rsidRPr="00203808">
              <w:rPr>
                <w:rFonts w:cs="Arial"/>
                <w:sz w:val="22"/>
              </w:rPr>
              <w:t>5</w:t>
            </w:r>
          </w:p>
        </w:tc>
      </w:tr>
    </w:tbl>
    <w:bookmarkEnd w:id="36"/>
    <w:p w14:paraId="1AAEC11A" w14:textId="77777777" w:rsidR="00ED72CF" w:rsidRPr="00203808" w:rsidRDefault="00ED72CF" w:rsidP="00203808">
      <w:pPr>
        <w:spacing w:after="0" w:line="360" w:lineRule="auto"/>
        <w:jc w:val="both"/>
        <w:rPr>
          <w:rFonts w:cs="Arial"/>
          <w:sz w:val="22"/>
        </w:rPr>
      </w:pPr>
      <w:r w:rsidRPr="00203808">
        <w:rPr>
          <w:rFonts w:cs="Arial"/>
          <w:sz w:val="22"/>
        </w:rPr>
        <w:t>Discount rate = 8%</w:t>
      </w:r>
    </w:p>
    <w:p w14:paraId="3D32CECC" w14:textId="77777777" w:rsidR="00ED72CF" w:rsidRPr="00203808" w:rsidRDefault="00ED72CF" w:rsidP="00203808">
      <w:pPr>
        <w:spacing w:after="0" w:line="360" w:lineRule="auto"/>
        <w:jc w:val="both"/>
        <w:rPr>
          <w:rFonts w:cs="Arial"/>
          <w:sz w:val="22"/>
        </w:rPr>
      </w:pPr>
      <w:r w:rsidRPr="00203808">
        <w:rPr>
          <w:rFonts w:cs="Arial"/>
          <w:sz w:val="22"/>
        </w:rPr>
        <w:t>Initial investment = £50m</w:t>
      </w:r>
    </w:p>
    <w:p w14:paraId="61344578" w14:textId="77777777" w:rsidR="00ED72CF" w:rsidRPr="00203808" w:rsidRDefault="00ED72CF" w:rsidP="00203808">
      <w:pPr>
        <w:spacing w:after="0" w:line="360" w:lineRule="auto"/>
        <w:jc w:val="both"/>
        <w:rPr>
          <w:rFonts w:cs="Arial"/>
          <w:sz w:val="22"/>
        </w:rPr>
      </w:pPr>
      <w:r w:rsidRPr="00203808">
        <w:rPr>
          <w:rFonts w:cs="Arial"/>
          <w:sz w:val="22"/>
        </w:rPr>
        <w:t>Straight-line depreciation:</w:t>
      </w:r>
    </w:p>
    <w:p w14:paraId="2D59F2DF" w14:textId="77777777" w:rsidR="00ED72CF" w:rsidRPr="00203808" w:rsidRDefault="00ED72CF" w:rsidP="00203808">
      <w:pPr>
        <w:spacing w:after="0" w:line="360" w:lineRule="auto"/>
        <w:jc w:val="both"/>
        <w:rPr>
          <w:rFonts w:cs="Arial"/>
          <w:sz w:val="22"/>
        </w:rPr>
      </w:pPr>
      <w:r w:rsidRPr="00203808">
        <w:rPr>
          <w:rFonts w:cs="Arial"/>
          <w:sz w:val="22"/>
        </w:rPr>
        <w:t xml:space="preserve"> £50m ÷ 5 years = £10m per year</w:t>
      </w:r>
    </w:p>
    <w:p w14:paraId="6EC72C87" w14:textId="77777777" w:rsidR="00ED72CF" w:rsidRPr="00203808" w:rsidRDefault="00ED72CF" w:rsidP="00203808">
      <w:pPr>
        <w:spacing w:after="0" w:line="360" w:lineRule="auto"/>
        <w:jc w:val="both"/>
        <w:rPr>
          <w:rFonts w:cs="Arial"/>
          <w:sz w:val="22"/>
        </w:rPr>
      </w:pPr>
    </w:p>
    <w:p w14:paraId="6A0416E0" w14:textId="77777777" w:rsidR="00ED72CF" w:rsidRPr="00203808" w:rsidRDefault="00ED72CF" w:rsidP="00203808">
      <w:pPr>
        <w:spacing w:after="0" w:line="360" w:lineRule="auto"/>
        <w:jc w:val="both"/>
        <w:rPr>
          <w:rFonts w:cs="Arial"/>
          <w:b/>
          <w:bCs/>
          <w:sz w:val="22"/>
        </w:rPr>
      </w:pPr>
      <w:r w:rsidRPr="00203808">
        <w:rPr>
          <w:rFonts w:cs="Arial"/>
          <w:b/>
          <w:bCs/>
          <w:sz w:val="22"/>
        </w:rPr>
        <w:t>b-Payback Period</w:t>
      </w:r>
    </w:p>
    <w:p w14:paraId="39EE7581" w14:textId="77777777" w:rsidR="00ED72CF" w:rsidRPr="00203808" w:rsidRDefault="00ED72CF" w:rsidP="00203808">
      <w:pPr>
        <w:spacing w:after="0" w:line="360" w:lineRule="auto"/>
        <w:jc w:val="both"/>
        <w:rPr>
          <w:rFonts w:cs="Arial"/>
          <w:b/>
          <w:bCs/>
          <w:sz w:val="22"/>
        </w:rPr>
      </w:pPr>
      <w:r w:rsidRPr="00203808">
        <w:rPr>
          <w:rFonts w:cs="Arial"/>
          <w:sz w:val="22"/>
        </w:rPr>
        <w:t>Project A</w:t>
      </w:r>
    </w:p>
    <w:p w14:paraId="0C1E9F72" w14:textId="77777777" w:rsidR="00ED72CF" w:rsidRPr="00203808" w:rsidRDefault="00ED72CF" w:rsidP="00203808">
      <w:pPr>
        <w:spacing w:after="0" w:line="360" w:lineRule="auto"/>
        <w:jc w:val="both"/>
        <w:rPr>
          <w:rFonts w:cs="Arial"/>
          <w:sz w:val="22"/>
        </w:rPr>
      </w:pPr>
      <w:r w:rsidRPr="00203808">
        <w:rPr>
          <w:rFonts w:cs="Arial"/>
          <w:sz w:val="22"/>
        </w:rPr>
        <w:t>Cumulative cash flow:</w:t>
      </w:r>
    </w:p>
    <w:p w14:paraId="0DD79A21" w14:textId="77777777" w:rsidR="00ED72CF" w:rsidRPr="00203808" w:rsidRDefault="00ED72CF" w:rsidP="00203808">
      <w:pPr>
        <w:spacing w:after="0" w:line="360" w:lineRule="auto"/>
        <w:jc w:val="both"/>
        <w:rPr>
          <w:rFonts w:cs="Arial"/>
          <w:sz w:val="22"/>
        </w:rPr>
      </w:pPr>
      <w:r w:rsidRPr="00203808">
        <w:rPr>
          <w:rFonts w:cs="Arial"/>
          <w:sz w:val="22"/>
        </w:rPr>
        <w:t>Year 1 = 10</w:t>
      </w:r>
    </w:p>
    <w:p w14:paraId="2340A2EE" w14:textId="77777777" w:rsidR="00ED72CF" w:rsidRPr="00203808" w:rsidRDefault="00ED72CF" w:rsidP="00203808">
      <w:pPr>
        <w:spacing w:after="0" w:line="360" w:lineRule="auto"/>
        <w:jc w:val="both"/>
        <w:rPr>
          <w:rFonts w:cs="Arial"/>
          <w:sz w:val="22"/>
        </w:rPr>
      </w:pPr>
      <w:r w:rsidRPr="00203808">
        <w:rPr>
          <w:rFonts w:cs="Arial"/>
          <w:sz w:val="22"/>
        </w:rPr>
        <w:t>Year 2 = 22</w:t>
      </w:r>
    </w:p>
    <w:p w14:paraId="01B74E1F" w14:textId="77777777" w:rsidR="00ED72CF" w:rsidRPr="00203808" w:rsidRDefault="00ED72CF" w:rsidP="00203808">
      <w:pPr>
        <w:spacing w:after="0" w:line="360" w:lineRule="auto"/>
        <w:jc w:val="both"/>
        <w:rPr>
          <w:rFonts w:cs="Arial"/>
          <w:sz w:val="22"/>
        </w:rPr>
      </w:pPr>
      <w:r w:rsidRPr="00203808">
        <w:rPr>
          <w:rFonts w:cs="Arial"/>
          <w:sz w:val="22"/>
        </w:rPr>
        <w:t>Year 3 = 36</w:t>
      </w:r>
    </w:p>
    <w:p w14:paraId="703C9D94" w14:textId="77777777" w:rsidR="00ED72CF" w:rsidRPr="00203808" w:rsidRDefault="00ED72CF" w:rsidP="00203808">
      <w:pPr>
        <w:spacing w:after="0" w:line="360" w:lineRule="auto"/>
        <w:jc w:val="both"/>
        <w:rPr>
          <w:rFonts w:cs="Arial"/>
          <w:sz w:val="22"/>
        </w:rPr>
      </w:pPr>
      <w:r w:rsidRPr="00203808">
        <w:rPr>
          <w:rFonts w:cs="Arial"/>
          <w:sz w:val="22"/>
        </w:rPr>
        <w:t>Year 4 = 46</w:t>
      </w:r>
    </w:p>
    <w:p w14:paraId="607617F3" w14:textId="77777777" w:rsidR="00ED72CF" w:rsidRPr="00203808" w:rsidRDefault="00ED72CF" w:rsidP="00203808">
      <w:pPr>
        <w:spacing w:after="0" w:line="360" w:lineRule="auto"/>
        <w:jc w:val="both"/>
        <w:rPr>
          <w:rFonts w:cs="Arial"/>
          <w:sz w:val="22"/>
        </w:rPr>
      </w:pPr>
      <w:r w:rsidRPr="00203808">
        <w:rPr>
          <w:rFonts w:cs="Arial"/>
          <w:sz w:val="22"/>
        </w:rPr>
        <w:t>Year 5 = 54</w:t>
      </w:r>
    </w:p>
    <w:p w14:paraId="2D81A650" w14:textId="77777777" w:rsidR="00ED72CF" w:rsidRPr="00203808" w:rsidRDefault="00ED72CF" w:rsidP="00203808">
      <w:pPr>
        <w:spacing w:after="0" w:line="360" w:lineRule="auto"/>
        <w:jc w:val="both"/>
        <w:rPr>
          <w:rFonts w:cs="Arial"/>
          <w:sz w:val="22"/>
        </w:rPr>
      </w:pPr>
      <w:r w:rsidRPr="00203808">
        <w:rPr>
          <w:rFonts w:cs="Arial"/>
          <w:sz w:val="22"/>
        </w:rPr>
        <w:t>The project has recovered £46m after Year 4.</w:t>
      </w:r>
    </w:p>
    <w:p w14:paraId="61D60727" w14:textId="77777777" w:rsidR="00ED72CF" w:rsidRPr="00203808" w:rsidRDefault="00ED72CF" w:rsidP="00203808">
      <w:pPr>
        <w:spacing w:after="0" w:line="360" w:lineRule="auto"/>
        <w:jc w:val="both"/>
        <w:rPr>
          <w:rFonts w:cs="Arial"/>
          <w:sz w:val="22"/>
        </w:rPr>
      </w:pPr>
      <w:r w:rsidRPr="00203808">
        <w:rPr>
          <w:rFonts w:cs="Arial"/>
          <w:sz w:val="22"/>
        </w:rPr>
        <w:t>PBP = 4 + (50-46) ÷ 8</w:t>
      </w:r>
    </w:p>
    <w:p w14:paraId="6ADD56EE" w14:textId="77777777" w:rsidR="00ED72CF" w:rsidRPr="00203808" w:rsidRDefault="00ED72CF" w:rsidP="00203808">
      <w:pPr>
        <w:spacing w:after="0" w:line="360" w:lineRule="auto"/>
        <w:jc w:val="both"/>
        <w:rPr>
          <w:rFonts w:cs="Arial"/>
          <w:sz w:val="22"/>
        </w:rPr>
      </w:pPr>
      <w:r w:rsidRPr="00203808">
        <w:rPr>
          <w:rFonts w:cs="Arial"/>
          <w:sz w:val="22"/>
        </w:rPr>
        <w:t>PBP = 4.50 years</w:t>
      </w:r>
    </w:p>
    <w:p w14:paraId="485CDAA7" w14:textId="77777777" w:rsidR="00ED72CF" w:rsidRPr="00203808" w:rsidRDefault="00ED72CF" w:rsidP="00203808">
      <w:pPr>
        <w:spacing w:after="0" w:line="360" w:lineRule="auto"/>
        <w:jc w:val="both"/>
        <w:rPr>
          <w:rFonts w:cs="Arial"/>
          <w:b/>
          <w:bCs/>
          <w:sz w:val="22"/>
        </w:rPr>
      </w:pPr>
      <w:r w:rsidRPr="00203808">
        <w:rPr>
          <w:rFonts w:cs="Arial"/>
          <w:sz w:val="22"/>
        </w:rPr>
        <w:lastRenderedPageBreak/>
        <w:t>Project B</w:t>
      </w:r>
    </w:p>
    <w:p w14:paraId="2D3D0B9D" w14:textId="77777777" w:rsidR="00ED72CF" w:rsidRPr="00203808" w:rsidRDefault="00ED72CF" w:rsidP="00203808">
      <w:pPr>
        <w:spacing w:after="0" w:line="360" w:lineRule="auto"/>
        <w:jc w:val="both"/>
        <w:rPr>
          <w:rFonts w:cs="Arial"/>
          <w:sz w:val="22"/>
        </w:rPr>
      </w:pPr>
      <w:r w:rsidRPr="00203808">
        <w:rPr>
          <w:rFonts w:cs="Arial"/>
          <w:sz w:val="22"/>
        </w:rPr>
        <w:t>Cumulative cash flow:</w:t>
      </w:r>
    </w:p>
    <w:p w14:paraId="19F362CD" w14:textId="77777777" w:rsidR="00ED72CF" w:rsidRPr="00203808" w:rsidRDefault="00ED72CF" w:rsidP="00203808">
      <w:pPr>
        <w:spacing w:after="0" w:line="360" w:lineRule="auto"/>
        <w:jc w:val="both"/>
        <w:rPr>
          <w:rFonts w:cs="Arial"/>
          <w:sz w:val="22"/>
        </w:rPr>
      </w:pPr>
      <w:r w:rsidRPr="00203808">
        <w:rPr>
          <w:rFonts w:cs="Arial"/>
          <w:sz w:val="22"/>
        </w:rPr>
        <w:t>11, 22, 33, 44, 55</w:t>
      </w:r>
    </w:p>
    <w:p w14:paraId="29220101" w14:textId="77777777" w:rsidR="00ED72CF" w:rsidRPr="00203808" w:rsidRDefault="00ED72CF" w:rsidP="00203808">
      <w:pPr>
        <w:spacing w:after="0" w:line="360" w:lineRule="auto"/>
        <w:jc w:val="both"/>
        <w:rPr>
          <w:rFonts w:cs="Arial"/>
          <w:sz w:val="22"/>
        </w:rPr>
      </w:pPr>
      <w:r w:rsidRPr="00203808">
        <w:rPr>
          <w:rFonts w:cs="Arial"/>
          <w:sz w:val="22"/>
        </w:rPr>
        <w:t>PBP = 4 + (50-44) ÷ 11</w:t>
      </w:r>
    </w:p>
    <w:p w14:paraId="188D557D" w14:textId="77777777" w:rsidR="00ED72CF" w:rsidRPr="00203808" w:rsidRDefault="00ED72CF" w:rsidP="00203808">
      <w:pPr>
        <w:spacing w:after="0" w:line="360" w:lineRule="auto"/>
        <w:jc w:val="both"/>
        <w:rPr>
          <w:rFonts w:cs="Arial"/>
          <w:sz w:val="22"/>
        </w:rPr>
      </w:pPr>
      <w:r w:rsidRPr="00203808">
        <w:rPr>
          <w:rFonts w:cs="Arial"/>
          <w:sz w:val="22"/>
        </w:rPr>
        <w:t>PBP = 4.55 years</w:t>
      </w:r>
    </w:p>
    <w:p w14:paraId="011552E3" w14:textId="77777777" w:rsidR="00ED72CF" w:rsidRPr="00203808" w:rsidRDefault="00ED72CF" w:rsidP="00203808">
      <w:pPr>
        <w:spacing w:after="0" w:line="360" w:lineRule="auto"/>
        <w:jc w:val="both"/>
        <w:rPr>
          <w:rFonts w:cs="Arial"/>
          <w:b/>
          <w:bCs/>
          <w:sz w:val="22"/>
        </w:rPr>
      </w:pPr>
      <w:r w:rsidRPr="00203808">
        <w:rPr>
          <w:rFonts w:cs="Arial"/>
          <w:sz w:val="22"/>
        </w:rPr>
        <w:t>Project C</w:t>
      </w:r>
    </w:p>
    <w:p w14:paraId="2A1983F7" w14:textId="77777777" w:rsidR="00ED72CF" w:rsidRPr="00203808" w:rsidRDefault="00ED72CF" w:rsidP="00203808">
      <w:pPr>
        <w:spacing w:after="0" w:line="360" w:lineRule="auto"/>
        <w:jc w:val="both"/>
        <w:rPr>
          <w:rFonts w:cs="Arial"/>
          <w:sz w:val="22"/>
        </w:rPr>
      </w:pPr>
      <w:r w:rsidRPr="00203808">
        <w:rPr>
          <w:rFonts w:cs="Arial"/>
          <w:sz w:val="22"/>
        </w:rPr>
        <w:t>Cumulative cash flow:</w:t>
      </w:r>
    </w:p>
    <w:p w14:paraId="2FE868BC" w14:textId="77777777" w:rsidR="00ED72CF" w:rsidRPr="00203808" w:rsidRDefault="00ED72CF" w:rsidP="00203808">
      <w:pPr>
        <w:spacing w:after="0" w:line="360" w:lineRule="auto"/>
        <w:jc w:val="both"/>
        <w:rPr>
          <w:rFonts w:cs="Arial"/>
          <w:sz w:val="22"/>
        </w:rPr>
      </w:pPr>
      <w:r w:rsidRPr="00203808">
        <w:rPr>
          <w:rFonts w:cs="Arial"/>
          <w:sz w:val="22"/>
        </w:rPr>
        <w:t>5, 15, 35, 60, 65</w:t>
      </w:r>
    </w:p>
    <w:p w14:paraId="0206B6A6" w14:textId="77777777" w:rsidR="00ED72CF" w:rsidRPr="00203808" w:rsidRDefault="00ED72CF" w:rsidP="00203808">
      <w:pPr>
        <w:spacing w:after="0" w:line="360" w:lineRule="auto"/>
        <w:jc w:val="both"/>
        <w:rPr>
          <w:rFonts w:cs="Arial"/>
          <w:sz w:val="22"/>
        </w:rPr>
      </w:pPr>
      <w:r w:rsidRPr="00203808">
        <w:rPr>
          <w:rFonts w:cs="Arial"/>
          <w:sz w:val="22"/>
        </w:rPr>
        <w:t>PBP = 3 + (50-35) ÷ 25</w:t>
      </w:r>
    </w:p>
    <w:p w14:paraId="5699BEEE" w14:textId="77777777" w:rsidR="00ED72CF" w:rsidRPr="00203808" w:rsidRDefault="00ED72CF" w:rsidP="00203808">
      <w:pPr>
        <w:spacing w:after="0" w:line="360" w:lineRule="auto"/>
        <w:jc w:val="both"/>
        <w:rPr>
          <w:rFonts w:cs="Arial"/>
          <w:sz w:val="22"/>
        </w:rPr>
      </w:pPr>
      <w:r w:rsidRPr="00203808">
        <w:rPr>
          <w:rFonts w:cs="Arial"/>
          <w:sz w:val="22"/>
        </w:rPr>
        <w:t>PBP = 3.60 years</w:t>
      </w:r>
    </w:p>
    <w:p w14:paraId="633E90A2" w14:textId="77777777" w:rsidR="00ED72CF" w:rsidRPr="00203808" w:rsidRDefault="00ED72CF" w:rsidP="00203808">
      <w:pPr>
        <w:spacing w:after="0" w:line="360" w:lineRule="auto"/>
        <w:jc w:val="both"/>
        <w:rPr>
          <w:rFonts w:cs="Arial"/>
          <w:sz w:val="22"/>
        </w:rPr>
      </w:pPr>
      <w:r w:rsidRPr="00203808">
        <w:rPr>
          <w:rFonts w:cs="Arial"/>
          <w:sz w:val="22"/>
        </w:rPr>
        <w:t>Ranking: C &gt; A &gt; B</w:t>
      </w:r>
    </w:p>
    <w:p w14:paraId="723F79AE" w14:textId="77777777" w:rsidR="00ED72CF" w:rsidRPr="00203808" w:rsidRDefault="00ED72CF" w:rsidP="00203808">
      <w:pPr>
        <w:spacing w:after="0" w:line="360" w:lineRule="auto"/>
        <w:jc w:val="both"/>
        <w:rPr>
          <w:rFonts w:cs="Arial"/>
          <w:sz w:val="22"/>
        </w:rPr>
      </w:pPr>
    </w:p>
    <w:p w14:paraId="082BF875" w14:textId="77777777" w:rsidR="00ED72CF" w:rsidRPr="00203808" w:rsidRDefault="00ED72CF" w:rsidP="00203808">
      <w:pPr>
        <w:spacing w:after="0" w:line="360" w:lineRule="auto"/>
        <w:jc w:val="both"/>
        <w:rPr>
          <w:rFonts w:cs="Arial"/>
          <w:b/>
          <w:bCs/>
          <w:sz w:val="22"/>
        </w:rPr>
      </w:pPr>
      <w:r w:rsidRPr="00203808">
        <w:rPr>
          <w:rFonts w:cs="Arial"/>
          <w:b/>
          <w:bCs/>
          <w:sz w:val="22"/>
        </w:rPr>
        <w:t>c-Accounting Rate of Return</w:t>
      </w:r>
    </w:p>
    <w:p w14:paraId="19E757E1" w14:textId="77777777" w:rsidR="00ED72CF" w:rsidRPr="00203808" w:rsidRDefault="00ED72CF" w:rsidP="00203808">
      <w:pPr>
        <w:spacing w:after="0" w:line="360" w:lineRule="auto"/>
        <w:jc w:val="both"/>
        <w:rPr>
          <w:rFonts w:cs="Arial"/>
          <w:sz w:val="22"/>
        </w:rPr>
      </w:pPr>
      <w:r w:rsidRPr="00203808">
        <w:rPr>
          <w:rFonts w:cs="Arial"/>
          <w:sz w:val="22"/>
        </w:rPr>
        <w:t>The correct ARR calculation must use accounting profit, not cash flow.</w:t>
      </w:r>
    </w:p>
    <w:p w14:paraId="5B230F21" w14:textId="77777777" w:rsidR="00ED72CF" w:rsidRPr="00203808" w:rsidRDefault="00ED72CF" w:rsidP="00203808">
      <w:pPr>
        <w:spacing w:after="0" w:line="360" w:lineRule="auto"/>
        <w:jc w:val="both"/>
        <w:rPr>
          <w:rFonts w:cs="Arial"/>
          <w:sz w:val="22"/>
        </w:rPr>
      </w:pPr>
      <w:r w:rsidRPr="00203808">
        <w:rPr>
          <w:rFonts w:cs="Arial"/>
          <w:sz w:val="22"/>
        </w:rPr>
        <w:t>Annual depreciation = £10m</w:t>
      </w:r>
    </w:p>
    <w:p w14:paraId="6B084E43" w14:textId="77777777" w:rsidR="00ED72CF" w:rsidRPr="00203808" w:rsidRDefault="00ED72CF" w:rsidP="00203808">
      <w:pPr>
        <w:spacing w:after="0" w:line="360" w:lineRule="auto"/>
        <w:jc w:val="both"/>
        <w:rPr>
          <w:rFonts w:cs="Arial"/>
          <w:b/>
          <w:bCs/>
          <w:sz w:val="22"/>
        </w:rPr>
      </w:pPr>
      <w:r w:rsidRPr="00203808">
        <w:rPr>
          <w:rFonts w:cs="Arial"/>
          <w:sz w:val="22"/>
        </w:rPr>
        <w:t>Project A</w:t>
      </w:r>
    </w:p>
    <w:p w14:paraId="38AF420C" w14:textId="77777777" w:rsidR="00ED72CF" w:rsidRPr="00203808" w:rsidRDefault="00ED72CF" w:rsidP="00203808">
      <w:pPr>
        <w:spacing w:after="0" w:line="360" w:lineRule="auto"/>
        <w:jc w:val="both"/>
        <w:rPr>
          <w:rFonts w:cs="Arial"/>
          <w:sz w:val="22"/>
        </w:rPr>
      </w:pPr>
      <w:r w:rsidRPr="00203808">
        <w:rPr>
          <w:rFonts w:cs="Arial"/>
          <w:sz w:val="22"/>
        </w:rPr>
        <w:t>Accounting profits:</w:t>
      </w:r>
    </w:p>
    <w:p w14:paraId="36859ACE" w14:textId="77777777" w:rsidR="00ED72CF" w:rsidRPr="00203808" w:rsidRDefault="00ED72CF" w:rsidP="00203808">
      <w:pPr>
        <w:spacing w:after="0" w:line="360" w:lineRule="auto"/>
        <w:jc w:val="both"/>
        <w:rPr>
          <w:rFonts w:cs="Arial"/>
          <w:sz w:val="22"/>
        </w:rPr>
      </w:pPr>
      <w:r w:rsidRPr="00203808">
        <w:rPr>
          <w:rFonts w:cs="Arial"/>
          <w:sz w:val="22"/>
        </w:rPr>
        <w:t>- Year 1: 10-10 = 0</w:t>
      </w:r>
    </w:p>
    <w:p w14:paraId="3E909F83" w14:textId="77777777" w:rsidR="00ED72CF" w:rsidRPr="00203808" w:rsidRDefault="00ED72CF" w:rsidP="00203808">
      <w:pPr>
        <w:spacing w:after="0" w:line="360" w:lineRule="auto"/>
        <w:jc w:val="both"/>
        <w:rPr>
          <w:rFonts w:cs="Arial"/>
          <w:sz w:val="22"/>
        </w:rPr>
      </w:pPr>
      <w:r w:rsidRPr="00203808">
        <w:rPr>
          <w:rFonts w:cs="Arial"/>
          <w:sz w:val="22"/>
        </w:rPr>
        <w:t>- Year 2: 12-10 = 2</w:t>
      </w:r>
    </w:p>
    <w:p w14:paraId="4D4433CA" w14:textId="77777777" w:rsidR="00ED72CF" w:rsidRPr="00203808" w:rsidRDefault="00ED72CF" w:rsidP="00203808">
      <w:pPr>
        <w:spacing w:after="0" w:line="360" w:lineRule="auto"/>
        <w:jc w:val="both"/>
        <w:rPr>
          <w:rFonts w:cs="Arial"/>
          <w:sz w:val="22"/>
        </w:rPr>
      </w:pPr>
      <w:r w:rsidRPr="00203808">
        <w:rPr>
          <w:rFonts w:cs="Arial"/>
          <w:sz w:val="22"/>
        </w:rPr>
        <w:t>- Year 3: 14-10 = 4</w:t>
      </w:r>
    </w:p>
    <w:p w14:paraId="4C83A5FF" w14:textId="77777777" w:rsidR="00ED72CF" w:rsidRPr="00203808" w:rsidRDefault="00ED72CF" w:rsidP="00203808">
      <w:pPr>
        <w:spacing w:after="0" w:line="360" w:lineRule="auto"/>
        <w:jc w:val="both"/>
        <w:rPr>
          <w:rFonts w:cs="Arial"/>
          <w:sz w:val="22"/>
        </w:rPr>
      </w:pPr>
      <w:r w:rsidRPr="00203808">
        <w:rPr>
          <w:rFonts w:cs="Arial"/>
          <w:sz w:val="22"/>
        </w:rPr>
        <w:t>- Year 4: 10-10 = 0</w:t>
      </w:r>
    </w:p>
    <w:p w14:paraId="71840AC4" w14:textId="77777777" w:rsidR="00ED72CF" w:rsidRPr="00203808" w:rsidRDefault="00ED72CF" w:rsidP="00203808">
      <w:pPr>
        <w:spacing w:after="0" w:line="360" w:lineRule="auto"/>
        <w:jc w:val="both"/>
        <w:rPr>
          <w:rFonts w:cs="Arial"/>
          <w:sz w:val="22"/>
        </w:rPr>
      </w:pPr>
      <w:r w:rsidRPr="00203808">
        <w:rPr>
          <w:rFonts w:cs="Arial"/>
          <w:sz w:val="22"/>
        </w:rPr>
        <w:t>- Year 5: 8-10 =-2</w:t>
      </w:r>
    </w:p>
    <w:p w14:paraId="719DE6F4" w14:textId="77777777" w:rsidR="00ED72CF" w:rsidRPr="00203808" w:rsidRDefault="00ED72CF" w:rsidP="00203808">
      <w:pPr>
        <w:spacing w:after="0" w:line="360" w:lineRule="auto"/>
        <w:jc w:val="both"/>
        <w:rPr>
          <w:rFonts w:cs="Arial"/>
          <w:sz w:val="22"/>
        </w:rPr>
      </w:pPr>
      <w:r w:rsidRPr="00203808">
        <w:rPr>
          <w:rFonts w:cs="Arial"/>
          <w:sz w:val="22"/>
        </w:rPr>
        <w:t>Average profit:</w:t>
      </w:r>
    </w:p>
    <w:p w14:paraId="51B21241" w14:textId="77777777" w:rsidR="00ED72CF" w:rsidRPr="00203808" w:rsidRDefault="00ED72CF" w:rsidP="00203808">
      <w:pPr>
        <w:spacing w:after="0" w:line="360" w:lineRule="auto"/>
        <w:jc w:val="both"/>
        <w:rPr>
          <w:rFonts w:cs="Arial"/>
          <w:sz w:val="22"/>
        </w:rPr>
      </w:pPr>
      <w:r w:rsidRPr="00203808">
        <w:rPr>
          <w:rFonts w:cs="Arial"/>
          <w:sz w:val="22"/>
        </w:rPr>
        <w:t>(0 + 2 + 4 + 0-2) ÷ 5 = £0.8m</w:t>
      </w:r>
    </w:p>
    <w:p w14:paraId="37732BF1" w14:textId="77777777" w:rsidR="00ED72CF" w:rsidRPr="00203808" w:rsidRDefault="00ED72CF" w:rsidP="00203808">
      <w:pPr>
        <w:spacing w:after="0" w:line="360" w:lineRule="auto"/>
        <w:jc w:val="both"/>
        <w:rPr>
          <w:rFonts w:cs="Arial"/>
          <w:sz w:val="22"/>
        </w:rPr>
      </w:pPr>
      <w:r w:rsidRPr="00203808">
        <w:rPr>
          <w:rFonts w:cs="Arial"/>
          <w:sz w:val="22"/>
        </w:rPr>
        <w:t>Using average investment of £25m:</w:t>
      </w:r>
    </w:p>
    <w:p w14:paraId="58699EB5" w14:textId="77777777" w:rsidR="00ED72CF" w:rsidRPr="00203808" w:rsidRDefault="00ED72CF" w:rsidP="00203808">
      <w:pPr>
        <w:spacing w:after="0" w:line="360" w:lineRule="auto"/>
        <w:jc w:val="both"/>
        <w:rPr>
          <w:rFonts w:cs="Arial"/>
          <w:sz w:val="22"/>
        </w:rPr>
      </w:pPr>
      <w:r w:rsidRPr="00203808">
        <w:rPr>
          <w:rFonts w:cs="Arial"/>
          <w:sz w:val="22"/>
        </w:rPr>
        <w:t>ARR = 0.8 ÷ 25 × 100 = 3.2%</w:t>
      </w:r>
    </w:p>
    <w:p w14:paraId="66FA5DA5" w14:textId="77777777" w:rsidR="00ED72CF" w:rsidRPr="00203808" w:rsidRDefault="00ED72CF" w:rsidP="00203808">
      <w:pPr>
        <w:spacing w:after="0" w:line="360" w:lineRule="auto"/>
        <w:jc w:val="both"/>
        <w:rPr>
          <w:rFonts w:cs="Arial"/>
          <w:sz w:val="22"/>
        </w:rPr>
      </w:pPr>
      <w:r w:rsidRPr="00203808">
        <w:rPr>
          <w:rFonts w:cs="Arial"/>
          <w:sz w:val="22"/>
        </w:rPr>
        <w:t>Project B</w:t>
      </w:r>
    </w:p>
    <w:p w14:paraId="2DE75F41" w14:textId="77777777" w:rsidR="00ED72CF" w:rsidRPr="00203808" w:rsidRDefault="00ED72CF" w:rsidP="00203808">
      <w:pPr>
        <w:spacing w:after="0" w:line="360" w:lineRule="auto"/>
        <w:jc w:val="both"/>
        <w:rPr>
          <w:rFonts w:cs="Arial"/>
          <w:b/>
          <w:bCs/>
          <w:sz w:val="22"/>
        </w:rPr>
      </w:pPr>
      <w:r w:rsidRPr="00203808">
        <w:rPr>
          <w:rFonts w:cs="Arial"/>
          <w:sz w:val="22"/>
        </w:rPr>
        <w:t>Average profit = 11m</w:t>
      </w:r>
    </w:p>
    <w:p w14:paraId="203E1210" w14:textId="77777777" w:rsidR="00ED72CF" w:rsidRPr="00203808" w:rsidRDefault="00ED72CF" w:rsidP="00203808">
      <w:pPr>
        <w:spacing w:after="0" w:line="360" w:lineRule="auto"/>
        <w:jc w:val="both"/>
        <w:rPr>
          <w:rFonts w:cs="Arial"/>
          <w:sz w:val="22"/>
        </w:rPr>
      </w:pPr>
      <w:r w:rsidRPr="00203808">
        <w:rPr>
          <w:rFonts w:cs="Arial"/>
          <w:sz w:val="22"/>
        </w:rPr>
        <w:t>Average accounting profit = 11-10= £1m.</w:t>
      </w:r>
    </w:p>
    <w:p w14:paraId="0847B44D" w14:textId="77777777" w:rsidR="00ED72CF" w:rsidRPr="00203808" w:rsidRDefault="00ED72CF" w:rsidP="00203808">
      <w:pPr>
        <w:spacing w:after="0" w:line="360" w:lineRule="auto"/>
        <w:jc w:val="both"/>
        <w:rPr>
          <w:rFonts w:cs="Arial"/>
          <w:sz w:val="22"/>
        </w:rPr>
      </w:pPr>
      <w:r w:rsidRPr="00203808">
        <w:rPr>
          <w:rFonts w:cs="Arial"/>
          <w:sz w:val="22"/>
        </w:rPr>
        <w:t>ARR = 1 ÷ 25 × 100 = 4.0%</w:t>
      </w:r>
    </w:p>
    <w:p w14:paraId="41DCA233" w14:textId="77777777" w:rsidR="00ED72CF" w:rsidRPr="00203808" w:rsidRDefault="00ED72CF" w:rsidP="00203808">
      <w:pPr>
        <w:spacing w:after="0" w:line="360" w:lineRule="auto"/>
        <w:jc w:val="both"/>
        <w:rPr>
          <w:rFonts w:cs="Arial"/>
          <w:b/>
          <w:bCs/>
          <w:sz w:val="22"/>
        </w:rPr>
      </w:pPr>
      <w:r w:rsidRPr="00203808">
        <w:rPr>
          <w:rFonts w:cs="Arial"/>
          <w:sz w:val="22"/>
        </w:rPr>
        <w:t>Project C</w:t>
      </w:r>
    </w:p>
    <w:p w14:paraId="48474928" w14:textId="77777777" w:rsidR="00ED72CF" w:rsidRPr="00203808" w:rsidRDefault="00ED72CF" w:rsidP="00203808">
      <w:pPr>
        <w:spacing w:after="0" w:line="360" w:lineRule="auto"/>
        <w:jc w:val="both"/>
        <w:rPr>
          <w:rFonts w:cs="Arial"/>
          <w:sz w:val="22"/>
        </w:rPr>
      </w:pPr>
      <w:r w:rsidRPr="00203808">
        <w:rPr>
          <w:rFonts w:cs="Arial"/>
          <w:sz w:val="22"/>
        </w:rPr>
        <w:t>Accounting profits:</w:t>
      </w:r>
    </w:p>
    <w:p w14:paraId="71CE5A12" w14:textId="77777777" w:rsidR="00ED72CF" w:rsidRPr="00203808" w:rsidRDefault="00ED72CF" w:rsidP="00203808">
      <w:pPr>
        <w:spacing w:after="0" w:line="360" w:lineRule="auto"/>
        <w:jc w:val="both"/>
        <w:rPr>
          <w:rFonts w:cs="Arial"/>
          <w:sz w:val="22"/>
        </w:rPr>
      </w:pPr>
      <w:r w:rsidRPr="00203808">
        <w:rPr>
          <w:rFonts w:cs="Arial"/>
          <w:sz w:val="22"/>
        </w:rPr>
        <w:t>-Year 1: -5</w:t>
      </w:r>
    </w:p>
    <w:p w14:paraId="14625CE0" w14:textId="77777777" w:rsidR="00ED72CF" w:rsidRPr="00203808" w:rsidRDefault="00ED72CF" w:rsidP="00203808">
      <w:pPr>
        <w:spacing w:after="0" w:line="360" w:lineRule="auto"/>
        <w:jc w:val="both"/>
        <w:rPr>
          <w:rFonts w:cs="Arial"/>
          <w:sz w:val="22"/>
        </w:rPr>
      </w:pPr>
      <w:r w:rsidRPr="00203808">
        <w:rPr>
          <w:rFonts w:cs="Arial"/>
          <w:sz w:val="22"/>
        </w:rPr>
        <w:t>- Year 2: 0</w:t>
      </w:r>
    </w:p>
    <w:p w14:paraId="1C91CC6D" w14:textId="77777777" w:rsidR="00ED72CF" w:rsidRPr="00203808" w:rsidRDefault="00ED72CF" w:rsidP="00203808">
      <w:pPr>
        <w:spacing w:after="0" w:line="360" w:lineRule="auto"/>
        <w:jc w:val="both"/>
        <w:rPr>
          <w:rFonts w:cs="Arial"/>
          <w:sz w:val="22"/>
        </w:rPr>
      </w:pPr>
      <w:r w:rsidRPr="00203808">
        <w:rPr>
          <w:rFonts w:cs="Arial"/>
          <w:sz w:val="22"/>
        </w:rPr>
        <w:lastRenderedPageBreak/>
        <w:t>- Year 3: 10</w:t>
      </w:r>
    </w:p>
    <w:p w14:paraId="205C3D47" w14:textId="77777777" w:rsidR="00ED72CF" w:rsidRPr="00203808" w:rsidRDefault="00ED72CF" w:rsidP="00203808">
      <w:pPr>
        <w:spacing w:after="0" w:line="360" w:lineRule="auto"/>
        <w:jc w:val="both"/>
        <w:rPr>
          <w:rFonts w:cs="Arial"/>
          <w:sz w:val="22"/>
        </w:rPr>
      </w:pPr>
      <w:r w:rsidRPr="00203808">
        <w:rPr>
          <w:rFonts w:cs="Arial"/>
          <w:sz w:val="22"/>
        </w:rPr>
        <w:t>- Year 4: 15</w:t>
      </w:r>
    </w:p>
    <w:p w14:paraId="0DA791CE" w14:textId="77777777" w:rsidR="00ED72CF" w:rsidRPr="00203808" w:rsidRDefault="00ED72CF" w:rsidP="00203808">
      <w:pPr>
        <w:spacing w:after="0" w:line="360" w:lineRule="auto"/>
        <w:jc w:val="both"/>
        <w:rPr>
          <w:rFonts w:cs="Arial"/>
          <w:sz w:val="22"/>
        </w:rPr>
      </w:pPr>
      <w:r w:rsidRPr="00203808">
        <w:rPr>
          <w:rFonts w:cs="Arial"/>
          <w:sz w:val="22"/>
        </w:rPr>
        <w:t xml:space="preserve">- Year </w:t>
      </w:r>
      <w:proofErr w:type="gramStart"/>
      <w:r w:rsidRPr="00203808">
        <w:rPr>
          <w:rFonts w:cs="Arial"/>
          <w:sz w:val="22"/>
        </w:rPr>
        <w:t>5:-</w:t>
      </w:r>
      <w:proofErr w:type="gramEnd"/>
      <w:r w:rsidRPr="00203808">
        <w:rPr>
          <w:rFonts w:cs="Arial"/>
          <w:sz w:val="22"/>
        </w:rPr>
        <w:t>5</w:t>
      </w:r>
    </w:p>
    <w:p w14:paraId="70914A79" w14:textId="77777777" w:rsidR="00ED72CF" w:rsidRPr="00203808" w:rsidRDefault="00ED72CF" w:rsidP="00203808">
      <w:pPr>
        <w:spacing w:after="0" w:line="360" w:lineRule="auto"/>
        <w:jc w:val="both"/>
        <w:rPr>
          <w:rFonts w:cs="Arial"/>
          <w:sz w:val="22"/>
        </w:rPr>
      </w:pPr>
      <w:r w:rsidRPr="00203808">
        <w:rPr>
          <w:rFonts w:cs="Arial"/>
          <w:sz w:val="22"/>
        </w:rPr>
        <w:t>Average profit:</w:t>
      </w:r>
    </w:p>
    <w:p w14:paraId="10E2FE78" w14:textId="77777777" w:rsidR="00ED72CF" w:rsidRPr="00203808" w:rsidRDefault="00ED72CF" w:rsidP="00203808">
      <w:pPr>
        <w:spacing w:after="0" w:line="360" w:lineRule="auto"/>
        <w:jc w:val="both"/>
        <w:rPr>
          <w:rFonts w:cs="Arial"/>
          <w:sz w:val="22"/>
        </w:rPr>
      </w:pPr>
      <w:r w:rsidRPr="00203808">
        <w:rPr>
          <w:rFonts w:cs="Arial"/>
          <w:sz w:val="22"/>
        </w:rPr>
        <w:t>15 ÷ 5 = £3m</w:t>
      </w:r>
    </w:p>
    <w:p w14:paraId="6F48F478" w14:textId="77777777" w:rsidR="00ED72CF" w:rsidRPr="00203808" w:rsidRDefault="00ED72CF" w:rsidP="00203808">
      <w:pPr>
        <w:spacing w:after="0" w:line="360" w:lineRule="auto"/>
        <w:jc w:val="both"/>
        <w:rPr>
          <w:rFonts w:cs="Arial"/>
          <w:sz w:val="22"/>
        </w:rPr>
      </w:pPr>
      <w:r w:rsidRPr="00203808">
        <w:rPr>
          <w:rFonts w:cs="Arial"/>
          <w:sz w:val="22"/>
        </w:rPr>
        <w:t>ARR = 3 ÷ 25 × 100 = 12.0%</w:t>
      </w:r>
    </w:p>
    <w:p w14:paraId="5CD7863E" w14:textId="77777777" w:rsidR="00ED72CF" w:rsidRPr="00203808" w:rsidRDefault="00ED72CF" w:rsidP="00203808">
      <w:pPr>
        <w:spacing w:after="0" w:line="360" w:lineRule="auto"/>
        <w:jc w:val="both"/>
        <w:rPr>
          <w:rFonts w:cs="Arial"/>
          <w:sz w:val="22"/>
        </w:rPr>
      </w:pPr>
      <w:r w:rsidRPr="00203808">
        <w:rPr>
          <w:rFonts w:cs="Arial"/>
          <w:sz w:val="22"/>
        </w:rPr>
        <w:t>Ranking: C &gt; B &gt; A</w:t>
      </w:r>
    </w:p>
    <w:p w14:paraId="5345F308" w14:textId="77777777" w:rsidR="00ED72CF" w:rsidRPr="00203808" w:rsidRDefault="00ED72CF" w:rsidP="00203808">
      <w:pPr>
        <w:spacing w:after="0" w:line="360" w:lineRule="auto"/>
        <w:jc w:val="both"/>
        <w:rPr>
          <w:rFonts w:cs="Arial"/>
          <w:b/>
          <w:bCs/>
          <w:sz w:val="22"/>
        </w:rPr>
      </w:pPr>
      <w:r w:rsidRPr="00203808">
        <w:rPr>
          <w:rFonts w:cs="Arial"/>
          <w:b/>
          <w:bCs/>
          <w:sz w:val="22"/>
        </w:rPr>
        <w:t>d-Net Present Value</w:t>
      </w:r>
    </w:p>
    <w:p w14:paraId="3D895312" w14:textId="77777777" w:rsidR="00ED72CF" w:rsidRPr="00203808" w:rsidRDefault="00ED72CF" w:rsidP="00203808">
      <w:pPr>
        <w:spacing w:after="0" w:line="360" w:lineRule="auto"/>
        <w:jc w:val="both"/>
        <w:rPr>
          <w:rFonts w:cs="Arial"/>
          <w:b/>
          <w:bCs/>
          <w:sz w:val="22"/>
        </w:rPr>
      </w:pPr>
      <w:r w:rsidRPr="00203808">
        <w:rPr>
          <w:rFonts w:cs="Arial"/>
          <w:sz w:val="22"/>
        </w:rPr>
        <w:t>Project A</w:t>
      </w:r>
    </w:p>
    <w:p w14:paraId="5844B939" w14:textId="77777777" w:rsidR="00ED72CF" w:rsidRPr="00203808" w:rsidRDefault="00ED72CF" w:rsidP="00203808">
      <w:pPr>
        <w:spacing w:after="0" w:line="360" w:lineRule="auto"/>
        <w:jc w:val="both"/>
        <w:rPr>
          <w:rFonts w:cs="Arial"/>
          <w:sz w:val="22"/>
        </w:rPr>
      </w:pPr>
      <w:r w:rsidRPr="00203808">
        <w:rPr>
          <w:rFonts w:cs="Arial"/>
          <w:sz w:val="22"/>
        </w:rPr>
        <w:t>NPV =-50 + 10/1.08 + 12/1.08² + 14/1.08³ + 10/1.08⁴ + 8/1.08⁵</w:t>
      </w:r>
    </w:p>
    <w:p w14:paraId="5F8297D2" w14:textId="77777777" w:rsidR="00ED72CF" w:rsidRPr="00203808" w:rsidRDefault="00ED72CF" w:rsidP="00203808">
      <w:pPr>
        <w:spacing w:after="0" w:line="360" w:lineRule="auto"/>
        <w:jc w:val="both"/>
        <w:rPr>
          <w:rFonts w:cs="Arial"/>
          <w:sz w:val="22"/>
        </w:rPr>
      </w:pPr>
      <w:r w:rsidRPr="00203808">
        <w:rPr>
          <w:rFonts w:cs="Arial"/>
          <w:sz w:val="22"/>
        </w:rPr>
        <w:t>NPV ≈ –£6.54m</w:t>
      </w:r>
    </w:p>
    <w:p w14:paraId="30074482" w14:textId="77777777" w:rsidR="00ED72CF" w:rsidRPr="00203808" w:rsidRDefault="00ED72CF" w:rsidP="00203808">
      <w:pPr>
        <w:spacing w:after="0" w:line="360" w:lineRule="auto"/>
        <w:jc w:val="both"/>
        <w:rPr>
          <w:rFonts w:cs="Arial"/>
          <w:b/>
          <w:bCs/>
          <w:sz w:val="22"/>
        </w:rPr>
      </w:pPr>
      <w:r w:rsidRPr="00203808">
        <w:rPr>
          <w:rFonts w:cs="Arial"/>
          <w:sz w:val="22"/>
        </w:rPr>
        <w:t>Project B</w:t>
      </w:r>
    </w:p>
    <w:p w14:paraId="21DBF450" w14:textId="77777777" w:rsidR="00ED72CF" w:rsidRPr="00203808" w:rsidRDefault="00ED72CF" w:rsidP="00203808">
      <w:pPr>
        <w:spacing w:after="0" w:line="360" w:lineRule="auto"/>
        <w:jc w:val="both"/>
        <w:rPr>
          <w:rFonts w:cs="Arial"/>
          <w:sz w:val="22"/>
        </w:rPr>
      </w:pPr>
      <w:r w:rsidRPr="00203808">
        <w:rPr>
          <w:rFonts w:cs="Arial"/>
          <w:sz w:val="22"/>
        </w:rPr>
        <w:t>NPV =-50 + 11/1.08 + 11/1.08² + 11/1.08³ + 11/1.08⁴ + 11/1.08⁵</w:t>
      </w:r>
    </w:p>
    <w:p w14:paraId="0E3866AD" w14:textId="77777777" w:rsidR="00ED72CF" w:rsidRPr="00203808" w:rsidRDefault="00ED72CF" w:rsidP="00203808">
      <w:pPr>
        <w:spacing w:after="0" w:line="360" w:lineRule="auto"/>
        <w:jc w:val="both"/>
        <w:rPr>
          <w:rFonts w:cs="Arial"/>
          <w:sz w:val="22"/>
        </w:rPr>
      </w:pPr>
      <w:r w:rsidRPr="00203808">
        <w:rPr>
          <w:rFonts w:cs="Arial"/>
          <w:sz w:val="22"/>
        </w:rPr>
        <w:t>NPV ≈ –£6.08m</w:t>
      </w:r>
    </w:p>
    <w:p w14:paraId="24C7A483" w14:textId="77777777" w:rsidR="00ED72CF" w:rsidRPr="00203808" w:rsidRDefault="00ED72CF" w:rsidP="00203808">
      <w:pPr>
        <w:spacing w:after="0" w:line="360" w:lineRule="auto"/>
        <w:jc w:val="both"/>
        <w:rPr>
          <w:rFonts w:cs="Arial"/>
          <w:b/>
          <w:bCs/>
          <w:sz w:val="22"/>
        </w:rPr>
      </w:pPr>
      <w:r w:rsidRPr="00203808">
        <w:rPr>
          <w:rFonts w:cs="Arial"/>
          <w:sz w:val="22"/>
        </w:rPr>
        <w:t>Project C</w:t>
      </w:r>
    </w:p>
    <w:p w14:paraId="19FEE8C5" w14:textId="77777777" w:rsidR="00ED72CF" w:rsidRPr="00203808" w:rsidRDefault="00ED72CF" w:rsidP="00203808">
      <w:pPr>
        <w:spacing w:after="0" w:line="360" w:lineRule="auto"/>
        <w:jc w:val="both"/>
        <w:rPr>
          <w:rFonts w:cs="Arial"/>
          <w:sz w:val="22"/>
        </w:rPr>
      </w:pPr>
      <w:r w:rsidRPr="00203808">
        <w:rPr>
          <w:rFonts w:cs="Arial"/>
          <w:sz w:val="22"/>
        </w:rPr>
        <w:t>NPV =-50 + 5/1.08 + 10/1.08² + 20/1.08³ + 25/1.08⁴ + 5/1.08⁵</w:t>
      </w:r>
    </w:p>
    <w:p w14:paraId="6334835D" w14:textId="77777777" w:rsidR="00ED72CF" w:rsidRPr="00203808" w:rsidRDefault="00ED72CF" w:rsidP="00203808">
      <w:pPr>
        <w:spacing w:after="0" w:line="360" w:lineRule="auto"/>
        <w:jc w:val="both"/>
        <w:rPr>
          <w:rFonts w:cs="Arial"/>
          <w:sz w:val="22"/>
        </w:rPr>
      </w:pPr>
      <w:r w:rsidRPr="00203808">
        <w:rPr>
          <w:rFonts w:cs="Arial"/>
          <w:sz w:val="22"/>
        </w:rPr>
        <w:t>Present values:</w:t>
      </w:r>
    </w:p>
    <w:tbl>
      <w:tblPr>
        <w:tblW w:w="0" w:type="auto"/>
        <w:tblLook w:val="04A0" w:firstRow="1" w:lastRow="0" w:firstColumn="1" w:lastColumn="0" w:noHBand="0" w:noVBand="1"/>
      </w:tblPr>
      <w:tblGrid>
        <w:gridCol w:w="4320"/>
        <w:gridCol w:w="4320"/>
      </w:tblGrid>
      <w:tr w:rsidR="00203808" w:rsidRPr="00203808" w14:paraId="11530F1B" w14:textId="77777777" w:rsidTr="008C2C42">
        <w:tc>
          <w:tcPr>
            <w:tcW w:w="4320" w:type="dxa"/>
            <w:tcBorders>
              <w:top w:val="thinThickSmallGap" w:sz="24" w:space="0" w:color="auto"/>
              <w:bottom w:val="thickThinSmallGap" w:sz="24" w:space="0" w:color="auto"/>
            </w:tcBorders>
          </w:tcPr>
          <w:p w14:paraId="70A070A8" w14:textId="77777777" w:rsidR="00ED72CF" w:rsidRPr="00203808" w:rsidRDefault="00ED72CF" w:rsidP="00203808">
            <w:pPr>
              <w:spacing w:after="0" w:line="360" w:lineRule="auto"/>
              <w:jc w:val="both"/>
              <w:rPr>
                <w:rFonts w:cs="Arial"/>
                <w:sz w:val="22"/>
              </w:rPr>
            </w:pPr>
            <w:r w:rsidRPr="00203808">
              <w:rPr>
                <w:rFonts w:cs="Arial"/>
                <w:sz w:val="22"/>
              </w:rPr>
              <w:t xml:space="preserve">Year </w:t>
            </w:r>
          </w:p>
        </w:tc>
        <w:tc>
          <w:tcPr>
            <w:tcW w:w="4320" w:type="dxa"/>
            <w:tcBorders>
              <w:top w:val="thinThickSmallGap" w:sz="24" w:space="0" w:color="auto"/>
              <w:bottom w:val="thickThinSmallGap" w:sz="24" w:space="0" w:color="auto"/>
            </w:tcBorders>
          </w:tcPr>
          <w:p w14:paraId="560ED01F" w14:textId="77777777" w:rsidR="00ED72CF" w:rsidRPr="00203808" w:rsidRDefault="00ED72CF" w:rsidP="00203808">
            <w:pPr>
              <w:spacing w:after="0" w:line="360" w:lineRule="auto"/>
              <w:jc w:val="both"/>
              <w:rPr>
                <w:rFonts w:cs="Arial"/>
                <w:sz w:val="22"/>
              </w:rPr>
            </w:pPr>
            <w:r w:rsidRPr="00203808">
              <w:rPr>
                <w:rFonts w:cs="Arial"/>
                <w:sz w:val="22"/>
              </w:rPr>
              <w:t>PV (£m)</w:t>
            </w:r>
          </w:p>
        </w:tc>
      </w:tr>
      <w:tr w:rsidR="00203808" w:rsidRPr="00203808" w14:paraId="3B06D71C" w14:textId="77777777" w:rsidTr="008C2C42">
        <w:tc>
          <w:tcPr>
            <w:tcW w:w="4320" w:type="dxa"/>
            <w:tcBorders>
              <w:top w:val="thickThinSmallGap" w:sz="24" w:space="0" w:color="auto"/>
            </w:tcBorders>
          </w:tcPr>
          <w:p w14:paraId="3A772A1E" w14:textId="77777777" w:rsidR="00ED72CF" w:rsidRPr="00203808" w:rsidRDefault="00ED72CF" w:rsidP="00203808">
            <w:pPr>
              <w:spacing w:after="0" w:line="360" w:lineRule="auto"/>
              <w:jc w:val="both"/>
              <w:rPr>
                <w:rFonts w:cs="Arial"/>
                <w:sz w:val="22"/>
              </w:rPr>
            </w:pPr>
            <w:r w:rsidRPr="00203808">
              <w:rPr>
                <w:rFonts w:cs="Arial"/>
                <w:sz w:val="22"/>
              </w:rPr>
              <w:t>1</w:t>
            </w:r>
          </w:p>
        </w:tc>
        <w:tc>
          <w:tcPr>
            <w:tcW w:w="4320" w:type="dxa"/>
            <w:tcBorders>
              <w:top w:val="thickThinSmallGap" w:sz="24" w:space="0" w:color="auto"/>
            </w:tcBorders>
          </w:tcPr>
          <w:p w14:paraId="08979A4B" w14:textId="77777777" w:rsidR="00ED72CF" w:rsidRPr="00203808" w:rsidRDefault="00ED72CF" w:rsidP="00203808">
            <w:pPr>
              <w:spacing w:after="0" w:line="360" w:lineRule="auto"/>
              <w:jc w:val="both"/>
              <w:rPr>
                <w:rFonts w:cs="Arial"/>
                <w:sz w:val="22"/>
              </w:rPr>
            </w:pPr>
            <w:r w:rsidRPr="00203808">
              <w:rPr>
                <w:rFonts w:cs="Arial"/>
                <w:sz w:val="22"/>
              </w:rPr>
              <w:t xml:space="preserve">4.63 </w:t>
            </w:r>
          </w:p>
        </w:tc>
      </w:tr>
      <w:tr w:rsidR="00203808" w:rsidRPr="00203808" w14:paraId="69B6A1C8" w14:textId="77777777" w:rsidTr="008C2C42">
        <w:tc>
          <w:tcPr>
            <w:tcW w:w="4320" w:type="dxa"/>
          </w:tcPr>
          <w:p w14:paraId="107718ED" w14:textId="77777777" w:rsidR="00ED72CF" w:rsidRPr="00203808" w:rsidRDefault="00ED72CF" w:rsidP="00203808">
            <w:pPr>
              <w:spacing w:after="0" w:line="360" w:lineRule="auto"/>
              <w:jc w:val="both"/>
              <w:rPr>
                <w:rFonts w:cs="Arial"/>
                <w:sz w:val="22"/>
              </w:rPr>
            </w:pPr>
            <w:r w:rsidRPr="00203808">
              <w:rPr>
                <w:rFonts w:cs="Arial"/>
                <w:sz w:val="22"/>
              </w:rPr>
              <w:t>2</w:t>
            </w:r>
          </w:p>
        </w:tc>
        <w:tc>
          <w:tcPr>
            <w:tcW w:w="4320" w:type="dxa"/>
          </w:tcPr>
          <w:p w14:paraId="44040813" w14:textId="77777777" w:rsidR="00ED72CF" w:rsidRPr="00203808" w:rsidRDefault="00ED72CF" w:rsidP="00203808">
            <w:pPr>
              <w:spacing w:after="0" w:line="360" w:lineRule="auto"/>
              <w:jc w:val="both"/>
              <w:rPr>
                <w:rFonts w:cs="Arial"/>
                <w:sz w:val="22"/>
              </w:rPr>
            </w:pPr>
            <w:r w:rsidRPr="00203808">
              <w:rPr>
                <w:rFonts w:cs="Arial"/>
                <w:sz w:val="22"/>
              </w:rPr>
              <w:t>8.57</w:t>
            </w:r>
          </w:p>
        </w:tc>
      </w:tr>
      <w:tr w:rsidR="00203808" w:rsidRPr="00203808" w14:paraId="3842245F" w14:textId="77777777" w:rsidTr="008C2C42">
        <w:tc>
          <w:tcPr>
            <w:tcW w:w="4320" w:type="dxa"/>
          </w:tcPr>
          <w:p w14:paraId="1E69708B" w14:textId="77777777" w:rsidR="00ED72CF" w:rsidRPr="00203808" w:rsidRDefault="00ED72CF" w:rsidP="00203808">
            <w:pPr>
              <w:spacing w:after="0" w:line="360" w:lineRule="auto"/>
              <w:jc w:val="both"/>
              <w:rPr>
                <w:rFonts w:cs="Arial"/>
                <w:sz w:val="22"/>
              </w:rPr>
            </w:pPr>
            <w:r w:rsidRPr="00203808">
              <w:rPr>
                <w:rFonts w:cs="Arial"/>
                <w:sz w:val="22"/>
              </w:rPr>
              <w:t>3</w:t>
            </w:r>
          </w:p>
        </w:tc>
        <w:tc>
          <w:tcPr>
            <w:tcW w:w="4320" w:type="dxa"/>
          </w:tcPr>
          <w:p w14:paraId="4E0F33C6" w14:textId="77777777" w:rsidR="00ED72CF" w:rsidRPr="00203808" w:rsidRDefault="00ED72CF" w:rsidP="00203808">
            <w:pPr>
              <w:spacing w:after="0" w:line="360" w:lineRule="auto"/>
              <w:jc w:val="both"/>
              <w:rPr>
                <w:rFonts w:cs="Arial"/>
                <w:sz w:val="22"/>
              </w:rPr>
            </w:pPr>
            <w:r w:rsidRPr="00203808">
              <w:rPr>
                <w:rFonts w:cs="Arial"/>
                <w:sz w:val="22"/>
              </w:rPr>
              <w:t>15.88</w:t>
            </w:r>
          </w:p>
        </w:tc>
      </w:tr>
      <w:tr w:rsidR="00203808" w:rsidRPr="00203808" w14:paraId="5AB71351" w14:textId="77777777" w:rsidTr="008C2C42">
        <w:tc>
          <w:tcPr>
            <w:tcW w:w="4320" w:type="dxa"/>
          </w:tcPr>
          <w:p w14:paraId="5C7A2A80" w14:textId="77777777" w:rsidR="00ED72CF" w:rsidRPr="00203808" w:rsidRDefault="00ED72CF" w:rsidP="00203808">
            <w:pPr>
              <w:spacing w:after="0" w:line="360" w:lineRule="auto"/>
              <w:jc w:val="both"/>
              <w:rPr>
                <w:rFonts w:cs="Arial"/>
                <w:sz w:val="22"/>
              </w:rPr>
            </w:pPr>
            <w:r w:rsidRPr="00203808">
              <w:rPr>
                <w:rFonts w:cs="Arial"/>
                <w:sz w:val="22"/>
              </w:rPr>
              <w:t>4</w:t>
            </w:r>
          </w:p>
        </w:tc>
        <w:tc>
          <w:tcPr>
            <w:tcW w:w="4320" w:type="dxa"/>
          </w:tcPr>
          <w:p w14:paraId="55BD501C" w14:textId="77777777" w:rsidR="00ED72CF" w:rsidRPr="00203808" w:rsidRDefault="00ED72CF" w:rsidP="00203808">
            <w:pPr>
              <w:spacing w:after="0" w:line="360" w:lineRule="auto"/>
              <w:jc w:val="both"/>
              <w:rPr>
                <w:rFonts w:cs="Arial"/>
                <w:sz w:val="22"/>
              </w:rPr>
            </w:pPr>
            <w:r w:rsidRPr="00203808">
              <w:rPr>
                <w:rFonts w:cs="Arial"/>
                <w:sz w:val="22"/>
              </w:rPr>
              <w:t>18.38</w:t>
            </w:r>
          </w:p>
        </w:tc>
      </w:tr>
      <w:tr w:rsidR="00203808" w:rsidRPr="00203808" w14:paraId="6587C823" w14:textId="77777777" w:rsidTr="008C2C42">
        <w:tc>
          <w:tcPr>
            <w:tcW w:w="4320" w:type="dxa"/>
          </w:tcPr>
          <w:p w14:paraId="3C6CFFC4" w14:textId="77777777" w:rsidR="00ED72CF" w:rsidRPr="00203808" w:rsidRDefault="00ED72CF" w:rsidP="00203808">
            <w:pPr>
              <w:spacing w:after="0" w:line="360" w:lineRule="auto"/>
              <w:jc w:val="both"/>
              <w:rPr>
                <w:rFonts w:cs="Arial"/>
                <w:sz w:val="22"/>
              </w:rPr>
            </w:pPr>
            <w:r w:rsidRPr="00203808">
              <w:rPr>
                <w:rFonts w:cs="Arial"/>
                <w:sz w:val="22"/>
              </w:rPr>
              <w:t>5</w:t>
            </w:r>
          </w:p>
        </w:tc>
        <w:tc>
          <w:tcPr>
            <w:tcW w:w="4320" w:type="dxa"/>
          </w:tcPr>
          <w:p w14:paraId="3C9CC6EA" w14:textId="77777777" w:rsidR="00ED72CF" w:rsidRPr="00203808" w:rsidRDefault="00ED72CF" w:rsidP="00203808">
            <w:pPr>
              <w:spacing w:after="0" w:line="360" w:lineRule="auto"/>
              <w:jc w:val="both"/>
              <w:rPr>
                <w:rFonts w:cs="Arial"/>
                <w:sz w:val="22"/>
              </w:rPr>
            </w:pPr>
            <w:r w:rsidRPr="00203808">
              <w:rPr>
                <w:rFonts w:cs="Arial"/>
                <w:sz w:val="22"/>
              </w:rPr>
              <w:t>3.40</w:t>
            </w:r>
          </w:p>
        </w:tc>
      </w:tr>
      <w:tr w:rsidR="00203808" w:rsidRPr="00203808" w14:paraId="7A9F229E" w14:textId="77777777" w:rsidTr="008C2C42">
        <w:tc>
          <w:tcPr>
            <w:tcW w:w="4320" w:type="dxa"/>
            <w:tcBorders>
              <w:bottom w:val="thickThinSmallGap" w:sz="24" w:space="0" w:color="auto"/>
            </w:tcBorders>
          </w:tcPr>
          <w:p w14:paraId="2515CB58" w14:textId="77777777" w:rsidR="00ED72CF" w:rsidRPr="00203808" w:rsidRDefault="00ED72CF" w:rsidP="00203808">
            <w:pPr>
              <w:spacing w:after="0" w:line="360" w:lineRule="auto"/>
              <w:jc w:val="both"/>
              <w:rPr>
                <w:rFonts w:cs="Arial"/>
                <w:sz w:val="22"/>
              </w:rPr>
            </w:pPr>
            <w:r w:rsidRPr="00203808">
              <w:rPr>
                <w:rFonts w:cs="Arial"/>
                <w:sz w:val="22"/>
              </w:rPr>
              <w:t>Total PV</w:t>
            </w:r>
          </w:p>
        </w:tc>
        <w:tc>
          <w:tcPr>
            <w:tcW w:w="4320" w:type="dxa"/>
            <w:tcBorders>
              <w:bottom w:val="thickThinSmallGap" w:sz="24" w:space="0" w:color="auto"/>
            </w:tcBorders>
          </w:tcPr>
          <w:p w14:paraId="5026C6A2" w14:textId="77777777" w:rsidR="00ED72CF" w:rsidRPr="00203808" w:rsidRDefault="00ED72CF" w:rsidP="00203808">
            <w:pPr>
              <w:spacing w:after="0" w:line="360" w:lineRule="auto"/>
              <w:jc w:val="both"/>
              <w:rPr>
                <w:rFonts w:cs="Arial"/>
                <w:sz w:val="22"/>
              </w:rPr>
            </w:pPr>
            <w:r w:rsidRPr="00203808">
              <w:rPr>
                <w:rFonts w:cs="Arial"/>
                <w:sz w:val="22"/>
              </w:rPr>
              <w:t>50.86</w:t>
            </w:r>
          </w:p>
        </w:tc>
      </w:tr>
    </w:tbl>
    <w:p w14:paraId="46000B92" w14:textId="77777777" w:rsidR="00ED72CF" w:rsidRPr="00203808" w:rsidRDefault="00ED72CF" w:rsidP="00203808">
      <w:pPr>
        <w:spacing w:after="0" w:line="360" w:lineRule="auto"/>
        <w:jc w:val="both"/>
        <w:rPr>
          <w:rFonts w:cs="Arial"/>
          <w:sz w:val="22"/>
        </w:rPr>
      </w:pPr>
      <w:r w:rsidRPr="00203808">
        <w:rPr>
          <w:rFonts w:cs="Arial"/>
          <w:sz w:val="22"/>
        </w:rPr>
        <w:t>NPV = 50.86-50</w:t>
      </w:r>
    </w:p>
    <w:p w14:paraId="0AC8C9C4" w14:textId="77777777" w:rsidR="00ED72CF" w:rsidRPr="00203808" w:rsidRDefault="00ED72CF" w:rsidP="00203808">
      <w:pPr>
        <w:spacing w:after="0" w:line="360" w:lineRule="auto"/>
        <w:jc w:val="both"/>
        <w:rPr>
          <w:rFonts w:cs="Arial"/>
          <w:sz w:val="22"/>
        </w:rPr>
      </w:pPr>
      <w:r w:rsidRPr="00203808">
        <w:rPr>
          <w:rFonts w:cs="Arial"/>
          <w:sz w:val="22"/>
        </w:rPr>
        <w:t>NPV = +£0.86m</w:t>
      </w:r>
    </w:p>
    <w:p w14:paraId="53F122FE" w14:textId="77777777" w:rsidR="00ED72CF" w:rsidRPr="00203808" w:rsidRDefault="00ED72CF" w:rsidP="00203808">
      <w:pPr>
        <w:spacing w:after="0" w:line="360" w:lineRule="auto"/>
        <w:jc w:val="both"/>
        <w:rPr>
          <w:rFonts w:cs="Arial"/>
          <w:sz w:val="22"/>
        </w:rPr>
      </w:pPr>
      <w:r w:rsidRPr="00203808">
        <w:rPr>
          <w:rFonts w:cs="Arial"/>
          <w:sz w:val="22"/>
        </w:rPr>
        <w:t>This correction is important: Project C is not value-destructive at an 8% discount rate. It produces a small positive NPV.</w:t>
      </w:r>
    </w:p>
    <w:p w14:paraId="44D419F0" w14:textId="77777777" w:rsidR="00BE2860" w:rsidRDefault="00BE2860" w:rsidP="00203808">
      <w:pPr>
        <w:spacing w:after="0" w:line="360" w:lineRule="auto"/>
        <w:jc w:val="both"/>
        <w:rPr>
          <w:rFonts w:cs="Arial"/>
          <w:b/>
          <w:bCs/>
          <w:sz w:val="22"/>
        </w:rPr>
      </w:pPr>
    </w:p>
    <w:p w14:paraId="046779BA" w14:textId="77777777" w:rsidR="00BE2860" w:rsidRDefault="00BE2860" w:rsidP="00203808">
      <w:pPr>
        <w:spacing w:after="0" w:line="360" w:lineRule="auto"/>
        <w:jc w:val="both"/>
        <w:rPr>
          <w:rFonts w:cs="Arial"/>
          <w:b/>
          <w:bCs/>
          <w:sz w:val="22"/>
        </w:rPr>
      </w:pPr>
    </w:p>
    <w:p w14:paraId="1D0BFEBC" w14:textId="77777777" w:rsidR="00BE2860" w:rsidRDefault="00BE2860" w:rsidP="00203808">
      <w:pPr>
        <w:spacing w:after="0" w:line="360" w:lineRule="auto"/>
        <w:jc w:val="both"/>
        <w:rPr>
          <w:rFonts w:cs="Arial"/>
          <w:b/>
          <w:bCs/>
          <w:sz w:val="22"/>
        </w:rPr>
      </w:pPr>
    </w:p>
    <w:p w14:paraId="37F66D1B" w14:textId="77777777" w:rsidR="00BE2860" w:rsidRDefault="00BE2860" w:rsidP="00203808">
      <w:pPr>
        <w:spacing w:after="0" w:line="360" w:lineRule="auto"/>
        <w:jc w:val="both"/>
        <w:rPr>
          <w:rFonts w:cs="Arial"/>
          <w:b/>
          <w:bCs/>
          <w:sz w:val="22"/>
        </w:rPr>
      </w:pPr>
    </w:p>
    <w:p w14:paraId="2532ACDB" w14:textId="77777777" w:rsidR="00BE2860" w:rsidRDefault="00BE2860" w:rsidP="00203808">
      <w:pPr>
        <w:spacing w:after="0" w:line="360" w:lineRule="auto"/>
        <w:jc w:val="both"/>
        <w:rPr>
          <w:rFonts w:cs="Arial"/>
          <w:b/>
          <w:bCs/>
          <w:sz w:val="22"/>
        </w:rPr>
      </w:pPr>
    </w:p>
    <w:p w14:paraId="64D84C5A" w14:textId="03C48518" w:rsidR="00ED72CF" w:rsidRPr="00203808" w:rsidRDefault="00ED72CF" w:rsidP="00203808">
      <w:pPr>
        <w:spacing w:after="0" w:line="360" w:lineRule="auto"/>
        <w:jc w:val="both"/>
        <w:rPr>
          <w:rFonts w:cs="Arial"/>
          <w:b/>
          <w:bCs/>
          <w:sz w:val="22"/>
        </w:rPr>
      </w:pPr>
      <w:r w:rsidRPr="00203808">
        <w:rPr>
          <w:rFonts w:cs="Arial"/>
          <w:b/>
          <w:bCs/>
          <w:sz w:val="22"/>
        </w:rPr>
        <w:lastRenderedPageBreak/>
        <w:t>e-Profitability Index</w:t>
      </w:r>
    </w:p>
    <w:p w14:paraId="58F60FFB" w14:textId="77777777" w:rsidR="00ED72CF" w:rsidRPr="00203808" w:rsidRDefault="00ED72CF" w:rsidP="00203808">
      <w:pPr>
        <w:spacing w:after="0" w:line="360" w:lineRule="auto"/>
        <w:jc w:val="both"/>
        <w:rPr>
          <w:rFonts w:cs="Arial"/>
          <w:b/>
          <w:bCs/>
          <w:sz w:val="22"/>
        </w:rPr>
      </w:pPr>
      <w:r w:rsidRPr="00203808">
        <w:rPr>
          <w:rFonts w:cs="Arial"/>
          <w:sz w:val="22"/>
        </w:rPr>
        <w:t xml:space="preserve"> PI = PV of future cash flows ÷ Initial investment</w:t>
      </w:r>
    </w:p>
    <w:tbl>
      <w:tblPr>
        <w:tblW w:w="0" w:type="auto"/>
        <w:tblLook w:val="04A0" w:firstRow="1" w:lastRow="0" w:firstColumn="1" w:lastColumn="0" w:noHBand="0" w:noVBand="1"/>
      </w:tblPr>
      <w:tblGrid>
        <w:gridCol w:w="2880"/>
        <w:gridCol w:w="2880"/>
        <w:gridCol w:w="2880"/>
      </w:tblGrid>
      <w:tr w:rsidR="00203808" w:rsidRPr="00203808" w14:paraId="5044CF4D" w14:textId="77777777" w:rsidTr="008C2C42">
        <w:tc>
          <w:tcPr>
            <w:tcW w:w="2880" w:type="dxa"/>
            <w:tcBorders>
              <w:top w:val="thinThickSmallGap" w:sz="24" w:space="0" w:color="auto"/>
              <w:bottom w:val="thickThinSmallGap" w:sz="24" w:space="0" w:color="auto"/>
            </w:tcBorders>
          </w:tcPr>
          <w:p w14:paraId="72CFF09D" w14:textId="77777777" w:rsidR="00ED72CF" w:rsidRPr="00203808" w:rsidRDefault="00ED72CF" w:rsidP="00203808">
            <w:pPr>
              <w:spacing w:after="0" w:line="360" w:lineRule="auto"/>
              <w:jc w:val="both"/>
              <w:rPr>
                <w:rFonts w:cs="Arial"/>
                <w:sz w:val="22"/>
              </w:rPr>
            </w:pPr>
            <w:bookmarkStart w:id="37" w:name="_Hlk237260616"/>
            <w:r w:rsidRPr="00203808">
              <w:rPr>
                <w:rFonts w:cs="Arial"/>
                <w:sz w:val="22"/>
              </w:rPr>
              <w:t xml:space="preserve">Project </w:t>
            </w:r>
          </w:p>
        </w:tc>
        <w:tc>
          <w:tcPr>
            <w:tcW w:w="2880" w:type="dxa"/>
            <w:tcBorders>
              <w:top w:val="thinThickSmallGap" w:sz="24" w:space="0" w:color="auto"/>
              <w:bottom w:val="thickThinSmallGap" w:sz="24" w:space="0" w:color="auto"/>
            </w:tcBorders>
          </w:tcPr>
          <w:p w14:paraId="2E4EAE79" w14:textId="77777777" w:rsidR="00ED72CF" w:rsidRPr="00203808" w:rsidRDefault="00ED72CF" w:rsidP="00203808">
            <w:pPr>
              <w:spacing w:after="0" w:line="360" w:lineRule="auto"/>
              <w:jc w:val="both"/>
              <w:rPr>
                <w:rFonts w:cs="Arial"/>
                <w:sz w:val="22"/>
              </w:rPr>
            </w:pPr>
            <w:r w:rsidRPr="00203808">
              <w:rPr>
                <w:rFonts w:cs="Arial"/>
                <w:sz w:val="22"/>
              </w:rPr>
              <w:t>PV of inflows</w:t>
            </w:r>
          </w:p>
        </w:tc>
        <w:tc>
          <w:tcPr>
            <w:tcW w:w="2880" w:type="dxa"/>
            <w:tcBorders>
              <w:top w:val="thinThickSmallGap" w:sz="24" w:space="0" w:color="auto"/>
              <w:bottom w:val="thickThinSmallGap" w:sz="24" w:space="0" w:color="auto"/>
            </w:tcBorders>
          </w:tcPr>
          <w:p w14:paraId="1B88201E" w14:textId="77777777" w:rsidR="00ED72CF" w:rsidRPr="00203808" w:rsidRDefault="00ED72CF" w:rsidP="00203808">
            <w:pPr>
              <w:spacing w:after="0" w:line="360" w:lineRule="auto"/>
              <w:jc w:val="both"/>
              <w:rPr>
                <w:rFonts w:cs="Arial"/>
                <w:sz w:val="22"/>
              </w:rPr>
            </w:pPr>
            <w:r w:rsidRPr="00203808">
              <w:rPr>
                <w:rFonts w:cs="Arial"/>
                <w:sz w:val="22"/>
              </w:rPr>
              <w:t>PI</w:t>
            </w:r>
          </w:p>
        </w:tc>
      </w:tr>
      <w:tr w:rsidR="00203808" w:rsidRPr="00203808" w14:paraId="456630F2" w14:textId="77777777" w:rsidTr="008C2C42">
        <w:tc>
          <w:tcPr>
            <w:tcW w:w="2880" w:type="dxa"/>
            <w:tcBorders>
              <w:top w:val="thickThinSmallGap" w:sz="24" w:space="0" w:color="auto"/>
            </w:tcBorders>
          </w:tcPr>
          <w:p w14:paraId="7AD1A3D9" w14:textId="77777777" w:rsidR="00ED72CF" w:rsidRPr="00203808" w:rsidRDefault="00ED72CF" w:rsidP="00203808">
            <w:pPr>
              <w:spacing w:after="0" w:line="360" w:lineRule="auto"/>
              <w:jc w:val="both"/>
              <w:rPr>
                <w:rFonts w:cs="Arial"/>
                <w:sz w:val="22"/>
              </w:rPr>
            </w:pPr>
            <w:r w:rsidRPr="00203808">
              <w:rPr>
                <w:rFonts w:cs="Arial"/>
                <w:sz w:val="22"/>
              </w:rPr>
              <w:t>A</w:t>
            </w:r>
          </w:p>
        </w:tc>
        <w:tc>
          <w:tcPr>
            <w:tcW w:w="2880" w:type="dxa"/>
            <w:tcBorders>
              <w:top w:val="thickThinSmallGap" w:sz="24" w:space="0" w:color="auto"/>
            </w:tcBorders>
          </w:tcPr>
          <w:p w14:paraId="5787A4BB" w14:textId="77777777" w:rsidR="00ED72CF" w:rsidRPr="00203808" w:rsidRDefault="00ED72CF" w:rsidP="00203808">
            <w:pPr>
              <w:spacing w:after="0" w:line="360" w:lineRule="auto"/>
              <w:jc w:val="both"/>
              <w:rPr>
                <w:rFonts w:cs="Arial"/>
                <w:sz w:val="22"/>
              </w:rPr>
            </w:pPr>
            <w:r w:rsidRPr="00203808">
              <w:rPr>
                <w:rFonts w:cs="Arial"/>
                <w:sz w:val="22"/>
              </w:rPr>
              <w:t>43.46</w:t>
            </w:r>
          </w:p>
        </w:tc>
        <w:tc>
          <w:tcPr>
            <w:tcW w:w="2880" w:type="dxa"/>
            <w:tcBorders>
              <w:top w:val="thickThinSmallGap" w:sz="24" w:space="0" w:color="auto"/>
            </w:tcBorders>
          </w:tcPr>
          <w:p w14:paraId="09C77F2A" w14:textId="77777777" w:rsidR="00ED72CF" w:rsidRPr="00203808" w:rsidRDefault="00ED72CF" w:rsidP="00203808">
            <w:pPr>
              <w:spacing w:after="0" w:line="360" w:lineRule="auto"/>
              <w:jc w:val="both"/>
              <w:rPr>
                <w:rFonts w:cs="Arial"/>
                <w:sz w:val="22"/>
              </w:rPr>
            </w:pPr>
            <w:r w:rsidRPr="00203808">
              <w:rPr>
                <w:rFonts w:cs="Arial"/>
                <w:sz w:val="22"/>
              </w:rPr>
              <w:t>0.87</w:t>
            </w:r>
          </w:p>
        </w:tc>
      </w:tr>
      <w:tr w:rsidR="00203808" w:rsidRPr="00203808" w14:paraId="57534517" w14:textId="77777777" w:rsidTr="008C2C42">
        <w:tc>
          <w:tcPr>
            <w:tcW w:w="2880" w:type="dxa"/>
          </w:tcPr>
          <w:p w14:paraId="7C7080B6" w14:textId="77777777" w:rsidR="00ED72CF" w:rsidRPr="00203808" w:rsidRDefault="00ED72CF" w:rsidP="00203808">
            <w:pPr>
              <w:spacing w:after="0" w:line="360" w:lineRule="auto"/>
              <w:jc w:val="both"/>
              <w:rPr>
                <w:rFonts w:cs="Arial"/>
                <w:sz w:val="22"/>
              </w:rPr>
            </w:pPr>
            <w:r w:rsidRPr="00203808">
              <w:rPr>
                <w:rFonts w:cs="Arial"/>
                <w:sz w:val="22"/>
              </w:rPr>
              <w:t>B</w:t>
            </w:r>
          </w:p>
        </w:tc>
        <w:tc>
          <w:tcPr>
            <w:tcW w:w="2880" w:type="dxa"/>
          </w:tcPr>
          <w:p w14:paraId="0306CD4B" w14:textId="77777777" w:rsidR="00ED72CF" w:rsidRPr="00203808" w:rsidRDefault="00ED72CF" w:rsidP="00203808">
            <w:pPr>
              <w:spacing w:after="0" w:line="360" w:lineRule="auto"/>
              <w:jc w:val="both"/>
              <w:rPr>
                <w:rFonts w:cs="Arial"/>
                <w:sz w:val="22"/>
              </w:rPr>
            </w:pPr>
            <w:r w:rsidRPr="00203808">
              <w:rPr>
                <w:rFonts w:cs="Arial"/>
                <w:sz w:val="22"/>
              </w:rPr>
              <w:t>43.92</w:t>
            </w:r>
          </w:p>
        </w:tc>
        <w:tc>
          <w:tcPr>
            <w:tcW w:w="2880" w:type="dxa"/>
          </w:tcPr>
          <w:p w14:paraId="36FE5D6F" w14:textId="77777777" w:rsidR="00ED72CF" w:rsidRPr="00203808" w:rsidRDefault="00ED72CF" w:rsidP="00203808">
            <w:pPr>
              <w:spacing w:after="0" w:line="360" w:lineRule="auto"/>
              <w:jc w:val="both"/>
              <w:rPr>
                <w:rFonts w:cs="Arial"/>
                <w:sz w:val="22"/>
              </w:rPr>
            </w:pPr>
            <w:r w:rsidRPr="00203808">
              <w:rPr>
                <w:rFonts w:cs="Arial"/>
                <w:sz w:val="22"/>
              </w:rPr>
              <w:t>0.88</w:t>
            </w:r>
          </w:p>
        </w:tc>
      </w:tr>
      <w:tr w:rsidR="00ED72CF" w:rsidRPr="00203808" w14:paraId="044702DF" w14:textId="77777777" w:rsidTr="008C2C42">
        <w:tc>
          <w:tcPr>
            <w:tcW w:w="2880" w:type="dxa"/>
            <w:tcBorders>
              <w:bottom w:val="thickThinSmallGap" w:sz="24" w:space="0" w:color="auto"/>
            </w:tcBorders>
          </w:tcPr>
          <w:p w14:paraId="308E6510" w14:textId="77777777" w:rsidR="00ED72CF" w:rsidRPr="00203808" w:rsidRDefault="00ED72CF" w:rsidP="00203808">
            <w:pPr>
              <w:spacing w:after="0" w:line="360" w:lineRule="auto"/>
              <w:jc w:val="both"/>
              <w:rPr>
                <w:rFonts w:cs="Arial"/>
                <w:sz w:val="22"/>
              </w:rPr>
            </w:pPr>
            <w:r w:rsidRPr="00203808">
              <w:rPr>
                <w:rFonts w:cs="Arial"/>
                <w:sz w:val="22"/>
              </w:rPr>
              <w:t>C</w:t>
            </w:r>
          </w:p>
        </w:tc>
        <w:tc>
          <w:tcPr>
            <w:tcW w:w="2880" w:type="dxa"/>
            <w:tcBorders>
              <w:bottom w:val="thickThinSmallGap" w:sz="24" w:space="0" w:color="auto"/>
            </w:tcBorders>
          </w:tcPr>
          <w:p w14:paraId="61C7EB41" w14:textId="77777777" w:rsidR="00ED72CF" w:rsidRPr="00203808" w:rsidRDefault="00ED72CF" w:rsidP="00203808">
            <w:pPr>
              <w:spacing w:after="0" w:line="360" w:lineRule="auto"/>
              <w:jc w:val="both"/>
              <w:rPr>
                <w:rFonts w:cs="Arial"/>
                <w:sz w:val="22"/>
              </w:rPr>
            </w:pPr>
            <w:r w:rsidRPr="00203808">
              <w:rPr>
                <w:rFonts w:cs="Arial"/>
                <w:sz w:val="22"/>
              </w:rPr>
              <w:t>50.86</w:t>
            </w:r>
          </w:p>
        </w:tc>
        <w:tc>
          <w:tcPr>
            <w:tcW w:w="2880" w:type="dxa"/>
            <w:tcBorders>
              <w:bottom w:val="thickThinSmallGap" w:sz="24" w:space="0" w:color="auto"/>
            </w:tcBorders>
          </w:tcPr>
          <w:p w14:paraId="4D9911A7" w14:textId="77777777" w:rsidR="00ED72CF" w:rsidRPr="00203808" w:rsidRDefault="00ED72CF" w:rsidP="00203808">
            <w:pPr>
              <w:spacing w:after="0" w:line="360" w:lineRule="auto"/>
              <w:jc w:val="both"/>
              <w:rPr>
                <w:rFonts w:cs="Arial"/>
                <w:sz w:val="22"/>
              </w:rPr>
            </w:pPr>
            <w:r w:rsidRPr="00203808">
              <w:rPr>
                <w:rFonts w:cs="Arial"/>
                <w:sz w:val="22"/>
              </w:rPr>
              <w:t>1.02</w:t>
            </w:r>
          </w:p>
        </w:tc>
      </w:tr>
      <w:bookmarkEnd w:id="37"/>
    </w:tbl>
    <w:p w14:paraId="3345D844" w14:textId="77777777" w:rsidR="00ED72CF" w:rsidRPr="00203808" w:rsidRDefault="00ED72CF" w:rsidP="00203808">
      <w:pPr>
        <w:spacing w:after="0" w:line="360" w:lineRule="auto"/>
        <w:jc w:val="both"/>
        <w:rPr>
          <w:rFonts w:cs="Arial"/>
          <w:sz w:val="22"/>
        </w:rPr>
      </w:pPr>
    </w:p>
    <w:p w14:paraId="19866579" w14:textId="77777777" w:rsidR="00ED72CF" w:rsidRPr="00203808" w:rsidRDefault="00ED72CF" w:rsidP="00203808">
      <w:pPr>
        <w:spacing w:after="0" w:line="360" w:lineRule="auto"/>
        <w:jc w:val="both"/>
        <w:rPr>
          <w:rFonts w:cs="Arial"/>
          <w:b/>
          <w:bCs/>
          <w:sz w:val="22"/>
        </w:rPr>
      </w:pPr>
      <w:r w:rsidRPr="00203808">
        <w:rPr>
          <w:rFonts w:cs="Arial"/>
          <w:sz w:val="22"/>
        </w:rPr>
        <w:t>4.f Internal Rate of Return</w:t>
      </w:r>
    </w:p>
    <w:p w14:paraId="53EF9258" w14:textId="77777777" w:rsidR="00ED72CF" w:rsidRPr="00203808" w:rsidRDefault="00ED72CF" w:rsidP="00203808">
      <w:pPr>
        <w:spacing w:after="0" w:line="360" w:lineRule="auto"/>
        <w:jc w:val="both"/>
        <w:rPr>
          <w:rFonts w:cs="Arial"/>
          <w:sz w:val="22"/>
        </w:rPr>
      </w:pPr>
      <w:r w:rsidRPr="00203808">
        <w:rPr>
          <w:rFonts w:cs="Arial"/>
          <w:sz w:val="22"/>
        </w:rPr>
        <w:t>The IRR is the discount rate at which NPV = 0.</w:t>
      </w:r>
    </w:p>
    <w:p w14:paraId="28CE2D6F" w14:textId="77777777" w:rsidR="00ED72CF" w:rsidRPr="00203808" w:rsidRDefault="00ED72CF" w:rsidP="00203808">
      <w:pPr>
        <w:spacing w:after="0" w:line="360" w:lineRule="auto"/>
        <w:jc w:val="both"/>
        <w:rPr>
          <w:rFonts w:cs="Arial"/>
          <w:sz w:val="22"/>
        </w:rPr>
      </w:pPr>
      <w:r w:rsidRPr="00203808">
        <w:rPr>
          <w:rFonts w:cs="Arial"/>
          <w:sz w:val="22"/>
        </w:rPr>
        <w:t>Approximate results:</w:t>
      </w:r>
    </w:p>
    <w:tbl>
      <w:tblPr>
        <w:tblW w:w="0" w:type="auto"/>
        <w:tblLook w:val="04A0" w:firstRow="1" w:lastRow="0" w:firstColumn="1" w:lastColumn="0" w:noHBand="0" w:noVBand="1"/>
      </w:tblPr>
      <w:tblGrid>
        <w:gridCol w:w="4320"/>
        <w:gridCol w:w="4320"/>
      </w:tblGrid>
      <w:tr w:rsidR="00203808" w:rsidRPr="00203808" w14:paraId="113D7BFE" w14:textId="77777777" w:rsidTr="008C2C42">
        <w:tc>
          <w:tcPr>
            <w:tcW w:w="4320" w:type="dxa"/>
            <w:tcBorders>
              <w:top w:val="thinThickSmallGap" w:sz="24" w:space="0" w:color="auto"/>
              <w:bottom w:val="thickThinSmallGap" w:sz="24" w:space="0" w:color="auto"/>
            </w:tcBorders>
          </w:tcPr>
          <w:p w14:paraId="08B1D1A5" w14:textId="77777777" w:rsidR="00ED72CF" w:rsidRPr="00203808" w:rsidRDefault="00ED72CF" w:rsidP="00203808">
            <w:pPr>
              <w:spacing w:after="0" w:line="360" w:lineRule="auto"/>
              <w:jc w:val="both"/>
              <w:rPr>
                <w:rFonts w:cs="Arial"/>
                <w:sz w:val="22"/>
              </w:rPr>
            </w:pPr>
            <w:bookmarkStart w:id="38" w:name="_Hlk237260738"/>
            <w:r w:rsidRPr="00203808">
              <w:rPr>
                <w:rFonts w:cs="Arial"/>
                <w:sz w:val="22"/>
              </w:rPr>
              <w:t>Project</w:t>
            </w:r>
          </w:p>
        </w:tc>
        <w:tc>
          <w:tcPr>
            <w:tcW w:w="4320" w:type="dxa"/>
            <w:tcBorders>
              <w:top w:val="thinThickSmallGap" w:sz="24" w:space="0" w:color="auto"/>
              <w:bottom w:val="thickThinSmallGap" w:sz="24" w:space="0" w:color="auto"/>
            </w:tcBorders>
          </w:tcPr>
          <w:p w14:paraId="28C46402" w14:textId="77777777" w:rsidR="00ED72CF" w:rsidRPr="00203808" w:rsidRDefault="00ED72CF" w:rsidP="00203808">
            <w:pPr>
              <w:spacing w:after="0" w:line="360" w:lineRule="auto"/>
              <w:jc w:val="both"/>
              <w:rPr>
                <w:rFonts w:cs="Arial"/>
                <w:sz w:val="22"/>
              </w:rPr>
            </w:pPr>
            <w:r w:rsidRPr="00203808">
              <w:rPr>
                <w:rFonts w:cs="Arial"/>
                <w:sz w:val="22"/>
              </w:rPr>
              <w:t>IRR</w:t>
            </w:r>
          </w:p>
        </w:tc>
      </w:tr>
      <w:tr w:rsidR="00203808" w:rsidRPr="00203808" w14:paraId="444EDC49" w14:textId="77777777" w:rsidTr="008C2C42">
        <w:tc>
          <w:tcPr>
            <w:tcW w:w="4320" w:type="dxa"/>
            <w:tcBorders>
              <w:top w:val="thickThinSmallGap" w:sz="24" w:space="0" w:color="auto"/>
            </w:tcBorders>
          </w:tcPr>
          <w:p w14:paraId="7ECA7BE3" w14:textId="77777777" w:rsidR="00ED72CF" w:rsidRPr="00203808" w:rsidRDefault="00ED72CF" w:rsidP="00203808">
            <w:pPr>
              <w:spacing w:after="0" w:line="360" w:lineRule="auto"/>
              <w:jc w:val="both"/>
              <w:rPr>
                <w:rFonts w:cs="Arial"/>
                <w:sz w:val="22"/>
              </w:rPr>
            </w:pPr>
            <w:r w:rsidRPr="00203808">
              <w:rPr>
                <w:rFonts w:cs="Arial"/>
                <w:sz w:val="22"/>
              </w:rPr>
              <w:t>A</w:t>
            </w:r>
          </w:p>
        </w:tc>
        <w:tc>
          <w:tcPr>
            <w:tcW w:w="4320" w:type="dxa"/>
            <w:tcBorders>
              <w:top w:val="thickThinSmallGap" w:sz="24" w:space="0" w:color="auto"/>
            </w:tcBorders>
          </w:tcPr>
          <w:p w14:paraId="38FFB1A5" w14:textId="77777777" w:rsidR="00ED72CF" w:rsidRPr="00203808" w:rsidRDefault="00ED72CF" w:rsidP="00203808">
            <w:pPr>
              <w:spacing w:after="0" w:line="360" w:lineRule="auto"/>
              <w:jc w:val="both"/>
              <w:rPr>
                <w:rFonts w:cs="Arial"/>
                <w:sz w:val="22"/>
              </w:rPr>
            </w:pPr>
            <w:r w:rsidRPr="00203808">
              <w:rPr>
                <w:rFonts w:cs="Arial"/>
                <w:sz w:val="22"/>
              </w:rPr>
              <w:t>~2.9%</w:t>
            </w:r>
          </w:p>
        </w:tc>
      </w:tr>
      <w:tr w:rsidR="00203808" w:rsidRPr="00203808" w14:paraId="2A491358" w14:textId="77777777" w:rsidTr="008C2C42">
        <w:tc>
          <w:tcPr>
            <w:tcW w:w="4320" w:type="dxa"/>
          </w:tcPr>
          <w:p w14:paraId="2065B217" w14:textId="77777777" w:rsidR="00ED72CF" w:rsidRPr="00203808" w:rsidRDefault="00ED72CF" w:rsidP="00203808">
            <w:pPr>
              <w:spacing w:after="0" w:line="360" w:lineRule="auto"/>
              <w:jc w:val="both"/>
              <w:rPr>
                <w:rFonts w:cs="Arial"/>
                <w:sz w:val="22"/>
              </w:rPr>
            </w:pPr>
            <w:r w:rsidRPr="00203808">
              <w:rPr>
                <w:rFonts w:cs="Arial"/>
                <w:sz w:val="22"/>
              </w:rPr>
              <w:t>B</w:t>
            </w:r>
          </w:p>
        </w:tc>
        <w:tc>
          <w:tcPr>
            <w:tcW w:w="4320" w:type="dxa"/>
          </w:tcPr>
          <w:p w14:paraId="786DE076" w14:textId="77777777" w:rsidR="00ED72CF" w:rsidRPr="00203808" w:rsidRDefault="00ED72CF" w:rsidP="00203808">
            <w:pPr>
              <w:spacing w:after="0" w:line="360" w:lineRule="auto"/>
              <w:jc w:val="both"/>
              <w:rPr>
                <w:rFonts w:cs="Arial"/>
                <w:sz w:val="22"/>
              </w:rPr>
            </w:pPr>
            <w:r w:rsidRPr="00203808">
              <w:rPr>
                <w:rFonts w:cs="Arial"/>
                <w:sz w:val="22"/>
              </w:rPr>
              <w:t>~1.9%</w:t>
            </w:r>
          </w:p>
        </w:tc>
      </w:tr>
      <w:tr w:rsidR="00ED72CF" w:rsidRPr="00203808" w14:paraId="3D347283" w14:textId="77777777" w:rsidTr="008C2C42">
        <w:tc>
          <w:tcPr>
            <w:tcW w:w="4320" w:type="dxa"/>
            <w:tcBorders>
              <w:bottom w:val="thickThinSmallGap" w:sz="24" w:space="0" w:color="auto"/>
            </w:tcBorders>
          </w:tcPr>
          <w:p w14:paraId="5077CFD7" w14:textId="77777777" w:rsidR="00ED72CF" w:rsidRPr="00203808" w:rsidRDefault="00ED72CF" w:rsidP="00203808">
            <w:pPr>
              <w:spacing w:after="0" w:line="360" w:lineRule="auto"/>
              <w:jc w:val="both"/>
              <w:rPr>
                <w:rFonts w:cs="Arial"/>
                <w:sz w:val="22"/>
              </w:rPr>
            </w:pPr>
            <w:r w:rsidRPr="00203808">
              <w:rPr>
                <w:rFonts w:cs="Arial"/>
                <w:sz w:val="22"/>
              </w:rPr>
              <w:t>C</w:t>
            </w:r>
          </w:p>
        </w:tc>
        <w:tc>
          <w:tcPr>
            <w:tcW w:w="4320" w:type="dxa"/>
            <w:tcBorders>
              <w:bottom w:val="thickThinSmallGap" w:sz="24" w:space="0" w:color="auto"/>
            </w:tcBorders>
          </w:tcPr>
          <w:p w14:paraId="1F6D3FC7" w14:textId="77777777" w:rsidR="00ED72CF" w:rsidRPr="00203808" w:rsidRDefault="00ED72CF" w:rsidP="00203808">
            <w:pPr>
              <w:spacing w:after="0" w:line="360" w:lineRule="auto"/>
              <w:jc w:val="both"/>
              <w:rPr>
                <w:rFonts w:cs="Arial"/>
                <w:sz w:val="22"/>
              </w:rPr>
            </w:pPr>
            <w:r w:rsidRPr="00203808">
              <w:rPr>
                <w:rFonts w:cs="Arial"/>
                <w:sz w:val="22"/>
              </w:rPr>
              <w:t>~8.6%</w:t>
            </w:r>
          </w:p>
        </w:tc>
      </w:tr>
      <w:bookmarkEnd w:id="38"/>
    </w:tbl>
    <w:p w14:paraId="2019CE6E" w14:textId="77777777" w:rsidR="00ED72CF" w:rsidRPr="00203808" w:rsidRDefault="00ED72CF" w:rsidP="00203808">
      <w:pPr>
        <w:spacing w:after="0" w:line="360" w:lineRule="auto"/>
        <w:jc w:val="both"/>
        <w:rPr>
          <w:rFonts w:cs="Arial"/>
          <w:b/>
          <w:bCs/>
          <w:sz w:val="22"/>
          <w:u w:val="single"/>
        </w:rPr>
      </w:pPr>
    </w:p>
    <w:p w14:paraId="25ABD4E7" w14:textId="77777777" w:rsidR="00EA3B33" w:rsidRDefault="00EA3B33" w:rsidP="00203808">
      <w:pPr>
        <w:spacing w:after="0" w:line="360" w:lineRule="auto"/>
        <w:jc w:val="both"/>
        <w:rPr>
          <w:rFonts w:cs="Arial"/>
          <w:sz w:val="22"/>
          <w:lang w:val="fr-FR"/>
        </w:rPr>
      </w:pPr>
    </w:p>
    <w:p w14:paraId="326A5648" w14:textId="77777777" w:rsidR="00BE2860" w:rsidRDefault="00BE2860" w:rsidP="00203808">
      <w:pPr>
        <w:spacing w:after="0" w:line="360" w:lineRule="auto"/>
        <w:jc w:val="both"/>
        <w:rPr>
          <w:rFonts w:cs="Arial"/>
          <w:sz w:val="22"/>
          <w:lang w:val="fr-FR"/>
        </w:rPr>
      </w:pPr>
    </w:p>
    <w:p w14:paraId="347596A4" w14:textId="77777777" w:rsidR="00BE2860" w:rsidRDefault="00BE2860" w:rsidP="00203808">
      <w:pPr>
        <w:spacing w:after="0" w:line="360" w:lineRule="auto"/>
        <w:jc w:val="both"/>
        <w:rPr>
          <w:rFonts w:cs="Arial"/>
          <w:sz w:val="22"/>
          <w:lang w:val="fr-FR"/>
        </w:rPr>
      </w:pPr>
    </w:p>
    <w:p w14:paraId="3313C5B9" w14:textId="77777777" w:rsidR="00BE2860" w:rsidRDefault="00BE2860" w:rsidP="00203808">
      <w:pPr>
        <w:spacing w:after="0" w:line="360" w:lineRule="auto"/>
        <w:jc w:val="both"/>
        <w:rPr>
          <w:rFonts w:cs="Arial"/>
          <w:sz w:val="22"/>
          <w:lang w:val="fr-FR"/>
        </w:rPr>
      </w:pPr>
    </w:p>
    <w:p w14:paraId="287FF529" w14:textId="77777777" w:rsidR="00BE2860" w:rsidRDefault="00BE2860" w:rsidP="00203808">
      <w:pPr>
        <w:spacing w:after="0" w:line="360" w:lineRule="auto"/>
        <w:jc w:val="both"/>
        <w:rPr>
          <w:rFonts w:cs="Arial"/>
          <w:sz w:val="22"/>
          <w:lang w:val="fr-FR"/>
        </w:rPr>
      </w:pPr>
    </w:p>
    <w:p w14:paraId="26E96613" w14:textId="77777777" w:rsidR="00BE2860" w:rsidRDefault="00BE2860" w:rsidP="00203808">
      <w:pPr>
        <w:spacing w:after="0" w:line="360" w:lineRule="auto"/>
        <w:jc w:val="both"/>
        <w:rPr>
          <w:rFonts w:cs="Arial"/>
          <w:sz w:val="22"/>
          <w:lang w:val="fr-FR"/>
        </w:rPr>
      </w:pPr>
    </w:p>
    <w:p w14:paraId="77FC2171" w14:textId="77777777" w:rsidR="00BE2860" w:rsidRDefault="00BE2860" w:rsidP="00203808">
      <w:pPr>
        <w:spacing w:after="0" w:line="360" w:lineRule="auto"/>
        <w:jc w:val="both"/>
        <w:rPr>
          <w:rFonts w:cs="Arial"/>
          <w:sz w:val="22"/>
          <w:lang w:val="fr-FR"/>
        </w:rPr>
      </w:pPr>
    </w:p>
    <w:p w14:paraId="02ACD304" w14:textId="77777777" w:rsidR="00BE2860" w:rsidRDefault="00BE2860" w:rsidP="00203808">
      <w:pPr>
        <w:spacing w:after="0" w:line="360" w:lineRule="auto"/>
        <w:jc w:val="both"/>
        <w:rPr>
          <w:rFonts w:cs="Arial"/>
          <w:sz w:val="22"/>
          <w:lang w:val="fr-FR"/>
        </w:rPr>
      </w:pPr>
    </w:p>
    <w:p w14:paraId="6D1A1595" w14:textId="77777777" w:rsidR="00BE2860" w:rsidRDefault="00BE2860" w:rsidP="00203808">
      <w:pPr>
        <w:spacing w:after="0" w:line="360" w:lineRule="auto"/>
        <w:jc w:val="both"/>
        <w:rPr>
          <w:rFonts w:cs="Arial"/>
          <w:sz w:val="22"/>
          <w:lang w:val="fr-FR"/>
        </w:rPr>
      </w:pPr>
    </w:p>
    <w:p w14:paraId="0CA7A666" w14:textId="77777777" w:rsidR="00BE2860" w:rsidRDefault="00BE2860" w:rsidP="00203808">
      <w:pPr>
        <w:spacing w:after="0" w:line="360" w:lineRule="auto"/>
        <w:jc w:val="both"/>
        <w:rPr>
          <w:rFonts w:cs="Arial"/>
          <w:sz w:val="22"/>
          <w:lang w:val="fr-FR"/>
        </w:rPr>
      </w:pPr>
    </w:p>
    <w:p w14:paraId="3BEE9CD2" w14:textId="77777777" w:rsidR="00BE2860" w:rsidRDefault="00BE2860" w:rsidP="00203808">
      <w:pPr>
        <w:spacing w:after="0" w:line="360" w:lineRule="auto"/>
        <w:jc w:val="both"/>
        <w:rPr>
          <w:rFonts w:cs="Arial"/>
          <w:sz w:val="22"/>
          <w:lang w:val="fr-FR"/>
        </w:rPr>
      </w:pPr>
    </w:p>
    <w:p w14:paraId="6100751A" w14:textId="77777777" w:rsidR="00BE2860" w:rsidRDefault="00BE2860" w:rsidP="00203808">
      <w:pPr>
        <w:spacing w:after="0" w:line="360" w:lineRule="auto"/>
        <w:jc w:val="both"/>
        <w:rPr>
          <w:rFonts w:cs="Arial"/>
          <w:sz w:val="22"/>
          <w:lang w:val="fr-FR"/>
        </w:rPr>
      </w:pPr>
    </w:p>
    <w:p w14:paraId="6C572BA2" w14:textId="77777777" w:rsidR="00BE2860" w:rsidRDefault="00BE2860" w:rsidP="00203808">
      <w:pPr>
        <w:spacing w:after="0" w:line="360" w:lineRule="auto"/>
        <w:jc w:val="both"/>
        <w:rPr>
          <w:rFonts w:cs="Arial"/>
          <w:sz w:val="22"/>
          <w:lang w:val="fr-FR"/>
        </w:rPr>
      </w:pPr>
    </w:p>
    <w:p w14:paraId="4213525E" w14:textId="77777777" w:rsidR="00BE2860" w:rsidRDefault="00BE2860" w:rsidP="00203808">
      <w:pPr>
        <w:spacing w:after="0" w:line="360" w:lineRule="auto"/>
        <w:jc w:val="both"/>
        <w:rPr>
          <w:rFonts w:cs="Arial"/>
          <w:sz w:val="22"/>
          <w:lang w:val="fr-FR"/>
        </w:rPr>
      </w:pPr>
    </w:p>
    <w:p w14:paraId="3A7D1523" w14:textId="77777777" w:rsidR="00BE2860" w:rsidRDefault="00BE2860" w:rsidP="00203808">
      <w:pPr>
        <w:spacing w:after="0" w:line="360" w:lineRule="auto"/>
        <w:jc w:val="both"/>
        <w:rPr>
          <w:rFonts w:cs="Arial"/>
          <w:sz w:val="22"/>
          <w:lang w:val="fr-FR"/>
        </w:rPr>
      </w:pPr>
    </w:p>
    <w:p w14:paraId="4C0BE0B7" w14:textId="77777777" w:rsidR="00BE2860" w:rsidRDefault="00BE2860" w:rsidP="00203808">
      <w:pPr>
        <w:spacing w:after="0" w:line="360" w:lineRule="auto"/>
        <w:jc w:val="both"/>
        <w:rPr>
          <w:rFonts w:cs="Arial"/>
          <w:sz w:val="22"/>
          <w:lang w:val="fr-FR"/>
        </w:rPr>
      </w:pPr>
    </w:p>
    <w:p w14:paraId="358EEA4C" w14:textId="77777777" w:rsidR="00BE2860" w:rsidRPr="00203808" w:rsidRDefault="00BE2860" w:rsidP="00203808">
      <w:pPr>
        <w:spacing w:after="0" w:line="360" w:lineRule="auto"/>
        <w:jc w:val="both"/>
        <w:rPr>
          <w:rFonts w:cs="Arial"/>
          <w:sz w:val="22"/>
          <w:lang w:val="fr-FR"/>
        </w:rPr>
      </w:pPr>
    </w:p>
    <w:p w14:paraId="4C135A7D" w14:textId="77777777" w:rsidR="00EA3B33" w:rsidRPr="00BE2860" w:rsidRDefault="00EA3B33" w:rsidP="00203808">
      <w:pPr>
        <w:pStyle w:val="Titre1"/>
        <w:spacing w:line="360" w:lineRule="auto"/>
        <w:jc w:val="both"/>
        <w:rPr>
          <w:rFonts w:ascii="Arial" w:hAnsi="Arial" w:cs="Arial"/>
          <w:color w:val="auto"/>
          <w:sz w:val="22"/>
          <w:szCs w:val="22"/>
          <w:u w:val="single"/>
          <w:lang w:val="en-GB"/>
        </w:rPr>
      </w:pPr>
      <w:bookmarkStart w:id="39" w:name="_Toc237478481"/>
      <w:r w:rsidRPr="00BE2860">
        <w:rPr>
          <w:rFonts w:ascii="Arial" w:hAnsi="Arial" w:cs="Arial"/>
          <w:color w:val="auto"/>
          <w:sz w:val="22"/>
          <w:szCs w:val="22"/>
          <w:u w:val="single"/>
          <w:lang w:val="en-GB"/>
        </w:rPr>
        <w:lastRenderedPageBreak/>
        <w:t>References</w:t>
      </w:r>
      <w:bookmarkEnd w:id="39"/>
    </w:p>
    <w:p w14:paraId="1D834C92" w14:textId="77777777" w:rsidR="00EA3B33" w:rsidRPr="00203808" w:rsidRDefault="00EA3B33" w:rsidP="00203808">
      <w:pPr>
        <w:spacing w:after="0" w:line="360" w:lineRule="auto"/>
        <w:jc w:val="both"/>
        <w:rPr>
          <w:rFonts w:cs="Arial"/>
          <w:sz w:val="22"/>
          <w:lang w:val="en-GB"/>
        </w:rPr>
      </w:pPr>
      <w:r w:rsidRPr="00203808">
        <w:rPr>
          <w:rFonts w:cs="Arial"/>
          <w:sz w:val="22"/>
          <w:lang w:val="en-GB"/>
        </w:rPr>
        <w:t xml:space="preserve">Berk, J. and DeMarzo, P. (2020) </w:t>
      </w:r>
      <w:r w:rsidRPr="00203808">
        <w:rPr>
          <w:rFonts w:cs="Arial"/>
          <w:i/>
          <w:iCs/>
          <w:sz w:val="22"/>
          <w:lang w:val="en-GB"/>
        </w:rPr>
        <w:t>Corporate Finance</w:t>
      </w:r>
      <w:r w:rsidRPr="00203808">
        <w:rPr>
          <w:rFonts w:cs="Arial"/>
          <w:sz w:val="22"/>
          <w:lang w:val="en-GB"/>
        </w:rPr>
        <w:t xml:space="preserve">. 5th </w:t>
      </w:r>
      <w:proofErr w:type="spellStart"/>
      <w:r w:rsidRPr="00203808">
        <w:rPr>
          <w:rFonts w:cs="Arial"/>
          <w:sz w:val="22"/>
          <w:lang w:val="en-GB"/>
        </w:rPr>
        <w:t>edn</w:t>
      </w:r>
      <w:proofErr w:type="spellEnd"/>
      <w:r w:rsidRPr="00203808">
        <w:rPr>
          <w:rFonts w:cs="Arial"/>
          <w:sz w:val="22"/>
          <w:lang w:val="en-GB"/>
        </w:rPr>
        <w:t>. Harlow: Pearson.</w:t>
      </w:r>
    </w:p>
    <w:p w14:paraId="511D4ABD" w14:textId="77777777" w:rsidR="00EA3B33" w:rsidRPr="00203808" w:rsidRDefault="00EA3B33" w:rsidP="00203808">
      <w:pPr>
        <w:spacing w:after="0" w:line="360" w:lineRule="auto"/>
        <w:jc w:val="both"/>
        <w:rPr>
          <w:rFonts w:cs="Arial"/>
          <w:sz w:val="22"/>
          <w:lang w:val="en-GB"/>
        </w:rPr>
      </w:pPr>
      <w:r w:rsidRPr="00203808">
        <w:rPr>
          <w:rFonts w:cs="Arial"/>
          <w:sz w:val="22"/>
          <w:lang w:val="en-GB"/>
        </w:rPr>
        <w:t xml:space="preserve">Brealey, R.A., Myers, S.C. and Allen, F. (2020) </w:t>
      </w:r>
      <w:r w:rsidRPr="00203808">
        <w:rPr>
          <w:rFonts w:cs="Arial"/>
          <w:i/>
          <w:iCs/>
          <w:sz w:val="22"/>
          <w:lang w:val="en-GB"/>
        </w:rPr>
        <w:t>Principles of Corporate Finance</w:t>
      </w:r>
      <w:r w:rsidRPr="00203808">
        <w:rPr>
          <w:rFonts w:cs="Arial"/>
          <w:sz w:val="22"/>
          <w:lang w:val="en-GB"/>
        </w:rPr>
        <w:t xml:space="preserve">. 13th </w:t>
      </w:r>
      <w:proofErr w:type="spellStart"/>
      <w:r w:rsidRPr="00203808">
        <w:rPr>
          <w:rFonts w:cs="Arial"/>
          <w:sz w:val="22"/>
          <w:lang w:val="en-GB"/>
        </w:rPr>
        <w:t>edn</w:t>
      </w:r>
      <w:proofErr w:type="spellEnd"/>
      <w:r w:rsidRPr="00203808">
        <w:rPr>
          <w:rFonts w:cs="Arial"/>
          <w:sz w:val="22"/>
          <w:lang w:val="en-GB"/>
        </w:rPr>
        <w:t>. New York: McGraw-Hill Education.</w:t>
      </w:r>
    </w:p>
    <w:p w14:paraId="6BC91C5C" w14:textId="4AA2D03B" w:rsidR="00EA3B33" w:rsidRPr="00203808" w:rsidRDefault="00EA3B33" w:rsidP="00203808">
      <w:pPr>
        <w:spacing w:after="0" w:line="360" w:lineRule="auto"/>
        <w:jc w:val="both"/>
        <w:rPr>
          <w:rFonts w:cs="Arial"/>
          <w:sz w:val="22"/>
          <w:lang w:val="en-GB"/>
        </w:rPr>
      </w:pPr>
      <w:r w:rsidRPr="00203808">
        <w:rPr>
          <w:rFonts w:cs="Arial"/>
          <w:sz w:val="22"/>
          <w:lang w:val="en-GB"/>
        </w:rPr>
        <w:t xml:space="preserve">Gonçalves, T., Gaio, C. and Robles, F. (2018) ‘The impact of working capital management on firm profitability in different economic cycles: Evidence from the United Kingdom’, </w:t>
      </w:r>
      <w:r w:rsidRPr="00203808">
        <w:rPr>
          <w:rFonts w:cs="Arial"/>
          <w:i/>
          <w:iCs/>
          <w:sz w:val="22"/>
          <w:lang w:val="en-GB"/>
        </w:rPr>
        <w:t>Economics and Business Letters</w:t>
      </w:r>
      <w:r w:rsidRPr="00203808">
        <w:rPr>
          <w:rFonts w:cs="Arial"/>
          <w:sz w:val="22"/>
          <w:lang w:val="en-GB"/>
        </w:rPr>
        <w:t>, 7(2), pp. 70</w:t>
      </w:r>
      <w:r w:rsidR="00BE2860">
        <w:rPr>
          <w:rFonts w:cs="Arial"/>
          <w:sz w:val="22"/>
          <w:lang w:val="en-GB"/>
        </w:rPr>
        <w:t>-</w:t>
      </w:r>
      <w:r w:rsidRPr="00203808">
        <w:rPr>
          <w:rFonts w:cs="Arial"/>
          <w:sz w:val="22"/>
          <w:lang w:val="en-GB"/>
        </w:rPr>
        <w:t>75.</w:t>
      </w:r>
    </w:p>
    <w:p w14:paraId="1D51DE40" w14:textId="53421914" w:rsidR="00EA3B33" w:rsidRPr="00203808" w:rsidRDefault="00EA3B33" w:rsidP="00203808">
      <w:pPr>
        <w:spacing w:after="0" w:line="360" w:lineRule="auto"/>
        <w:jc w:val="both"/>
        <w:rPr>
          <w:rFonts w:cs="Arial"/>
          <w:sz w:val="22"/>
          <w:lang w:val="en-GB"/>
        </w:rPr>
      </w:pPr>
      <w:r w:rsidRPr="00203808">
        <w:rPr>
          <w:rFonts w:cs="Arial"/>
          <w:sz w:val="22"/>
          <w:lang w:val="en-GB"/>
        </w:rPr>
        <w:t>Hilton Worldwide Holdings</w:t>
      </w:r>
      <w:r w:rsidR="003D7747" w:rsidRPr="003D7747">
        <w:t xml:space="preserve"> </w:t>
      </w:r>
      <w:r w:rsidR="003D7747" w:rsidRPr="003D7747">
        <w:rPr>
          <w:rFonts w:cs="Arial"/>
          <w:sz w:val="22"/>
        </w:rPr>
        <w:t>Inc.</w:t>
      </w:r>
      <w:r w:rsidRPr="00203808">
        <w:rPr>
          <w:rFonts w:cs="Arial"/>
          <w:sz w:val="22"/>
          <w:lang w:val="en-GB"/>
        </w:rPr>
        <w:t xml:space="preserve"> (2025) </w:t>
      </w:r>
      <w:r w:rsidRPr="00203808">
        <w:rPr>
          <w:rFonts w:cs="Arial"/>
          <w:i/>
          <w:iCs/>
          <w:sz w:val="22"/>
          <w:lang w:val="en-GB"/>
        </w:rPr>
        <w:t>Annual Report 2025</w:t>
      </w:r>
      <w:r w:rsidRPr="00203808">
        <w:rPr>
          <w:rFonts w:cs="Arial"/>
          <w:sz w:val="22"/>
          <w:lang w:val="en-GB"/>
        </w:rPr>
        <w:t>.</w:t>
      </w:r>
    </w:p>
    <w:p w14:paraId="68C7F538" w14:textId="634D81A2" w:rsidR="00EA3B33" w:rsidRPr="00203808" w:rsidRDefault="00EA3B33" w:rsidP="00203808">
      <w:pPr>
        <w:spacing w:after="0" w:line="360" w:lineRule="auto"/>
        <w:jc w:val="both"/>
        <w:rPr>
          <w:rFonts w:cs="Arial"/>
          <w:sz w:val="22"/>
          <w:lang w:val="en-GB"/>
        </w:rPr>
      </w:pPr>
      <w:r w:rsidRPr="00203808">
        <w:rPr>
          <w:rFonts w:cs="Arial"/>
          <w:sz w:val="22"/>
          <w:lang w:val="en-GB"/>
        </w:rPr>
        <w:t xml:space="preserve">Marriott International (2022) </w:t>
      </w:r>
      <w:r w:rsidRPr="00203808">
        <w:rPr>
          <w:rFonts w:cs="Arial"/>
          <w:i/>
          <w:iCs/>
          <w:sz w:val="22"/>
          <w:lang w:val="en-GB"/>
        </w:rPr>
        <w:t>Annual Report 2021</w:t>
      </w:r>
      <w:r w:rsidRPr="00203808">
        <w:rPr>
          <w:rFonts w:cs="Arial"/>
          <w:sz w:val="22"/>
          <w:lang w:val="en-GB"/>
        </w:rPr>
        <w:t>.</w:t>
      </w:r>
      <w:r w:rsidR="004D7630" w:rsidRPr="004D7630">
        <w:t xml:space="preserve"> </w:t>
      </w:r>
      <w:r w:rsidR="004D7630" w:rsidRPr="004D7630">
        <w:rPr>
          <w:rFonts w:cs="Arial"/>
          <w:sz w:val="22"/>
        </w:rPr>
        <w:t>Bethesda, MD: Marriott International.</w:t>
      </w:r>
    </w:p>
    <w:p w14:paraId="5A17597B" w14:textId="3B76050B" w:rsidR="00EA3B33" w:rsidRPr="00203808" w:rsidRDefault="00EA3B33" w:rsidP="00203808">
      <w:pPr>
        <w:spacing w:after="0" w:line="360" w:lineRule="auto"/>
        <w:jc w:val="both"/>
        <w:rPr>
          <w:rFonts w:cs="Arial"/>
          <w:sz w:val="22"/>
          <w:lang w:val="en-GB"/>
        </w:rPr>
      </w:pPr>
      <w:r w:rsidRPr="00203808">
        <w:rPr>
          <w:rFonts w:cs="Arial"/>
          <w:sz w:val="22"/>
          <w:lang w:val="en-GB"/>
        </w:rPr>
        <w:t xml:space="preserve">Marriott International (2023) </w:t>
      </w:r>
      <w:r w:rsidRPr="00203808">
        <w:rPr>
          <w:rFonts w:cs="Arial"/>
          <w:i/>
          <w:iCs/>
          <w:sz w:val="22"/>
          <w:lang w:val="en-GB"/>
        </w:rPr>
        <w:t>Annual Report 2022</w:t>
      </w:r>
      <w:r w:rsidRPr="00203808">
        <w:rPr>
          <w:rFonts w:cs="Arial"/>
          <w:sz w:val="22"/>
          <w:lang w:val="en-GB"/>
        </w:rPr>
        <w:t>.</w:t>
      </w:r>
      <w:r w:rsidR="004D7630" w:rsidRPr="004D7630">
        <w:t xml:space="preserve"> </w:t>
      </w:r>
      <w:r w:rsidR="004D7630" w:rsidRPr="004D7630">
        <w:rPr>
          <w:rFonts w:cs="Arial"/>
          <w:sz w:val="22"/>
        </w:rPr>
        <w:t>Bethesda, MD: Marriott International.</w:t>
      </w:r>
    </w:p>
    <w:p w14:paraId="4CD0B25A" w14:textId="118CE14C" w:rsidR="00EA3B33" w:rsidRPr="00203808" w:rsidRDefault="00EA3B33" w:rsidP="00203808">
      <w:pPr>
        <w:spacing w:after="0" w:line="360" w:lineRule="auto"/>
        <w:jc w:val="both"/>
        <w:rPr>
          <w:rFonts w:cs="Arial"/>
          <w:sz w:val="22"/>
          <w:lang w:val="en-GB"/>
        </w:rPr>
      </w:pPr>
      <w:r w:rsidRPr="00203808">
        <w:rPr>
          <w:rFonts w:cs="Arial"/>
          <w:sz w:val="22"/>
          <w:lang w:val="en-GB"/>
        </w:rPr>
        <w:t xml:space="preserve">Marriott International (2024) </w:t>
      </w:r>
      <w:r w:rsidRPr="00203808">
        <w:rPr>
          <w:rFonts w:cs="Arial"/>
          <w:i/>
          <w:iCs/>
          <w:sz w:val="22"/>
          <w:lang w:val="en-GB"/>
        </w:rPr>
        <w:t>Annual Report 2023</w:t>
      </w:r>
      <w:r w:rsidRPr="00203808">
        <w:rPr>
          <w:rFonts w:cs="Arial"/>
          <w:sz w:val="22"/>
          <w:lang w:val="en-GB"/>
        </w:rPr>
        <w:t>.</w:t>
      </w:r>
      <w:r w:rsidR="004D7630" w:rsidRPr="004D7630">
        <w:t xml:space="preserve"> </w:t>
      </w:r>
      <w:r w:rsidR="004D7630" w:rsidRPr="004D7630">
        <w:rPr>
          <w:rFonts w:cs="Arial"/>
          <w:sz w:val="22"/>
        </w:rPr>
        <w:t>Bethesda, MD: Marriott International.</w:t>
      </w:r>
    </w:p>
    <w:p w14:paraId="7D570B65" w14:textId="2B7398CF" w:rsidR="00EA3B33" w:rsidRPr="00203808" w:rsidRDefault="00EA3B33" w:rsidP="00203808">
      <w:pPr>
        <w:spacing w:after="0" w:line="360" w:lineRule="auto"/>
        <w:jc w:val="both"/>
        <w:rPr>
          <w:rFonts w:cs="Arial"/>
          <w:sz w:val="22"/>
          <w:lang w:val="en-GB"/>
        </w:rPr>
      </w:pPr>
      <w:r w:rsidRPr="00203808">
        <w:rPr>
          <w:rFonts w:cs="Arial"/>
          <w:sz w:val="22"/>
          <w:lang w:val="en-GB"/>
        </w:rPr>
        <w:t xml:space="preserve">Marriott International (2025) </w:t>
      </w:r>
      <w:r w:rsidRPr="00203808">
        <w:rPr>
          <w:rFonts w:cs="Arial"/>
          <w:i/>
          <w:iCs/>
          <w:sz w:val="22"/>
          <w:lang w:val="en-GB"/>
        </w:rPr>
        <w:t>Annual Report 2024</w:t>
      </w:r>
      <w:r w:rsidRPr="00203808">
        <w:rPr>
          <w:rFonts w:cs="Arial"/>
          <w:sz w:val="22"/>
          <w:lang w:val="en-GB"/>
        </w:rPr>
        <w:t>.</w:t>
      </w:r>
      <w:r w:rsidR="004D7630" w:rsidRPr="004D7630">
        <w:t xml:space="preserve"> </w:t>
      </w:r>
      <w:r w:rsidR="004D7630" w:rsidRPr="004D7630">
        <w:rPr>
          <w:rFonts w:cs="Arial"/>
          <w:sz w:val="22"/>
        </w:rPr>
        <w:t>Bethesda, MD: Marriott International.</w:t>
      </w:r>
    </w:p>
    <w:p w14:paraId="0F5D26B1" w14:textId="65516EDD" w:rsidR="00EA3B33" w:rsidRPr="00203808" w:rsidRDefault="00EA3B33" w:rsidP="00203808">
      <w:pPr>
        <w:spacing w:after="0" w:line="360" w:lineRule="auto"/>
        <w:jc w:val="both"/>
        <w:rPr>
          <w:rFonts w:cs="Arial"/>
          <w:sz w:val="22"/>
          <w:lang w:val="en-GB"/>
        </w:rPr>
      </w:pPr>
      <w:r w:rsidRPr="00203808">
        <w:rPr>
          <w:rFonts w:cs="Arial"/>
          <w:sz w:val="22"/>
          <w:lang w:val="en-GB"/>
        </w:rPr>
        <w:t xml:space="preserve">Marriott International (2026) </w:t>
      </w:r>
      <w:r w:rsidRPr="00203808">
        <w:rPr>
          <w:rFonts w:cs="Arial"/>
          <w:i/>
          <w:iCs/>
          <w:sz w:val="22"/>
          <w:lang w:val="en-GB"/>
        </w:rPr>
        <w:t>Annual Report 2025</w:t>
      </w:r>
      <w:r w:rsidRPr="00203808">
        <w:rPr>
          <w:rFonts w:cs="Arial"/>
          <w:sz w:val="22"/>
          <w:lang w:val="en-GB"/>
        </w:rPr>
        <w:t>.</w:t>
      </w:r>
      <w:r w:rsidR="004D7630" w:rsidRPr="004D7630">
        <w:t xml:space="preserve"> </w:t>
      </w:r>
      <w:r w:rsidR="004D7630" w:rsidRPr="004D7630">
        <w:rPr>
          <w:rFonts w:cs="Arial"/>
          <w:sz w:val="22"/>
        </w:rPr>
        <w:t>Bethesda, MD: Marriott International.</w:t>
      </w:r>
    </w:p>
    <w:p w14:paraId="03A217AA" w14:textId="77777777" w:rsidR="00EA3B33" w:rsidRPr="00203808" w:rsidRDefault="00EA3B33" w:rsidP="00203808">
      <w:pPr>
        <w:spacing w:after="0" w:line="360" w:lineRule="auto"/>
        <w:jc w:val="both"/>
        <w:rPr>
          <w:rFonts w:cs="Arial"/>
          <w:sz w:val="22"/>
          <w:lang w:val="en-GB"/>
        </w:rPr>
      </w:pPr>
      <w:r w:rsidRPr="00203808">
        <w:rPr>
          <w:rFonts w:cs="Arial"/>
          <w:sz w:val="22"/>
          <w:lang w:val="en-GB"/>
        </w:rPr>
        <w:t xml:space="preserve">Ross, S.A., Westerfield, R.W. and Jordan, B.D. (2022) </w:t>
      </w:r>
      <w:r w:rsidRPr="00203808">
        <w:rPr>
          <w:rFonts w:cs="Arial"/>
          <w:i/>
          <w:iCs/>
          <w:sz w:val="22"/>
          <w:lang w:val="en-GB"/>
        </w:rPr>
        <w:t>Fundamentals of Corporate Finance</w:t>
      </w:r>
      <w:r w:rsidRPr="00203808">
        <w:rPr>
          <w:rFonts w:cs="Arial"/>
          <w:sz w:val="22"/>
          <w:lang w:val="en-GB"/>
        </w:rPr>
        <w:t xml:space="preserve">. 14th </w:t>
      </w:r>
      <w:proofErr w:type="spellStart"/>
      <w:r w:rsidRPr="00203808">
        <w:rPr>
          <w:rFonts w:cs="Arial"/>
          <w:sz w:val="22"/>
          <w:lang w:val="en-GB"/>
        </w:rPr>
        <w:t>edn</w:t>
      </w:r>
      <w:proofErr w:type="spellEnd"/>
      <w:r w:rsidRPr="00203808">
        <w:rPr>
          <w:rFonts w:cs="Arial"/>
          <w:sz w:val="22"/>
          <w:lang w:val="en-GB"/>
        </w:rPr>
        <w:t>. New York: McGraw-Hill.</w:t>
      </w:r>
    </w:p>
    <w:p w14:paraId="7C72938B" w14:textId="5EFDD988" w:rsidR="00EA3B33" w:rsidRPr="00203808" w:rsidRDefault="00EA3B33" w:rsidP="00203808">
      <w:pPr>
        <w:spacing w:after="0" w:line="360" w:lineRule="auto"/>
        <w:jc w:val="both"/>
        <w:rPr>
          <w:rFonts w:cs="Arial"/>
          <w:sz w:val="22"/>
          <w:lang w:val="en-GB"/>
        </w:rPr>
      </w:pPr>
      <w:r w:rsidRPr="00203808">
        <w:rPr>
          <w:rFonts w:cs="Arial"/>
          <w:sz w:val="22"/>
          <w:lang w:val="en-GB"/>
        </w:rPr>
        <w:t xml:space="preserve">Singh, H.P., Kumar, S. and </w:t>
      </w:r>
      <w:proofErr w:type="spellStart"/>
      <w:r w:rsidRPr="00203808">
        <w:rPr>
          <w:rFonts w:cs="Arial"/>
          <w:sz w:val="22"/>
          <w:lang w:val="en-GB"/>
        </w:rPr>
        <w:t>Colombage</w:t>
      </w:r>
      <w:proofErr w:type="spellEnd"/>
      <w:r w:rsidRPr="00203808">
        <w:rPr>
          <w:rFonts w:cs="Arial"/>
          <w:sz w:val="22"/>
          <w:lang w:val="en-GB"/>
        </w:rPr>
        <w:t xml:space="preserve">, S. (2017) ‘Working capital management and firm profitability: a meta-analysis’, </w:t>
      </w:r>
      <w:r w:rsidRPr="00203808">
        <w:rPr>
          <w:rFonts w:cs="Arial"/>
          <w:i/>
          <w:iCs/>
          <w:sz w:val="22"/>
          <w:lang w:val="en-GB"/>
        </w:rPr>
        <w:t>Qualitative Research in Financial Markets</w:t>
      </w:r>
      <w:r w:rsidRPr="00203808">
        <w:rPr>
          <w:rFonts w:cs="Arial"/>
          <w:sz w:val="22"/>
          <w:lang w:val="en-GB"/>
        </w:rPr>
        <w:t>, 9(1), pp. 34</w:t>
      </w:r>
      <w:r w:rsidR="00BE2860">
        <w:rPr>
          <w:rFonts w:cs="Arial"/>
          <w:sz w:val="22"/>
          <w:lang w:val="en-GB"/>
        </w:rPr>
        <w:t>-</w:t>
      </w:r>
      <w:r w:rsidRPr="00203808">
        <w:rPr>
          <w:rFonts w:cs="Arial"/>
          <w:sz w:val="22"/>
          <w:lang w:val="en-GB"/>
        </w:rPr>
        <w:t>47.</w:t>
      </w:r>
    </w:p>
    <w:p w14:paraId="76A2458C" w14:textId="77777777" w:rsidR="00EA3B33" w:rsidRPr="00203808" w:rsidRDefault="00EA3B33" w:rsidP="00203808">
      <w:pPr>
        <w:spacing w:after="0" w:line="360" w:lineRule="auto"/>
        <w:jc w:val="both"/>
        <w:rPr>
          <w:rFonts w:cs="Arial"/>
          <w:sz w:val="22"/>
          <w:lang w:val="en-GB"/>
        </w:rPr>
      </w:pPr>
      <w:r w:rsidRPr="00203808">
        <w:rPr>
          <w:rFonts w:cs="Arial"/>
          <w:sz w:val="22"/>
          <w:lang w:val="en-GB"/>
        </w:rPr>
        <w:t xml:space="preserve">Van Horne, J.C. and Wachowicz, J.M. (2008) </w:t>
      </w:r>
      <w:r w:rsidRPr="00203808">
        <w:rPr>
          <w:rFonts w:cs="Arial"/>
          <w:i/>
          <w:iCs/>
          <w:sz w:val="22"/>
          <w:lang w:val="en-GB"/>
        </w:rPr>
        <w:t>Fundamentals of Financial Management</w:t>
      </w:r>
      <w:r w:rsidRPr="00203808">
        <w:rPr>
          <w:rFonts w:cs="Arial"/>
          <w:sz w:val="22"/>
          <w:lang w:val="en-GB"/>
        </w:rPr>
        <w:t xml:space="preserve">. 13th </w:t>
      </w:r>
      <w:proofErr w:type="spellStart"/>
      <w:r w:rsidRPr="00203808">
        <w:rPr>
          <w:rFonts w:cs="Arial"/>
          <w:sz w:val="22"/>
          <w:lang w:val="en-GB"/>
        </w:rPr>
        <w:t>edn</w:t>
      </w:r>
      <w:proofErr w:type="spellEnd"/>
      <w:r w:rsidRPr="00203808">
        <w:rPr>
          <w:rFonts w:cs="Arial"/>
          <w:sz w:val="22"/>
          <w:lang w:val="en-GB"/>
        </w:rPr>
        <w:t>. Harlow: Pearson Education.</w:t>
      </w:r>
    </w:p>
    <w:p w14:paraId="4A52F343" w14:textId="77777777" w:rsidR="00EA3B33" w:rsidRPr="00203808" w:rsidRDefault="00EA3B33" w:rsidP="00203808">
      <w:pPr>
        <w:spacing w:after="0" w:line="360" w:lineRule="auto"/>
        <w:jc w:val="both"/>
        <w:rPr>
          <w:rFonts w:cs="Arial"/>
          <w:sz w:val="22"/>
          <w:lang w:val="en-GB"/>
        </w:rPr>
      </w:pPr>
    </w:p>
    <w:p w14:paraId="6B4B1E4A" w14:textId="77777777" w:rsidR="00EA3B33" w:rsidRPr="00203808" w:rsidRDefault="00EA3B33" w:rsidP="00203808">
      <w:pPr>
        <w:spacing w:after="0" w:line="360" w:lineRule="auto"/>
        <w:jc w:val="both"/>
        <w:rPr>
          <w:rFonts w:cs="Arial"/>
          <w:sz w:val="22"/>
          <w:lang w:val="en-GB"/>
        </w:rPr>
      </w:pPr>
    </w:p>
    <w:p w14:paraId="2DDB3CD0" w14:textId="77777777" w:rsidR="00ED72CF" w:rsidRPr="00203808" w:rsidRDefault="00ED72CF" w:rsidP="00203808">
      <w:pPr>
        <w:spacing w:after="0" w:line="360" w:lineRule="auto"/>
        <w:jc w:val="both"/>
        <w:rPr>
          <w:rFonts w:cs="Arial"/>
          <w:sz w:val="22"/>
          <w:lang w:val="en-GB"/>
        </w:rPr>
      </w:pPr>
    </w:p>
    <w:sectPr w:rsidR="00ED72CF" w:rsidRPr="00203808" w:rsidSect="00034616">
      <w:headerReference w:type="default" r:id="rId47"/>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D56F4F" w14:textId="77777777" w:rsidR="00AE5C68" w:rsidRDefault="00AE5C68" w:rsidP="008D4277">
      <w:pPr>
        <w:spacing w:after="0" w:line="240" w:lineRule="auto"/>
      </w:pPr>
      <w:r>
        <w:separator/>
      </w:r>
    </w:p>
  </w:endnote>
  <w:endnote w:type="continuationSeparator" w:id="0">
    <w:p w14:paraId="300B7EF4" w14:textId="77777777" w:rsidR="00AE5C68" w:rsidRDefault="00AE5C68" w:rsidP="008D4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9759964"/>
      <w:docPartObj>
        <w:docPartGallery w:val="Page Numbers (Bottom of Page)"/>
        <w:docPartUnique/>
      </w:docPartObj>
    </w:sdtPr>
    <w:sdtContent>
      <w:p w14:paraId="29AC5224" w14:textId="0404E1F4" w:rsidR="008D4277" w:rsidRDefault="008D4277">
        <w:pPr>
          <w:pStyle w:val="Pieddepage"/>
          <w:jc w:val="right"/>
        </w:pPr>
        <w:r>
          <w:fldChar w:fldCharType="begin"/>
        </w:r>
        <w:r>
          <w:instrText>PAGE   \* MERGEFORMAT</w:instrText>
        </w:r>
        <w:r>
          <w:fldChar w:fldCharType="separate"/>
        </w:r>
        <w:r>
          <w:rPr>
            <w:lang w:val="fr-FR"/>
          </w:rPr>
          <w:t>2</w:t>
        </w:r>
        <w:r>
          <w:fldChar w:fldCharType="end"/>
        </w:r>
      </w:p>
    </w:sdtContent>
  </w:sdt>
  <w:p w14:paraId="4BA6D13F" w14:textId="77777777" w:rsidR="008D4277" w:rsidRDefault="008D4277">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1A6434" w14:textId="77777777" w:rsidR="00AE5C68" w:rsidRDefault="00AE5C68" w:rsidP="008D4277">
      <w:pPr>
        <w:spacing w:after="0" w:line="240" w:lineRule="auto"/>
      </w:pPr>
      <w:r>
        <w:separator/>
      </w:r>
    </w:p>
  </w:footnote>
  <w:footnote w:type="continuationSeparator" w:id="0">
    <w:p w14:paraId="383630F5" w14:textId="77777777" w:rsidR="00AE5C68" w:rsidRDefault="00AE5C68" w:rsidP="008D42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096F9" w14:textId="77777777" w:rsidR="008D4277" w:rsidRDefault="008D4277">
    <w:pPr>
      <w:pStyle w:val="En-tt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enumros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enumros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epuces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epuces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enumros"/>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epuces"/>
      <w:lvlText w:val=""/>
      <w:lvlJc w:val="left"/>
      <w:pPr>
        <w:tabs>
          <w:tab w:val="num" w:pos="360"/>
        </w:tabs>
        <w:ind w:left="360" w:hanging="360"/>
      </w:pPr>
      <w:rPr>
        <w:rFonts w:ascii="Symbol" w:hAnsi="Symbol" w:hint="default"/>
      </w:rPr>
    </w:lvl>
  </w:abstractNum>
  <w:abstractNum w:abstractNumId="9" w15:restartNumberingAfterBreak="0">
    <w:nsid w:val="07184A8D"/>
    <w:multiLevelType w:val="multilevel"/>
    <w:tmpl w:val="7C4CD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8DA4B6A"/>
    <w:multiLevelType w:val="multilevel"/>
    <w:tmpl w:val="DBA6E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D1753AE"/>
    <w:multiLevelType w:val="multilevel"/>
    <w:tmpl w:val="E17AC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F542C6D"/>
    <w:multiLevelType w:val="multilevel"/>
    <w:tmpl w:val="FD147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F5C01BF"/>
    <w:multiLevelType w:val="multilevel"/>
    <w:tmpl w:val="34A2A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FC81BEC"/>
    <w:multiLevelType w:val="multilevel"/>
    <w:tmpl w:val="B2107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0356E0F"/>
    <w:multiLevelType w:val="multilevel"/>
    <w:tmpl w:val="1A384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1B7B8B"/>
    <w:multiLevelType w:val="multilevel"/>
    <w:tmpl w:val="980A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1035DD"/>
    <w:multiLevelType w:val="multilevel"/>
    <w:tmpl w:val="55645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E60050"/>
    <w:multiLevelType w:val="multilevel"/>
    <w:tmpl w:val="6458E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664738"/>
    <w:multiLevelType w:val="multilevel"/>
    <w:tmpl w:val="EE4A2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6B57054"/>
    <w:multiLevelType w:val="multilevel"/>
    <w:tmpl w:val="4EA81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360106"/>
    <w:multiLevelType w:val="multilevel"/>
    <w:tmpl w:val="D30C1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2F1106"/>
    <w:multiLevelType w:val="multilevel"/>
    <w:tmpl w:val="8D206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2D438F"/>
    <w:multiLevelType w:val="multilevel"/>
    <w:tmpl w:val="EED06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C27A17"/>
    <w:multiLevelType w:val="multilevel"/>
    <w:tmpl w:val="22E05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A1748F"/>
    <w:multiLevelType w:val="multilevel"/>
    <w:tmpl w:val="D2803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7C33EF"/>
    <w:multiLevelType w:val="multilevel"/>
    <w:tmpl w:val="3D36B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47224A"/>
    <w:multiLevelType w:val="multilevel"/>
    <w:tmpl w:val="5FFCD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9A1DBA"/>
    <w:multiLevelType w:val="multilevel"/>
    <w:tmpl w:val="201AC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B71870"/>
    <w:multiLevelType w:val="multilevel"/>
    <w:tmpl w:val="8AE2A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E9B1EDA"/>
    <w:multiLevelType w:val="multilevel"/>
    <w:tmpl w:val="7D349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34731A"/>
    <w:multiLevelType w:val="multilevel"/>
    <w:tmpl w:val="F46A0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FD2EE1"/>
    <w:multiLevelType w:val="multilevel"/>
    <w:tmpl w:val="3030F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E372FE"/>
    <w:multiLevelType w:val="multilevel"/>
    <w:tmpl w:val="9D761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9A0C1D"/>
    <w:multiLevelType w:val="multilevel"/>
    <w:tmpl w:val="B5A4E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4572729">
    <w:abstractNumId w:val="8"/>
  </w:num>
  <w:num w:numId="2" w16cid:durableId="1329745000">
    <w:abstractNumId w:val="6"/>
  </w:num>
  <w:num w:numId="3" w16cid:durableId="310015710">
    <w:abstractNumId w:val="5"/>
  </w:num>
  <w:num w:numId="4" w16cid:durableId="1978144194">
    <w:abstractNumId w:val="4"/>
  </w:num>
  <w:num w:numId="5" w16cid:durableId="1554660046">
    <w:abstractNumId w:val="7"/>
  </w:num>
  <w:num w:numId="6" w16cid:durableId="275329685">
    <w:abstractNumId w:val="3"/>
  </w:num>
  <w:num w:numId="7" w16cid:durableId="535704238">
    <w:abstractNumId w:val="2"/>
  </w:num>
  <w:num w:numId="8" w16cid:durableId="1187909744">
    <w:abstractNumId w:val="1"/>
  </w:num>
  <w:num w:numId="9" w16cid:durableId="518197356">
    <w:abstractNumId w:val="0"/>
  </w:num>
  <w:num w:numId="10" w16cid:durableId="1005667273">
    <w:abstractNumId w:val="33"/>
  </w:num>
  <w:num w:numId="11" w16cid:durableId="521553952">
    <w:abstractNumId w:val="25"/>
  </w:num>
  <w:num w:numId="12" w16cid:durableId="1511215435">
    <w:abstractNumId w:val="31"/>
  </w:num>
  <w:num w:numId="13" w16cid:durableId="384986319">
    <w:abstractNumId w:val="23"/>
  </w:num>
  <w:num w:numId="14" w16cid:durableId="1531869746">
    <w:abstractNumId w:val="30"/>
  </w:num>
  <w:num w:numId="15" w16cid:durableId="1912620716">
    <w:abstractNumId w:val="27"/>
  </w:num>
  <w:num w:numId="16" w16cid:durableId="504170847">
    <w:abstractNumId w:val="12"/>
  </w:num>
  <w:num w:numId="17" w16cid:durableId="1025406673">
    <w:abstractNumId w:val="22"/>
  </w:num>
  <w:num w:numId="18" w16cid:durableId="1539778330">
    <w:abstractNumId w:val="26"/>
  </w:num>
  <w:num w:numId="19" w16cid:durableId="1190266892">
    <w:abstractNumId w:val="15"/>
  </w:num>
  <w:num w:numId="20" w16cid:durableId="147327184">
    <w:abstractNumId w:val="21"/>
  </w:num>
  <w:num w:numId="21" w16cid:durableId="1154762830">
    <w:abstractNumId w:val="19"/>
  </w:num>
  <w:num w:numId="22" w16cid:durableId="1933590350">
    <w:abstractNumId w:val="11"/>
  </w:num>
  <w:num w:numId="23" w16cid:durableId="823862020">
    <w:abstractNumId w:val="17"/>
  </w:num>
  <w:num w:numId="24" w16cid:durableId="187836976">
    <w:abstractNumId w:val="28"/>
  </w:num>
  <w:num w:numId="25" w16cid:durableId="1820269996">
    <w:abstractNumId w:val="34"/>
  </w:num>
  <w:num w:numId="26" w16cid:durableId="447360434">
    <w:abstractNumId w:val="9"/>
  </w:num>
  <w:num w:numId="27" w16cid:durableId="933244083">
    <w:abstractNumId w:val="24"/>
  </w:num>
  <w:num w:numId="28" w16cid:durableId="252711880">
    <w:abstractNumId w:val="10"/>
  </w:num>
  <w:num w:numId="29" w16cid:durableId="653219465">
    <w:abstractNumId w:val="14"/>
  </w:num>
  <w:num w:numId="30" w16cid:durableId="1031031969">
    <w:abstractNumId w:val="16"/>
  </w:num>
  <w:num w:numId="31" w16cid:durableId="1879009533">
    <w:abstractNumId w:val="20"/>
  </w:num>
  <w:num w:numId="32" w16cid:durableId="1853638929">
    <w:abstractNumId w:val="29"/>
  </w:num>
  <w:num w:numId="33" w16cid:durableId="504054112">
    <w:abstractNumId w:val="13"/>
  </w:num>
  <w:num w:numId="34" w16cid:durableId="1872836561">
    <w:abstractNumId w:val="18"/>
  </w:num>
  <w:num w:numId="35" w16cid:durableId="164025738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6117"/>
    <w:rsid w:val="0003016E"/>
    <w:rsid w:val="00034616"/>
    <w:rsid w:val="000410EA"/>
    <w:rsid w:val="0004661A"/>
    <w:rsid w:val="00057D9C"/>
    <w:rsid w:val="0006063C"/>
    <w:rsid w:val="000A1193"/>
    <w:rsid w:val="000A235B"/>
    <w:rsid w:val="000A5C29"/>
    <w:rsid w:val="000D13C8"/>
    <w:rsid w:val="0011236F"/>
    <w:rsid w:val="001161C5"/>
    <w:rsid w:val="0013798C"/>
    <w:rsid w:val="00146F44"/>
    <w:rsid w:val="0014716F"/>
    <w:rsid w:val="0015074B"/>
    <w:rsid w:val="001A2755"/>
    <w:rsid w:val="00203808"/>
    <w:rsid w:val="00247F27"/>
    <w:rsid w:val="00256533"/>
    <w:rsid w:val="0029639D"/>
    <w:rsid w:val="002A7575"/>
    <w:rsid w:val="002B09F5"/>
    <w:rsid w:val="002C7A45"/>
    <w:rsid w:val="003050A6"/>
    <w:rsid w:val="00317A3E"/>
    <w:rsid w:val="00326F90"/>
    <w:rsid w:val="003515D6"/>
    <w:rsid w:val="003645A6"/>
    <w:rsid w:val="00386400"/>
    <w:rsid w:val="00386588"/>
    <w:rsid w:val="00397292"/>
    <w:rsid w:val="003D7747"/>
    <w:rsid w:val="003E59E5"/>
    <w:rsid w:val="00404254"/>
    <w:rsid w:val="00404BAB"/>
    <w:rsid w:val="00411E55"/>
    <w:rsid w:val="004264CC"/>
    <w:rsid w:val="00434CE2"/>
    <w:rsid w:val="00455722"/>
    <w:rsid w:val="00473CFA"/>
    <w:rsid w:val="00484D33"/>
    <w:rsid w:val="004A4D3E"/>
    <w:rsid w:val="004B1CB3"/>
    <w:rsid w:val="004B6D9E"/>
    <w:rsid w:val="004D7630"/>
    <w:rsid w:val="004F2951"/>
    <w:rsid w:val="004F5F19"/>
    <w:rsid w:val="00506BBB"/>
    <w:rsid w:val="00511F12"/>
    <w:rsid w:val="00533B71"/>
    <w:rsid w:val="005816E8"/>
    <w:rsid w:val="005A6E2C"/>
    <w:rsid w:val="005C72E4"/>
    <w:rsid w:val="005F375F"/>
    <w:rsid w:val="006073AE"/>
    <w:rsid w:val="00636E9B"/>
    <w:rsid w:val="00674BAF"/>
    <w:rsid w:val="006763BE"/>
    <w:rsid w:val="006C417D"/>
    <w:rsid w:val="00710F26"/>
    <w:rsid w:val="00715D5F"/>
    <w:rsid w:val="0072128D"/>
    <w:rsid w:val="00733373"/>
    <w:rsid w:val="007369F2"/>
    <w:rsid w:val="007971E1"/>
    <w:rsid w:val="007A01C8"/>
    <w:rsid w:val="008322A1"/>
    <w:rsid w:val="00861346"/>
    <w:rsid w:val="008719B4"/>
    <w:rsid w:val="008B27CF"/>
    <w:rsid w:val="008C5408"/>
    <w:rsid w:val="008D4277"/>
    <w:rsid w:val="008F42DF"/>
    <w:rsid w:val="00900317"/>
    <w:rsid w:val="00912DDA"/>
    <w:rsid w:val="009429F9"/>
    <w:rsid w:val="00944AE4"/>
    <w:rsid w:val="00951357"/>
    <w:rsid w:val="00967C62"/>
    <w:rsid w:val="009A0B65"/>
    <w:rsid w:val="009B1055"/>
    <w:rsid w:val="009E3A96"/>
    <w:rsid w:val="009E4F4D"/>
    <w:rsid w:val="00A25752"/>
    <w:rsid w:val="00A26AB5"/>
    <w:rsid w:val="00AA1D8D"/>
    <w:rsid w:val="00AC5D60"/>
    <w:rsid w:val="00AE27C2"/>
    <w:rsid w:val="00AE5C68"/>
    <w:rsid w:val="00B159BB"/>
    <w:rsid w:val="00B36458"/>
    <w:rsid w:val="00B42BA8"/>
    <w:rsid w:val="00B47730"/>
    <w:rsid w:val="00B87EFB"/>
    <w:rsid w:val="00BC2EE0"/>
    <w:rsid w:val="00BC323F"/>
    <w:rsid w:val="00BC3BB6"/>
    <w:rsid w:val="00BE2860"/>
    <w:rsid w:val="00C14140"/>
    <w:rsid w:val="00C236AD"/>
    <w:rsid w:val="00C44300"/>
    <w:rsid w:val="00C52884"/>
    <w:rsid w:val="00C76711"/>
    <w:rsid w:val="00CB0664"/>
    <w:rsid w:val="00CD7E93"/>
    <w:rsid w:val="00D27D58"/>
    <w:rsid w:val="00D5132E"/>
    <w:rsid w:val="00D5494A"/>
    <w:rsid w:val="00D862BB"/>
    <w:rsid w:val="00DC16E4"/>
    <w:rsid w:val="00DE3397"/>
    <w:rsid w:val="00E051F9"/>
    <w:rsid w:val="00E2116D"/>
    <w:rsid w:val="00E22B2C"/>
    <w:rsid w:val="00E241C5"/>
    <w:rsid w:val="00E328F7"/>
    <w:rsid w:val="00E35811"/>
    <w:rsid w:val="00E51DFA"/>
    <w:rsid w:val="00E51EFF"/>
    <w:rsid w:val="00E67A6B"/>
    <w:rsid w:val="00EA3B33"/>
    <w:rsid w:val="00EB716E"/>
    <w:rsid w:val="00ED72CF"/>
    <w:rsid w:val="00EE06A0"/>
    <w:rsid w:val="00EE0E63"/>
    <w:rsid w:val="00F02EE4"/>
    <w:rsid w:val="00F10A93"/>
    <w:rsid w:val="00F147C3"/>
    <w:rsid w:val="00F62996"/>
    <w:rsid w:val="00F9461B"/>
    <w:rsid w:val="00FA793B"/>
    <w:rsid w:val="00FB132B"/>
    <w:rsid w:val="00FC693F"/>
    <w:rsid w:val="00FD5F4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980BB87"/>
  <w14:defaultImageDpi w14:val="300"/>
  <w15:docId w15:val="{04AC3D8B-707A-4769-BFD4-B615AE11F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1"/>
    </w:rPr>
  </w:style>
  <w:style w:type="paragraph" w:styleId="Titre1">
    <w:name w:val="heading 1"/>
    <w:basedOn w:val="Normal"/>
    <w:next w:val="Normal"/>
    <w:link w:val="Titre1C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re2">
    <w:name w:val="heading 2"/>
    <w:basedOn w:val="Normal"/>
    <w:next w:val="Normal"/>
    <w:link w:val="Titre2C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re3">
    <w:name w:val="heading 3"/>
    <w:basedOn w:val="Normal"/>
    <w:next w:val="Normal"/>
    <w:link w:val="Titre3C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itre4">
    <w:name w:val="heading 4"/>
    <w:basedOn w:val="Normal"/>
    <w:next w:val="Normal"/>
    <w:link w:val="Titre4C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itre5">
    <w:name w:val="heading 5"/>
    <w:basedOn w:val="Normal"/>
    <w:next w:val="Normal"/>
    <w:link w:val="Titre5C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itre6">
    <w:name w:val="heading 6"/>
    <w:basedOn w:val="Normal"/>
    <w:next w:val="Normal"/>
    <w:link w:val="Titre6C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re7">
    <w:name w:val="heading 7"/>
    <w:basedOn w:val="Normal"/>
    <w:next w:val="Normal"/>
    <w:link w:val="Titre7C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re8">
    <w:name w:val="heading 8"/>
    <w:basedOn w:val="Normal"/>
    <w:next w:val="Normal"/>
    <w:link w:val="Titre8C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itre9">
    <w:name w:val="heading 9"/>
    <w:basedOn w:val="Normal"/>
    <w:next w:val="Normal"/>
    <w:link w:val="Titre9C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uiPriority w:val="99"/>
    <w:unhideWhenUsed/>
    <w:rsid w:val="00E618BF"/>
    <w:pPr>
      <w:tabs>
        <w:tab w:val="center" w:pos="4680"/>
        <w:tab w:val="right" w:pos="9360"/>
      </w:tabs>
      <w:spacing w:after="0" w:line="240" w:lineRule="auto"/>
    </w:pPr>
  </w:style>
  <w:style w:type="character" w:customStyle="1" w:styleId="En-tteCar">
    <w:name w:val="En-tête Car"/>
    <w:basedOn w:val="Policepardfaut"/>
    <w:link w:val="En-tte"/>
    <w:uiPriority w:val="99"/>
    <w:rsid w:val="00E618BF"/>
  </w:style>
  <w:style w:type="paragraph" w:styleId="Pieddepage">
    <w:name w:val="footer"/>
    <w:basedOn w:val="Normal"/>
    <w:link w:val="PieddepageCar"/>
    <w:uiPriority w:val="99"/>
    <w:unhideWhenUsed/>
    <w:rsid w:val="00E618BF"/>
    <w:pPr>
      <w:tabs>
        <w:tab w:val="center" w:pos="4680"/>
        <w:tab w:val="right" w:pos="9360"/>
      </w:tabs>
      <w:spacing w:after="0" w:line="240" w:lineRule="auto"/>
    </w:pPr>
  </w:style>
  <w:style w:type="character" w:customStyle="1" w:styleId="PieddepageCar">
    <w:name w:val="Pied de page Car"/>
    <w:basedOn w:val="Policepardfaut"/>
    <w:link w:val="Pieddepage"/>
    <w:uiPriority w:val="99"/>
    <w:rsid w:val="00E618BF"/>
  </w:style>
  <w:style w:type="paragraph" w:styleId="Sansinterligne">
    <w:name w:val="No Spacing"/>
    <w:uiPriority w:val="1"/>
    <w:qFormat/>
    <w:rsid w:val="00FC693F"/>
    <w:pPr>
      <w:spacing w:after="0" w:line="240" w:lineRule="auto"/>
    </w:pPr>
  </w:style>
  <w:style w:type="character" w:customStyle="1" w:styleId="Titre1Car">
    <w:name w:val="Titre 1 Car"/>
    <w:basedOn w:val="Policepardfaut"/>
    <w:link w:val="Titre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itre2Car">
    <w:name w:val="Titre 2 Car"/>
    <w:basedOn w:val="Policepardfaut"/>
    <w:link w:val="Titre2"/>
    <w:uiPriority w:val="9"/>
    <w:rsid w:val="00FC693F"/>
    <w:rPr>
      <w:rFonts w:asciiTheme="majorHAnsi" w:eastAsiaTheme="majorEastAsia" w:hAnsiTheme="majorHAnsi" w:cstheme="majorBidi"/>
      <w:b/>
      <w:bCs/>
      <w:color w:val="4F81BD" w:themeColor="accent1"/>
      <w:sz w:val="26"/>
      <w:szCs w:val="26"/>
    </w:rPr>
  </w:style>
  <w:style w:type="character" w:customStyle="1" w:styleId="Titre3Car">
    <w:name w:val="Titre 3 Car"/>
    <w:basedOn w:val="Policepardfaut"/>
    <w:link w:val="Titre3"/>
    <w:uiPriority w:val="9"/>
    <w:rsid w:val="00FC693F"/>
    <w:rPr>
      <w:rFonts w:asciiTheme="majorHAnsi" w:eastAsiaTheme="majorEastAsia" w:hAnsiTheme="majorHAnsi" w:cstheme="majorBidi"/>
      <w:b/>
      <w:bCs/>
      <w:color w:val="4F81BD" w:themeColor="accent1"/>
    </w:rPr>
  </w:style>
  <w:style w:type="paragraph" w:styleId="Titre">
    <w:name w:val="Title"/>
    <w:basedOn w:val="Normal"/>
    <w:next w:val="Normal"/>
    <w:link w:val="TitreC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reCar">
    <w:name w:val="Titre Car"/>
    <w:basedOn w:val="Policepardfaut"/>
    <w:link w:val="Titr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ous-titre">
    <w:name w:val="Subtitle"/>
    <w:basedOn w:val="Normal"/>
    <w:next w:val="Normal"/>
    <w:link w:val="Sous-titreC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ous-titreCar">
    <w:name w:val="Sous-titre Car"/>
    <w:basedOn w:val="Policepardfaut"/>
    <w:link w:val="Sous-titre"/>
    <w:uiPriority w:val="11"/>
    <w:rsid w:val="00FC693F"/>
    <w:rPr>
      <w:rFonts w:asciiTheme="majorHAnsi" w:eastAsiaTheme="majorEastAsia" w:hAnsiTheme="majorHAnsi" w:cstheme="majorBidi"/>
      <w:i/>
      <w:iCs/>
      <w:color w:val="4F81BD" w:themeColor="accent1"/>
      <w:spacing w:val="15"/>
      <w:sz w:val="24"/>
      <w:szCs w:val="24"/>
    </w:rPr>
  </w:style>
  <w:style w:type="paragraph" w:styleId="Paragraphedeliste">
    <w:name w:val="List Paragraph"/>
    <w:basedOn w:val="Normal"/>
    <w:uiPriority w:val="34"/>
    <w:qFormat/>
    <w:rsid w:val="00FC693F"/>
    <w:pPr>
      <w:ind w:left="720"/>
      <w:contextualSpacing/>
    </w:pPr>
  </w:style>
  <w:style w:type="paragraph" w:styleId="Corpsdetexte">
    <w:name w:val="Body Text"/>
    <w:basedOn w:val="Normal"/>
    <w:link w:val="CorpsdetexteCar"/>
    <w:uiPriority w:val="99"/>
    <w:unhideWhenUsed/>
    <w:rsid w:val="00AA1D8D"/>
    <w:pPr>
      <w:spacing w:after="120"/>
    </w:pPr>
  </w:style>
  <w:style w:type="character" w:customStyle="1" w:styleId="CorpsdetexteCar">
    <w:name w:val="Corps de texte Car"/>
    <w:basedOn w:val="Policepardfaut"/>
    <w:link w:val="Corpsdetexte"/>
    <w:uiPriority w:val="99"/>
    <w:rsid w:val="00AA1D8D"/>
  </w:style>
  <w:style w:type="paragraph" w:styleId="Corpsdetexte2">
    <w:name w:val="Body Text 2"/>
    <w:basedOn w:val="Normal"/>
    <w:link w:val="Corpsdetexte2Car"/>
    <w:uiPriority w:val="99"/>
    <w:unhideWhenUsed/>
    <w:rsid w:val="00AA1D8D"/>
    <w:pPr>
      <w:spacing w:after="120" w:line="480" w:lineRule="auto"/>
    </w:pPr>
  </w:style>
  <w:style w:type="character" w:customStyle="1" w:styleId="Corpsdetexte2Car">
    <w:name w:val="Corps de texte 2 Car"/>
    <w:basedOn w:val="Policepardfaut"/>
    <w:link w:val="Corpsdetexte2"/>
    <w:uiPriority w:val="99"/>
    <w:rsid w:val="00AA1D8D"/>
  </w:style>
  <w:style w:type="paragraph" w:styleId="Corpsdetexte3">
    <w:name w:val="Body Text 3"/>
    <w:basedOn w:val="Normal"/>
    <w:link w:val="Corpsdetexte3Car"/>
    <w:uiPriority w:val="99"/>
    <w:unhideWhenUsed/>
    <w:rsid w:val="00AA1D8D"/>
    <w:pPr>
      <w:spacing w:after="120"/>
    </w:pPr>
    <w:rPr>
      <w:sz w:val="16"/>
      <w:szCs w:val="16"/>
    </w:rPr>
  </w:style>
  <w:style w:type="character" w:customStyle="1" w:styleId="Corpsdetexte3Car">
    <w:name w:val="Corps de texte 3 Car"/>
    <w:basedOn w:val="Policepardfaut"/>
    <w:link w:val="Corpsdetexte3"/>
    <w:uiPriority w:val="99"/>
    <w:rsid w:val="00AA1D8D"/>
    <w:rPr>
      <w:sz w:val="16"/>
      <w:szCs w:val="16"/>
    </w:rPr>
  </w:style>
  <w:style w:type="paragraph" w:styleId="Liste">
    <w:name w:val="List"/>
    <w:basedOn w:val="Normal"/>
    <w:uiPriority w:val="99"/>
    <w:unhideWhenUsed/>
    <w:rsid w:val="00AA1D8D"/>
    <w:pPr>
      <w:ind w:left="360" w:hanging="360"/>
      <w:contextualSpacing/>
    </w:pPr>
  </w:style>
  <w:style w:type="paragraph" w:styleId="Liste2">
    <w:name w:val="List 2"/>
    <w:basedOn w:val="Normal"/>
    <w:uiPriority w:val="99"/>
    <w:unhideWhenUsed/>
    <w:rsid w:val="00326F90"/>
    <w:pPr>
      <w:ind w:left="720" w:hanging="360"/>
      <w:contextualSpacing/>
    </w:pPr>
  </w:style>
  <w:style w:type="paragraph" w:styleId="Liste3">
    <w:name w:val="List 3"/>
    <w:basedOn w:val="Normal"/>
    <w:uiPriority w:val="99"/>
    <w:unhideWhenUsed/>
    <w:rsid w:val="00326F90"/>
    <w:pPr>
      <w:ind w:left="1080" w:hanging="360"/>
      <w:contextualSpacing/>
    </w:pPr>
  </w:style>
  <w:style w:type="paragraph" w:styleId="Listepuces">
    <w:name w:val="List Bullet"/>
    <w:basedOn w:val="Normal"/>
    <w:uiPriority w:val="99"/>
    <w:unhideWhenUsed/>
    <w:rsid w:val="00326F90"/>
    <w:pPr>
      <w:numPr>
        <w:numId w:val="1"/>
      </w:numPr>
      <w:contextualSpacing/>
    </w:pPr>
  </w:style>
  <w:style w:type="paragraph" w:styleId="Listepuces2">
    <w:name w:val="List Bullet 2"/>
    <w:basedOn w:val="Normal"/>
    <w:uiPriority w:val="99"/>
    <w:unhideWhenUsed/>
    <w:rsid w:val="00326F90"/>
    <w:pPr>
      <w:numPr>
        <w:numId w:val="2"/>
      </w:numPr>
      <w:contextualSpacing/>
    </w:pPr>
  </w:style>
  <w:style w:type="paragraph" w:styleId="Listepuces3">
    <w:name w:val="List Bullet 3"/>
    <w:basedOn w:val="Normal"/>
    <w:uiPriority w:val="99"/>
    <w:unhideWhenUsed/>
    <w:rsid w:val="00326F90"/>
    <w:pPr>
      <w:numPr>
        <w:numId w:val="3"/>
      </w:numPr>
      <w:contextualSpacing/>
    </w:pPr>
  </w:style>
  <w:style w:type="paragraph" w:styleId="Listenumros">
    <w:name w:val="List Number"/>
    <w:basedOn w:val="Normal"/>
    <w:uiPriority w:val="99"/>
    <w:unhideWhenUsed/>
    <w:rsid w:val="00326F90"/>
    <w:pPr>
      <w:numPr>
        <w:numId w:val="5"/>
      </w:numPr>
      <w:contextualSpacing/>
    </w:pPr>
  </w:style>
  <w:style w:type="paragraph" w:styleId="Listenumros2">
    <w:name w:val="List Number 2"/>
    <w:basedOn w:val="Normal"/>
    <w:uiPriority w:val="99"/>
    <w:unhideWhenUsed/>
    <w:rsid w:val="0029639D"/>
    <w:pPr>
      <w:numPr>
        <w:numId w:val="6"/>
      </w:numPr>
      <w:contextualSpacing/>
    </w:pPr>
  </w:style>
  <w:style w:type="paragraph" w:styleId="Listenumros3">
    <w:name w:val="List Number 3"/>
    <w:basedOn w:val="Normal"/>
    <w:uiPriority w:val="99"/>
    <w:unhideWhenUsed/>
    <w:rsid w:val="0029639D"/>
    <w:pPr>
      <w:numPr>
        <w:numId w:val="7"/>
      </w:numPr>
      <w:contextualSpacing/>
    </w:pPr>
  </w:style>
  <w:style w:type="paragraph" w:styleId="Listecontinue">
    <w:name w:val="List Continue"/>
    <w:basedOn w:val="Normal"/>
    <w:uiPriority w:val="99"/>
    <w:unhideWhenUsed/>
    <w:rsid w:val="0029639D"/>
    <w:pPr>
      <w:spacing w:after="120"/>
      <w:ind w:left="360"/>
      <w:contextualSpacing/>
    </w:pPr>
  </w:style>
  <w:style w:type="paragraph" w:styleId="Listecontinue2">
    <w:name w:val="List Continue 2"/>
    <w:basedOn w:val="Normal"/>
    <w:uiPriority w:val="99"/>
    <w:unhideWhenUsed/>
    <w:rsid w:val="0029639D"/>
    <w:pPr>
      <w:spacing w:after="120"/>
      <w:ind w:left="720"/>
      <w:contextualSpacing/>
    </w:pPr>
  </w:style>
  <w:style w:type="paragraph" w:styleId="Listecontinue3">
    <w:name w:val="List Continue 3"/>
    <w:basedOn w:val="Normal"/>
    <w:uiPriority w:val="99"/>
    <w:unhideWhenUsed/>
    <w:rsid w:val="0029639D"/>
    <w:pPr>
      <w:spacing w:after="120"/>
      <w:ind w:left="1080"/>
      <w:contextualSpacing/>
    </w:pPr>
  </w:style>
  <w:style w:type="paragraph" w:styleId="Textedemacro">
    <w:name w:val="macro"/>
    <w:link w:val="TextedemacroC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edemacroCar">
    <w:name w:val="Texte de macro Car"/>
    <w:basedOn w:val="Policepardfaut"/>
    <w:link w:val="Textedemacro"/>
    <w:uiPriority w:val="99"/>
    <w:rsid w:val="0029639D"/>
    <w:rPr>
      <w:rFonts w:ascii="Courier" w:hAnsi="Courier"/>
      <w:sz w:val="20"/>
      <w:szCs w:val="20"/>
    </w:rPr>
  </w:style>
  <w:style w:type="paragraph" w:styleId="Citation">
    <w:name w:val="Quote"/>
    <w:basedOn w:val="Normal"/>
    <w:next w:val="Normal"/>
    <w:link w:val="CitationCar"/>
    <w:uiPriority w:val="29"/>
    <w:qFormat/>
    <w:rsid w:val="00FC693F"/>
    <w:rPr>
      <w:i/>
      <w:iCs/>
      <w:color w:val="000000" w:themeColor="text1"/>
    </w:rPr>
  </w:style>
  <w:style w:type="character" w:customStyle="1" w:styleId="CitationCar">
    <w:name w:val="Citation Car"/>
    <w:basedOn w:val="Policepardfaut"/>
    <w:link w:val="Citation"/>
    <w:uiPriority w:val="29"/>
    <w:rsid w:val="00FC693F"/>
    <w:rPr>
      <w:i/>
      <w:iCs/>
      <w:color w:val="000000" w:themeColor="text1"/>
    </w:rPr>
  </w:style>
  <w:style w:type="character" w:customStyle="1" w:styleId="Titre4Car">
    <w:name w:val="Titre 4 Car"/>
    <w:basedOn w:val="Policepardfaut"/>
    <w:link w:val="Titre4"/>
    <w:uiPriority w:val="9"/>
    <w:rsid w:val="00FC693F"/>
    <w:rPr>
      <w:rFonts w:asciiTheme="majorHAnsi" w:eastAsiaTheme="majorEastAsia" w:hAnsiTheme="majorHAnsi" w:cstheme="majorBidi"/>
      <w:b/>
      <w:bCs/>
      <w:i/>
      <w:iCs/>
      <w:color w:val="4F81BD" w:themeColor="accent1"/>
    </w:rPr>
  </w:style>
  <w:style w:type="character" w:customStyle="1" w:styleId="Titre5Car">
    <w:name w:val="Titre 5 Car"/>
    <w:basedOn w:val="Policepardfaut"/>
    <w:link w:val="Titre5"/>
    <w:uiPriority w:val="9"/>
    <w:semiHidden/>
    <w:rsid w:val="00FC693F"/>
    <w:rPr>
      <w:rFonts w:asciiTheme="majorHAnsi" w:eastAsiaTheme="majorEastAsia" w:hAnsiTheme="majorHAnsi" w:cstheme="majorBidi"/>
      <w:color w:val="243F60" w:themeColor="accent1" w:themeShade="7F"/>
    </w:rPr>
  </w:style>
  <w:style w:type="character" w:customStyle="1" w:styleId="Titre6Car">
    <w:name w:val="Titre 6 Car"/>
    <w:basedOn w:val="Policepardfaut"/>
    <w:link w:val="Titre6"/>
    <w:uiPriority w:val="9"/>
    <w:semiHidden/>
    <w:rsid w:val="00FC693F"/>
    <w:rPr>
      <w:rFonts w:asciiTheme="majorHAnsi" w:eastAsiaTheme="majorEastAsia" w:hAnsiTheme="majorHAnsi" w:cstheme="majorBidi"/>
      <w:i/>
      <w:iCs/>
      <w:color w:val="243F60" w:themeColor="accent1" w:themeShade="7F"/>
    </w:rPr>
  </w:style>
  <w:style w:type="character" w:customStyle="1" w:styleId="Titre7Car">
    <w:name w:val="Titre 7 Car"/>
    <w:basedOn w:val="Policepardfaut"/>
    <w:link w:val="Titre7"/>
    <w:uiPriority w:val="9"/>
    <w:semiHidden/>
    <w:rsid w:val="00FC693F"/>
    <w:rPr>
      <w:rFonts w:asciiTheme="majorHAnsi" w:eastAsiaTheme="majorEastAsia" w:hAnsiTheme="majorHAnsi" w:cstheme="majorBidi"/>
      <w:i/>
      <w:iCs/>
      <w:color w:val="404040" w:themeColor="text1" w:themeTint="BF"/>
    </w:rPr>
  </w:style>
  <w:style w:type="character" w:customStyle="1" w:styleId="Titre8Car">
    <w:name w:val="Titre 8 Car"/>
    <w:basedOn w:val="Policepardfaut"/>
    <w:link w:val="Titre8"/>
    <w:uiPriority w:val="9"/>
    <w:semiHidden/>
    <w:rsid w:val="00FC693F"/>
    <w:rPr>
      <w:rFonts w:asciiTheme="majorHAnsi" w:eastAsiaTheme="majorEastAsia" w:hAnsiTheme="majorHAnsi" w:cstheme="majorBidi"/>
      <w:color w:val="4F81BD" w:themeColor="accent1"/>
      <w:sz w:val="20"/>
      <w:szCs w:val="20"/>
    </w:rPr>
  </w:style>
  <w:style w:type="character" w:customStyle="1" w:styleId="Titre9Car">
    <w:name w:val="Titre 9 Car"/>
    <w:basedOn w:val="Policepardfaut"/>
    <w:link w:val="Titre9"/>
    <w:uiPriority w:val="9"/>
    <w:semiHidden/>
    <w:rsid w:val="00FC693F"/>
    <w:rPr>
      <w:rFonts w:asciiTheme="majorHAnsi" w:eastAsiaTheme="majorEastAsia" w:hAnsiTheme="majorHAnsi" w:cstheme="majorBidi"/>
      <w:i/>
      <w:iCs/>
      <w:color w:val="404040" w:themeColor="text1" w:themeTint="BF"/>
      <w:sz w:val="20"/>
      <w:szCs w:val="20"/>
    </w:rPr>
  </w:style>
  <w:style w:type="paragraph" w:styleId="Lgende">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lev">
    <w:name w:val="Strong"/>
    <w:basedOn w:val="Policepardfaut"/>
    <w:uiPriority w:val="22"/>
    <w:qFormat/>
    <w:rsid w:val="00FC693F"/>
    <w:rPr>
      <w:b/>
      <w:bCs/>
    </w:rPr>
  </w:style>
  <w:style w:type="character" w:styleId="Accentuation">
    <w:name w:val="Emphasis"/>
    <w:basedOn w:val="Policepardfaut"/>
    <w:uiPriority w:val="20"/>
    <w:qFormat/>
    <w:rsid w:val="00FC693F"/>
    <w:rPr>
      <w:i/>
      <w:iCs/>
    </w:rPr>
  </w:style>
  <w:style w:type="paragraph" w:styleId="Citationintense">
    <w:name w:val="Intense Quote"/>
    <w:basedOn w:val="Normal"/>
    <w:next w:val="Normal"/>
    <w:link w:val="CitationintenseC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tionintenseCar">
    <w:name w:val="Citation intense Car"/>
    <w:basedOn w:val="Policepardfaut"/>
    <w:link w:val="Citationintense"/>
    <w:uiPriority w:val="30"/>
    <w:rsid w:val="00FC693F"/>
    <w:rPr>
      <w:b/>
      <w:bCs/>
      <w:i/>
      <w:iCs/>
      <w:color w:val="4F81BD" w:themeColor="accent1"/>
    </w:rPr>
  </w:style>
  <w:style w:type="character" w:styleId="Accentuationlgre">
    <w:name w:val="Subtle Emphasis"/>
    <w:basedOn w:val="Policepardfaut"/>
    <w:uiPriority w:val="19"/>
    <w:qFormat/>
    <w:rsid w:val="00FC693F"/>
    <w:rPr>
      <w:i/>
      <w:iCs/>
      <w:color w:val="808080" w:themeColor="text1" w:themeTint="7F"/>
    </w:rPr>
  </w:style>
  <w:style w:type="character" w:styleId="Accentuationintense">
    <w:name w:val="Intense Emphasis"/>
    <w:basedOn w:val="Policepardfaut"/>
    <w:uiPriority w:val="21"/>
    <w:qFormat/>
    <w:rsid w:val="00FC693F"/>
    <w:rPr>
      <w:b/>
      <w:bCs/>
      <w:i/>
      <w:iCs/>
      <w:color w:val="4F81BD" w:themeColor="accent1"/>
    </w:rPr>
  </w:style>
  <w:style w:type="character" w:styleId="Rfrencelgre">
    <w:name w:val="Subtle Reference"/>
    <w:basedOn w:val="Policepardfaut"/>
    <w:uiPriority w:val="31"/>
    <w:qFormat/>
    <w:rsid w:val="00FC693F"/>
    <w:rPr>
      <w:smallCaps/>
      <w:color w:val="C0504D" w:themeColor="accent2"/>
      <w:u w:val="single"/>
    </w:rPr>
  </w:style>
  <w:style w:type="character" w:styleId="Rfrenceintense">
    <w:name w:val="Intense Reference"/>
    <w:basedOn w:val="Policepardfaut"/>
    <w:uiPriority w:val="32"/>
    <w:qFormat/>
    <w:rsid w:val="00FC693F"/>
    <w:rPr>
      <w:b/>
      <w:bCs/>
      <w:smallCaps/>
      <w:color w:val="C0504D" w:themeColor="accent2"/>
      <w:spacing w:val="5"/>
      <w:u w:val="single"/>
    </w:rPr>
  </w:style>
  <w:style w:type="character" w:styleId="Titredulivre">
    <w:name w:val="Book Title"/>
    <w:basedOn w:val="Policepardfaut"/>
    <w:uiPriority w:val="33"/>
    <w:qFormat/>
    <w:rsid w:val="00FC693F"/>
    <w:rPr>
      <w:b/>
      <w:bCs/>
      <w:smallCaps/>
      <w:spacing w:val="5"/>
    </w:rPr>
  </w:style>
  <w:style w:type="paragraph" w:styleId="En-ttedetabledesmatires">
    <w:name w:val="TOC Heading"/>
    <w:basedOn w:val="Titre1"/>
    <w:next w:val="Normal"/>
    <w:uiPriority w:val="39"/>
    <w:unhideWhenUsed/>
    <w:qFormat/>
    <w:rsid w:val="00FC693F"/>
    <w:pPr>
      <w:outlineLvl w:val="9"/>
    </w:pPr>
  </w:style>
  <w:style w:type="table" w:styleId="Grilledutableau">
    <w:name w:val="Table Grid"/>
    <w:basedOn w:val="Tableau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Ombrageclair">
    <w:name w:val="Light Shading"/>
    <w:basedOn w:val="Tableau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Trameclaire-Accent1">
    <w:name w:val="Light Shading Accent 1"/>
    <w:basedOn w:val="Tableau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Trameclaire-Accent2">
    <w:name w:val="Light Shading Accent 2"/>
    <w:basedOn w:val="Tableau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Trameclaire-Accent3">
    <w:name w:val="Light Shading Accent 3"/>
    <w:basedOn w:val="Tableau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Trameclaire-Accent4">
    <w:name w:val="Light Shading Accent 4"/>
    <w:basedOn w:val="Tableau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Trameclaire-Accent5">
    <w:name w:val="Light Shading Accent 5"/>
    <w:basedOn w:val="Tableau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Trameclaire-Accent6">
    <w:name w:val="Light Shading Accent 6"/>
    <w:basedOn w:val="Tableau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eclaire">
    <w:name w:val="Light List"/>
    <w:basedOn w:val="Tableau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eclaire-Accent1">
    <w:name w:val="Light List Accent 1"/>
    <w:basedOn w:val="Tableau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eclaire-Accent2">
    <w:name w:val="Light List Accent 2"/>
    <w:basedOn w:val="Tableau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eclaire-Accent3">
    <w:name w:val="Light List Accent 3"/>
    <w:basedOn w:val="Tableau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eclaire-Accent4">
    <w:name w:val="Light List Accent 4"/>
    <w:basedOn w:val="Tableau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eclaire-Accent5">
    <w:name w:val="Light List Accent 5"/>
    <w:basedOn w:val="Tableau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eclaire-Accent6">
    <w:name w:val="Light List Accent 6"/>
    <w:basedOn w:val="Tableau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illeclaire">
    <w:name w:val="Light Grid"/>
    <w:basedOn w:val="Tableau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illeclaire-Accent1">
    <w:name w:val="Light Grid Accent 1"/>
    <w:basedOn w:val="Tableau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illeclaire-Accent2">
    <w:name w:val="Light Grid Accent 2"/>
    <w:basedOn w:val="Tableau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illeclaire-Accent3">
    <w:name w:val="Light Grid Accent 3"/>
    <w:basedOn w:val="Tableau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illeclaire-Accent4">
    <w:name w:val="Light Grid Accent 4"/>
    <w:basedOn w:val="Tableau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illeclaire-Accent5">
    <w:name w:val="Light Grid Accent 5"/>
    <w:basedOn w:val="Tableau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illeclaire-Accent6">
    <w:name w:val="Light Grid Accent 6"/>
    <w:basedOn w:val="Tableau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Tramemoyenne1">
    <w:name w:val="Medium Shading 1"/>
    <w:basedOn w:val="Tableau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Tramemoyenne1-Accent1">
    <w:name w:val="Medium Shading 1 Accent 1"/>
    <w:basedOn w:val="Tableau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Tramemoyenne1-Accent2">
    <w:name w:val="Medium Shading 1 Accent 2"/>
    <w:basedOn w:val="Tableau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Tramemoyenne1-Accent3">
    <w:name w:val="Medium Shading 1 Accent 3"/>
    <w:basedOn w:val="Tableau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Tramemoyenne1-Accent4">
    <w:name w:val="Medium Shading 1 Accent 4"/>
    <w:basedOn w:val="Tableau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Tramemoyenne1-Accent5">
    <w:name w:val="Medium Shading 1 Accent 5"/>
    <w:basedOn w:val="Tableau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Tramemoyenne1-Accent6">
    <w:name w:val="Medium Shading 1 Accent 6"/>
    <w:basedOn w:val="Tableau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Tramemoyenne2">
    <w:name w:val="Medium Shading 2"/>
    <w:basedOn w:val="Tableau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ramemoyenne2-Accent1">
    <w:name w:val="Medium Shading 2 Accent 1"/>
    <w:basedOn w:val="Tableau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ramemoyenne2-Accent2">
    <w:name w:val="Medium Shading 2 Accent 2"/>
    <w:basedOn w:val="Tableau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ramemoyenne2-Accent3">
    <w:name w:val="Medium Shading 2 Accent 3"/>
    <w:basedOn w:val="Tableau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ramemoyenne2-Accent4">
    <w:name w:val="Medium Shading 2 Accent 4"/>
    <w:basedOn w:val="Tableau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ramemoyenne2-Accent5">
    <w:name w:val="Medium Shading 2 Accent 5"/>
    <w:basedOn w:val="Tableau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ramemoyenne2-Accent6">
    <w:name w:val="Medium Shading 2 Accent 6"/>
    <w:basedOn w:val="Tableau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emoyenne1">
    <w:name w:val="Medium List 1"/>
    <w:basedOn w:val="Tableau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emoyenne1-Accent1">
    <w:name w:val="Medium List 1 Accent 1"/>
    <w:basedOn w:val="Tableau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emoyenne1-Accent2">
    <w:name w:val="Medium List 1 Accent 2"/>
    <w:basedOn w:val="Tableau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emoyenne1-Accent3">
    <w:name w:val="Medium List 1 Accent 3"/>
    <w:basedOn w:val="Tableau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emoyenne1-Accent4">
    <w:name w:val="Medium List 1 Accent 4"/>
    <w:basedOn w:val="Tableau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emoyenne1-Accent5">
    <w:name w:val="Medium List 1 Accent 5"/>
    <w:basedOn w:val="Tableau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emoyenne1-Accent6">
    <w:name w:val="Medium List 1 Accent 6"/>
    <w:basedOn w:val="Tableau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emoyenne2">
    <w:name w:val="Medium List 2"/>
    <w:basedOn w:val="Tableau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emoyenne2-Accent1">
    <w:name w:val="Medium List 2 Accent 1"/>
    <w:basedOn w:val="Tableau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emoyenne2-Accent2">
    <w:name w:val="Medium List 2 Accent 2"/>
    <w:basedOn w:val="Tableau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emoyenne2-Accent3">
    <w:name w:val="Medium List 2 Accent 3"/>
    <w:basedOn w:val="Tableau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emoyenne2-Accent4">
    <w:name w:val="Medium List 2 Accent 4"/>
    <w:basedOn w:val="Tableau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emoyenne2-Accent5">
    <w:name w:val="Medium List 2 Accent 5"/>
    <w:basedOn w:val="Tableau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emoyenne2-Accent6">
    <w:name w:val="Medium List 2 Accent 6"/>
    <w:basedOn w:val="Tableau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illemoyenne1">
    <w:name w:val="Medium Grid 1"/>
    <w:basedOn w:val="Tableau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lemoyenne1-Accent1">
    <w:name w:val="Medium Grid 1 Accent 1"/>
    <w:basedOn w:val="Tableau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lemoyenne1-Accent2">
    <w:name w:val="Medium Grid 1 Accent 2"/>
    <w:basedOn w:val="Tableau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lemoyenne1-Accent3">
    <w:name w:val="Medium Grid 1 Accent 3"/>
    <w:basedOn w:val="Tableau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lemoyenne1-Accent4">
    <w:name w:val="Medium Grid 1 Accent 4"/>
    <w:basedOn w:val="Tableau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lemoyenne1-Accent5">
    <w:name w:val="Medium Grid 1 Accent 5"/>
    <w:basedOn w:val="Tableau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lemoyenne1-Accent6">
    <w:name w:val="Medium Grid 1 Accent 6"/>
    <w:basedOn w:val="Tableau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llemoyenne2">
    <w:name w:val="Medium Grid 2"/>
    <w:basedOn w:val="Tableau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illemoyenne2-Accent1">
    <w:name w:val="Medium Grid 2 Accent 1"/>
    <w:basedOn w:val="Tableau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illemoyenne2-Accent2">
    <w:name w:val="Medium Grid 2 Accent 2"/>
    <w:basedOn w:val="Tableau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illemoyenne2-Accent3">
    <w:name w:val="Medium Grid 2 Accent 3"/>
    <w:basedOn w:val="Tableau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illemoyenne2-Accent4">
    <w:name w:val="Medium Grid 2 Accent 4"/>
    <w:basedOn w:val="Tableau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illemoyenne2-Accent5">
    <w:name w:val="Medium Grid 2 Accent 5"/>
    <w:basedOn w:val="Tableau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illemoyenne2-Accent6">
    <w:name w:val="Medium Grid 2 Accent 6"/>
    <w:basedOn w:val="Tableau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illemoyenne3">
    <w:name w:val="Medium Grid 3"/>
    <w:basedOn w:val="Tableau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illemoyenne3-Accent1">
    <w:name w:val="Medium Grid 3 Accent 1"/>
    <w:basedOn w:val="Tableau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illemoyenne3-Accent2">
    <w:name w:val="Medium Grid 3 Accent 2"/>
    <w:basedOn w:val="Tableau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illemoyenne3-Accent3">
    <w:name w:val="Medium Grid 3 Accent 3"/>
    <w:basedOn w:val="Tableau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lemoyenne3-Accent4">
    <w:name w:val="Medium Grid 3 Accent 4"/>
    <w:basedOn w:val="Tableau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illemoyenne3-Accent5">
    <w:name w:val="Medium Grid 3 Accent 5"/>
    <w:basedOn w:val="Tableau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illemoyenne3-Accent6">
    <w:name w:val="Medium Grid 3 Accent 6"/>
    <w:basedOn w:val="Tableau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efonce">
    <w:name w:val="Dark List"/>
    <w:basedOn w:val="Tableau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efonce-Accent1">
    <w:name w:val="Dark List Accent 1"/>
    <w:basedOn w:val="Tableau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efonce-Accent2">
    <w:name w:val="Dark List Accent 2"/>
    <w:basedOn w:val="Tableau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efonce-Accent3">
    <w:name w:val="Dark List Accent 3"/>
    <w:basedOn w:val="Tableau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efonce-Accent4">
    <w:name w:val="Dark List Accent 4"/>
    <w:basedOn w:val="Tableau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efonce-Accent5">
    <w:name w:val="Dark List Accent 5"/>
    <w:basedOn w:val="Tableau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efonce-Accent6">
    <w:name w:val="Dark List Accent 6"/>
    <w:basedOn w:val="Tableau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Tramecouleur">
    <w:name w:val="Colorful Shading"/>
    <w:basedOn w:val="Tableau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Tramecouleur-Accent1">
    <w:name w:val="Colorful Shading Accent 1"/>
    <w:basedOn w:val="Tableau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Tramecouleur-Accent2">
    <w:name w:val="Colorful Shading Accent 2"/>
    <w:basedOn w:val="Tableau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Tramecouleur-Accent3">
    <w:name w:val="Colorful Shading Accent 3"/>
    <w:basedOn w:val="Tableau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Tramecouleur-Accent4">
    <w:name w:val="Colorful Shading Accent 4"/>
    <w:basedOn w:val="Tableau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Tramecouleur-Accent5">
    <w:name w:val="Colorful Shading Accent 5"/>
    <w:basedOn w:val="Tableau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Tramecouleur-Accent6">
    <w:name w:val="Colorful Shading Accent 6"/>
    <w:basedOn w:val="Tableau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ecouleur">
    <w:name w:val="Colorful List"/>
    <w:basedOn w:val="Tableau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ecouleur-Accent1">
    <w:name w:val="Colorful List Accent 1"/>
    <w:basedOn w:val="Tableau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ecouleur-Accent2">
    <w:name w:val="Colorful List Accent 2"/>
    <w:basedOn w:val="Tableau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ecouleur-Accent3">
    <w:name w:val="Colorful List Accent 3"/>
    <w:basedOn w:val="Tableau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ecouleur-Accent4">
    <w:name w:val="Colorful List Accent 4"/>
    <w:basedOn w:val="Tableau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ecouleur-Accent5">
    <w:name w:val="Colorful List Accent 5"/>
    <w:basedOn w:val="Tableau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ecouleur-Accent6">
    <w:name w:val="Colorful List Accent 6"/>
    <w:basedOn w:val="Tableau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illecouleur">
    <w:name w:val="Colorful Grid"/>
    <w:basedOn w:val="Tableau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lecouleur-Accent1">
    <w:name w:val="Colorful Grid Accent 1"/>
    <w:basedOn w:val="Tableau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lecouleur-Accent2">
    <w:name w:val="Colorful Grid Accent 2"/>
    <w:basedOn w:val="Tableau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lecouleur-Accent3">
    <w:name w:val="Colorful Grid Accent 3"/>
    <w:basedOn w:val="Tableau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lecouleur-Accent4">
    <w:name w:val="Colorful Grid Accent 4"/>
    <w:basedOn w:val="Tableau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lecouleur-Accent5">
    <w:name w:val="Colorful Grid Accent 5"/>
    <w:basedOn w:val="Tableau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lecouleur-Accent6">
    <w:name w:val="Colorful Grid Accent 6"/>
    <w:basedOn w:val="Tableau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Lienhypertexte">
    <w:name w:val="Hyperlink"/>
    <w:basedOn w:val="Policepardfaut"/>
    <w:uiPriority w:val="99"/>
    <w:unhideWhenUsed/>
    <w:rsid w:val="00B36458"/>
    <w:rPr>
      <w:color w:val="0000FF" w:themeColor="hyperlink"/>
      <w:u w:val="single"/>
    </w:rPr>
  </w:style>
  <w:style w:type="character" w:styleId="Mentionnonrsolue">
    <w:name w:val="Unresolved Mention"/>
    <w:basedOn w:val="Policepardfaut"/>
    <w:uiPriority w:val="99"/>
    <w:semiHidden/>
    <w:unhideWhenUsed/>
    <w:rsid w:val="00B36458"/>
    <w:rPr>
      <w:color w:val="605E5C"/>
      <w:shd w:val="clear" w:color="auto" w:fill="E1DFDD"/>
    </w:rPr>
  </w:style>
  <w:style w:type="paragraph" w:customStyle="1" w:styleId="msonormal0">
    <w:name w:val="msonormal"/>
    <w:basedOn w:val="Normal"/>
    <w:rsid w:val="002C7A4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2C7A4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Lienhypertextesuivivisit">
    <w:name w:val="FollowedHyperlink"/>
    <w:basedOn w:val="Policepardfaut"/>
    <w:uiPriority w:val="99"/>
    <w:semiHidden/>
    <w:unhideWhenUsed/>
    <w:rsid w:val="002C7A45"/>
    <w:rPr>
      <w:color w:val="800080"/>
      <w:u w:val="single"/>
    </w:rPr>
  </w:style>
  <w:style w:type="paragraph" w:styleId="TM1">
    <w:name w:val="toc 1"/>
    <w:basedOn w:val="Normal"/>
    <w:next w:val="Normal"/>
    <w:autoRedefine/>
    <w:uiPriority w:val="39"/>
    <w:unhideWhenUsed/>
    <w:rsid w:val="006763BE"/>
    <w:pPr>
      <w:tabs>
        <w:tab w:val="right" w:leader="dot" w:pos="8630"/>
      </w:tabs>
      <w:spacing w:after="100" w:line="360" w:lineRule="auto"/>
      <w:jc w:val="both"/>
    </w:pPr>
  </w:style>
  <w:style w:type="paragraph" w:styleId="TM2">
    <w:name w:val="toc 2"/>
    <w:basedOn w:val="Normal"/>
    <w:next w:val="Normal"/>
    <w:autoRedefine/>
    <w:uiPriority w:val="39"/>
    <w:unhideWhenUsed/>
    <w:rsid w:val="00900317"/>
    <w:pPr>
      <w:spacing w:after="100"/>
      <w:ind w:left="210"/>
    </w:pPr>
  </w:style>
  <w:style w:type="paragraph" w:styleId="TM3">
    <w:name w:val="toc 3"/>
    <w:basedOn w:val="Normal"/>
    <w:next w:val="Normal"/>
    <w:autoRedefine/>
    <w:uiPriority w:val="39"/>
    <w:unhideWhenUsed/>
    <w:rsid w:val="00900317"/>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image" Target="media/image2.png"/><Relationship Id="rId39"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chart" Target="charts/chart12.xml"/><Relationship Id="rId34" Type="http://schemas.openxmlformats.org/officeDocument/2006/relationships/image" Target="media/image10.png"/><Relationship Id="rId42" Type="http://schemas.openxmlformats.org/officeDocument/2006/relationships/image" Target="media/image18.png"/><Relationship Id="rId47"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chart" Target="charts/chart16.xml"/><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image" Target="media/image22.png"/><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chart" Target="charts/chart11.xml"/><Relationship Id="rId29" Type="http://schemas.openxmlformats.org/officeDocument/2006/relationships/image" Target="media/image5.png"/><Relationship Id="rId41"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chart" Target="charts/chart15.xml"/><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image" Target="media/image16.png"/><Relationship Id="rId45" Type="http://schemas.openxmlformats.org/officeDocument/2006/relationships/image" Target="media/image21.png"/><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chart" Target="charts/chart14.xml"/><Relationship Id="rId28" Type="http://schemas.openxmlformats.org/officeDocument/2006/relationships/image" Target="media/image4.png"/><Relationship Id="rId36" Type="http://schemas.openxmlformats.org/officeDocument/2006/relationships/image" Target="media/image12.png"/><Relationship Id="rId49"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chart" Target="charts/chart10.xml"/><Relationship Id="rId31" Type="http://schemas.openxmlformats.org/officeDocument/2006/relationships/image" Target="media/image7.png"/><Relationship Id="rId44"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5.xml"/><Relationship Id="rId22" Type="http://schemas.openxmlformats.org/officeDocument/2006/relationships/chart" Target="charts/chart13.xm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fontTable" Target="fontTable.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Feuil1!$B$16</c:f>
              <c:strCache>
                <c:ptCount val="1"/>
                <c:pt idx="0">
                  <c:v>Net Profit Margin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Feuil1!$A$17:$A$21</c:f>
              <c:numCache>
                <c:formatCode>General</c:formatCode>
                <c:ptCount val="5"/>
                <c:pt idx="0">
                  <c:v>2021</c:v>
                </c:pt>
                <c:pt idx="1">
                  <c:v>2022</c:v>
                </c:pt>
                <c:pt idx="2">
                  <c:v>2023</c:v>
                </c:pt>
                <c:pt idx="3">
                  <c:v>2024</c:v>
                </c:pt>
                <c:pt idx="4">
                  <c:v>2025</c:v>
                </c:pt>
              </c:numCache>
            </c:numRef>
          </c:cat>
          <c:val>
            <c:numRef>
              <c:f>Feuil1!$B$17:$B$21</c:f>
              <c:numCache>
                <c:formatCode>0.00%</c:formatCode>
                <c:ptCount val="5"/>
                <c:pt idx="0">
                  <c:v>7.9299999999999995E-2</c:v>
                </c:pt>
                <c:pt idx="1">
                  <c:v>0.1135</c:v>
                </c:pt>
                <c:pt idx="2">
                  <c:v>0.13</c:v>
                </c:pt>
                <c:pt idx="3">
                  <c:v>9.4600000000000004E-2</c:v>
                </c:pt>
                <c:pt idx="4">
                  <c:v>9.9299999999999999E-2</c:v>
                </c:pt>
              </c:numCache>
            </c:numRef>
          </c:val>
          <c:extLst>
            <c:ext xmlns:c16="http://schemas.microsoft.com/office/drawing/2014/chart" uri="{C3380CC4-5D6E-409C-BE32-E72D297353CC}">
              <c16:uniqueId val="{00000000-2943-4C35-9E4D-4472F9599550}"/>
            </c:ext>
          </c:extLst>
        </c:ser>
        <c:dLbls>
          <c:showLegendKey val="0"/>
          <c:showVal val="0"/>
          <c:showCatName val="0"/>
          <c:showSerName val="0"/>
          <c:showPercent val="0"/>
          <c:showBubbleSize val="0"/>
        </c:dLbls>
        <c:gapWidth val="100"/>
        <c:overlap val="-24"/>
        <c:axId val="423142072"/>
        <c:axId val="544121208"/>
      </c:barChart>
      <c:catAx>
        <c:axId val="42314207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4121208"/>
        <c:crosses val="autoZero"/>
        <c:auto val="1"/>
        <c:lblAlgn val="ctr"/>
        <c:lblOffset val="100"/>
        <c:noMultiLvlLbl val="0"/>
      </c:catAx>
      <c:valAx>
        <c:axId val="544121208"/>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231420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Feuil1!$B$8</c:f>
              <c:strCache>
                <c:ptCount val="1"/>
                <c:pt idx="0">
                  <c:v>Operating Profit Margin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Feuil1!$A$9:$A$13</c:f>
              <c:numCache>
                <c:formatCode>General</c:formatCode>
                <c:ptCount val="5"/>
                <c:pt idx="0">
                  <c:v>2021</c:v>
                </c:pt>
                <c:pt idx="1">
                  <c:v>2022</c:v>
                </c:pt>
                <c:pt idx="2">
                  <c:v>2023</c:v>
                </c:pt>
                <c:pt idx="3">
                  <c:v>2024</c:v>
                </c:pt>
                <c:pt idx="4">
                  <c:v>2025</c:v>
                </c:pt>
              </c:numCache>
            </c:numRef>
          </c:cat>
          <c:val>
            <c:numRef>
              <c:f>Feuil1!$B$9:$B$13</c:f>
              <c:numCache>
                <c:formatCode>0.00%</c:formatCode>
                <c:ptCount val="5"/>
                <c:pt idx="0">
                  <c:v>0.1263</c:v>
                </c:pt>
                <c:pt idx="1">
                  <c:v>0.16669999999999999</c:v>
                </c:pt>
                <c:pt idx="2">
                  <c:v>0.16289999999999999</c:v>
                </c:pt>
                <c:pt idx="3">
                  <c:v>0.15010000000000001</c:v>
                </c:pt>
                <c:pt idx="4">
                  <c:v>0.15820000000000001</c:v>
                </c:pt>
              </c:numCache>
            </c:numRef>
          </c:val>
          <c:extLst>
            <c:ext xmlns:c16="http://schemas.microsoft.com/office/drawing/2014/chart" uri="{C3380CC4-5D6E-409C-BE32-E72D297353CC}">
              <c16:uniqueId val="{00000000-FE93-4ED6-BC84-8846A2E7F7CB}"/>
            </c:ext>
          </c:extLst>
        </c:ser>
        <c:dLbls>
          <c:showLegendKey val="0"/>
          <c:showVal val="0"/>
          <c:showCatName val="0"/>
          <c:showSerName val="0"/>
          <c:showPercent val="0"/>
          <c:showBubbleSize val="0"/>
        </c:dLbls>
        <c:gapWidth val="100"/>
        <c:overlap val="-24"/>
        <c:axId val="544119768"/>
        <c:axId val="544126968"/>
      </c:barChart>
      <c:catAx>
        <c:axId val="54411976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4126968"/>
        <c:crosses val="autoZero"/>
        <c:auto val="1"/>
        <c:lblAlgn val="ctr"/>
        <c:lblOffset val="100"/>
        <c:noMultiLvlLbl val="0"/>
      </c:catAx>
      <c:valAx>
        <c:axId val="544126968"/>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41197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Feuil1!$B$23</c:f>
              <c:strCache>
                <c:ptCount val="1"/>
                <c:pt idx="0">
                  <c:v>Gross Profit Margin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Feuil1!$A$24:$A$28</c:f>
              <c:numCache>
                <c:formatCode>General</c:formatCode>
                <c:ptCount val="5"/>
                <c:pt idx="0">
                  <c:v>2021</c:v>
                </c:pt>
                <c:pt idx="1">
                  <c:v>2022</c:v>
                </c:pt>
                <c:pt idx="2">
                  <c:v>2023</c:v>
                </c:pt>
                <c:pt idx="3">
                  <c:v>2024</c:v>
                </c:pt>
                <c:pt idx="4">
                  <c:v>2025</c:v>
                </c:pt>
              </c:numCache>
            </c:numRef>
          </c:cat>
          <c:val>
            <c:numRef>
              <c:f>Feuil1!$B$24:$B$28</c:f>
              <c:numCache>
                <c:formatCode>0.00%</c:formatCode>
                <c:ptCount val="5"/>
                <c:pt idx="0">
                  <c:v>0.2021</c:v>
                </c:pt>
                <c:pt idx="1">
                  <c:v>0.21940000000000001</c:v>
                </c:pt>
                <c:pt idx="2">
                  <c:v>0.21</c:v>
                </c:pt>
                <c:pt idx="3">
                  <c:v>0.1981</c:v>
                </c:pt>
                <c:pt idx="4">
                  <c:v>0.19939999999999999</c:v>
                </c:pt>
              </c:numCache>
            </c:numRef>
          </c:val>
          <c:extLst>
            <c:ext xmlns:c16="http://schemas.microsoft.com/office/drawing/2014/chart" uri="{C3380CC4-5D6E-409C-BE32-E72D297353CC}">
              <c16:uniqueId val="{00000000-8ECC-4636-B982-30F559D41061}"/>
            </c:ext>
          </c:extLst>
        </c:ser>
        <c:dLbls>
          <c:showLegendKey val="0"/>
          <c:showVal val="0"/>
          <c:showCatName val="0"/>
          <c:showSerName val="0"/>
          <c:showPercent val="0"/>
          <c:showBubbleSize val="0"/>
        </c:dLbls>
        <c:gapWidth val="100"/>
        <c:overlap val="-24"/>
        <c:axId val="544130928"/>
        <c:axId val="544131648"/>
      </c:barChart>
      <c:catAx>
        <c:axId val="54413092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4131648"/>
        <c:crosses val="autoZero"/>
        <c:auto val="1"/>
        <c:lblAlgn val="ctr"/>
        <c:lblOffset val="100"/>
        <c:noMultiLvlLbl val="0"/>
      </c:catAx>
      <c:valAx>
        <c:axId val="544131648"/>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41309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600" b="1" i="0" u="none" strike="noStrike" baseline="0">
                <a:effectLst/>
              </a:rPr>
              <a:t>Return on Capital Employed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Feuil1!$B$1</c:f>
              <c:strCache>
                <c:ptCount val="1"/>
                <c:pt idx="0">
                  <c:v>ROCE</c:v>
                </c:pt>
              </c:strCache>
            </c:strRef>
          </c:tx>
          <c:spPr>
            <a:gradFill rotWithShape="1">
              <a:gsLst>
                <a:gs pos="0">
                  <a:schemeClr val="accent1">
                    <a:tint val="100000"/>
                    <a:shade val="100000"/>
                    <a:satMod val="130000"/>
                  </a:schemeClr>
                </a:gs>
                <a:gs pos="100000">
                  <a:schemeClr val="accent1">
                    <a:tint val="50000"/>
                    <a:shade val="100000"/>
                    <a:satMod val="350000"/>
                  </a:schemeClr>
                </a:gs>
              </a:gsLst>
              <a:lin ang="16200000" scaled="0"/>
            </a:gradFill>
            <a:ln>
              <a:noFill/>
            </a:ln>
            <a:effectLst>
              <a:outerShdw blurRad="40000" dist="23000" dir="5400000" rotWithShape="0">
                <a:srgbClr val="000000">
                  <a:alpha val="35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Feuil1!$A$2:$A$6</c:f>
              <c:numCache>
                <c:formatCode>General</c:formatCode>
                <c:ptCount val="5"/>
                <c:pt idx="0">
                  <c:v>2021</c:v>
                </c:pt>
                <c:pt idx="1">
                  <c:v>2022</c:v>
                </c:pt>
                <c:pt idx="2">
                  <c:v>2023</c:v>
                </c:pt>
                <c:pt idx="3">
                  <c:v>2024</c:v>
                </c:pt>
                <c:pt idx="4">
                  <c:v>2025</c:v>
                </c:pt>
              </c:numCache>
            </c:numRef>
          </c:cat>
          <c:val>
            <c:numRef>
              <c:f>Feuil1!$B$2:$B$6</c:f>
              <c:numCache>
                <c:formatCode>0.00%</c:formatCode>
                <c:ptCount val="5"/>
                <c:pt idx="0">
                  <c:v>9.1399999999999995E-2</c:v>
                </c:pt>
                <c:pt idx="1">
                  <c:v>0.19819999999999999</c:v>
                </c:pt>
                <c:pt idx="2">
                  <c:v>0.2157</c:v>
                </c:pt>
                <c:pt idx="3">
                  <c:v>0.21490000000000001</c:v>
                </c:pt>
                <c:pt idx="4">
                  <c:v>0.21629999999999999</c:v>
                </c:pt>
              </c:numCache>
            </c:numRef>
          </c:val>
          <c:extLst>
            <c:ext xmlns:c16="http://schemas.microsoft.com/office/drawing/2014/chart" uri="{C3380CC4-5D6E-409C-BE32-E72D297353CC}">
              <c16:uniqueId val="{00000000-FD25-4AE8-B678-2ACC82F4E8E3}"/>
            </c:ext>
          </c:extLst>
        </c:ser>
        <c:dLbls>
          <c:dLblPos val="outEnd"/>
          <c:showLegendKey val="0"/>
          <c:showVal val="1"/>
          <c:showCatName val="0"/>
          <c:showSerName val="0"/>
          <c:showPercent val="0"/>
          <c:showBubbleSize val="0"/>
        </c:dLbls>
        <c:gapWidth val="100"/>
        <c:overlap val="-24"/>
        <c:axId val="423380184"/>
        <c:axId val="423380904"/>
      </c:barChart>
      <c:catAx>
        <c:axId val="42338018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23380904"/>
        <c:crosses val="autoZero"/>
        <c:auto val="1"/>
        <c:lblAlgn val="ctr"/>
        <c:lblOffset val="100"/>
        <c:noMultiLvlLbl val="0"/>
      </c:catAx>
      <c:valAx>
        <c:axId val="423380904"/>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233801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Feuil2!$B$1</c:f>
              <c:strCache>
                <c:ptCount val="1"/>
                <c:pt idx="0">
                  <c:v>Current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Feuil2!$A$2:$A$6</c:f>
              <c:numCache>
                <c:formatCode>General</c:formatCode>
                <c:ptCount val="5"/>
                <c:pt idx="0">
                  <c:v>2021</c:v>
                </c:pt>
                <c:pt idx="1">
                  <c:v>2022</c:v>
                </c:pt>
                <c:pt idx="2">
                  <c:v>2023</c:v>
                </c:pt>
                <c:pt idx="3">
                  <c:v>2024</c:v>
                </c:pt>
                <c:pt idx="4">
                  <c:v>2025</c:v>
                </c:pt>
              </c:numCache>
            </c:numRef>
          </c:cat>
          <c:val>
            <c:numRef>
              <c:f>Feuil2!$B$2:$B$6</c:f>
              <c:numCache>
                <c:formatCode>General</c:formatCode>
                <c:ptCount val="5"/>
                <c:pt idx="0">
                  <c:v>0.56999999999999995</c:v>
                </c:pt>
                <c:pt idx="1">
                  <c:v>0.45</c:v>
                </c:pt>
                <c:pt idx="2">
                  <c:v>0.43</c:v>
                </c:pt>
                <c:pt idx="3">
                  <c:v>0.4</c:v>
                </c:pt>
                <c:pt idx="4">
                  <c:v>0.43</c:v>
                </c:pt>
              </c:numCache>
            </c:numRef>
          </c:val>
          <c:extLst>
            <c:ext xmlns:c16="http://schemas.microsoft.com/office/drawing/2014/chart" uri="{C3380CC4-5D6E-409C-BE32-E72D297353CC}">
              <c16:uniqueId val="{00000000-9381-4540-BC9B-52E2AACA5456}"/>
            </c:ext>
          </c:extLst>
        </c:ser>
        <c:dLbls>
          <c:showLegendKey val="0"/>
          <c:showVal val="0"/>
          <c:showCatName val="0"/>
          <c:showSerName val="0"/>
          <c:showPercent val="0"/>
          <c:showBubbleSize val="0"/>
        </c:dLbls>
        <c:gapWidth val="100"/>
        <c:overlap val="-24"/>
        <c:axId val="543221960"/>
        <c:axId val="543222320"/>
      </c:barChart>
      <c:catAx>
        <c:axId val="54322196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3222320"/>
        <c:crosses val="autoZero"/>
        <c:auto val="1"/>
        <c:lblAlgn val="ctr"/>
        <c:lblOffset val="100"/>
        <c:noMultiLvlLbl val="0"/>
      </c:catAx>
      <c:valAx>
        <c:axId val="54322232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3221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Feuil2!$B$9</c:f>
              <c:strCache>
                <c:ptCount val="1"/>
                <c:pt idx="0">
                  <c:v>Quick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Feuil2!$A$10:$A$14</c:f>
              <c:numCache>
                <c:formatCode>General</c:formatCode>
                <c:ptCount val="5"/>
                <c:pt idx="0">
                  <c:v>2021</c:v>
                </c:pt>
                <c:pt idx="1">
                  <c:v>2022</c:v>
                </c:pt>
                <c:pt idx="2">
                  <c:v>2023</c:v>
                </c:pt>
                <c:pt idx="3">
                  <c:v>2024</c:v>
                </c:pt>
                <c:pt idx="4">
                  <c:v>2025</c:v>
                </c:pt>
              </c:numCache>
            </c:numRef>
          </c:cat>
          <c:val>
            <c:numRef>
              <c:f>Feuil2!$B$10:$B$14</c:f>
              <c:numCache>
                <c:formatCode>General</c:formatCode>
                <c:ptCount val="5"/>
                <c:pt idx="0">
                  <c:v>0.53</c:v>
                </c:pt>
                <c:pt idx="1">
                  <c:v>0.42</c:v>
                </c:pt>
                <c:pt idx="2">
                  <c:v>0.39</c:v>
                </c:pt>
                <c:pt idx="3">
                  <c:v>0.37</c:v>
                </c:pt>
                <c:pt idx="4">
                  <c:v>0.39</c:v>
                </c:pt>
              </c:numCache>
            </c:numRef>
          </c:val>
          <c:extLst>
            <c:ext xmlns:c16="http://schemas.microsoft.com/office/drawing/2014/chart" uri="{C3380CC4-5D6E-409C-BE32-E72D297353CC}">
              <c16:uniqueId val="{00000000-C814-4907-99FB-A3A2B627EE05}"/>
            </c:ext>
          </c:extLst>
        </c:ser>
        <c:dLbls>
          <c:showLegendKey val="0"/>
          <c:showVal val="0"/>
          <c:showCatName val="0"/>
          <c:showSerName val="0"/>
          <c:showPercent val="0"/>
          <c:showBubbleSize val="0"/>
        </c:dLbls>
        <c:gapWidth val="100"/>
        <c:overlap val="-24"/>
        <c:axId val="543234920"/>
        <c:axId val="543235280"/>
      </c:barChart>
      <c:catAx>
        <c:axId val="54323492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3235280"/>
        <c:crosses val="autoZero"/>
        <c:auto val="1"/>
        <c:lblAlgn val="ctr"/>
        <c:lblOffset val="100"/>
        <c:noMultiLvlLbl val="0"/>
      </c:catAx>
      <c:valAx>
        <c:axId val="54323528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32349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Feuil2!$B$16</c:f>
              <c:strCache>
                <c:ptCount val="1"/>
                <c:pt idx="0">
                  <c:v>Cash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Feuil2!$A$17:$A$21</c:f>
              <c:numCache>
                <c:formatCode>General</c:formatCode>
                <c:ptCount val="5"/>
                <c:pt idx="0">
                  <c:v>2021</c:v>
                </c:pt>
                <c:pt idx="1">
                  <c:v>2022</c:v>
                </c:pt>
                <c:pt idx="2">
                  <c:v>2023</c:v>
                </c:pt>
                <c:pt idx="3">
                  <c:v>2024</c:v>
                </c:pt>
                <c:pt idx="4">
                  <c:v>2025</c:v>
                </c:pt>
              </c:numCache>
            </c:numRef>
          </c:cat>
          <c:val>
            <c:numRef>
              <c:f>Feuil2!$B$17:$B$21</c:f>
              <c:numCache>
                <c:formatCode>General</c:formatCode>
                <c:ptCount val="5"/>
                <c:pt idx="0">
                  <c:v>0.22</c:v>
                </c:pt>
                <c:pt idx="1">
                  <c:v>7.0000000000000007E-2</c:v>
                </c:pt>
                <c:pt idx="2">
                  <c:v>0.04</c:v>
                </c:pt>
                <c:pt idx="3">
                  <c:v>0.05</c:v>
                </c:pt>
                <c:pt idx="4">
                  <c:v>0.04</c:v>
                </c:pt>
              </c:numCache>
            </c:numRef>
          </c:val>
          <c:extLst>
            <c:ext xmlns:c16="http://schemas.microsoft.com/office/drawing/2014/chart" uri="{C3380CC4-5D6E-409C-BE32-E72D297353CC}">
              <c16:uniqueId val="{00000000-BCCD-448A-943C-ACEF32B3EC5E}"/>
            </c:ext>
          </c:extLst>
        </c:ser>
        <c:dLbls>
          <c:showLegendKey val="0"/>
          <c:showVal val="0"/>
          <c:showCatName val="0"/>
          <c:showSerName val="0"/>
          <c:showPercent val="0"/>
          <c:showBubbleSize val="0"/>
        </c:dLbls>
        <c:gapWidth val="100"/>
        <c:overlap val="-24"/>
        <c:axId val="543229160"/>
        <c:axId val="543219440"/>
      </c:barChart>
      <c:catAx>
        <c:axId val="54322916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3219440"/>
        <c:crosses val="autoZero"/>
        <c:auto val="1"/>
        <c:lblAlgn val="ctr"/>
        <c:lblOffset val="100"/>
        <c:noMultiLvlLbl val="0"/>
      </c:catAx>
      <c:valAx>
        <c:axId val="54321944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3229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Feuil3!$B$9</c:f>
              <c:strCache>
                <c:ptCount val="1"/>
                <c:pt idx="0">
                  <c:v>Days Sales Outstanding (days)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Feuil3!$A$10:$A$14</c:f>
              <c:numCache>
                <c:formatCode>General</c:formatCode>
                <c:ptCount val="5"/>
                <c:pt idx="0">
                  <c:v>2021</c:v>
                </c:pt>
                <c:pt idx="1">
                  <c:v>2022</c:v>
                </c:pt>
                <c:pt idx="2">
                  <c:v>2023</c:v>
                </c:pt>
                <c:pt idx="3">
                  <c:v>2024</c:v>
                </c:pt>
                <c:pt idx="4">
                  <c:v>2025</c:v>
                </c:pt>
              </c:numCache>
            </c:numRef>
          </c:cat>
          <c:val>
            <c:numRef>
              <c:f>Feuil3!$B$10:$B$14</c:f>
              <c:numCache>
                <c:formatCode>General</c:formatCode>
                <c:ptCount val="5"/>
                <c:pt idx="0">
                  <c:v>52.2</c:v>
                </c:pt>
                <c:pt idx="1">
                  <c:v>45.2</c:v>
                </c:pt>
                <c:pt idx="2">
                  <c:v>41.7</c:v>
                </c:pt>
                <c:pt idx="3">
                  <c:v>40.6</c:v>
                </c:pt>
                <c:pt idx="4">
                  <c:v>40.5</c:v>
                </c:pt>
              </c:numCache>
            </c:numRef>
          </c:val>
          <c:extLst>
            <c:ext xmlns:c16="http://schemas.microsoft.com/office/drawing/2014/chart" uri="{C3380CC4-5D6E-409C-BE32-E72D297353CC}">
              <c16:uniqueId val="{00000000-6570-41BB-B781-4800C23A8F71}"/>
            </c:ext>
          </c:extLst>
        </c:ser>
        <c:dLbls>
          <c:showLegendKey val="0"/>
          <c:showVal val="0"/>
          <c:showCatName val="0"/>
          <c:showSerName val="0"/>
          <c:showPercent val="0"/>
          <c:showBubbleSize val="0"/>
        </c:dLbls>
        <c:gapWidth val="100"/>
        <c:overlap val="-24"/>
        <c:axId val="577412192"/>
        <c:axId val="577412912"/>
      </c:barChart>
      <c:catAx>
        <c:axId val="57741219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7412912"/>
        <c:crosses val="autoZero"/>
        <c:auto val="1"/>
        <c:lblAlgn val="ctr"/>
        <c:lblOffset val="100"/>
        <c:noMultiLvlLbl val="0"/>
      </c:catAx>
      <c:valAx>
        <c:axId val="57741291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74121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Feuil3!$B$1</c:f>
              <c:strCache>
                <c:ptCount val="1"/>
                <c:pt idx="0">
                  <c:v>Days Payables Outstanding (days)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Feuil3!$A$2:$A$6</c:f>
              <c:numCache>
                <c:formatCode>General</c:formatCode>
                <c:ptCount val="5"/>
                <c:pt idx="0">
                  <c:v>2021</c:v>
                </c:pt>
                <c:pt idx="1">
                  <c:v>2022</c:v>
                </c:pt>
                <c:pt idx="2">
                  <c:v>2023</c:v>
                </c:pt>
                <c:pt idx="3">
                  <c:v>2024</c:v>
                </c:pt>
                <c:pt idx="4">
                  <c:v>2025</c:v>
                </c:pt>
              </c:numCache>
            </c:numRef>
          </c:cat>
          <c:val>
            <c:numRef>
              <c:f>Feuil3!$B$2:$B$6</c:f>
              <c:numCache>
                <c:formatCode>General</c:formatCode>
                <c:ptCount val="5"/>
                <c:pt idx="0">
                  <c:v>24</c:v>
                </c:pt>
                <c:pt idx="1">
                  <c:v>16.8</c:v>
                </c:pt>
                <c:pt idx="2">
                  <c:v>14.4</c:v>
                </c:pt>
                <c:pt idx="3">
                  <c:v>13.8</c:v>
                </c:pt>
                <c:pt idx="4">
                  <c:v>14.2</c:v>
                </c:pt>
              </c:numCache>
            </c:numRef>
          </c:val>
          <c:extLst>
            <c:ext xmlns:c16="http://schemas.microsoft.com/office/drawing/2014/chart" uri="{C3380CC4-5D6E-409C-BE32-E72D297353CC}">
              <c16:uniqueId val="{00000000-C948-4AF9-A561-BDCD9E95D2A9}"/>
            </c:ext>
          </c:extLst>
        </c:ser>
        <c:dLbls>
          <c:showLegendKey val="0"/>
          <c:showVal val="0"/>
          <c:showCatName val="0"/>
          <c:showSerName val="0"/>
          <c:showPercent val="0"/>
          <c:showBubbleSize val="0"/>
        </c:dLbls>
        <c:gapWidth val="100"/>
        <c:overlap val="-24"/>
        <c:axId val="577416872"/>
        <c:axId val="577419392"/>
      </c:barChart>
      <c:catAx>
        <c:axId val="57741687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7419392"/>
        <c:crosses val="autoZero"/>
        <c:auto val="1"/>
        <c:lblAlgn val="ctr"/>
        <c:lblOffset val="100"/>
        <c:noMultiLvlLbl val="0"/>
      </c:catAx>
      <c:valAx>
        <c:axId val="57741939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74168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Feuil3!$E$2</c:f>
              <c:strCache>
                <c:ptCount val="1"/>
                <c:pt idx="0">
                  <c:v>Debt-to-Assets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Feuil3!$D$3:$D$7</c:f>
              <c:numCache>
                <c:formatCode>General</c:formatCode>
                <c:ptCount val="5"/>
                <c:pt idx="0">
                  <c:v>2021</c:v>
                </c:pt>
                <c:pt idx="1">
                  <c:v>2022</c:v>
                </c:pt>
                <c:pt idx="2">
                  <c:v>2023</c:v>
                </c:pt>
                <c:pt idx="3">
                  <c:v>2024</c:v>
                </c:pt>
                <c:pt idx="4">
                  <c:v>2025</c:v>
                </c:pt>
              </c:numCache>
            </c:numRef>
          </c:cat>
          <c:val>
            <c:numRef>
              <c:f>Feuil3!$E$3:$E$7</c:f>
              <c:numCache>
                <c:formatCode>0.00%</c:formatCode>
                <c:ptCount val="5"/>
                <c:pt idx="0">
                  <c:v>0.39700000000000002</c:v>
                </c:pt>
                <c:pt idx="1">
                  <c:v>0.40600000000000003</c:v>
                </c:pt>
                <c:pt idx="2">
                  <c:v>0.46200000000000002</c:v>
                </c:pt>
                <c:pt idx="3">
                  <c:v>0.55200000000000005</c:v>
                </c:pt>
                <c:pt idx="4">
                  <c:v>0.58799999999999997</c:v>
                </c:pt>
              </c:numCache>
            </c:numRef>
          </c:val>
          <c:extLst>
            <c:ext xmlns:c16="http://schemas.microsoft.com/office/drawing/2014/chart" uri="{C3380CC4-5D6E-409C-BE32-E72D297353CC}">
              <c16:uniqueId val="{00000000-33E2-4166-9967-3FA788055741}"/>
            </c:ext>
          </c:extLst>
        </c:ser>
        <c:dLbls>
          <c:showLegendKey val="0"/>
          <c:showVal val="0"/>
          <c:showCatName val="0"/>
          <c:showSerName val="0"/>
          <c:showPercent val="0"/>
          <c:showBubbleSize val="0"/>
        </c:dLbls>
        <c:gapWidth val="100"/>
        <c:overlap val="-24"/>
        <c:axId val="417790896"/>
        <c:axId val="581834664"/>
      </c:barChart>
      <c:catAx>
        <c:axId val="41779089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1834664"/>
        <c:crosses val="autoZero"/>
        <c:auto val="1"/>
        <c:lblAlgn val="ctr"/>
        <c:lblOffset val="100"/>
        <c:noMultiLvlLbl val="0"/>
      </c:catAx>
      <c:valAx>
        <c:axId val="581834664"/>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177908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Feuil3!$E$9</c:f>
              <c:strCache>
                <c:ptCount val="1"/>
                <c:pt idx="0">
                  <c:v>Debt-to-Equity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Feuil3!$D$10:$D$15</c:f>
              <c:numCache>
                <c:formatCode>General</c:formatCode>
                <c:ptCount val="6"/>
                <c:pt idx="0">
                  <c:v>2021</c:v>
                </c:pt>
                <c:pt idx="1">
                  <c:v>2022</c:v>
                </c:pt>
                <c:pt idx="2">
                  <c:v>2023</c:v>
                </c:pt>
                <c:pt idx="3">
                  <c:v>2024</c:v>
                </c:pt>
                <c:pt idx="4">
                  <c:v>2025</c:v>
                </c:pt>
              </c:numCache>
            </c:numRef>
          </c:cat>
          <c:val>
            <c:numRef>
              <c:f>Feuil3!$E$10:$E$15</c:f>
              <c:numCache>
                <c:formatCode>0.00%</c:formatCode>
                <c:ptCount val="6"/>
                <c:pt idx="0">
                  <c:v>7.1669999999999998</c:v>
                </c:pt>
                <c:pt idx="1">
                  <c:v>17.683</c:v>
                </c:pt>
              </c:numCache>
            </c:numRef>
          </c:val>
          <c:extLst>
            <c:ext xmlns:c16="http://schemas.microsoft.com/office/drawing/2014/chart" uri="{C3380CC4-5D6E-409C-BE32-E72D297353CC}">
              <c16:uniqueId val="{00000000-C6F8-4A92-801A-96A690332489}"/>
            </c:ext>
          </c:extLst>
        </c:ser>
        <c:dLbls>
          <c:showLegendKey val="0"/>
          <c:showVal val="0"/>
          <c:showCatName val="0"/>
          <c:showSerName val="0"/>
          <c:showPercent val="0"/>
          <c:showBubbleSize val="0"/>
        </c:dLbls>
        <c:gapWidth val="100"/>
        <c:overlap val="-24"/>
        <c:axId val="419812416"/>
        <c:axId val="581832864"/>
      </c:barChart>
      <c:catAx>
        <c:axId val="41981241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1832864"/>
        <c:crosses val="autoZero"/>
        <c:auto val="1"/>
        <c:lblAlgn val="ctr"/>
        <c:lblOffset val="100"/>
        <c:noMultiLvlLbl val="0"/>
      </c:catAx>
      <c:valAx>
        <c:axId val="581832864"/>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19812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Feuil3!$E$16</c:f>
              <c:strCache>
                <c:ptCount val="1"/>
                <c:pt idx="0">
                  <c:v>Interest Coverage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Feuil3!$D$17:$D$21</c:f>
              <c:numCache>
                <c:formatCode>General</c:formatCode>
                <c:ptCount val="5"/>
                <c:pt idx="0">
                  <c:v>2021</c:v>
                </c:pt>
                <c:pt idx="1">
                  <c:v>2022</c:v>
                </c:pt>
                <c:pt idx="2">
                  <c:v>2023</c:v>
                </c:pt>
                <c:pt idx="3">
                  <c:v>2024</c:v>
                </c:pt>
                <c:pt idx="4">
                  <c:v>2025</c:v>
                </c:pt>
              </c:numCache>
            </c:numRef>
          </c:cat>
          <c:val>
            <c:numRef>
              <c:f>Feuil3!$E$17:$E$21</c:f>
              <c:numCache>
                <c:formatCode>General</c:formatCode>
                <c:ptCount val="5"/>
                <c:pt idx="0">
                  <c:v>4.17</c:v>
                </c:pt>
                <c:pt idx="1">
                  <c:v>8.59</c:v>
                </c:pt>
                <c:pt idx="2">
                  <c:v>6.84</c:v>
                </c:pt>
                <c:pt idx="3">
                  <c:v>5.42</c:v>
                </c:pt>
                <c:pt idx="4">
                  <c:v>5.12</c:v>
                </c:pt>
              </c:numCache>
            </c:numRef>
          </c:val>
          <c:extLst>
            <c:ext xmlns:c16="http://schemas.microsoft.com/office/drawing/2014/chart" uri="{C3380CC4-5D6E-409C-BE32-E72D297353CC}">
              <c16:uniqueId val="{00000000-D807-4760-88D4-A28B95A4C44D}"/>
            </c:ext>
          </c:extLst>
        </c:ser>
        <c:dLbls>
          <c:dLblPos val="outEnd"/>
          <c:showLegendKey val="0"/>
          <c:showVal val="1"/>
          <c:showCatName val="0"/>
          <c:showSerName val="0"/>
          <c:showPercent val="0"/>
          <c:showBubbleSize val="0"/>
        </c:dLbls>
        <c:gapWidth val="100"/>
        <c:overlap val="-24"/>
        <c:axId val="540177800"/>
        <c:axId val="540173120"/>
      </c:barChart>
      <c:catAx>
        <c:axId val="54017780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0173120"/>
        <c:crosses val="autoZero"/>
        <c:auto val="1"/>
        <c:lblAlgn val="ctr"/>
        <c:lblOffset val="100"/>
        <c:noMultiLvlLbl val="0"/>
      </c:catAx>
      <c:valAx>
        <c:axId val="54017312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01778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Feuil4!$B$1</c:f>
              <c:strCache>
                <c:ptCount val="1"/>
                <c:pt idx="0">
                  <c:v>Diluted EPS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Feuil4!$A$2:$A$6</c:f>
              <c:numCache>
                <c:formatCode>General</c:formatCode>
                <c:ptCount val="5"/>
                <c:pt idx="0">
                  <c:v>2021</c:v>
                </c:pt>
                <c:pt idx="1">
                  <c:v>2022</c:v>
                </c:pt>
                <c:pt idx="2">
                  <c:v>2023</c:v>
                </c:pt>
                <c:pt idx="3">
                  <c:v>2024</c:v>
                </c:pt>
                <c:pt idx="4">
                  <c:v>2025</c:v>
                </c:pt>
              </c:numCache>
            </c:numRef>
          </c:cat>
          <c:val>
            <c:numRef>
              <c:f>Feuil4!$B$2:$B$6</c:f>
              <c:numCache>
                <c:formatCode>General</c:formatCode>
                <c:ptCount val="5"/>
                <c:pt idx="0">
                  <c:v>3.34</c:v>
                </c:pt>
                <c:pt idx="1">
                  <c:v>7.24</c:v>
                </c:pt>
                <c:pt idx="2">
                  <c:v>10.18</c:v>
                </c:pt>
                <c:pt idx="3">
                  <c:v>8.33</c:v>
                </c:pt>
                <c:pt idx="4">
                  <c:v>9.51</c:v>
                </c:pt>
              </c:numCache>
            </c:numRef>
          </c:val>
          <c:extLst>
            <c:ext xmlns:c16="http://schemas.microsoft.com/office/drawing/2014/chart" uri="{C3380CC4-5D6E-409C-BE32-E72D297353CC}">
              <c16:uniqueId val="{00000000-DF8A-4419-A520-7BABDEDCF364}"/>
            </c:ext>
          </c:extLst>
        </c:ser>
        <c:dLbls>
          <c:showLegendKey val="0"/>
          <c:showVal val="0"/>
          <c:showCatName val="0"/>
          <c:showSerName val="0"/>
          <c:showPercent val="0"/>
          <c:showBubbleSize val="0"/>
        </c:dLbls>
        <c:gapWidth val="100"/>
        <c:overlap val="-24"/>
        <c:axId val="540181400"/>
        <c:axId val="540183200"/>
      </c:barChart>
      <c:catAx>
        <c:axId val="54018140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0183200"/>
        <c:crosses val="autoZero"/>
        <c:auto val="1"/>
        <c:lblAlgn val="ctr"/>
        <c:lblOffset val="100"/>
        <c:noMultiLvlLbl val="0"/>
      </c:catAx>
      <c:valAx>
        <c:axId val="54018320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01814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Feuil4!$B$15</c:f>
              <c:strCache>
                <c:ptCount val="1"/>
                <c:pt idx="0">
                  <c:v>P/E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Feuil4!$A$16:$A$20</c:f>
              <c:numCache>
                <c:formatCode>General</c:formatCode>
                <c:ptCount val="5"/>
                <c:pt idx="0">
                  <c:v>2021</c:v>
                </c:pt>
                <c:pt idx="1">
                  <c:v>2022</c:v>
                </c:pt>
                <c:pt idx="2">
                  <c:v>2023</c:v>
                </c:pt>
                <c:pt idx="3">
                  <c:v>2024</c:v>
                </c:pt>
                <c:pt idx="4">
                  <c:v>2025</c:v>
                </c:pt>
              </c:numCache>
            </c:numRef>
          </c:cat>
          <c:val>
            <c:numRef>
              <c:f>Feuil4!$B$16:$B$20</c:f>
              <c:numCache>
                <c:formatCode>General</c:formatCode>
                <c:ptCount val="5"/>
                <c:pt idx="0">
                  <c:v>49.47</c:v>
                </c:pt>
                <c:pt idx="1">
                  <c:v>20.56</c:v>
                </c:pt>
                <c:pt idx="2">
                  <c:v>22.15</c:v>
                </c:pt>
                <c:pt idx="3">
                  <c:v>33.49</c:v>
                </c:pt>
                <c:pt idx="4">
                  <c:v>32.619999999999997</c:v>
                </c:pt>
              </c:numCache>
            </c:numRef>
          </c:val>
          <c:extLst>
            <c:ext xmlns:c16="http://schemas.microsoft.com/office/drawing/2014/chart" uri="{C3380CC4-5D6E-409C-BE32-E72D297353CC}">
              <c16:uniqueId val="{00000000-CFE2-44C5-B841-3276624F5F95}"/>
            </c:ext>
          </c:extLst>
        </c:ser>
        <c:dLbls>
          <c:showLegendKey val="0"/>
          <c:showVal val="0"/>
          <c:showCatName val="0"/>
          <c:showSerName val="0"/>
          <c:showPercent val="0"/>
          <c:showBubbleSize val="0"/>
        </c:dLbls>
        <c:gapWidth val="100"/>
        <c:overlap val="-24"/>
        <c:axId val="540158000"/>
        <c:axId val="540163760"/>
      </c:barChart>
      <c:catAx>
        <c:axId val="54015800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0163760"/>
        <c:crosses val="autoZero"/>
        <c:auto val="1"/>
        <c:lblAlgn val="ctr"/>
        <c:lblOffset val="100"/>
        <c:noMultiLvlLbl val="0"/>
      </c:catAx>
      <c:valAx>
        <c:axId val="54016376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01580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Feuil4!$E$16</c:f>
              <c:strCache>
                <c:ptCount val="1"/>
                <c:pt idx="0">
                  <c:v>Dividend Yield</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Feuil4!$D$17:$D$21</c:f>
              <c:numCache>
                <c:formatCode>General</c:formatCode>
                <c:ptCount val="5"/>
                <c:pt idx="0">
                  <c:v>2021</c:v>
                </c:pt>
                <c:pt idx="1">
                  <c:v>2022</c:v>
                </c:pt>
                <c:pt idx="2">
                  <c:v>2023</c:v>
                </c:pt>
                <c:pt idx="3">
                  <c:v>2024</c:v>
                </c:pt>
                <c:pt idx="4">
                  <c:v>2025</c:v>
                </c:pt>
              </c:numCache>
            </c:numRef>
          </c:cat>
          <c:val>
            <c:numRef>
              <c:f>Feuil4!$E$17:$E$21</c:f>
              <c:numCache>
                <c:formatCode>0.00%</c:formatCode>
                <c:ptCount val="5"/>
                <c:pt idx="0">
                  <c:v>0</c:v>
                </c:pt>
                <c:pt idx="1">
                  <c:v>6.7000000000000002E-3</c:v>
                </c:pt>
                <c:pt idx="2">
                  <c:v>8.6999999999999994E-3</c:v>
                </c:pt>
                <c:pt idx="3">
                  <c:v>8.6E-3</c:v>
                </c:pt>
                <c:pt idx="4">
                  <c:v>8.5000000000000006E-3</c:v>
                </c:pt>
              </c:numCache>
            </c:numRef>
          </c:val>
          <c:extLst>
            <c:ext xmlns:c16="http://schemas.microsoft.com/office/drawing/2014/chart" uri="{C3380CC4-5D6E-409C-BE32-E72D297353CC}">
              <c16:uniqueId val="{00000000-0962-4FCA-B732-61EA98F02EC9}"/>
            </c:ext>
          </c:extLst>
        </c:ser>
        <c:dLbls>
          <c:showLegendKey val="0"/>
          <c:showVal val="0"/>
          <c:showCatName val="0"/>
          <c:showSerName val="0"/>
          <c:showPercent val="0"/>
          <c:showBubbleSize val="0"/>
        </c:dLbls>
        <c:gapWidth val="100"/>
        <c:overlap val="-24"/>
        <c:axId val="581834304"/>
        <c:axId val="581843304"/>
      </c:barChart>
      <c:catAx>
        <c:axId val="58183430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1843304"/>
        <c:crosses val="autoZero"/>
        <c:auto val="1"/>
        <c:lblAlgn val="ctr"/>
        <c:lblOffset val="100"/>
        <c:noMultiLvlLbl val="0"/>
      </c:catAx>
      <c:valAx>
        <c:axId val="581843304"/>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1834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Feuil5!$B$25</c:f>
              <c:strCache>
                <c:ptCount val="1"/>
                <c:pt idx="0">
                  <c:v>Net Working Capital ($m)</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Feuil5!$A$26:$A$30</c:f>
              <c:numCache>
                <c:formatCode>General</c:formatCode>
                <c:ptCount val="5"/>
                <c:pt idx="0">
                  <c:v>2021</c:v>
                </c:pt>
                <c:pt idx="1">
                  <c:v>2022</c:v>
                </c:pt>
                <c:pt idx="2">
                  <c:v>2023</c:v>
                </c:pt>
                <c:pt idx="3">
                  <c:v>2024</c:v>
                </c:pt>
                <c:pt idx="4">
                  <c:v>2025</c:v>
                </c:pt>
              </c:numCache>
            </c:numRef>
          </c:cat>
          <c:val>
            <c:numRef>
              <c:f>Feuil5!$B$26:$B$30</c:f>
              <c:numCache>
                <c:formatCode>#,##0</c:formatCode>
                <c:ptCount val="5"/>
                <c:pt idx="0">
                  <c:v>-2781</c:v>
                </c:pt>
                <c:pt idx="1">
                  <c:v>-4026</c:v>
                </c:pt>
                <c:pt idx="2">
                  <c:v>-4451</c:v>
                </c:pt>
                <c:pt idx="3">
                  <c:v>-5164</c:v>
                </c:pt>
                <c:pt idx="4">
                  <c:v>-4814</c:v>
                </c:pt>
              </c:numCache>
            </c:numRef>
          </c:val>
          <c:extLst>
            <c:ext xmlns:c16="http://schemas.microsoft.com/office/drawing/2014/chart" uri="{C3380CC4-5D6E-409C-BE32-E72D297353CC}">
              <c16:uniqueId val="{00000000-06F3-4E69-BA11-C309B54C8B7F}"/>
            </c:ext>
          </c:extLst>
        </c:ser>
        <c:dLbls>
          <c:showLegendKey val="0"/>
          <c:showVal val="0"/>
          <c:showCatName val="0"/>
          <c:showSerName val="0"/>
          <c:showPercent val="0"/>
          <c:showBubbleSize val="0"/>
        </c:dLbls>
        <c:gapWidth val="100"/>
        <c:overlap val="-24"/>
        <c:axId val="423382704"/>
        <c:axId val="540178160"/>
      </c:barChart>
      <c:catAx>
        <c:axId val="42338270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0178160"/>
        <c:crosses val="autoZero"/>
        <c:auto val="1"/>
        <c:lblAlgn val="ctr"/>
        <c:lblOffset val="100"/>
        <c:noMultiLvlLbl val="0"/>
      </c:catAx>
      <c:valAx>
        <c:axId val="540178160"/>
        <c:scaling>
          <c:orientation val="minMax"/>
        </c:scaling>
        <c:delete val="0"/>
        <c:axPos val="l"/>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233827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9.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0.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5.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6.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1144</TotalTime>
  <Pages>74</Pages>
  <Words>8630</Words>
  <Characters>49195</Characters>
  <Application>Microsoft Office Word</Application>
  <DocSecurity>0</DocSecurity>
  <Lines>409</Lines>
  <Paragraphs>115</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57710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Boubacar Ouedraogo</cp:lastModifiedBy>
  <cp:revision>25</cp:revision>
  <dcterms:created xsi:type="dcterms:W3CDTF">2026-08-09T20:37:00Z</dcterms:created>
  <dcterms:modified xsi:type="dcterms:W3CDTF">2026-08-13T00:56:00Z</dcterms:modified>
  <cp:category/>
</cp:coreProperties>
</file>