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9488B" w:rsidRDefault="0079488B">
      <w:pPr>
        <w:rPr>
          <w:b/>
          <w:sz w:val="36"/>
        </w:rPr>
      </w:pPr>
    </w:p>
    <w:p w:rsidR="0079488B" w:rsidRDefault="0079488B">
      <w:pPr>
        <w:rPr>
          <w:b/>
          <w:sz w:val="36"/>
        </w:rPr>
      </w:pPr>
    </w:p>
    <w:p w:rsidR="0079488B" w:rsidRDefault="0079488B" w:rsidP="0079488B">
      <w:pPr>
        <w:jc w:val="center"/>
        <w:rPr>
          <w:b/>
          <w:sz w:val="36"/>
        </w:rPr>
      </w:pPr>
      <w:r>
        <w:rPr>
          <w:b/>
          <w:noProof/>
          <w:sz w:val="36"/>
          <w:lang w:val="en-GB" w:eastAsia="en-GB"/>
        </w:rPr>
        <w:drawing>
          <wp:inline distT="0" distB="0" distL="0" distR="0" wp14:anchorId="09428072" wp14:editId="57463E06">
            <wp:extent cx="3014980" cy="138096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UWTSD-Logo.png"/>
                    <pic:cNvPicPr/>
                  </pic:nvPicPr>
                  <pic:blipFill>
                    <a:blip r:embed="rId5">
                      <a:extLst>
                        <a:ext uri="{28A0092B-C50C-407E-A947-70E740481C1C}">
                          <a14:useLocalDpi xmlns:a14="http://schemas.microsoft.com/office/drawing/2010/main" val="0"/>
                        </a:ext>
                      </a:extLst>
                    </a:blip>
                    <a:stretch>
                      <a:fillRect/>
                    </a:stretch>
                  </pic:blipFill>
                  <pic:spPr>
                    <a:xfrm>
                      <a:off x="0" y="0"/>
                      <a:ext cx="3057334" cy="1400369"/>
                    </a:xfrm>
                    <a:prstGeom prst="rect">
                      <a:avLst/>
                    </a:prstGeom>
                  </pic:spPr>
                </pic:pic>
              </a:graphicData>
            </a:graphic>
          </wp:inline>
        </w:drawing>
      </w:r>
    </w:p>
    <w:p w:rsidR="0079488B" w:rsidRDefault="0079488B">
      <w:pPr>
        <w:rPr>
          <w:b/>
          <w:sz w:val="36"/>
        </w:rPr>
      </w:pPr>
    </w:p>
    <w:p w:rsidR="0079488B" w:rsidRDefault="0079488B">
      <w:pPr>
        <w:rPr>
          <w:b/>
          <w:sz w:val="36"/>
        </w:rPr>
      </w:pPr>
    </w:p>
    <w:p w:rsidR="00C57F47" w:rsidRDefault="005677FE" w:rsidP="0079488B">
      <w:pPr>
        <w:jc w:val="center"/>
        <w:rPr>
          <w:b/>
          <w:sz w:val="36"/>
        </w:rPr>
      </w:pPr>
      <w:r w:rsidRPr="005677FE">
        <w:rPr>
          <w:b/>
          <w:sz w:val="36"/>
        </w:rPr>
        <w:t>Community Engagement</w:t>
      </w:r>
    </w:p>
    <w:p w:rsidR="005677FE" w:rsidRPr="005677FE" w:rsidRDefault="005677FE" w:rsidP="0079488B">
      <w:pPr>
        <w:jc w:val="center"/>
        <w:rPr>
          <w:b/>
          <w:sz w:val="36"/>
        </w:rPr>
      </w:pPr>
      <w:r w:rsidRPr="005677FE">
        <w:rPr>
          <w:b/>
          <w:sz w:val="36"/>
        </w:rPr>
        <w:t>Green Spaces and Overdevelopment in Hyde Park, Leeds</w:t>
      </w:r>
    </w:p>
    <w:p w:rsidR="005677FE" w:rsidRDefault="005677FE" w:rsidP="0079488B">
      <w:pPr>
        <w:jc w:val="center"/>
        <w:rPr>
          <w:b/>
          <w:sz w:val="36"/>
        </w:rPr>
      </w:pPr>
      <w:r w:rsidRPr="005677FE">
        <w:rPr>
          <w:b/>
          <w:sz w:val="36"/>
        </w:rPr>
        <w:t>Submitted By</w:t>
      </w:r>
    </w:p>
    <w:p w:rsidR="0079488B" w:rsidRDefault="0079488B">
      <w:pPr>
        <w:rPr>
          <w:b/>
          <w:sz w:val="36"/>
        </w:rPr>
      </w:pPr>
      <w:bookmarkStart w:id="0" w:name="_GoBack"/>
      <w:bookmarkEnd w:id="0"/>
    </w:p>
    <w:p w:rsidR="0079488B" w:rsidRDefault="0079488B">
      <w:pPr>
        <w:rPr>
          <w:b/>
          <w:sz w:val="36"/>
        </w:rPr>
      </w:pPr>
    </w:p>
    <w:p w:rsidR="0079488B" w:rsidRDefault="0079488B" w:rsidP="0079488B">
      <w:pPr>
        <w:jc w:val="center"/>
        <w:rPr>
          <w:b/>
          <w:sz w:val="36"/>
        </w:rPr>
      </w:pPr>
      <w:r>
        <w:rPr>
          <w:b/>
          <w:sz w:val="36"/>
        </w:rPr>
        <w:t xml:space="preserve">Valentina </w:t>
      </w:r>
      <w:proofErr w:type="spellStart"/>
      <w:r>
        <w:rPr>
          <w:b/>
          <w:sz w:val="36"/>
        </w:rPr>
        <w:t>Kostadinova</w:t>
      </w:r>
      <w:proofErr w:type="spellEnd"/>
      <w:r>
        <w:rPr>
          <w:b/>
          <w:sz w:val="36"/>
        </w:rPr>
        <w:t xml:space="preserve"> - 2023178371</w:t>
      </w:r>
    </w:p>
    <w:p w:rsidR="005677FE" w:rsidRDefault="005677FE">
      <w:pPr>
        <w:rPr>
          <w:b/>
          <w:sz w:val="36"/>
        </w:rPr>
      </w:pPr>
      <w:r>
        <w:rPr>
          <w:b/>
          <w:sz w:val="36"/>
        </w:rPr>
        <w:br w:type="page"/>
      </w:r>
    </w:p>
    <w:sdt>
      <w:sdtPr>
        <w:rPr>
          <w:rFonts w:asciiTheme="minorHAnsi" w:eastAsiaTheme="minorHAnsi" w:hAnsiTheme="minorHAnsi" w:cstheme="minorBidi"/>
          <w:color w:val="auto"/>
          <w:sz w:val="22"/>
          <w:szCs w:val="22"/>
        </w:rPr>
        <w:id w:val="-80059907"/>
        <w:docPartObj>
          <w:docPartGallery w:val="Table of Contents"/>
          <w:docPartUnique/>
        </w:docPartObj>
      </w:sdtPr>
      <w:sdtEndPr>
        <w:rPr>
          <w:b/>
          <w:bCs/>
          <w:noProof/>
        </w:rPr>
      </w:sdtEndPr>
      <w:sdtContent>
        <w:p w:rsidR="005677FE" w:rsidRDefault="005677FE">
          <w:pPr>
            <w:pStyle w:val="TOCHeading"/>
          </w:pPr>
          <w:r>
            <w:t>Table of Contents</w:t>
          </w:r>
        </w:p>
        <w:p w:rsidR="009735CE" w:rsidRDefault="005677FE">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75330477" w:history="1">
            <w:r w:rsidR="009735CE" w:rsidRPr="00F41CE0">
              <w:rPr>
                <w:rStyle w:val="Hyperlink"/>
                <w:noProof/>
              </w:rPr>
              <w:t>Element 1</w:t>
            </w:r>
            <w:r w:rsidR="009735CE">
              <w:rPr>
                <w:noProof/>
                <w:webHidden/>
              </w:rPr>
              <w:tab/>
            </w:r>
            <w:r w:rsidR="009735CE">
              <w:rPr>
                <w:noProof/>
                <w:webHidden/>
              </w:rPr>
              <w:fldChar w:fldCharType="begin"/>
            </w:r>
            <w:r w:rsidR="009735CE">
              <w:rPr>
                <w:noProof/>
                <w:webHidden/>
              </w:rPr>
              <w:instrText xml:space="preserve"> PAGEREF _Toc175330477 \h </w:instrText>
            </w:r>
            <w:r w:rsidR="009735CE">
              <w:rPr>
                <w:noProof/>
                <w:webHidden/>
              </w:rPr>
            </w:r>
            <w:r w:rsidR="009735CE">
              <w:rPr>
                <w:noProof/>
                <w:webHidden/>
              </w:rPr>
              <w:fldChar w:fldCharType="separate"/>
            </w:r>
            <w:r w:rsidR="009735CE">
              <w:rPr>
                <w:noProof/>
                <w:webHidden/>
              </w:rPr>
              <w:t>3</w:t>
            </w:r>
            <w:r w:rsidR="009735CE">
              <w:rPr>
                <w:noProof/>
                <w:webHidden/>
              </w:rPr>
              <w:fldChar w:fldCharType="end"/>
            </w:r>
          </w:hyperlink>
        </w:p>
        <w:p w:rsidR="009735CE" w:rsidRDefault="00C5200D">
          <w:pPr>
            <w:pStyle w:val="TOC1"/>
            <w:tabs>
              <w:tab w:val="right" w:leader="dot" w:pos="9350"/>
            </w:tabs>
            <w:rPr>
              <w:rFonts w:eastAsiaTheme="minorEastAsia"/>
              <w:noProof/>
            </w:rPr>
          </w:pPr>
          <w:hyperlink w:anchor="_Toc175330478" w:history="1">
            <w:r w:rsidR="009735CE" w:rsidRPr="00F41CE0">
              <w:rPr>
                <w:rStyle w:val="Hyperlink"/>
                <w:noProof/>
              </w:rPr>
              <w:t>Element 2 – Stakeholder Mapping Exercise</w:t>
            </w:r>
            <w:r w:rsidR="009735CE">
              <w:rPr>
                <w:noProof/>
                <w:webHidden/>
              </w:rPr>
              <w:tab/>
            </w:r>
            <w:r w:rsidR="009735CE">
              <w:rPr>
                <w:noProof/>
                <w:webHidden/>
              </w:rPr>
              <w:fldChar w:fldCharType="begin"/>
            </w:r>
            <w:r w:rsidR="009735CE">
              <w:rPr>
                <w:noProof/>
                <w:webHidden/>
              </w:rPr>
              <w:instrText xml:space="preserve"> PAGEREF _Toc175330478 \h </w:instrText>
            </w:r>
            <w:r w:rsidR="009735CE">
              <w:rPr>
                <w:noProof/>
                <w:webHidden/>
              </w:rPr>
            </w:r>
            <w:r w:rsidR="009735CE">
              <w:rPr>
                <w:noProof/>
                <w:webHidden/>
              </w:rPr>
              <w:fldChar w:fldCharType="separate"/>
            </w:r>
            <w:r w:rsidR="009735CE">
              <w:rPr>
                <w:noProof/>
                <w:webHidden/>
              </w:rPr>
              <w:t>6</w:t>
            </w:r>
            <w:r w:rsidR="009735CE">
              <w:rPr>
                <w:noProof/>
                <w:webHidden/>
              </w:rPr>
              <w:fldChar w:fldCharType="end"/>
            </w:r>
          </w:hyperlink>
        </w:p>
        <w:p w:rsidR="009735CE" w:rsidRDefault="00C5200D">
          <w:pPr>
            <w:pStyle w:val="TOC1"/>
            <w:tabs>
              <w:tab w:val="right" w:leader="dot" w:pos="9350"/>
            </w:tabs>
            <w:rPr>
              <w:rFonts w:eastAsiaTheme="minorEastAsia"/>
              <w:noProof/>
            </w:rPr>
          </w:pPr>
          <w:hyperlink w:anchor="_Toc175330479" w:history="1">
            <w:r w:rsidR="009735CE" w:rsidRPr="00F41CE0">
              <w:rPr>
                <w:rStyle w:val="Hyperlink"/>
                <w:noProof/>
              </w:rPr>
              <w:t>Element 3 - Community Engagement Plan</w:t>
            </w:r>
            <w:r w:rsidR="009735CE">
              <w:rPr>
                <w:noProof/>
                <w:webHidden/>
              </w:rPr>
              <w:tab/>
            </w:r>
            <w:r w:rsidR="009735CE">
              <w:rPr>
                <w:noProof/>
                <w:webHidden/>
              </w:rPr>
              <w:fldChar w:fldCharType="begin"/>
            </w:r>
            <w:r w:rsidR="009735CE">
              <w:rPr>
                <w:noProof/>
                <w:webHidden/>
              </w:rPr>
              <w:instrText xml:space="preserve"> PAGEREF _Toc175330479 \h </w:instrText>
            </w:r>
            <w:r w:rsidR="009735CE">
              <w:rPr>
                <w:noProof/>
                <w:webHidden/>
              </w:rPr>
            </w:r>
            <w:r w:rsidR="009735CE">
              <w:rPr>
                <w:noProof/>
                <w:webHidden/>
              </w:rPr>
              <w:fldChar w:fldCharType="separate"/>
            </w:r>
            <w:r w:rsidR="009735CE">
              <w:rPr>
                <w:noProof/>
                <w:webHidden/>
              </w:rPr>
              <w:t>7</w:t>
            </w:r>
            <w:r w:rsidR="009735CE">
              <w:rPr>
                <w:noProof/>
                <w:webHidden/>
              </w:rPr>
              <w:fldChar w:fldCharType="end"/>
            </w:r>
          </w:hyperlink>
        </w:p>
        <w:p w:rsidR="009735CE" w:rsidRDefault="00C5200D">
          <w:pPr>
            <w:pStyle w:val="TOC1"/>
            <w:tabs>
              <w:tab w:val="right" w:leader="dot" w:pos="9350"/>
            </w:tabs>
            <w:rPr>
              <w:rFonts w:eastAsiaTheme="minorEastAsia"/>
              <w:noProof/>
            </w:rPr>
          </w:pPr>
          <w:hyperlink w:anchor="_Toc175330480" w:history="1">
            <w:r w:rsidR="009735CE" w:rsidRPr="00F41CE0">
              <w:rPr>
                <w:rStyle w:val="Hyperlink"/>
                <w:rFonts w:cstheme="minorHAnsi"/>
                <w:noProof/>
              </w:rPr>
              <w:t>Element 4 – Discussion</w:t>
            </w:r>
            <w:r w:rsidR="009735CE">
              <w:rPr>
                <w:noProof/>
                <w:webHidden/>
              </w:rPr>
              <w:tab/>
            </w:r>
            <w:r w:rsidR="009735CE">
              <w:rPr>
                <w:noProof/>
                <w:webHidden/>
              </w:rPr>
              <w:fldChar w:fldCharType="begin"/>
            </w:r>
            <w:r w:rsidR="009735CE">
              <w:rPr>
                <w:noProof/>
                <w:webHidden/>
              </w:rPr>
              <w:instrText xml:space="preserve"> PAGEREF _Toc175330480 \h </w:instrText>
            </w:r>
            <w:r w:rsidR="009735CE">
              <w:rPr>
                <w:noProof/>
                <w:webHidden/>
              </w:rPr>
            </w:r>
            <w:r w:rsidR="009735CE">
              <w:rPr>
                <w:noProof/>
                <w:webHidden/>
              </w:rPr>
              <w:fldChar w:fldCharType="separate"/>
            </w:r>
            <w:r w:rsidR="009735CE">
              <w:rPr>
                <w:noProof/>
                <w:webHidden/>
              </w:rPr>
              <w:t>12</w:t>
            </w:r>
            <w:r w:rsidR="009735CE">
              <w:rPr>
                <w:noProof/>
                <w:webHidden/>
              </w:rPr>
              <w:fldChar w:fldCharType="end"/>
            </w:r>
          </w:hyperlink>
        </w:p>
        <w:p w:rsidR="009735CE" w:rsidRDefault="00C5200D">
          <w:pPr>
            <w:pStyle w:val="TOC1"/>
            <w:tabs>
              <w:tab w:val="right" w:leader="dot" w:pos="9350"/>
            </w:tabs>
            <w:rPr>
              <w:rFonts w:eastAsiaTheme="minorEastAsia"/>
              <w:noProof/>
            </w:rPr>
          </w:pPr>
          <w:hyperlink w:anchor="_Toc175330481" w:history="1">
            <w:r w:rsidR="009735CE" w:rsidRPr="00F41CE0">
              <w:rPr>
                <w:rStyle w:val="Hyperlink"/>
                <w:rFonts w:cstheme="minorHAnsi"/>
                <w:noProof/>
              </w:rPr>
              <w:t>Reference List</w:t>
            </w:r>
            <w:r w:rsidR="009735CE">
              <w:rPr>
                <w:noProof/>
                <w:webHidden/>
              </w:rPr>
              <w:tab/>
            </w:r>
            <w:r w:rsidR="009735CE">
              <w:rPr>
                <w:noProof/>
                <w:webHidden/>
              </w:rPr>
              <w:fldChar w:fldCharType="begin"/>
            </w:r>
            <w:r w:rsidR="009735CE">
              <w:rPr>
                <w:noProof/>
                <w:webHidden/>
              </w:rPr>
              <w:instrText xml:space="preserve"> PAGEREF _Toc175330481 \h </w:instrText>
            </w:r>
            <w:r w:rsidR="009735CE">
              <w:rPr>
                <w:noProof/>
                <w:webHidden/>
              </w:rPr>
            </w:r>
            <w:r w:rsidR="009735CE">
              <w:rPr>
                <w:noProof/>
                <w:webHidden/>
              </w:rPr>
              <w:fldChar w:fldCharType="separate"/>
            </w:r>
            <w:r w:rsidR="009735CE">
              <w:rPr>
                <w:noProof/>
                <w:webHidden/>
              </w:rPr>
              <w:t>16</w:t>
            </w:r>
            <w:r w:rsidR="009735CE">
              <w:rPr>
                <w:noProof/>
                <w:webHidden/>
              </w:rPr>
              <w:fldChar w:fldCharType="end"/>
            </w:r>
          </w:hyperlink>
        </w:p>
        <w:p w:rsidR="005677FE" w:rsidRDefault="005677FE">
          <w:r>
            <w:rPr>
              <w:b/>
              <w:bCs/>
              <w:noProof/>
            </w:rPr>
            <w:fldChar w:fldCharType="end"/>
          </w:r>
        </w:p>
      </w:sdtContent>
    </w:sdt>
    <w:p w:rsidR="005677FE" w:rsidRDefault="005677FE">
      <w:r>
        <w:br w:type="page"/>
      </w:r>
    </w:p>
    <w:p w:rsidR="005677FE" w:rsidRDefault="005677FE" w:rsidP="005677FE">
      <w:pPr>
        <w:pStyle w:val="Heading1"/>
      </w:pPr>
      <w:bookmarkStart w:id="1" w:name="_Toc175330477"/>
      <w:r>
        <w:lastRenderedPageBreak/>
        <w:t>Element 1</w:t>
      </w:r>
      <w:bookmarkEnd w:id="1"/>
      <w:r>
        <w:t xml:space="preserve"> </w:t>
      </w:r>
    </w:p>
    <w:p w:rsidR="005677FE" w:rsidRPr="009735CE" w:rsidRDefault="005677FE" w:rsidP="009735CE">
      <w:pPr>
        <w:spacing w:before="240" w:line="360" w:lineRule="auto"/>
        <w:jc w:val="both"/>
        <w:rPr>
          <w:b/>
          <w:bCs/>
          <w:sz w:val="24"/>
        </w:rPr>
      </w:pPr>
      <w:r w:rsidRPr="009735CE">
        <w:rPr>
          <w:b/>
          <w:bCs/>
          <w:sz w:val="24"/>
        </w:rPr>
        <w:t>Introduction</w:t>
      </w:r>
    </w:p>
    <w:p w:rsidR="005677FE" w:rsidRPr="009735CE" w:rsidRDefault="005677FE" w:rsidP="009735CE">
      <w:pPr>
        <w:spacing w:before="240" w:line="360" w:lineRule="auto"/>
        <w:jc w:val="both"/>
        <w:rPr>
          <w:sz w:val="24"/>
        </w:rPr>
      </w:pPr>
      <w:r w:rsidRPr="009735CE">
        <w:rPr>
          <w:sz w:val="24"/>
        </w:rPr>
        <w:t>Hyde Park in Leeds is a populous and cosmopolitan area made up of students, residents of long standing and young working people. As a result of the area being close to the University of Leeds, the population demography is a mixture of permanent and temporary residents</w:t>
      </w:r>
      <w:r w:rsidR="00720CB2" w:rsidRPr="009735CE">
        <w:rPr>
          <w:sz w:val="24"/>
        </w:rPr>
        <w:t xml:space="preserve"> (Evans, 2024)</w:t>
      </w:r>
      <w:r w:rsidRPr="009735CE">
        <w:rPr>
          <w:sz w:val="24"/>
        </w:rPr>
        <w:t xml:space="preserve">. However, this density of living has been accompanied by several problems, and one of the worst is that there are few parks and gardens, as well as the problem of excessive construction. It affects the community, environment and the quality of life in the society in a way that cannot be underestimated. </w:t>
      </w:r>
    </w:p>
    <w:p w:rsidR="005677FE" w:rsidRPr="009735CE" w:rsidRDefault="005677FE" w:rsidP="009735CE">
      <w:pPr>
        <w:spacing w:before="240" w:line="360" w:lineRule="auto"/>
        <w:jc w:val="both"/>
        <w:rPr>
          <w:b/>
          <w:sz w:val="24"/>
        </w:rPr>
      </w:pPr>
      <w:r w:rsidRPr="009735CE">
        <w:rPr>
          <w:b/>
          <w:sz w:val="24"/>
        </w:rPr>
        <w:t xml:space="preserve">Demographics of the chosen community </w:t>
      </w:r>
    </w:p>
    <w:p w:rsidR="005677FE" w:rsidRPr="009735CE" w:rsidRDefault="005677FE" w:rsidP="009735CE">
      <w:pPr>
        <w:spacing w:before="240" w:line="360" w:lineRule="auto"/>
        <w:jc w:val="both"/>
        <w:rPr>
          <w:sz w:val="24"/>
        </w:rPr>
      </w:pPr>
      <w:r w:rsidRPr="009735CE">
        <w:rPr>
          <w:sz w:val="24"/>
        </w:rPr>
        <w:t xml:space="preserve"> Hyde Park is one of the young estates; many of the people living here are university students. This is a highly mobile population and as such a large proportion of the community relocates every few years, which does not augur well with stable and sustainable community programs</w:t>
      </w:r>
      <w:r w:rsidR="00720CB2" w:rsidRPr="009735CE">
        <w:rPr>
          <w:sz w:val="24"/>
        </w:rPr>
        <w:t xml:space="preserve"> (Evans, 2024)</w:t>
      </w:r>
      <w:r w:rsidRPr="009735CE">
        <w:rPr>
          <w:sz w:val="24"/>
        </w:rPr>
        <w:t>. Another group, that can be called ‘life-long residents,’ refers to people who have been living in the area for a long time and are usually older; they also state that they feel uncomfortable because the environment has changed significantly. The demographic diversity of the area makes the social relations rather tense as the interests of different groups may clash, for example, in a situation concerning the protection of green areas and construction activities.</w:t>
      </w:r>
    </w:p>
    <w:p w:rsidR="005677FE" w:rsidRPr="009735CE" w:rsidRDefault="005677FE" w:rsidP="009735CE">
      <w:pPr>
        <w:spacing w:before="240" w:line="360" w:lineRule="auto"/>
        <w:jc w:val="both"/>
        <w:rPr>
          <w:b/>
          <w:bCs/>
          <w:sz w:val="24"/>
        </w:rPr>
      </w:pPr>
      <w:r w:rsidRPr="009735CE">
        <w:rPr>
          <w:b/>
          <w:bCs/>
          <w:sz w:val="24"/>
        </w:rPr>
        <w:t>The Issue: Lack of Green Spaces and Overdevelopment</w:t>
      </w:r>
    </w:p>
    <w:p w:rsidR="005677FE" w:rsidRPr="009735CE" w:rsidRDefault="005677FE" w:rsidP="009735CE">
      <w:pPr>
        <w:spacing w:before="240" w:line="360" w:lineRule="auto"/>
        <w:jc w:val="both"/>
        <w:rPr>
          <w:sz w:val="24"/>
        </w:rPr>
      </w:pPr>
      <w:r w:rsidRPr="009735CE">
        <w:rPr>
          <w:sz w:val="24"/>
        </w:rPr>
        <w:t>The significance of green areas is also an issue which has not been met in Hyde Park, and is aggravated by further overdevelopment. And with more people moving into the area, especially students, the builders have endeavored to make use of any space that is available by putting up more houses, as well as annexing more space to the existing structures</w:t>
      </w:r>
      <w:r w:rsidR="00720CB2" w:rsidRPr="009735CE">
        <w:rPr>
          <w:sz w:val="24"/>
        </w:rPr>
        <w:t xml:space="preserve"> (</w:t>
      </w:r>
      <w:proofErr w:type="spellStart"/>
      <w:r w:rsidR="00720CB2" w:rsidRPr="009735CE">
        <w:rPr>
          <w:sz w:val="24"/>
        </w:rPr>
        <w:t>Wistow</w:t>
      </w:r>
      <w:proofErr w:type="spellEnd"/>
      <w:r w:rsidR="00720CB2" w:rsidRPr="009735CE">
        <w:rPr>
          <w:sz w:val="24"/>
        </w:rPr>
        <w:t>, 2022)</w:t>
      </w:r>
      <w:r w:rsidRPr="009735CE">
        <w:rPr>
          <w:sz w:val="24"/>
        </w:rPr>
        <w:t xml:space="preserve">. While this meets the needs of the present in terms of accommodation space, it does so at the loss of open space which is very important in the wellbeing of society. Public parks act as a recreational, social and psychological resource especially in overcrowded areas such as the Hyde </w:t>
      </w:r>
      <w:proofErr w:type="gramStart"/>
      <w:r w:rsidRPr="009735CE">
        <w:rPr>
          <w:sz w:val="24"/>
        </w:rPr>
        <w:t>park</w:t>
      </w:r>
      <w:proofErr w:type="gramEnd"/>
      <w:r w:rsidRPr="009735CE">
        <w:rPr>
          <w:sz w:val="24"/>
        </w:rPr>
        <w:t xml:space="preserve">. Their </w:t>
      </w:r>
      <w:r w:rsidRPr="009735CE">
        <w:rPr>
          <w:sz w:val="24"/>
        </w:rPr>
        <w:lastRenderedPageBreak/>
        <w:t>decrease also affects the overall beauty, and, thereby, the quality of life in the area, particularly for those inhabitants who have seen the gradual transformation of what used to be an open territory into a territory occupied by buildings.</w:t>
      </w:r>
    </w:p>
    <w:p w:rsidR="005677FE" w:rsidRPr="009735CE" w:rsidRDefault="005677FE" w:rsidP="009735CE">
      <w:pPr>
        <w:spacing w:before="240" w:line="360" w:lineRule="auto"/>
        <w:jc w:val="both"/>
        <w:rPr>
          <w:b/>
          <w:bCs/>
          <w:sz w:val="24"/>
        </w:rPr>
      </w:pPr>
      <w:r w:rsidRPr="009735CE">
        <w:rPr>
          <w:b/>
          <w:bCs/>
          <w:sz w:val="24"/>
        </w:rPr>
        <w:t>Community Engagement and Ethical Considerations</w:t>
      </w:r>
    </w:p>
    <w:p w:rsidR="005677FE" w:rsidRPr="009735CE" w:rsidRDefault="005677FE" w:rsidP="009735CE">
      <w:pPr>
        <w:spacing w:before="240" w:line="360" w:lineRule="auto"/>
        <w:jc w:val="both"/>
        <w:rPr>
          <w:sz w:val="24"/>
        </w:rPr>
      </w:pPr>
      <w:r w:rsidRPr="009735CE">
        <w:rPr>
          <w:sz w:val="24"/>
        </w:rPr>
        <w:t>Dealing with the Hyde Park community about the need for green space and the problem of overdevelopment, one need to take into consideration that there are different people with their different concerns in that community. Ethical issues are critical, due to the fact that this matter has impact on the lives and health of the residents</w:t>
      </w:r>
      <w:r w:rsidR="00720CB2" w:rsidRPr="009735CE">
        <w:rPr>
          <w:sz w:val="24"/>
        </w:rPr>
        <w:t xml:space="preserve"> (</w:t>
      </w:r>
      <w:proofErr w:type="spellStart"/>
      <w:r w:rsidR="00720CB2" w:rsidRPr="009735CE">
        <w:rPr>
          <w:sz w:val="24"/>
        </w:rPr>
        <w:t>Wistow</w:t>
      </w:r>
      <w:proofErr w:type="spellEnd"/>
      <w:r w:rsidR="00720CB2" w:rsidRPr="009735CE">
        <w:rPr>
          <w:sz w:val="24"/>
        </w:rPr>
        <w:t>, 2022)</w:t>
      </w:r>
      <w:r w:rsidRPr="009735CE">
        <w:rPr>
          <w:sz w:val="24"/>
        </w:rPr>
        <w:t xml:space="preserve">. In planning for the outreach activities, equal consideration should be given to all the community members including the minority or the less articulate groups like the elderly or those who are physically challenged and who may require the parks and other green spaces for their exercise. </w:t>
      </w:r>
    </w:p>
    <w:p w:rsidR="005677FE" w:rsidRPr="009735CE" w:rsidRDefault="005677FE" w:rsidP="009735CE">
      <w:pPr>
        <w:spacing w:before="240" w:line="360" w:lineRule="auto"/>
        <w:jc w:val="both"/>
        <w:rPr>
          <w:sz w:val="24"/>
        </w:rPr>
      </w:pPr>
      <w:r w:rsidRPr="009735CE">
        <w:rPr>
          <w:sz w:val="24"/>
        </w:rPr>
        <w:t>Hyde Park also has several social, economic and cultural characteristics that define the community’s approach to this problem. From the economic aspect, there are both – well-off people who can afford to live in a student area, and those who have problems with the rent in such a district. This economic pressure can impact development, some may consider it as a tool for housing provision while others consider it as a threat to the community fabric and the environment. Culturally, it is diverse as there are many ethnic groups that are found within the students and other permanent residents of the area. This means that any form of engagement should take into account this cultural diversity so that methods used are friendly to the culture</w:t>
      </w:r>
      <w:r w:rsidR="00720CB2" w:rsidRPr="009735CE">
        <w:rPr>
          <w:sz w:val="24"/>
        </w:rPr>
        <w:t xml:space="preserve"> (</w:t>
      </w:r>
      <w:proofErr w:type="spellStart"/>
      <w:r w:rsidR="00720CB2" w:rsidRPr="009735CE">
        <w:rPr>
          <w:sz w:val="24"/>
        </w:rPr>
        <w:t>Zimmem</w:t>
      </w:r>
      <w:proofErr w:type="spellEnd"/>
      <w:r w:rsidR="00720CB2" w:rsidRPr="009735CE">
        <w:rPr>
          <w:sz w:val="24"/>
        </w:rPr>
        <w:t xml:space="preserve"> et al., 2022)</w:t>
      </w:r>
      <w:r w:rsidRPr="009735CE">
        <w:rPr>
          <w:sz w:val="24"/>
        </w:rPr>
        <w:t>.</w:t>
      </w:r>
    </w:p>
    <w:p w:rsidR="005677FE" w:rsidRPr="009735CE" w:rsidRDefault="005677FE" w:rsidP="009735CE">
      <w:pPr>
        <w:spacing w:before="240" w:line="360" w:lineRule="auto"/>
        <w:jc w:val="both"/>
        <w:rPr>
          <w:b/>
          <w:bCs/>
          <w:sz w:val="24"/>
        </w:rPr>
      </w:pPr>
      <w:r w:rsidRPr="009735CE">
        <w:rPr>
          <w:b/>
          <w:bCs/>
          <w:sz w:val="24"/>
        </w:rPr>
        <w:t>Outreach Activities</w:t>
      </w:r>
    </w:p>
    <w:p w:rsidR="005677FE" w:rsidRPr="009735CE" w:rsidRDefault="005677FE" w:rsidP="009735CE">
      <w:pPr>
        <w:spacing w:before="240" w:line="360" w:lineRule="auto"/>
        <w:jc w:val="both"/>
        <w:rPr>
          <w:sz w:val="24"/>
        </w:rPr>
      </w:pPr>
      <w:r w:rsidRPr="009735CE">
        <w:rPr>
          <w:sz w:val="24"/>
        </w:rPr>
        <w:t xml:space="preserve">Community mobilization on the concern of green space and overdevelopment in Hyde Park entails working with the different stakeholders, such as the people living in the area, the university authorities, the planners, and the environmental organizations. The initial process in this community engagement is the administration of questionnaires and focus group discussions to get the perceptions of the residents on the existing green space and effects of the recent developments. This approach is effective for understanding detailed population concern about </w:t>
      </w:r>
      <w:r w:rsidRPr="009735CE">
        <w:rPr>
          <w:sz w:val="24"/>
        </w:rPr>
        <w:lastRenderedPageBreak/>
        <w:t>the problem and aid in the assessment of the priority areas that needs green spaces or areas that are vulnerable to the loss</w:t>
      </w:r>
      <w:r w:rsidR="00720CB2" w:rsidRPr="009735CE">
        <w:rPr>
          <w:sz w:val="24"/>
        </w:rPr>
        <w:t xml:space="preserve"> (Kilpatrick, 2024)</w:t>
      </w:r>
      <w:r w:rsidRPr="009735CE">
        <w:rPr>
          <w:sz w:val="24"/>
        </w:rPr>
        <w:t xml:space="preserve">. </w:t>
      </w:r>
    </w:p>
    <w:p w:rsidR="005677FE" w:rsidRPr="009735CE" w:rsidRDefault="005677FE" w:rsidP="009735CE">
      <w:pPr>
        <w:spacing w:before="240" w:line="360" w:lineRule="auto"/>
        <w:jc w:val="both"/>
        <w:rPr>
          <w:sz w:val="24"/>
        </w:rPr>
      </w:pPr>
      <w:r w:rsidRPr="009735CE">
        <w:rPr>
          <w:sz w:val="24"/>
        </w:rPr>
        <w:t>Further, the formation of community meetings and workshops bring in front of the people their problems and ways to address them. Any meetings should be conducted in a manner that creates an environment that allows people of all ages and gender as well as those who are in the minority as far as the length of their residency is concerned is allowed to freely air their opinions. Working with local environmental non-governmental organizations is also useful in the fight for the protection and creation of more green areas, using their knowledge of environmental management and sustainable development</w:t>
      </w:r>
      <w:r w:rsidR="00720CB2" w:rsidRPr="009735CE">
        <w:rPr>
          <w:sz w:val="24"/>
        </w:rPr>
        <w:t xml:space="preserve"> (Kilpatrick, 2024)</w:t>
      </w:r>
      <w:r w:rsidRPr="009735CE">
        <w:rPr>
          <w:sz w:val="24"/>
        </w:rPr>
        <w:t xml:space="preserve">. </w:t>
      </w:r>
    </w:p>
    <w:p w:rsidR="005677FE" w:rsidRPr="009735CE" w:rsidRDefault="005677FE" w:rsidP="009735CE">
      <w:pPr>
        <w:spacing w:before="240" w:line="360" w:lineRule="auto"/>
        <w:jc w:val="both"/>
        <w:rPr>
          <w:sz w:val="24"/>
        </w:rPr>
      </w:pPr>
      <w:r w:rsidRPr="009735CE">
        <w:rPr>
          <w:sz w:val="24"/>
        </w:rPr>
        <w:t>Students also form a very important segment of the community; hence, university involvement is imperative. The members of the student organizations and university administration can be informed about the significance of the green spaces and involve as many students as possible into the concerns of the conservation. This could include volunteering for the care of existing green space or for joining campaigns against further development.</w:t>
      </w:r>
    </w:p>
    <w:p w:rsidR="005677FE" w:rsidRPr="009735CE" w:rsidRDefault="005677FE" w:rsidP="009735CE">
      <w:pPr>
        <w:spacing w:before="240" w:line="360" w:lineRule="auto"/>
        <w:jc w:val="both"/>
        <w:rPr>
          <w:b/>
          <w:bCs/>
          <w:sz w:val="24"/>
        </w:rPr>
      </w:pPr>
      <w:r w:rsidRPr="009735CE">
        <w:rPr>
          <w:b/>
          <w:bCs/>
          <w:sz w:val="24"/>
        </w:rPr>
        <w:t>Conclusion</w:t>
      </w:r>
    </w:p>
    <w:p w:rsidR="005677FE" w:rsidRPr="009735CE" w:rsidRDefault="005677FE" w:rsidP="009735CE">
      <w:pPr>
        <w:spacing w:before="240" w:line="360" w:lineRule="auto"/>
        <w:jc w:val="both"/>
        <w:rPr>
          <w:sz w:val="24"/>
        </w:rPr>
      </w:pPr>
      <w:r w:rsidRPr="009735CE">
        <w:rPr>
          <w:sz w:val="24"/>
        </w:rPr>
        <w:t>Solving the problem of lack of green spaces and overdevelopment in Hyde Park calls for a definite and comprehensive approach that involves the community and comes up with a plan that will take into account the population density, the economic status of the people, and the culture of the society</w:t>
      </w:r>
      <w:r w:rsidR="00720CB2" w:rsidRPr="009735CE">
        <w:rPr>
          <w:sz w:val="24"/>
        </w:rPr>
        <w:t xml:space="preserve"> (</w:t>
      </w:r>
      <w:proofErr w:type="spellStart"/>
      <w:r w:rsidR="00720CB2" w:rsidRPr="009735CE">
        <w:rPr>
          <w:sz w:val="24"/>
        </w:rPr>
        <w:t>Thevoz</w:t>
      </w:r>
      <w:proofErr w:type="spellEnd"/>
      <w:r w:rsidR="00720CB2" w:rsidRPr="009735CE">
        <w:rPr>
          <w:sz w:val="24"/>
        </w:rPr>
        <w:t>, 2022)</w:t>
      </w:r>
      <w:r w:rsidRPr="009735CE">
        <w:rPr>
          <w:sz w:val="24"/>
        </w:rPr>
        <w:t>. Fostering working relationships with residents, students, local authorities and environmental groups, there is a way to join forces in addressing the issue of the protection and improvement of green areas that are so important for the wellbeing of the people. It will also be important to ensure that all stakeholders are involved when formulating the outreach strategies and that the strategies are ethically sound so as to be in a position to come up with feasible and long-term solutions that will benefit not only the transient student population but also other residents of Hyde Park so as to make the place more livable and harmonious.</w:t>
      </w:r>
    </w:p>
    <w:p w:rsidR="005677FE" w:rsidRDefault="005677FE">
      <w:pPr>
        <w:rPr>
          <w:rFonts w:asciiTheme="majorHAnsi" w:eastAsiaTheme="majorEastAsia" w:hAnsiTheme="majorHAnsi" w:cstheme="majorBidi"/>
          <w:color w:val="2E74B5" w:themeColor="accent1" w:themeShade="BF"/>
          <w:sz w:val="32"/>
          <w:szCs w:val="32"/>
        </w:rPr>
      </w:pPr>
      <w:r>
        <w:br w:type="page"/>
      </w:r>
    </w:p>
    <w:p w:rsidR="005677FE" w:rsidRDefault="005677FE" w:rsidP="005677FE">
      <w:pPr>
        <w:pStyle w:val="Heading1"/>
      </w:pPr>
      <w:bookmarkStart w:id="2" w:name="_Toc175330478"/>
      <w:r>
        <w:lastRenderedPageBreak/>
        <w:t>Element 2 – Stakeholder Mapping Exercise</w:t>
      </w:r>
      <w:bookmarkEnd w:id="2"/>
    </w:p>
    <w:p w:rsidR="00720CB2" w:rsidRDefault="00484291">
      <w:pPr>
        <w:rPr>
          <w:rFonts w:asciiTheme="majorHAnsi" w:eastAsiaTheme="majorEastAsia" w:hAnsiTheme="majorHAnsi" w:cstheme="majorBidi"/>
          <w:color w:val="2E74B5" w:themeColor="accent1" w:themeShade="BF"/>
          <w:sz w:val="32"/>
          <w:szCs w:val="32"/>
        </w:rPr>
      </w:pPr>
      <w:r w:rsidRPr="00484291">
        <w:rPr>
          <w:rFonts w:asciiTheme="majorHAnsi" w:eastAsiaTheme="majorEastAsia" w:hAnsiTheme="majorHAnsi" w:cstheme="majorBidi"/>
          <w:noProof/>
          <w:color w:val="2E74B5" w:themeColor="accent1" w:themeShade="BF"/>
          <w:sz w:val="32"/>
          <w:szCs w:val="32"/>
          <w:lang w:val="en-GB" w:eastAsia="en-GB"/>
        </w:rPr>
        <w:drawing>
          <wp:inline distT="0" distB="0" distL="0" distR="0" wp14:anchorId="2B6D8EEA" wp14:editId="291DE2F1">
            <wp:extent cx="5943600" cy="7225030"/>
            <wp:effectExtent l="19050" t="19050" r="19050" b="139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7225030"/>
                    </a:xfrm>
                    <a:prstGeom prst="rect">
                      <a:avLst/>
                    </a:prstGeom>
                    <a:ln>
                      <a:solidFill>
                        <a:schemeClr val="accent1"/>
                      </a:solidFill>
                    </a:ln>
                  </pic:spPr>
                </pic:pic>
              </a:graphicData>
            </a:graphic>
          </wp:inline>
        </w:drawing>
      </w:r>
    </w:p>
    <w:p w:rsidR="009735CE" w:rsidRDefault="009735CE">
      <w:pPr>
        <w:rPr>
          <w:rFonts w:asciiTheme="majorHAnsi" w:eastAsiaTheme="majorEastAsia" w:hAnsiTheme="majorHAnsi" w:cstheme="majorBidi"/>
          <w:color w:val="2E74B5" w:themeColor="accent1" w:themeShade="BF"/>
          <w:sz w:val="32"/>
          <w:szCs w:val="32"/>
        </w:rPr>
      </w:pPr>
      <w:r>
        <w:br w:type="page"/>
      </w:r>
    </w:p>
    <w:p w:rsidR="005677FE" w:rsidRDefault="005677FE" w:rsidP="005677FE">
      <w:pPr>
        <w:pStyle w:val="Heading1"/>
      </w:pPr>
      <w:bookmarkStart w:id="3" w:name="_Toc175330479"/>
      <w:r>
        <w:lastRenderedPageBreak/>
        <w:t>Element 3</w:t>
      </w:r>
      <w:r w:rsidR="00720CB2">
        <w:t xml:space="preserve"> - Community Engagement Plan</w:t>
      </w:r>
      <w:bookmarkEnd w:id="3"/>
    </w:p>
    <w:p w:rsidR="009735CE" w:rsidRDefault="009735CE" w:rsidP="009735CE">
      <w:r>
        <w:rPr>
          <w:noProof/>
          <w:lang w:val="en-GB" w:eastAsia="en-GB"/>
        </w:rPr>
        <w:drawing>
          <wp:inline distT="0" distB="0" distL="0" distR="0" wp14:anchorId="6C30617A" wp14:editId="22FDD50C">
            <wp:extent cx="5181600" cy="3962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181600" cy="3962400"/>
                    </a:xfrm>
                    <a:prstGeom prst="rect">
                      <a:avLst/>
                    </a:prstGeom>
                  </pic:spPr>
                </pic:pic>
              </a:graphicData>
            </a:graphic>
          </wp:inline>
        </w:drawing>
      </w:r>
    </w:p>
    <w:p w:rsidR="009735CE" w:rsidRDefault="009735CE" w:rsidP="009735CE">
      <w:r>
        <w:rPr>
          <w:noProof/>
          <w:lang w:val="en-GB" w:eastAsia="en-GB"/>
        </w:rPr>
        <w:lastRenderedPageBreak/>
        <w:drawing>
          <wp:inline distT="0" distB="0" distL="0" distR="0" wp14:anchorId="750D7FE3" wp14:editId="365DECF1">
            <wp:extent cx="5172075" cy="39624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72075" cy="3962400"/>
                    </a:xfrm>
                    <a:prstGeom prst="rect">
                      <a:avLst/>
                    </a:prstGeom>
                  </pic:spPr>
                </pic:pic>
              </a:graphicData>
            </a:graphic>
          </wp:inline>
        </w:drawing>
      </w:r>
    </w:p>
    <w:p w:rsidR="009735CE" w:rsidRDefault="009735CE" w:rsidP="009735CE">
      <w:r>
        <w:rPr>
          <w:noProof/>
          <w:lang w:val="en-GB" w:eastAsia="en-GB"/>
        </w:rPr>
        <w:drawing>
          <wp:inline distT="0" distB="0" distL="0" distR="0" wp14:anchorId="75D4154A" wp14:editId="44FE5B3E">
            <wp:extent cx="5124450" cy="3810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124450" cy="3810000"/>
                    </a:xfrm>
                    <a:prstGeom prst="rect">
                      <a:avLst/>
                    </a:prstGeom>
                  </pic:spPr>
                </pic:pic>
              </a:graphicData>
            </a:graphic>
          </wp:inline>
        </w:drawing>
      </w:r>
    </w:p>
    <w:p w:rsidR="009735CE" w:rsidRDefault="009735CE" w:rsidP="009735CE">
      <w:r>
        <w:rPr>
          <w:noProof/>
          <w:lang w:val="en-GB" w:eastAsia="en-GB"/>
        </w:rPr>
        <w:lastRenderedPageBreak/>
        <w:drawing>
          <wp:inline distT="0" distB="0" distL="0" distR="0" wp14:anchorId="292375BF" wp14:editId="50CC4D2E">
            <wp:extent cx="5153025" cy="40005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153025" cy="4000500"/>
                    </a:xfrm>
                    <a:prstGeom prst="rect">
                      <a:avLst/>
                    </a:prstGeom>
                  </pic:spPr>
                </pic:pic>
              </a:graphicData>
            </a:graphic>
          </wp:inline>
        </w:drawing>
      </w:r>
    </w:p>
    <w:p w:rsidR="009735CE" w:rsidRDefault="009735CE" w:rsidP="009735CE">
      <w:r>
        <w:rPr>
          <w:noProof/>
          <w:lang w:val="en-GB" w:eastAsia="en-GB"/>
        </w:rPr>
        <w:drawing>
          <wp:inline distT="0" distB="0" distL="0" distR="0" wp14:anchorId="25BDE6CB" wp14:editId="10E8F3D2">
            <wp:extent cx="5162550" cy="39909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62550" cy="3990975"/>
                    </a:xfrm>
                    <a:prstGeom prst="rect">
                      <a:avLst/>
                    </a:prstGeom>
                  </pic:spPr>
                </pic:pic>
              </a:graphicData>
            </a:graphic>
          </wp:inline>
        </w:drawing>
      </w:r>
    </w:p>
    <w:p w:rsidR="009735CE" w:rsidRDefault="009735CE" w:rsidP="009735CE">
      <w:r>
        <w:rPr>
          <w:noProof/>
          <w:lang w:val="en-GB" w:eastAsia="en-GB"/>
        </w:rPr>
        <w:lastRenderedPageBreak/>
        <w:drawing>
          <wp:inline distT="0" distB="0" distL="0" distR="0" wp14:anchorId="1F24B28E" wp14:editId="5DC5E73F">
            <wp:extent cx="5162550" cy="4191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162550" cy="4191000"/>
                    </a:xfrm>
                    <a:prstGeom prst="rect">
                      <a:avLst/>
                    </a:prstGeom>
                  </pic:spPr>
                </pic:pic>
              </a:graphicData>
            </a:graphic>
          </wp:inline>
        </w:drawing>
      </w:r>
    </w:p>
    <w:p w:rsidR="009735CE" w:rsidRPr="009735CE" w:rsidRDefault="009735CE" w:rsidP="009735CE">
      <w:r>
        <w:rPr>
          <w:noProof/>
          <w:lang w:val="en-GB" w:eastAsia="en-GB"/>
        </w:rPr>
        <w:lastRenderedPageBreak/>
        <w:drawing>
          <wp:inline distT="0" distB="0" distL="0" distR="0" wp14:anchorId="28EFAFC6" wp14:editId="7CACC586">
            <wp:extent cx="5124450" cy="40100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24450" cy="4010025"/>
                    </a:xfrm>
                    <a:prstGeom prst="rect">
                      <a:avLst/>
                    </a:prstGeom>
                  </pic:spPr>
                </pic:pic>
              </a:graphicData>
            </a:graphic>
          </wp:inline>
        </w:drawing>
      </w:r>
    </w:p>
    <w:p w:rsidR="009735CE" w:rsidRDefault="009735CE">
      <w:pPr>
        <w:rPr>
          <w:rFonts w:asciiTheme="majorHAnsi" w:eastAsiaTheme="majorEastAsia" w:hAnsiTheme="majorHAnsi" w:cstheme="majorBidi"/>
          <w:color w:val="2E74B5" w:themeColor="accent1" w:themeShade="BF"/>
          <w:sz w:val="32"/>
          <w:szCs w:val="32"/>
        </w:rPr>
      </w:pPr>
      <w:r>
        <w:br w:type="page"/>
      </w:r>
    </w:p>
    <w:p w:rsidR="005677FE" w:rsidRPr="009735CE" w:rsidRDefault="00720CB2" w:rsidP="009735CE">
      <w:pPr>
        <w:pStyle w:val="Heading1"/>
        <w:spacing w:after="240" w:line="360" w:lineRule="auto"/>
        <w:jc w:val="both"/>
        <w:rPr>
          <w:rFonts w:asciiTheme="minorHAnsi" w:hAnsiTheme="minorHAnsi" w:cstheme="minorHAnsi"/>
          <w:sz w:val="24"/>
          <w:szCs w:val="24"/>
        </w:rPr>
      </w:pPr>
      <w:bookmarkStart w:id="4" w:name="_Toc175330480"/>
      <w:r w:rsidRPr="009735CE">
        <w:rPr>
          <w:rFonts w:asciiTheme="minorHAnsi" w:hAnsiTheme="minorHAnsi" w:cstheme="minorHAnsi"/>
          <w:sz w:val="24"/>
          <w:szCs w:val="24"/>
        </w:rPr>
        <w:lastRenderedPageBreak/>
        <w:t>Element 4 – Discussion</w:t>
      </w:r>
      <w:bookmarkEnd w:id="4"/>
    </w:p>
    <w:p w:rsidR="00720CB2" w:rsidRPr="009735CE" w:rsidRDefault="00720CB2" w:rsidP="009735CE">
      <w:pPr>
        <w:spacing w:after="240" w:line="360" w:lineRule="auto"/>
        <w:jc w:val="both"/>
        <w:rPr>
          <w:rFonts w:cstheme="minorHAnsi"/>
          <w:b/>
          <w:bCs/>
          <w:sz w:val="24"/>
          <w:szCs w:val="24"/>
        </w:rPr>
      </w:pPr>
      <w:r w:rsidRPr="009735CE">
        <w:rPr>
          <w:rFonts w:cstheme="minorHAnsi"/>
          <w:b/>
          <w:bCs/>
          <w:sz w:val="24"/>
          <w:szCs w:val="24"/>
        </w:rPr>
        <w:t>Introduction</w:t>
      </w:r>
    </w:p>
    <w:p w:rsidR="00720CB2" w:rsidRPr="009735CE" w:rsidRDefault="00720CB2" w:rsidP="009735CE">
      <w:pPr>
        <w:spacing w:after="240" w:line="360" w:lineRule="auto"/>
        <w:jc w:val="both"/>
        <w:rPr>
          <w:rFonts w:cstheme="minorHAnsi"/>
          <w:sz w:val="24"/>
          <w:szCs w:val="24"/>
        </w:rPr>
      </w:pPr>
      <w:r w:rsidRPr="009735CE">
        <w:rPr>
          <w:rFonts w:cstheme="minorHAnsi"/>
          <w:sz w:val="24"/>
          <w:szCs w:val="24"/>
        </w:rPr>
        <w:t>Engagement with the interested parties is one of the most important dimensions of tackling urban issues, especially with regard to the communities that are in the process of fast transformation, as is the c</w:t>
      </w:r>
      <w:r w:rsidR="00084F3A" w:rsidRPr="009735CE">
        <w:rPr>
          <w:rFonts w:cstheme="minorHAnsi"/>
          <w:sz w:val="24"/>
          <w:szCs w:val="24"/>
        </w:rPr>
        <w:t>ase with the Hyde Park in Leeds (</w:t>
      </w:r>
      <w:proofErr w:type="spellStart"/>
      <w:r w:rsidR="00084F3A" w:rsidRPr="009735CE">
        <w:rPr>
          <w:rFonts w:cstheme="minorHAnsi"/>
          <w:sz w:val="24"/>
          <w:szCs w:val="24"/>
        </w:rPr>
        <w:t>Thevoz</w:t>
      </w:r>
      <w:proofErr w:type="spellEnd"/>
      <w:r w:rsidR="00084F3A" w:rsidRPr="009735CE">
        <w:rPr>
          <w:rFonts w:cstheme="minorHAnsi"/>
          <w:sz w:val="24"/>
          <w:szCs w:val="24"/>
        </w:rPr>
        <w:t>, 2022).</w:t>
      </w:r>
      <w:r w:rsidRPr="009735CE">
        <w:rPr>
          <w:rFonts w:cstheme="minorHAnsi"/>
          <w:sz w:val="24"/>
          <w:szCs w:val="24"/>
        </w:rPr>
        <w:t xml:space="preserve"> One of the problems that can be observed in Hyde Park, in terms of the availability of green areas, is the overdevelopment of the territory that leads to the reduction of the green zones for permanent residents and temporary students. Involving stakeholders from the citizens and university staff to the city planners and developers can result in the better solutions. This paper aims at discussing the major advantages of engaging stakeholders in this regard and using practical examples from the author’s experience of life as a member of the community to explain why stakeholder management should be proactive and inclusive.</w:t>
      </w:r>
    </w:p>
    <w:p w:rsidR="00720CB2" w:rsidRPr="009735CE" w:rsidRDefault="00720CB2" w:rsidP="009735CE">
      <w:pPr>
        <w:spacing w:after="240" w:line="360" w:lineRule="auto"/>
        <w:jc w:val="both"/>
        <w:rPr>
          <w:rFonts w:cstheme="minorHAnsi"/>
          <w:b/>
          <w:bCs/>
          <w:sz w:val="24"/>
          <w:szCs w:val="24"/>
        </w:rPr>
      </w:pPr>
      <w:r w:rsidRPr="009735CE">
        <w:rPr>
          <w:rFonts w:cstheme="minorHAnsi"/>
          <w:b/>
          <w:bCs/>
          <w:sz w:val="24"/>
          <w:szCs w:val="24"/>
        </w:rPr>
        <w:t>The Importance of Stakeholder Engagement</w:t>
      </w:r>
    </w:p>
    <w:p w:rsidR="00720CB2" w:rsidRPr="009735CE" w:rsidRDefault="00720CB2" w:rsidP="009735CE">
      <w:pPr>
        <w:spacing w:after="240" w:line="360" w:lineRule="auto"/>
        <w:jc w:val="both"/>
        <w:rPr>
          <w:rFonts w:cstheme="minorHAnsi"/>
          <w:sz w:val="24"/>
          <w:szCs w:val="24"/>
        </w:rPr>
      </w:pPr>
      <w:r w:rsidRPr="009735CE">
        <w:rPr>
          <w:rFonts w:cstheme="minorHAnsi"/>
          <w:sz w:val="24"/>
          <w:szCs w:val="24"/>
        </w:rPr>
        <w:t>It is crucial to involve the stakeholders to be sure that all the members of the community are heard and the solution offered are fitting the interests of the community members. Hyde Park is the best example of how the question of green areas is not only an ecological problem but also a social and economic one. Public parks are essential to the quality of life of its inhabitants, besides being essential for recreation, leisure, socialization, and even for physical and mental health</w:t>
      </w:r>
      <w:r w:rsidR="00084F3A" w:rsidRPr="009735CE">
        <w:rPr>
          <w:rFonts w:cstheme="minorHAnsi"/>
          <w:sz w:val="24"/>
          <w:szCs w:val="24"/>
        </w:rPr>
        <w:t xml:space="preserve"> (Austin, 2020)</w:t>
      </w:r>
      <w:r w:rsidRPr="009735CE">
        <w:rPr>
          <w:rFonts w:cstheme="minorHAnsi"/>
          <w:sz w:val="24"/>
          <w:szCs w:val="24"/>
        </w:rPr>
        <w:t xml:space="preserve">. However, the pressure to come up with more space for accommodation for the increasing number of students has seen the reduction of these important spaces. There was also the possibility that decisions could be made regarding development without proper regard to the consequences on the community, if the latter were not actively involved. </w:t>
      </w:r>
    </w:p>
    <w:p w:rsidR="00720CB2" w:rsidRPr="009735CE" w:rsidRDefault="00720CB2" w:rsidP="009735CE">
      <w:pPr>
        <w:spacing w:after="240" w:line="360" w:lineRule="auto"/>
        <w:jc w:val="both"/>
        <w:rPr>
          <w:rFonts w:cstheme="minorHAnsi"/>
          <w:sz w:val="24"/>
          <w:szCs w:val="24"/>
        </w:rPr>
      </w:pPr>
      <w:r w:rsidRPr="009735CE">
        <w:rPr>
          <w:rFonts w:cstheme="minorHAnsi"/>
          <w:sz w:val="24"/>
          <w:szCs w:val="24"/>
        </w:rPr>
        <w:t>Stakeholder involvement means that decisions are made by involving a large number of people and the needs of the community are met. For instance, people who have been living in the Hyde Park for years are likely to have a sentimental bond with the green areas and will be very much concerned with their conservation. The students are in most cases concerned with affordable houses and in the process, they also value green areas as recreational zones</w:t>
      </w:r>
      <w:r w:rsidR="00084F3A" w:rsidRPr="009735CE">
        <w:rPr>
          <w:rFonts w:cstheme="minorHAnsi"/>
          <w:sz w:val="24"/>
          <w:szCs w:val="24"/>
        </w:rPr>
        <w:t xml:space="preserve"> (</w:t>
      </w:r>
      <w:proofErr w:type="spellStart"/>
      <w:r w:rsidR="00084F3A" w:rsidRPr="009735CE">
        <w:rPr>
          <w:rFonts w:cstheme="minorHAnsi"/>
          <w:sz w:val="24"/>
          <w:szCs w:val="24"/>
        </w:rPr>
        <w:t>Krajter</w:t>
      </w:r>
      <w:proofErr w:type="spellEnd"/>
      <w:r w:rsidR="00084F3A" w:rsidRPr="009735CE">
        <w:rPr>
          <w:rFonts w:cstheme="minorHAnsi"/>
          <w:sz w:val="24"/>
          <w:szCs w:val="24"/>
        </w:rPr>
        <w:t xml:space="preserve"> et al., 2020)</w:t>
      </w:r>
      <w:r w:rsidRPr="009735CE">
        <w:rPr>
          <w:rFonts w:cstheme="minorHAnsi"/>
          <w:sz w:val="24"/>
          <w:szCs w:val="24"/>
        </w:rPr>
        <w:t xml:space="preserve">. </w:t>
      </w:r>
      <w:r w:rsidRPr="009735CE">
        <w:rPr>
          <w:rFonts w:cstheme="minorHAnsi"/>
          <w:sz w:val="24"/>
          <w:szCs w:val="24"/>
        </w:rPr>
        <w:lastRenderedPageBreak/>
        <w:t>By so doing, it is possible to get these groups engage in dialogue and come up with a balanced approach to development that will address the need for shelter without compromising the noble cause of developing green land.</w:t>
      </w:r>
    </w:p>
    <w:p w:rsidR="00720CB2" w:rsidRPr="009735CE" w:rsidRDefault="00720CB2" w:rsidP="009735CE">
      <w:pPr>
        <w:spacing w:after="240" w:line="360" w:lineRule="auto"/>
        <w:jc w:val="both"/>
        <w:rPr>
          <w:rFonts w:cstheme="minorHAnsi"/>
          <w:b/>
          <w:bCs/>
          <w:sz w:val="24"/>
          <w:szCs w:val="24"/>
        </w:rPr>
      </w:pPr>
      <w:r w:rsidRPr="009735CE">
        <w:rPr>
          <w:rFonts w:cstheme="minorHAnsi"/>
          <w:b/>
          <w:bCs/>
          <w:sz w:val="24"/>
          <w:szCs w:val="24"/>
        </w:rPr>
        <w:t>Benefits of Engaging with Local Residents</w:t>
      </w:r>
    </w:p>
    <w:p w:rsidR="00720CB2" w:rsidRPr="009735CE" w:rsidRDefault="00720CB2" w:rsidP="009735CE">
      <w:pPr>
        <w:spacing w:after="240" w:line="360" w:lineRule="auto"/>
        <w:jc w:val="both"/>
        <w:rPr>
          <w:rFonts w:cstheme="minorHAnsi"/>
          <w:sz w:val="24"/>
          <w:szCs w:val="24"/>
        </w:rPr>
      </w:pPr>
      <w:r w:rsidRPr="009735CE">
        <w:rPr>
          <w:rFonts w:cstheme="minorHAnsi"/>
          <w:sz w:val="24"/>
          <w:szCs w:val="24"/>
        </w:rPr>
        <w:t>The inhabitants of the locality are some of the most affected by changes in the area hence their involvement is very critical. Hyde Park residents have seen the process of gentrification and the slow invasion of construction on areas previously occupied by greenery and this thought of the loss of space, the changing face of the area. Interacting with such residents proves useful in understanding historical and cultural value of such areas that may be disregarded due to their potential economic development by developers and planners</w:t>
      </w:r>
      <w:r w:rsidR="00084F3A" w:rsidRPr="009735CE">
        <w:rPr>
          <w:rFonts w:cstheme="minorHAnsi"/>
          <w:sz w:val="24"/>
          <w:szCs w:val="24"/>
        </w:rPr>
        <w:t xml:space="preserve"> (</w:t>
      </w:r>
      <w:proofErr w:type="spellStart"/>
      <w:r w:rsidR="00084F3A" w:rsidRPr="009735CE">
        <w:rPr>
          <w:rFonts w:cstheme="minorHAnsi"/>
          <w:sz w:val="24"/>
          <w:szCs w:val="24"/>
        </w:rPr>
        <w:t>Lourens</w:t>
      </w:r>
      <w:proofErr w:type="spellEnd"/>
      <w:r w:rsidR="00084F3A" w:rsidRPr="009735CE">
        <w:rPr>
          <w:rFonts w:cstheme="minorHAnsi"/>
          <w:sz w:val="24"/>
          <w:szCs w:val="24"/>
        </w:rPr>
        <w:t>, 2023)</w:t>
      </w:r>
      <w:r w:rsidRPr="009735CE">
        <w:rPr>
          <w:rFonts w:cstheme="minorHAnsi"/>
          <w:sz w:val="24"/>
          <w:szCs w:val="24"/>
        </w:rPr>
        <w:t>.</w:t>
      </w:r>
      <w:r w:rsidR="00084F3A" w:rsidRPr="009735CE">
        <w:rPr>
          <w:rFonts w:cstheme="minorHAnsi"/>
          <w:sz w:val="24"/>
          <w:szCs w:val="24"/>
        </w:rPr>
        <w:t xml:space="preserve"> </w:t>
      </w:r>
      <w:r w:rsidRPr="009735CE">
        <w:rPr>
          <w:rFonts w:cstheme="minorHAnsi"/>
          <w:sz w:val="24"/>
          <w:szCs w:val="24"/>
        </w:rPr>
        <w:t xml:space="preserve"> </w:t>
      </w:r>
    </w:p>
    <w:p w:rsidR="00720CB2" w:rsidRPr="009735CE" w:rsidRDefault="00720CB2" w:rsidP="009735CE">
      <w:pPr>
        <w:spacing w:after="240" w:line="360" w:lineRule="auto"/>
        <w:jc w:val="both"/>
        <w:rPr>
          <w:rFonts w:cstheme="minorHAnsi"/>
          <w:sz w:val="24"/>
          <w:szCs w:val="24"/>
        </w:rPr>
      </w:pPr>
      <w:r w:rsidRPr="009735CE">
        <w:rPr>
          <w:rFonts w:cstheme="minorHAnsi"/>
          <w:sz w:val="24"/>
          <w:szCs w:val="24"/>
        </w:rPr>
        <w:t>Moreover, those who are to be affected by the plan are more likely to take more responsibility in planning and development since they are involved</w:t>
      </w:r>
      <w:r w:rsidR="00084F3A" w:rsidRPr="009735CE">
        <w:rPr>
          <w:rFonts w:cstheme="minorHAnsi"/>
          <w:sz w:val="24"/>
          <w:szCs w:val="24"/>
        </w:rPr>
        <w:t xml:space="preserve"> (Blanc et al., 2020)</w:t>
      </w:r>
      <w:r w:rsidRPr="009735CE">
        <w:rPr>
          <w:rFonts w:cstheme="minorHAnsi"/>
          <w:sz w:val="24"/>
          <w:szCs w:val="24"/>
        </w:rPr>
        <w:t>. If residents are involved in the discourse of development, then there are high chances that they will support the development that is noble and one that meets their needs</w:t>
      </w:r>
      <w:r w:rsidR="00084F3A" w:rsidRPr="009735CE">
        <w:rPr>
          <w:rFonts w:cstheme="minorHAnsi"/>
          <w:sz w:val="24"/>
          <w:szCs w:val="24"/>
        </w:rPr>
        <w:t xml:space="preserve"> (Blanc et al., 2020)</w:t>
      </w:r>
      <w:r w:rsidRPr="009735CE">
        <w:rPr>
          <w:rFonts w:cstheme="minorHAnsi"/>
          <w:sz w:val="24"/>
          <w:szCs w:val="24"/>
        </w:rPr>
        <w:t xml:space="preserve">. This support can be translated into better community </w:t>
      </w:r>
      <w:proofErr w:type="spellStart"/>
      <w:r w:rsidRPr="009735CE">
        <w:rPr>
          <w:rFonts w:cstheme="minorHAnsi"/>
          <w:sz w:val="24"/>
          <w:szCs w:val="24"/>
        </w:rPr>
        <w:t>mobilisation</w:t>
      </w:r>
      <w:proofErr w:type="spellEnd"/>
      <w:r w:rsidRPr="009735CE">
        <w:rPr>
          <w:rFonts w:cstheme="minorHAnsi"/>
          <w:sz w:val="24"/>
          <w:szCs w:val="24"/>
        </w:rPr>
        <w:t xml:space="preserve"> and cohesion in demanding for better deals from developers and city authorities. Experience has proven that when people are given an opportunity to express themselves and be listened to they will be more willing to find ways to solving issues that affect everyone in the community.</w:t>
      </w:r>
    </w:p>
    <w:p w:rsidR="00720CB2" w:rsidRPr="009735CE" w:rsidRDefault="00720CB2" w:rsidP="009735CE">
      <w:pPr>
        <w:spacing w:after="240" w:line="360" w:lineRule="auto"/>
        <w:jc w:val="both"/>
        <w:rPr>
          <w:rFonts w:cstheme="minorHAnsi"/>
          <w:b/>
          <w:bCs/>
          <w:sz w:val="24"/>
          <w:szCs w:val="24"/>
        </w:rPr>
      </w:pPr>
      <w:r w:rsidRPr="009735CE">
        <w:rPr>
          <w:rFonts w:cstheme="minorHAnsi"/>
          <w:b/>
          <w:bCs/>
          <w:sz w:val="24"/>
          <w:szCs w:val="24"/>
        </w:rPr>
        <w:t>The Role of the University Community</w:t>
      </w:r>
    </w:p>
    <w:p w:rsidR="00720CB2" w:rsidRPr="009735CE" w:rsidRDefault="00720CB2" w:rsidP="009735CE">
      <w:pPr>
        <w:spacing w:after="240" w:line="360" w:lineRule="auto"/>
        <w:jc w:val="both"/>
        <w:rPr>
          <w:rFonts w:cstheme="minorHAnsi"/>
          <w:sz w:val="24"/>
          <w:szCs w:val="24"/>
        </w:rPr>
      </w:pPr>
      <w:r w:rsidRPr="009735CE">
        <w:rPr>
          <w:rFonts w:cstheme="minorHAnsi"/>
          <w:sz w:val="24"/>
          <w:szCs w:val="24"/>
        </w:rPr>
        <w:t>Hyde Park’s economy is greatly supported by the University of Leeds, which provides work opportunities for many residents and is responsible for the congestion of students in the area. University community therefore plays a significant role in addressing the problem of green spaces and this involves the students, the faculty among others. As for students, who have a rather ephemeral experience of living in or near Hyde Park, the questions of local concern, such as green space protection, may not seem personal. Nevertheless, there are ways in which students could get more involved with the community and become a force for positive change; for instance, awareness campaigns and volunteering</w:t>
      </w:r>
      <w:r w:rsidR="00084F3A" w:rsidRPr="009735CE">
        <w:rPr>
          <w:rFonts w:cstheme="minorHAnsi"/>
          <w:sz w:val="24"/>
          <w:szCs w:val="24"/>
        </w:rPr>
        <w:t xml:space="preserve"> (Blanc et al., 2020)</w:t>
      </w:r>
      <w:r w:rsidRPr="009735CE">
        <w:rPr>
          <w:rFonts w:cstheme="minorHAnsi"/>
          <w:sz w:val="24"/>
          <w:szCs w:val="24"/>
        </w:rPr>
        <w:t xml:space="preserve">. </w:t>
      </w:r>
    </w:p>
    <w:p w:rsidR="00720CB2" w:rsidRPr="009735CE" w:rsidRDefault="00720CB2" w:rsidP="009735CE">
      <w:pPr>
        <w:spacing w:after="240" w:line="360" w:lineRule="auto"/>
        <w:jc w:val="both"/>
        <w:rPr>
          <w:rFonts w:cstheme="minorHAnsi"/>
          <w:sz w:val="24"/>
          <w:szCs w:val="24"/>
        </w:rPr>
      </w:pPr>
      <w:r w:rsidRPr="009735CE">
        <w:rPr>
          <w:rFonts w:cstheme="minorHAnsi"/>
          <w:sz w:val="24"/>
          <w:szCs w:val="24"/>
        </w:rPr>
        <w:lastRenderedPageBreak/>
        <w:t xml:space="preserve">It is also important to remember that both the faculty and the administrators of a university are also a part of the community that surrounds the university. Through partnership with the university, local inhabitants and city planners can utilize academic knowledge and materials to find effective measures that would protect green areas. For example, research conducted within a university’s school of planning and architecture to do with urban development </w:t>
      </w:r>
      <w:proofErr w:type="gramStart"/>
      <w:r w:rsidRPr="009735CE">
        <w:rPr>
          <w:rFonts w:cstheme="minorHAnsi"/>
          <w:sz w:val="24"/>
          <w:szCs w:val="24"/>
        </w:rPr>
        <w:t>an</w:t>
      </w:r>
      <w:proofErr w:type="gramEnd"/>
      <w:r w:rsidRPr="009735CE">
        <w:rPr>
          <w:rFonts w:cstheme="minorHAnsi"/>
          <w:sz w:val="24"/>
          <w:szCs w:val="24"/>
        </w:rPr>
        <w:t xml:space="preserve"> sustainability can offer recommendations for development decisions. Moreover, the inclusion of students in such research projects is also a plus for the community while strengthening the students’ learning processes by giving them real life examples of what they learn.</w:t>
      </w:r>
    </w:p>
    <w:p w:rsidR="00720CB2" w:rsidRPr="009735CE" w:rsidRDefault="00720CB2" w:rsidP="009735CE">
      <w:pPr>
        <w:spacing w:after="240" w:line="360" w:lineRule="auto"/>
        <w:jc w:val="both"/>
        <w:rPr>
          <w:rFonts w:cstheme="minorHAnsi"/>
          <w:b/>
          <w:bCs/>
          <w:sz w:val="24"/>
          <w:szCs w:val="24"/>
        </w:rPr>
      </w:pPr>
      <w:r w:rsidRPr="009735CE">
        <w:rPr>
          <w:rFonts w:cstheme="minorHAnsi"/>
          <w:b/>
          <w:bCs/>
          <w:sz w:val="24"/>
          <w:szCs w:val="24"/>
        </w:rPr>
        <w:t>Collaborative Partnerships and Effective Communication</w:t>
      </w:r>
    </w:p>
    <w:p w:rsidR="00720CB2" w:rsidRPr="009735CE" w:rsidRDefault="00720CB2" w:rsidP="009735CE">
      <w:pPr>
        <w:spacing w:after="240" w:line="360" w:lineRule="auto"/>
        <w:jc w:val="both"/>
        <w:rPr>
          <w:rFonts w:cstheme="minorHAnsi"/>
          <w:sz w:val="24"/>
          <w:szCs w:val="24"/>
        </w:rPr>
      </w:pPr>
      <w:r w:rsidRPr="009735CE">
        <w:rPr>
          <w:rFonts w:cstheme="minorHAnsi"/>
          <w:sz w:val="24"/>
          <w:szCs w:val="24"/>
        </w:rPr>
        <w:t>A major advantage of stakeholder engagement is the chance to create long-term strategic partnership to share resources, information as well as power. Discussing the problem of green areas in Hyde Park involve multi-stakeholder participation with participation of the local government, non-governmental organizations, and property developers. Such relations can result in a broader and more efficient approach than could be accomplished by a single actor</w:t>
      </w:r>
      <w:r w:rsidR="00084F3A" w:rsidRPr="009735CE">
        <w:rPr>
          <w:rFonts w:cstheme="minorHAnsi"/>
          <w:sz w:val="24"/>
          <w:szCs w:val="24"/>
        </w:rPr>
        <w:t xml:space="preserve"> (</w:t>
      </w:r>
      <w:proofErr w:type="spellStart"/>
      <w:r w:rsidR="00084F3A" w:rsidRPr="009735CE">
        <w:rPr>
          <w:rFonts w:cstheme="minorHAnsi"/>
          <w:sz w:val="24"/>
          <w:szCs w:val="24"/>
        </w:rPr>
        <w:t>Lourens</w:t>
      </w:r>
      <w:proofErr w:type="spellEnd"/>
      <w:r w:rsidR="00084F3A" w:rsidRPr="009735CE">
        <w:rPr>
          <w:rFonts w:cstheme="minorHAnsi"/>
          <w:sz w:val="24"/>
          <w:szCs w:val="24"/>
        </w:rPr>
        <w:t>, 2023)</w:t>
      </w:r>
      <w:r w:rsidRPr="009735CE">
        <w:rPr>
          <w:rFonts w:cstheme="minorHAnsi"/>
          <w:sz w:val="24"/>
          <w:szCs w:val="24"/>
        </w:rPr>
        <w:t xml:space="preserve">. </w:t>
      </w:r>
    </w:p>
    <w:p w:rsidR="00720CB2" w:rsidRPr="009735CE" w:rsidRDefault="00720CB2" w:rsidP="009735CE">
      <w:pPr>
        <w:spacing w:after="240" w:line="360" w:lineRule="auto"/>
        <w:jc w:val="both"/>
        <w:rPr>
          <w:rFonts w:cstheme="minorHAnsi"/>
          <w:sz w:val="24"/>
          <w:szCs w:val="24"/>
        </w:rPr>
      </w:pPr>
      <w:r w:rsidRPr="009735CE">
        <w:rPr>
          <w:rFonts w:cstheme="minorHAnsi"/>
          <w:sz w:val="24"/>
          <w:szCs w:val="24"/>
        </w:rPr>
        <w:t xml:space="preserve">There should be clear communication in the implementation of these collaborations. This way, all the stakeholders know what is happening, what proposed changes are to be made, and what they are supposed to do about it. Experience as a community member has also shed light on the need to keep the lines of communication as free as possible right from the start. Daily and weekly updates, meetings with the community members, and the utilization of technology in the sharing of information can assist in maintaining awareness and engagement of all the stakeholders involved. </w:t>
      </w:r>
    </w:p>
    <w:p w:rsidR="00720CB2" w:rsidRPr="009735CE" w:rsidRDefault="00720CB2" w:rsidP="009735CE">
      <w:pPr>
        <w:spacing w:after="240" w:line="360" w:lineRule="auto"/>
        <w:jc w:val="both"/>
        <w:rPr>
          <w:rFonts w:cstheme="minorHAnsi"/>
          <w:sz w:val="24"/>
          <w:szCs w:val="24"/>
        </w:rPr>
      </w:pPr>
      <w:r w:rsidRPr="009735CE">
        <w:rPr>
          <w:rFonts w:cstheme="minorHAnsi"/>
          <w:sz w:val="24"/>
          <w:szCs w:val="24"/>
        </w:rPr>
        <w:t xml:space="preserve">For instance, in dealing with property developers they need to be informed of the community’s feelings about losing green areas but at the same time the developers have to build structures. By discussing the issue in terms of ‘development on one side and the protection of the environment on the other’, the developers may be more receptive to incorporating green spaces into their projects. In the same way, open communication with the local authorities makes it </w:t>
      </w:r>
      <w:r w:rsidRPr="009735CE">
        <w:rPr>
          <w:rFonts w:cstheme="minorHAnsi"/>
          <w:sz w:val="24"/>
          <w:szCs w:val="24"/>
        </w:rPr>
        <w:lastRenderedPageBreak/>
        <w:t>possible to ensure that the policies on development address the needs of the community</w:t>
      </w:r>
      <w:r w:rsidR="00084F3A" w:rsidRPr="009735CE">
        <w:rPr>
          <w:rFonts w:cstheme="minorHAnsi"/>
          <w:sz w:val="24"/>
          <w:szCs w:val="24"/>
        </w:rPr>
        <w:t xml:space="preserve"> (Blanc et al., 2020)</w:t>
      </w:r>
      <w:r w:rsidRPr="009735CE">
        <w:rPr>
          <w:rFonts w:cstheme="minorHAnsi"/>
          <w:sz w:val="24"/>
          <w:szCs w:val="24"/>
        </w:rPr>
        <w:t>.</w:t>
      </w:r>
    </w:p>
    <w:p w:rsidR="00720CB2" w:rsidRPr="009735CE" w:rsidRDefault="00720CB2" w:rsidP="009735CE">
      <w:pPr>
        <w:spacing w:after="240" w:line="360" w:lineRule="auto"/>
        <w:jc w:val="both"/>
        <w:rPr>
          <w:rFonts w:cstheme="minorHAnsi"/>
          <w:b/>
          <w:bCs/>
          <w:sz w:val="24"/>
          <w:szCs w:val="24"/>
        </w:rPr>
      </w:pPr>
      <w:r w:rsidRPr="009735CE">
        <w:rPr>
          <w:rFonts w:cstheme="minorHAnsi"/>
          <w:b/>
          <w:bCs/>
          <w:sz w:val="24"/>
          <w:szCs w:val="24"/>
        </w:rPr>
        <w:t>Personal Experience and the Value of Inclusivity</w:t>
      </w:r>
    </w:p>
    <w:p w:rsidR="00720CB2" w:rsidRPr="009735CE" w:rsidRDefault="00720CB2" w:rsidP="009735CE">
      <w:pPr>
        <w:spacing w:after="240" w:line="360" w:lineRule="auto"/>
        <w:jc w:val="both"/>
        <w:rPr>
          <w:rFonts w:cstheme="minorHAnsi"/>
          <w:sz w:val="24"/>
          <w:szCs w:val="24"/>
        </w:rPr>
      </w:pPr>
      <w:r w:rsidRPr="009735CE">
        <w:rPr>
          <w:rFonts w:cstheme="minorHAnsi"/>
          <w:sz w:val="24"/>
          <w:szCs w:val="24"/>
        </w:rPr>
        <w:t>Inclusiveness has been found to be effective in engagement as a community member, personal experience is testimony to this. There is a great deal of social heterogeneity in Hyde Park and different stakeholders may therefore have different attitudes towards green spaces. It is crucial to have a way of making sure that everybody’s opinion is captured, especially those who might not be very vocal or those who are in the minority</w:t>
      </w:r>
      <w:r w:rsidR="00084F3A" w:rsidRPr="009735CE">
        <w:rPr>
          <w:rFonts w:cstheme="minorHAnsi"/>
          <w:sz w:val="24"/>
          <w:szCs w:val="24"/>
        </w:rPr>
        <w:t xml:space="preserve"> (Osborne, 2022)</w:t>
      </w:r>
      <w:r w:rsidRPr="009735CE">
        <w:rPr>
          <w:rFonts w:cstheme="minorHAnsi"/>
          <w:sz w:val="24"/>
          <w:szCs w:val="24"/>
        </w:rPr>
        <w:t xml:space="preserve">. </w:t>
      </w:r>
    </w:p>
    <w:p w:rsidR="00720CB2" w:rsidRPr="009735CE" w:rsidRDefault="00720CB2" w:rsidP="009735CE">
      <w:pPr>
        <w:spacing w:after="240" w:line="360" w:lineRule="auto"/>
        <w:jc w:val="both"/>
        <w:rPr>
          <w:rFonts w:cstheme="minorHAnsi"/>
          <w:sz w:val="24"/>
          <w:szCs w:val="24"/>
        </w:rPr>
      </w:pPr>
      <w:proofErr w:type="spellStart"/>
      <w:r w:rsidRPr="009735CE">
        <w:rPr>
          <w:rFonts w:cstheme="minorHAnsi"/>
          <w:sz w:val="24"/>
          <w:szCs w:val="24"/>
        </w:rPr>
        <w:t>Culturality</w:t>
      </w:r>
      <w:proofErr w:type="spellEnd"/>
      <w:r w:rsidRPr="009735CE">
        <w:rPr>
          <w:rFonts w:cstheme="minorHAnsi"/>
          <w:sz w:val="24"/>
          <w:szCs w:val="24"/>
        </w:rPr>
        <w:t xml:space="preserve"> is also another dimension where one has to appreciate the different uses and appreciations of green spaces among the cultural diverse groups. For instance, the green space may be reserved for certain cultural functions among some cultural bearing while for others it may be viewed just as playgrounds. Acknowledging and understanding these differences may lead to the development of engagement approaches that would be effective for everybody. </w:t>
      </w:r>
    </w:p>
    <w:p w:rsidR="00720CB2" w:rsidRPr="009735CE" w:rsidRDefault="00720CB2" w:rsidP="009735CE">
      <w:pPr>
        <w:spacing w:after="240" w:line="360" w:lineRule="auto"/>
        <w:jc w:val="both"/>
        <w:rPr>
          <w:rFonts w:cstheme="minorHAnsi"/>
          <w:b/>
          <w:sz w:val="24"/>
          <w:szCs w:val="24"/>
        </w:rPr>
      </w:pPr>
      <w:r w:rsidRPr="009735CE">
        <w:rPr>
          <w:rFonts w:cstheme="minorHAnsi"/>
          <w:b/>
          <w:sz w:val="24"/>
          <w:szCs w:val="24"/>
        </w:rPr>
        <w:t xml:space="preserve">Conclusion </w:t>
      </w:r>
    </w:p>
    <w:p w:rsidR="00720CB2" w:rsidRPr="009735CE" w:rsidRDefault="00720CB2" w:rsidP="009735CE">
      <w:pPr>
        <w:spacing w:after="240" w:line="360" w:lineRule="auto"/>
        <w:jc w:val="both"/>
        <w:rPr>
          <w:rFonts w:cstheme="minorHAnsi"/>
          <w:sz w:val="24"/>
          <w:szCs w:val="24"/>
        </w:rPr>
      </w:pPr>
      <w:r w:rsidRPr="009735CE">
        <w:rPr>
          <w:rFonts w:cstheme="minorHAnsi"/>
          <w:sz w:val="24"/>
          <w:szCs w:val="24"/>
        </w:rPr>
        <w:t>Stakeholder involvement in the Hyde Park community is crucial in the solution of the problem of reduced availability of green areas because of development. When done with the cooperation of the local residents, the university community and other stakeholders, it is possible to create solutions that are more inclusive, sustainable and locally led. The advantages of this engagement are numerous; the residents will be engaged, making them feel that they own the place academics will be harnessed, partnerships will be fostered, and communication will be enhanced. The subjective perception of the community makes one act in a way that protects the character and quality of the environment by being actively involved in the decision-making processes that lead to balanced development of the area that is Hyde Park.</w:t>
      </w:r>
    </w:p>
    <w:p w:rsidR="00084F3A" w:rsidRPr="009735CE" w:rsidRDefault="00084F3A" w:rsidP="009735CE">
      <w:pPr>
        <w:spacing w:after="240" w:line="360" w:lineRule="auto"/>
        <w:jc w:val="both"/>
        <w:rPr>
          <w:rFonts w:cstheme="minorHAnsi"/>
          <w:sz w:val="24"/>
          <w:szCs w:val="24"/>
        </w:rPr>
      </w:pPr>
      <w:r w:rsidRPr="009735CE">
        <w:rPr>
          <w:rFonts w:cstheme="minorHAnsi"/>
          <w:sz w:val="24"/>
          <w:szCs w:val="24"/>
        </w:rPr>
        <w:br w:type="page"/>
      </w:r>
    </w:p>
    <w:p w:rsidR="00720CB2" w:rsidRPr="009735CE" w:rsidRDefault="00084F3A" w:rsidP="009735CE">
      <w:pPr>
        <w:pStyle w:val="Heading1"/>
        <w:spacing w:after="240" w:line="360" w:lineRule="auto"/>
        <w:jc w:val="both"/>
        <w:rPr>
          <w:rFonts w:asciiTheme="minorHAnsi" w:hAnsiTheme="minorHAnsi" w:cstheme="minorHAnsi"/>
          <w:sz w:val="24"/>
          <w:szCs w:val="24"/>
        </w:rPr>
      </w:pPr>
      <w:bookmarkStart w:id="5" w:name="_Toc175330481"/>
      <w:r w:rsidRPr="009735CE">
        <w:rPr>
          <w:rFonts w:asciiTheme="minorHAnsi" w:hAnsiTheme="minorHAnsi" w:cstheme="minorHAnsi"/>
          <w:sz w:val="24"/>
          <w:szCs w:val="24"/>
        </w:rPr>
        <w:lastRenderedPageBreak/>
        <w:t>Reference List</w:t>
      </w:r>
      <w:bookmarkEnd w:id="5"/>
    </w:p>
    <w:p w:rsidR="00084F3A" w:rsidRPr="009735CE" w:rsidRDefault="00084F3A" w:rsidP="009735CE">
      <w:pPr>
        <w:spacing w:after="240" w:line="360" w:lineRule="auto"/>
        <w:jc w:val="both"/>
        <w:rPr>
          <w:rFonts w:cstheme="minorHAnsi"/>
          <w:color w:val="222222"/>
          <w:sz w:val="24"/>
          <w:szCs w:val="24"/>
          <w:shd w:val="clear" w:color="auto" w:fill="FFFFFF"/>
        </w:rPr>
      </w:pPr>
      <w:r w:rsidRPr="009735CE">
        <w:rPr>
          <w:rFonts w:cstheme="minorHAnsi"/>
          <w:color w:val="222222"/>
          <w:sz w:val="24"/>
          <w:szCs w:val="24"/>
          <w:shd w:val="clear" w:color="auto" w:fill="FFFFFF"/>
        </w:rPr>
        <w:t>Austin, T. ed., 2020. </w:t>
      </w:r>
      <w:r w:rsidRPr="009735CE">
        <w:rPr>
          <w:rFonts w:cstheme="minorHAnsi"/>
          <w:i/>
          <w:iCs/>
          <w:color w:val="222222"/>
          <w:sz w:val="24"/>
          <w:szCs w:val="24"/>
          <w:shd w:val="clear" w:color="auto" w:fill="FFFFFF"/>
        </w:rPr>
        <w:t>Cinema of Crisis: Film and Contemporary Europe</w:t>
      </w:r>
      <w:r w:rsidRPr="009735CE">
        <w:rPr>
          <w:rFonts w:cstheme="minorHAnsi"/>
          <w:color w:val="222222"/>
          <w:sz w:val="24"/>
          <w:szCs w:val="24"/>
          <w:shd w:val="clear" w:color="auto" w:fill="FFFFFF"/>
        </w:rPr>
        <w:t>. Edinburgh University Press.</w:t>
      </w:r>
    </w:p>
    <w:p w:rsidR="00084F3A" w:rsidRPr="009735CE" w:rsidRDefault="00084F3A" w:rsidP="009735CE">
      <w:pPr>
        <w:spacing w:after="240" w:line="360" w:lineRule="auto"/>
        <w:jc w:val="both"/>
        <w:rPr>
          <w:rFonts w:cstheme="minorHAnsi"/>
          <w:color w:val="222222"/>
          <w:sz w:val="24"/>
          <w:szCs w:val="24"/>
          <w:shd w:val="clear" w:color="auto" w:fill="FFFFFF"/>
        </w:rPr>
      </w:pPr>
      <w:r w:rsidRPr="009735CE">
        <w:rPr>
          <w:rFonts w:cstheme="minorHAnsi"/>
          <w:color w:val="222222"/>
          <w:sz w:val="24"/>
          <w:szCs w:val="24"/>
          <w:shd w:val="clear" w:color="auto" w:fill="FFFFFF"/>
        </w:rPr>
        <w:t>Blanc, F., Scanlon, K. and White, T., 2020. Living in a denser London. </w:t>
      </w:r>
      <w:r w:rsidRPr="009735CE">
        <w:rPr>
          <w:rFonts w:cstheme="minorHAnsi"/>
          <w:i/>
          <w:iCs/>
          <w:color w:val="222222"/>
          <w:sz w:val="24"/>
          <w:szCs w:val="24"/>
          <w:shd w:val="clear" w:color="auto" w:fill="FFFFFF"/>
        </w:rPr>
        <w:t>London School of Economics (LSE)</w:t>
      </w:r>
      <w:r w:rsidRPr="009735CE">
        <w:rPr>
          <w:rFonts w:cstheme="minorHAnsi"/>
          <w:color w:val="222222"/>
          <w:sz w:val="24"/>
          <w:szCs w:val="24"/>
          <w:shd w:val="clear" w:color="auto" w:fill="FFFFFF"/>
        </w:rPr>
        <w:t>.</w:t>
      </w:r>
    </w:p>
    <w:p w:rsidR="00084F3A" w:rsidRPr="009735CE" w:rsidRDefault="00084F3A" w:rsidP="009735CE">
      <w:pPr>
        <w:spacing w:after="240" w:line="360" w:lineRule="auto"/>
        <w:jc w:val="both"/>
        <w:rPr>
          <w:rFonts w:cstheme="minorHAnsi"/>
          <w:color w:val="222222"/>
          <w:sz w:val="24"/>
          <w:szCs w:val="24"/>
          <w:shd w:val="clear" w:color="auto" w:fill="FFFFFF"/>
        </w:rPr>
      </w:pPr>
      <w:r w:rsidRPr="009735CE">
        <w:rPr>
          <w:rFonts w:cstheme="minorHAnsi"/>
          <w:color w:val="222222"/>
          <w:sz w:val="24"/>
          <w:szCs w:val="24"/>
          <w:shd w:val="clear" w:color="auto" w:fill="FFFFFF"/>
        </w:rPr>
        <w:t>Evans, G., 2024. </w:t>
      </w:r>
      <w:r w:rsidRPr="009735CE">
        <w:rPr>
          <w:rFonts w:cstheme="minorHAnsi"/>
          <w:i/>
          <w:iCs/>
          <w:color w:val="222222"/>
          <w:sz w:val="24"/>
          <w:szCs w:val="24"/>
          <w:shd w:val="clear" w:color="auto" w:fill="FFFFFF"/>
        </w:rPr>
        <w:t>Cultural Spaces, Production and Consumption</w:t>
      </w:r>
      <w:r w:rsidRPr="009735CE">
        <w:rPr>
          <w:rFonts w:cstheme="minorHAnsi"/>
          <w:color w:val="222222"/>
          <w:sz w:val="24"/>
          <w:szCs w:val="24"/>
          <w:shd w:val="clear" w:color="auto" w:fill="FFFFFF"/>
        </w:rPr>
        <w:t>. Taylor &amp; Francis.</w:t>
      </w:r>
    </w:p>
    <w:p w:rsidR="00084F3A" w:rsidRPr="009735CE" w:rsidRDefault="00084F3A" w:rsidP="009735CE">
      <w:pPr>
        <w:spacing w:after="240" w:line="360" w:lineRule="auto"/>
        <w:jc w:val="both"/>
        <w:rPr>
          <w:rFonts w:cstheme="minorHAnsi"/>
          <w:color w:val="222222"/>
          <w:sz w:val="24"/>
          <w:szCs w:val="24"/>
          <w:shd w:val="clear" w:color="auto" w:fill="FFFFFF"/>
        </w:rPr>
      </w:pPr>
      <w:r w:rsidRPr="009735CE">
        <w:rPr>
          <w:rFonts w:cstheme="minorHAnsi"/>
          <w:color w:val="222222"/>
          <w:sz w:val="24"/>
          <w:szCs w:val="24"/>
          <w:shd w:val="clear" w:color="auto" w:fill="FFFFFF"/>
        </w:rPr>
        <w:t>Kilpatrick, B., 2024. </w:t>
      </w:r>
      <w:r w:rsidRPr="009735CE">
        <w:rPr>
          <w:rFonts w:cstheme="minorHAnsi"/>
          <w:i/>
          <w:iCs/>
          <w:color w:val="222222"/>
          <w:sz w:val="24"/>
          <w:szCs w:val="24"/>
          <w:shd w:val="clear" w:color="auto" w:fill="FFFFFF"/>
        </w:rPr>
        <w:t>The Rise of Build to Rent in the UK</w:t>
      </w:r>
      <w:r w:rsidRPr="009735CE">
        <w:rPr>
          <w:rFonts w:cstheme="minorHAnsi"/>
          <w:color w:val="222222"/>
          <w:sz w:val="24"/>
          <w:szCs w:val="24"/>
          <w:shd w:val="clear" w:color="auto" w:fill="FFFFFF"/>
        </w:rPr>
        <w:t>. Taylor &amp; Francis.</w:t>
      </w:r>
    </w:p>
    <w:p w:rsidR="00084F3A" w:rsidRPr="009735CE" w:rsidRDefault="00084F3A" w:rsidP="009735CE">
      <w:pPr>
        <w:spacing w:after="240" w:line="360" w:lineRule="auto"/>
        <w:jc w:val="both"/>
        <w:rPr>
          <w:rFonts w:cstheme="minorHAnsi"/>
          <w:color w:val="222222"/>
          <w:sz w:val="24"/>
          <w:szCs w:val="24"/>
          <w:shd w:val="clear" w:color="auto" w:fill="FFFFFF"/>
        </w:rPr>
      </w:pPr>
      <w:proofErr w:type="spellStart"/>
      <w:r w:rsidRPr="009735CE">
        <w:rPr>
          <w:rFonts w:cstheme="minorHAnsi"/>
          <w:color w:val="222222"/>
          <w:sz w:val="24"/>
          <w:szCs w:val="24"/>
          <w:shd w:val="clear" w:color="auto" w:fill="FFFFFF"/>
        </w:rPr>
        <w:t>Krajter</w:t>
      </w:r>
      <w:proofErr w:type="spellEnd"/>
      <w:r w:rsidRPr="009735CE">
        <w:rPr>
          <w:rFonts w:cstheme="minorHAnsi"/>
          <w:color w:val="222222"/>
          <w:sz w:val="24"/>
          <w:szCs w:val="24"/>
          <w:shd w:val="clear" w:color="auto" w:fill="FFFFFF"/>
        </w:rPr>
        <w:t xml:space="preserve"> </w:t>
      </w:r>
      <w:proofErr w:type="spellStart"/>
      <w:r w:rsidRPr="009735CE">
        <w:rPr>
          <w:rFonts w:cstheme="minorHAnsi"/>
          <w:color w:val="222222"/>
          <w:sz w:val="24"/>
          <w:szCs w:val="24"/>
          <w:shd w:val="clear" w:color="auto" w:fill="FFFFFF"/>
        </w:rPr>
        <w:t>Ostoić</w:t>
      </w:r>
      <w:proofErr w:type="spellEnd"/>
      <w:r w:rsidRPr="009735CE">
        <w:rPr>
          <w:rFonts w:cstheme="minorHAnsi"/>
          <w:color w:val="222222"/>
          <w:sz w:val="24"/>
          <w:szCs w:val="24"/>
          <w:shd w:val="clear" w:color="auto" w:fill="FFFFFF"/>
        </w:rPr>
        <w:t xml:space="preserve">, S., </w:t>
      </w:r>
      <w:proofErr w:type="spellStart"/>
      <w:r w:rsidRPr="009735CE">
        <w:rPr>
          <w:rFonts w:cstheme="minorHAnsi"/>
          <w:color w:val="222222"/>
          <w:sz w:val="24"/>
          <w:szCs w:val="24"/>
          <w:shd w:val="clear" w:color="auto" w:fill="FFFFFF"/>
        </w:rPr>
        <w:t>Vuletić</w:t>
      </w:r>
      <w:proofErr w:type="spellEnd"/>
      <w:r w:rsidRPr="009735CE">
        <w:rPr>
          <w:rFonts w:cstheme="minorHAnsi"/>
          <w:color w:val="222222"/>
          <w:sz w:val="24"/>
          <w:szCs w:val="24"/>
          <w:shd w:val="clear" w:color="auto" w:fill="FFFFFF"/>
        </w:rPr>
        <w:t xml:space="preserve">, D., </w:t>
      </w:r>
      <w:proofErr w:type="spellStart"/>
      <w:r w:rsidRPr="009735CE">
        <w:rPr>
          <w:rFonts w:cstheme="minorHAnsi"/>
          <w:color w:val="222222"/>
          <w:sz w:val="24"/>
          <w:szCs w:val="24"/>
          <w:shd w:val="clear" w:color="auto" w:fill="FFFFFF"/>
        </w:rPr>
        <w:t>Planinšek</w:t>
      </w:r>
      <w:proofErr w:type="spellEnd"/>
      <w:r w:rsidRPr="009735CE">
        <w:rPr>
          <w:rFonts w:cstheme="minorHAnsi"/>
          <w:color w:val="222222"/>
          <w:sz w:val="24"/>
          <w:szCs w:val="24"/>
          <w:shd w:val="clear" w:color="auto" w:fill="FFFFFF"/>
        </w:rPr>
        <w:t xml:space="preserve">, </w:t>
      </w:r>
      <w:proofErr w:type="gramStart"/>
      <w:r w:rsidRPr="009735CE">
        <w:rPr>
          <w:rFonts w:cstheme="minorHAnsi"/>
          <w:color w:val="222222"/>
          <w:sz w:val="24"/>
          <w:szCs w:val="24"/>
          <w:shd w:val="clear" w:color="auto" w:fill="FFFFFF"/>
        </w:rPr>
        <w:t>Š.,</w:t>
      </w:r>
      <w:proofErr w:type="gramEnd"/>
      <w:r w:rsidRPr="009735CE">
        <w:rPr>
          <w:rFonts w:cstheme="minorHAnsi"/>
          <w:color w:val="222222"/>
          <w:sz w:val="24"/>
          <w:szCs w:val="24"/>
          <w:shd w:val="clear" w:color="auto" w:fill="FFFFFF"/>
        </w:rPr>
        <w:t xml:space="preserve"> </w:t>
      </w:r>
      <w:proofErr w:type="spellStart"/>
      <w:r w:rsidRPr="009735CE">
        <w:rPr>
          <w:rFonts w:cstheme="minorHAnsi"/>
          <w:color w:val="222222"/>
          <w:sz w:val="24"/>
          <w:szCs w:val="24"/>
          <w:shd w:val="clear" w:color="auto" w:fill="FFFFFF"/>
        </w:rPr>
        <w:t>Vilhar</w:t>
      </w:r>
      <w:proofErr w:type="spellEnd"/>
      <w:r w:rsidRPr="009735CE">
        <w:rPr>
          <w:rFonts w:cstheme="minorHAnsi"/>
          <w:color w:val="222222"/>
          <w:sz w:val="24"/>
          <w:szCs w:val="24"/>
          <w:shd w:val="clear" w:color="auto" w:fill="FFFFFF"/>
        </w:rPr>
        <w:t xml:space="preserve">, U. and </w:t>
      </w:r>
      <w:proofErr w:type="spellStart"/>
      <w:r w:rsidRPr="009735CE">
        <w:rPr>
          <w:rFonts w:cstheme="minorHAnsi"/>
          <w:color w:val="222222"/>
          <w:sz w:val="24"/>
          <w:szCs w:val="24"/>
          <w:shd w:val="clear" w:color="auto" w:fill="FFFFFF"/>
        </w:rPr>
        <w:t>Japelj</w:t>
      </w:r>
      <w:proofErr w:type="spellEnd"/>
      <w:r w:rsidRPr="009735CE">
        <w:rPr>
          <w:rFonts w:cstheme="minorHAnsi"/>
          <w:color w:val="222222"/>
          <w:sz w:val="24"/>
          <w:szCs w:val="24"/>
          <w:shd w:val="clear" w:color="auto" w:fill="FFFFFF"/>
        </w:rPr>
        <w:t>, A., 2020. Three decades of urban forest and green space research and practice in Croatia and Slovenia. </w:t>
      </w:r>
      <w:r w:rsidRPr="009735CE">
        <w:rPr>
          <w:rFonts w:cstheme="minorHAnsi"/>
          <w:i/>
          <w:iCs/>
          <w:color w:val="222222"/>
          <w:sz w:val="24"/>
          <w:szCs w:val="24"/>
          <w:shd w:val="clear" w:color="auto" w:fill="FFFFFF"/>
        </w:rPr>
        <w:t>Forests</w:t>
      </w:r>
      <w:r w:rsidRPr="009735CE">
        <w:rPr>
          <w:rFonts w:cstheme="minorHAnsi"/>
          <w:color w:val="222222"/>
          <w:sz w:val="24"/>
          <w:szCs w:val="24"/>
          <w:shd w:val="clear" w:color="auto" w:fill="FFFFFF"/>
        </w:rPr>
        <w:t>, </w:t>
      </w:r>
      <w:r w:rsidRPr="009735CE">
        <w:rPr>
          <w:rFonts w:cstheme="minorHAnsi"/>
          <w:i/>
          <w:iCs/>
          <w:color w:val="222222"/>
          <w:sz w:val="24"/>
          <w:szCs w:val="24"/>
          <w:shd w:val="clear" w:color="auto" w:fill="FFFFFF"/>
        </w:rPr>
        <w:t>11</w:t>
      </w:r>
      <w:r w:rsidRPr="009735CE">
        <w:rPr>
          <w:rFonts w:cstheme="minorHAnsi"/>
          <w:color w:val="222222"/>
          <w:sz w:val="24"/>
          <w:szCs w:val="24"/>
          <w:shd w:val="clear" w:color="auto" w:fill="FFFFFF"/>
        </w:rPr>
        <w:t>(2), p.136.</w:t>
      </w:r>
    </w:p>
    <w:p w:rsidR="00084F3A" w:rsidRPr="009735CE" w:rsidRDefault="00084F3A" w:rsidP="009735CE">
      <w:pPr>
        <w:spacing w:after="240" w:line="360" w:lineRule="auto"/>
        <w:jc w:val="both"/>
        <w:rPr>
          <w:rFonts w:cstheme="minorHAnsi"/>
          <w:color w:val="222222"/>
          <w:sz w:val="24"/>
          <w:szCs w:val="24"/>
          <w:shd w:val="clear" w:color="auto" w:fill="FFFFFF"/>
        </w:rPr>
      </w:pPr>
      <w:proofErr w:type="spellStart"/>
      <w:r w:rsidRPr="009735CE">
        <w:rPr>
          <w:rFonts w:cstheme="minorHAnsi"/>
          <w:color w:val="222222"/>
          <w:sz w:val="24"/>
          <w:szCs w:val="24"/>
          <w:shd w:val="clear" w:color="auto" w:fill="FFFFFF"/>
        </w:rPr>
        <w:t>Lourens</w:t>
      </w:r>
      <w:proofErr w:type="spellEnd"/>
      <w:r w:rsidRPr="009735CE">
        <w:rPr>
          <w:rFonts w:cstheme="minorHAnsi"/>
          <w:color w:val="222222"/>
          <w:sz w:val="24"/>
          <w:szCs w:val="24"/>
          <w:shd w:val="clear" w:color="auto" w:fill="FFFFFF"/>
        </w:rPr>
        <w:t>, H.C., 2023. </w:t>
      </w:r>
      <w:r w:rsidRPr="009735CE">
        <w:rPr>
          <w:rFonts w:cstheme="minorHAnsi"/>
          <w:i/>
          <w:iCs/>
          <w:color w:val="222222"/>
          <w:sz w:val="24"/>
          <w:szCs w:val="24"/>
          <w:shd w:val="clear" w:color="auto" w:fill="FFFFFF"/>
        </w:rPr>
        <w:t>Towards a more sustainable open space planning approach: George Municipality</w:t>
      </w:r>
      <w:r w:rsidRPr="009735CE">
        <w:rPr>
          <w:rFonts w:cstheme="minorHAnsi"/>
          <w:color w:val="222222"/>
          <w:sz w:val="24"/>
          <w:szCs w:val="24"/>
          <w:shd w:val="clear" w:color="auto" w:fill="FFFFFF"/>
        </w:rPr>
        <w:t> (Doctoral dissertation, North-West University (South Africa)).</w:t>
      </w:r>
    </w:p>
    <w:p w:rsidR="00084F3A" w:rsidRPr="009735CE" w:rsidRDefault="00084F3A" w:rsidP="009735CE">
      <w:pPr>
        <w:spacing w:after="240" w:line="360" w:lineRule="auto"/>
        <w:jc w:val="both"/>
        <w:rPr>
          <w:rFonts w:cstheme="minorHAnsi"/>
          <w:sz w:val="24"/>
          <w:szCs w:val="24"/>
        </w:rPr>
      </w:pPr>
      <w:r w:rsidRPr="009735CE">
        <w:rPr>
          <w:rFonts w:cstheme="minorHAnsi"/>
          <w:color w:val="222222"/>
          <w:sz w:val="24"/>
          <w:szCs w:val="24"/>
          <w:shd w:val="clear" w:color="auto" w:fill="FFFFFF"/>
        </w:rPr>
        <w:t>Osborne, L., 2022. </w:t>
      </w:r>
      <w:r w:rsidRPr="009735CE">
        <w:rPr>
          <w:rFonts w:cstheme="minorHAnsi"/>
          <w:i/>
          <w:iCs/>
          <w:color w:val="222222"/>
          <w:sz w:val="24"/>
          <w:szCs w:val="24"/>
          <w:shd w:val="clear" w:color="auto" w:fill="FFFFFF"/>
        </w:rPr>
        <w:t>The impact of changing residential greenspace on children’s outdoor activities</w:t>
      </w:r>
      <w:r w:rsidRPr="009735CE">
        <w:rPr>
          <w:rFonts w:cstheme="minorHAnsi"/>
          <w:color w:val="222222"/>
          <w:sz w:val="24"/>
          <w:szCs w:val="24"/>
          <w:shd w:val="clear" w:color="auto" w:fill="FFFFFF"/>
        </w:rPr>
        <w:t> (Doctoral dissertation, Queensland University of Technology).</w:t>
      </w:r>
    </w:p>
    <w:p w:rsidR="00084F3A" w:rsidRPr="009735CE" w:rsidRDefault="00084F3A" w:rsidP="009735CE">
      <w:pPr>
        <w:spacing w:after="240" w:line="360" w:lineRule="auto"/>
        <w:jc w:val="both"/>
        <w:rPr>
          <w:rFonts w:cstheme="minorHAnsi"/>
          <w:color w:val="222222"/>
          <w:sz w:val="24"/>
          <w:szCs w:val="24"/>
          <w:shd w:val="clear" w:color="auto" w:fill="FFFFFF"/>
        </w:rPr>
      </w:pPr>
      <w:proofErr w:type="spellStart"/>
      <w:r w:rsidRPr="009735CE">
        <w:rPr>
          <w:rFonts w:cstheme="minorHAnsi"/>
          <w:color w:val="222222"/>
          <w:sz w:val="24"/>
          <w:szCs w:val="24"/>
          <w:shd w:val="clear" w:color="auto" w:fill="FFFFFF"/>
        </w:rPr>
        <w:t>Thévoz</w:t>
      </w:r>
      <w:proofErr w:type="spellEnd"/>
      <w:r w:rsidRPr="009735CE">
        <w:rPr>
          <w:rFonts w:cstheme="minorHAnsi"/>
          <w:color w:val="222222"/>
          <w:sz w:val="24"/>
          <w:szCs w:val="24"/>
          <w:shd w:val="clear" w:color="auto" w:fill="FFFFFF"/>
        </w:rPr>
        <w:t>, S.A., 2022. </w:t>
      </w:r>
      <w:r w:rsidRPr="009735CE">
        <w:rPr>
          <w:rFonts w:cstheme="minorHAnsi"/>
          <w:i/>
          <w:iCs/>
          <w:color w:val="222222"/>
          <w:sz w:val="24"/>
          <w:szCs w:val="24"/>
          <w:shd w:val="clear" w:color="auto" w:fill="FFFFFF"/>
        </w:rPr>
        <w:t>Behind Closed Doors: The Secret Life of London Private Members' Clubs</w:t>
      </w:r>
      <w:r w:rsidRPr="009735CE">
        <w:rPr>
          <w:rFonts w:cstheme="minorHAnsi"/>
          <w:color w:val="222222"/>
          <w:sz w:val="24"/>
          <w:szCs w:val="24"/>
          <w:shd w:val="clear" w:color="auto" w:fill="FFFFFF"/>
        </w:rPr>
        <w:t>. Robinson.</w:t>
      </w:r>
    </w:p>
    <w:p w:rsidR="00084F3A" w:rsidRPr="009735CE" w:rsidRDefault="00084F3A" w:rsidP="009735CE">
      <w:pPr>
        <w:spacing w:after="240" w:line="360" w:lineRule="auto"/>
        <w:jc w:val="both"/>
        <w:rPr>
          <w:rFonts w:cstheme="minorHAnsi"/>
          <w:color w:val="222222"/>
          <w:sz w:val="24"/>
          <w:szCs w:val="24"/>
          <w:shd w:val="clear" w:color="auto" w:fill="FFFFFF"/>
        </w:rPr>
      </w:pPr>
      <w:proofErr w:type="spellStart"/>
      <w:r w:rsidRPr="009735CE">
        <w:rPr>
          <w:rFonts w:cstheme="minorHAnsi"/>
          <w:color w:val="222222"/>
          <w:sz w:val="24"/>
          <w:szCs w:val="24"/>
          <w:shd w:val="clear" w:color="auto" w:fill="FFFFFF"/>
        </w:rPr>
        <w:t>Wistow</w:t>
      </w:r>
      <w:proofErr w:type="spellEnd"/>
      <w:r w:rsidRPr="009735CE">
        <w:rPr>
          <w:rFonts w:cstheme="minorHAnsi"/>
          <w:color w:val="222222"/>
          <w:sz w:val="24"/>
          <w:szCs w:val="24"/>
          <w:shd w:val="clear" w:color="auto" w:fill="FFFFFF"/>
        </w:rPr>
        <w:t>, J., 2022. Place: uneven geographies and spatial inequalities. In </w:t>
      </w:r>
      <w:r w:rsidRPr="009735CE">
        <w:rPr>
          <w:rFonts w:cstheme="minorHAnsi"/>
          <w:i/>
          <w:iCs/>
          <w:color w:val="222222"/>
          <w:sz w:val="24"/>
          <w:szCs w:val="24"/>
          <w:shd w:val="clear" w:color="auto" w:fill="FFFFFF"/>
        </w:rPr>
        <w:t>Social Policy, Political Economy and the Social Contract</w:t>
      </w:r>
      <w:r w:rsidRPr="009735CE">
        <w:rPr>
          <w:rFonts w:cstheme="minorHAnsi"/>
          <w:color w:val="222222"/>
          <w:sz w:val="24"/>
          <w:szCs w:val="24"/>
          <w:shd w:val="clear" w:color="auto" w:fill="FFFFFF"/>
        </w:rPr>
        <w:t> (pp. 72-93). Policy Press.</w:t>
      </w:r>
    </w:p>
    <w:p w:rsidR="00084F3A" w:rsidRPr="009735CE" w:rsidRDefault="00084F3A" w:rsidP="009735CE">
      <w:pPr>
        <w:spacing w:after="240" w:line="360" w:lineRule="auto"/>
        <w:jc w:val="both"/>
        <w:rPr>
          <w:rFonts w:cstheme="minorHAnsi"/>
          <w:color w:val="222222"/>
          <w:sz w:val="24"/>
          <w:szCs w:val="24"/>
          <w:shd w:val="clear" w:color="auto" w:fill="FFFFFF"/>
        </w:rPr>
      </w:pPr>
      <w:proofErr w:type="spellStart"/>
      <w:r w:rsidRPr="009735CE">
        <w:rPr>
          <w:rFonts w:cstheme="minorHAnsi"/>
          <w:color w:val="222222"/>
          <w:sz w:val="24"/>
          <w:szCs w:val="24"/>
          <w:shd w:val="clear" w:color="auto" w:fill="FFFFFF"/>
        </w:rPr>
        <w:t>Zimmern</w:t>
      </w:r>
      <w:proofErr w:type="spellEnd"/>
      <w:r w:rsidRPr="009735CE">
        <w:rPr>
          <w:rFonts w:cstheme="minorHAnsi"/>
          <w:color w:val="222222"/>
          <w:sz w:val="24"/>
          <w:szCs w:val="24"/>
          <w:shd w:val="clear" w:color="auto" w:fill="FFFFFF"/>
        </w:rPr>
        <w:t>, A., Wilson, J.D., Greenwood, A. and Seton-Watson, R.W., 2022. </w:t>
      </w:r>
      <w:r w:rsidRPr="009735CE">
        <w:rPr>
          <w:rFonts w:cstheme="minorHAnsi"/>
          <w:i/>
          <w:iCs/>
          <w:color w:val="222222"/>
          <w:sz w:val="24"/>
          <w:szCs w:val="24"/>
          <w:shd w:val="clear" w:color="auto" w:fill="FFFFFF"/>
        </w:rPr>
        <w:t>The War and Democracy</w:t>
      </w:r>
      <w:r w:rsidRPr="009735CE">
        <w:rPr>
          <w:rFonts w:cstheme="minorHAnsi"/>
          <w:color w:val="222222"/>
          <w:sz w:val="24"/>
          <w:szCs w:val="24"/>
          <w:shd w:val="clear" w:color="auto" w:fill="FFFFFF"/>
        </w:rPr>
        <w:t xml:space="preserve">. </w:t>
      </w:r>
      <w:proofErr w:type="spellStart"/>
      <w:r w:rsidRPr="009735CE">
        <w:rPr>
          <w:rFonts w:cstheme="minorHAnsi"/>
          <w:color w:val="222222"/>
          <w:sz w:val="24"/>
          <w:szCs w:val="24"/>
          <w:shd w:val="clear" w:color="auto" w:fill="FFFFFF"/>
        </w:rPr>
        <w:t>DigiCat</w:t>
      </w:r>
      <w:proofErr w:type="spellEnd"/>
      <w:r w:rsidRPr="009735CE">
        <w:rPr>
          <w:rFonts w:cstheme="minorHAnsi"/>
          <w:color w:val="222222"/>
          <w:sz w:val="24"/>
          <w:szCs w:val="24"/>
          <w:shd w:val="clear" w:color="auto" w:fill="FFFFFF"/>
        </w:rPr>
        <w:t>.</w:t>
      </w:r>
    </w:p>
    <w:sectPr w:rsidR="00084F3A" w:rsidRPr="009735C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D96C1A"/>
    <w:multiLevelType w:val="multilevel"/>
    <w:tmpl w:val="FCB440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C06A13"/>
    <w:multiLevelType w:val="multilevel"/>
    <w:tmpl w:val="5D7E1E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173FFA"/>
    <w:multiLevelType w:val="multilevel"/>
    <w:tmpl w:val="23BA0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F9255C"/>
    <w:multiLevelType w:val="multilevel"/>
    <w:tmpl w:val="CA7A4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4A657B"/>
    <w:multiLevelType w:val="multilevel"/>
    <w:tmpl w:val="FD869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357AB2"/>
    <w:multiLevelType w:val="multilevel"/>
    <w:tmpl w:val="B5C4A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B37867"/>
    <w:multiLevelType w:val="multilevel"/>
    <w:tmpl w:val="99E0A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CB1BD3"/>
    <w:multiLevelType w:val="multilevel"/>
    <w:tmpl w:val="2FD69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DB959AE"/>
    <w:multiLevelType w:val="multilevel"/>
    <w:tmpl w:val="5B6A7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24A094E"/>
    <w:multiLevelType w:val="multilevel"/>
    <w:tmpl w:val="4E86F4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6A05F82"/>
    <w:multiLevelType w:val="multilevel"/>
    <w:tmpl w:val="AB92A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225375B"/>
    <w:multiLevelType w:val="multilevel"/>
    <w:tmpl w:val="9E0A8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7D27B75"/>
    <w:multiLevelType w:val="multilevel"/>
    <w:tmpl w:val="2D02F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0"/>
  </w:num>
  <w:num w:numId="4">
    <w:abstractNumId w:val="9"/>
  </w:num>
  <w:num w:numId="5">
    <w:abstractNumId w:val="8"/>
  </w:num>
  <w:num w:numId="6">
    <w:abstractNumId w:val="10"/>
  </w:num>
  <w:num w:numId="7">
    <w:abstractNumId w:val="5"/>
  </w:num>
  <w:num w:numId="8">
    <w:abstractNumId w:val="4"/>
  </w:num>
  <w:num w:numId="9">
    <w:abstractNumId w:val="6"/>
  </w:num>
  <w:num w:numId="10">
    <w:abstractNumId w:val="11"/>
  </w:num>
  <w:num w:numId="11">
    <w:abstractNumId w:val="7"/>
  </w:num>
  <w:num w:numId="12">
    <w:abstractNumId w:val="12"/>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77FE"/>
    <w:rsid w:val="00084F3A"/>
    <w:rsid w:val="00484291"/>
    <w:rsid w:val="005677FE"/>
    <w:rsid w:val="00720CB2"/>
    <w:rsid w:val="0079488B"/>
    <w:rsid w:val="009735CE"/>
    <w:rsid w:val="00C5200D"/>
    <w:rsid w:val="00C57F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6DE36"/>
  <w15:chartTrackingRefBased/>
  <w15:docId w15:val="{C1347BE6-724A-4245-B898-C066B5E749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677F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5677F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5677F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77F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677FE"/>
    <w:pPr>
      <w:outlineLvl w:val="9"/>
    </w:pPr>
  </w:style>
  <w:style w:type="character" w:customStyle="1" w:styleId="Heading3Char">
    <w:name w:val="Heading 3 Char"/>
    <w:basedOn w:val="DefaultParagraphFont"/>
    <w:link w:val="Heading3"/>
    <w:uiPriority w:val="9"/>
    <w:semiHidden/>
    <w:rsid w:val="005677F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5677FE"/>
    <w:rPr>
      <w:rFonts w:asciiTheme="majorHAnsi" w:eastAsiaTheme="majorEastAsia" w:hAnsiTheme="majorHAnsi" w:cstheme="majorBidi"/>
      <w:i/>
      <w:iCs/>
      <w:color w:val="2E74B5" w:themeColor="accent1" w:themeShade="BF"/>
    </w:rPr>
  </w:style>
  <w:style w:type="paragraph" w:styleId="TOC1">
    <w:name w:val="toc 1"/>
    <w:basedOn w:val="Normal"/>
    <w:next w:val="Normal"/>
    <w:autoRedefine/>
    <w:uiPriority w:val="39"/>
    <w:unhideWhenUsed/>
    <w:rsid w:val="00084F3A"/>
    <w:pPr>
      <w:spacing w:after="100"/>
    </w:pPr>
  </w:style>
  <w:style w:type="character" w:styleId="Hyperlink">
    <w:name w:val="Hyperlink"/>
    <w:basedOn w:val="DefaultParagraphFont"/>
    <w:uiPriority w:val="99"/>
    <w:unhideWhenUsed/>
    <w:rsid w:val="00084F3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8370115">
      <w:bodyDiv w:val="1"/>
      <w:marLeft w:val="0"/>
      <w:marRight w:val="0"/>
      <w:marTop w:val="0"/>
      <w:marBottom w:val="0"/>
      <w:divBdr>
        <w:top w:val="none" w:sz="0" w:space="0" w:color="auto"/>
        <w:left w:val="none" w:sz="0" w:space="0" w:color="auto"/>
        <w:bottom w:val="none" w:sz="0" w:space="0" w:color="auto"/>
        <w:right w:val="none" w:sz="0" w:space="0" w:color="auto"/>
      </w:divBdr>
    </w:div>
    <w:div w:id="791482349">
      <w:bodyDiv w:val="1"/>
      <w:marLeft w:val="0"/>
      <w:marRight w:val="0"/>
      <w:marTop w:val="0"/>
      <w:marBottom w:val="0"/>
      <w:divBdr>
        <w:top w:val="none" w:sz="0" w:space="0" w:color="auto"/>
        <w:left w:val="none" w:sz="0" w:space="0" w:color="auto"/>
        <w:bottom w:val="none" w:sz="0" w:space="0" w:color="auto"/>
        <w:right w:val="none" w:sz="0" w:space="0" w:color="auto"/>
      </w:divBdr>
    </w:div>
    <w:div w:id="807283745">
      <w:bodyDiv w:val="1"/>
      <w:marLeft w:val="0"/>
      <w:marRight w:val="0"/>
      <w:marTop w:val="0"/>
      <w:marBottom w:val="0"/>
      <w:divBdr>
        <w:top w:val="none" w:sz="0" w:space="0" w:color="auto"/>
        <w:left w:val="none" w:sz="0" w:space="0" w:color="auto"/>
        <w:bottom w:val="none" w:sz="0" w:space="0" w:color="auto"/>
        <w:right w:val="none" w:sz="0" w:space="0" w:color="auto"/>
      </w:divBdr>
    </w:div>
    <w:div w:id="999699954">
      <w:bodyDiv w:val="1"/>
      <w:marLeft w:val="0"/>
      <w:marRight w:val="0"/>
      <w:marTop w:val="0"/>
      <w:marBottom w:val="0"/>
      <w:divBdr>
        <w:top w:val="none" w:sz="0" w:space="0" w:color="auto"/>
        <w:left w:val="none" w:sz="0" w:space="0" w:color="auto"/>
        <w:bottom w:val="none" w:sz="0" w:space="0" w:color="auto"/>
        <w:right w:val="none" w:sz="0" w:space="0" w:color="auto"/>
      </w:divBdr>
    </w:div>
    <w:div w:id="1479497018">
      <w:bodyDiv w:val="1"/>
      <w:marLeft w:val="0"/>
      <w:marRight w:val="0"/>
      <w:marTop w:val="0"/>
      <w:marBottom w:val="0"/>
      <w:divBdr>
        <w:top w:val="none" w:sz="0" w:space="0" w:color="auto"/>
        <w:left w:val="none" w:sz="0" w:space="0" w:color="auto"/>
        <w:bottom w:val="none" w:sz="0" w:space="0" w:color="auto"/>
        <w:right w:val="none" w:sz="0" w:space="0" w:color="auto"/>
      </w:divBdr>
    </w:div>
    <w:div w:id="1768425204">
      <w:bodyDiv w:val="1"/>
      <w:marLeft w:val="0"/>
      <w:marRight w:val="0"/>
      <w:marTop w:val="0"/>
      <w:marBottom w:val="0"/>
      <w:divBdr>
        <w:top w:val="none" w:sz="0" w:space="0" w:color="auto"/>
        <w:left w:val="none" w:sz="0" w:space="0" w:color="auto"/>
        <w:bottom w:val="none" w:sz="0" w:space="0" w:color="auto"/>
        <w:right w:val="none" w:sz="0" w:space="0" w:color="auto"/>
      </w:divBdr>
    </w:div>
    <w:div w:id="1975527616">
      <w:bodyDiv w:val="1"/>
      <w:marLeft w:val="0"/>
      <w:marRight w:val="0"/>
      <w:marTop w:val="0"/>
      <w:marBottom w:val="0"/>
      <w:divBdr>
        <w:top w:val="none" w:sz="0" w:space="0" w:color="auto"/>
        <w:left w:val="none" w:sz="0" w:space="0" w:color="auto"/>
        <w:bottom w:val="none" w:sz="0" w:space="0" w:color="auto"/>
        <w:right w:val="none" w:sz="0" w:space="0" w:color="auto"/>
      </w:divBdr>
    </w:div>
    <w:div w:id="2144883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2584</Words>
  <Characters>14734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adult</cp:lastModifiedBy>
  <cp:revision>2</cp:revision>
  <dcterms:created xsi:type="dcterms:W3CDTF">2024-08-31T10:45:00Z</dcterms:created>
  <dcterms:modified xsi:type="dcterms:W3CDTF">2024-08-31T10:45:00Z</dcterms:modified>
</cp:coreProperties>
</file>