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B718B9" w14:textId="77777777" w:rsidR="00B574A5" w:rsidRDefault="00B574A5">
      <w:pPr>
        <w:jc w:val="center"/>
      </w:pPr>
    </w:p>
    <w:p w14:paraId="363C46C7" w14:textId="77777777" w:rsidR="00B574A5" w:rsidRDefault="00B574A5">
      <w:pPr>
        <w:jc w:val="center"/>
      </w:pPr>
    </w:p>
    <w:p w14:paraId="41740467" w14:textId="77777777" w:rsidR="00B574A5" w:rsidRDefault="00B574A5">
      <w:pPr>
        <w:jc w:val="center"/>
      </w:pPr>
    </w:p>
    <w:p w14:paraId="1AD9C188" w14:textId="77777777" w:rsidR="00B574A5" w:rsidRDefault="00B574A5">
      <w:pPr>
        <w:jc w:val="center"/>
      </w:pPr>
    </w:p>
    <w:p w14:paraId="2EE23747" w14:textId="77777777" w:rsidR="00B574A5" w:rsidRDefault="00B574A5">
      <w:pPr>
        <w:jc w:val="center"/>
      </w:pPr>
    </w:p>
    <w:p w14:paraId="376F7376" w14:textId="77777777" w:rsidR="00B574A5" w:rsidRDefault="00B574A5">
      <w:pPr>
        <w:jc w:val="center"/>
      </w:pPr>
    </w:p>
    <w:p w14:paraId="49AD5972" w14:textId="030EB329" w:rsidR="00B574A5" w:rsidRPr="007910E6" w:rsidRDefault="007C4B82">
      <w:pPr>
        <w:spacing w:before="120"/>
        <w:jc w:val="center"/>
        <w:rPr>
          <w:sz w:val="36"/>
          <w:szCs w:val="36"/>
        </w:rPr>
      </w:pPr>
      <w:r w:rsidRPr="007910E6">
        <w:rPr>
          <w:rFonts w:ascii="Arial" w:eastAsia="Arial" w:hAnsi="Arial" w:cs="Arial"/>
          <w:b/>
          <w:bCs/>
          <w:sz w:val="36"/>
          <w:szCs w:val="36"/>
        </w:rPr>
        <w:t>Assignment Title: Leadership, Governance and Systems Failure in</w:t>
      </w:r>
    </w:p>
    <w:p w14:paraId="1A4D539E" w14:textId="447F4F53" w:rsidR="00B574A5" w:rsidRDefault="007C4B82">
      <w:pPr>
        <w:spacing w:after="400"/>
        <w:jc w:val="center"/>
        <w:rPr>
          <w:rFonts w:ascii="Arial" w:eastAsia="Arial" w:hAnsi="Arial" w:cs="Arial"/>
          <w:b/>
          <w:bCs/>
          <w:sz w:val="36"/>
          <w:szCs w:val="36"/>
        </w:rPr>
      </w:pPr>
      <w:r w:rsidRPr="007910E6">
        <w:rPr>
          <w:rFonts w:ascii="Arial" w:eastAsia="Arial" w:hAnsi="Arial" w:cs="Arial"/>
          <w:b/>
          <w:bCs/>
          <w:sz w:val="36"/>
          <w:szCs w:val="36"/>
        </w:rPr>
        <w:t>Health and Social Care — A Case Study of Lewis Blackman</w:t>
      </w:r>
    </w:p>
    <w:p w14:paraId="307CF2E7" w14:textId="77777777" w:rsidR="007910E6" w:rsidRPr="007910E6" w:rsidRDefault="007910E6">
      <w:pPr>
        <w:spacing w:after="400"/>
        <w:jc w:val="center"/>
        <w:rPr>
          <w:sz w:val="36"/>
          <w:szCs w:val="36"/>
        </w:rPr>
      </w:pPr>
    </w:p>
    <w:p w14:paraId="238D88C6" w14:textId="4D72680B" w:rsidR="00B574A5" w:rsidRPr="007910E6" w:rsidRDefault="007910E6">
      <w:pPr>
        <w:spacing w:before="400" w:after="120"/>
        <w:jc w:val="center"/>
        <w:rPr>
          <w:sz w:val="32"/>
          <w:szCs w:val="32"/>
        </w:rPr>
      </w:pPr>
      <w:r w:rsidRPr="007910E6">
        <w:rPr>
          <w:rFonts w:ascii="Arial" w:eastAsia="Arial" w:hAnsi="Arial" w:cs="Arial"/>
          <w:sz w:val="32"/>
          <w:szCs w:val="32"/>
        </w:rPr>
        <w:t>Student</w:t>
      </w:r>
      <w:r w:rsidR="007C4B82" w:rsidRPr="007910E6">
        <w:rPr>
          <w:rFonts w:ascii="Arial" w:eastAsia="Arial" w:hAnsi="Arial" w:cs="Arial"/>
          <w:sz w:val="32"/>
          <w:szCs w:val="32"/>
        </w:rPr>
        <w:t xml:space="preserve"> Name</w:t>
      </w:r>
      <w:r w:rsidRPr="007910E6">
        <w:rPr>
          <w:rFonts w:ascii="Arial" w:eastAsia="Arial" w:hAnsi="Arial" w:cs="Arial"/>
          <w:sz w:val="32"/>
          <w:szCs w:val="32"/>
        </w:rPr>
        <w:t>: Akhila Kancharla</w:t>
      </w:r>
    </w:p>
    <w:p w14:paraId="07C4EC80" w14:textId="3DE63184" w:rsidR="00B574A5" w:rsidRPr="007910E6" w:rsidRDefault="007C4B82">
      <w:pPr>
        <w:spacing w:before="120" w:after="120"/>
        <w:jc w:val="center"/>
        <w:rPr>
          <w:sz w:val="32"/>
          <w:szCs w:val="32"/>
        </w:rPr>
      </w:pPr>
      <w:r w:rsidRPr="007910E6">
        <w:rPr>
          <w:rFonts w:ascii="Arial" w:eastAsia="Arial" w:hAnsi="Arial" w:cs="Arial"/>
          <w:sz w:val="32"/>
          <w:szCs w:val="32"/>
        </w:rPr>
        <w:t>Student Number</w:t>
      </w:r>
      <w:r w:rsidR="007910E6" w:rsidRPr="007910E6">
        <w:rPr>
          <w:rFonts w:ascii="Arial" w:eastAsia="Arial" w:hAnsi="Arial" w:cs="Arial"/>
          <w:sz w:val="32"/>
          <w:szCs w:val="32"/>
        </w:rPr>
        <w:t>: 2526734</w:t>
      </w:r>
    </w:p>
    <w:p w14:paraId="28B19270" w14:textId="2EAC2979" w:rsidR="00B574A5" w:rsidRPr="007910E6" w:rsidRDefault="007C4B82">
      <w:pPr>
        <w:spacing w:before="120" w:after="120"/>
        <w:jc w:val="center"/>
        <w:rPr>
          <w:sz w:val="32"/>
          <w:szCs w:val="32"/>
        </w:rPr>
      </w:pPr>
      <w:r w:rsidRPr="007910E6">
        <w:rPr>
          <w:rFonts w:ascii="Arial" w:eastAsia="Arial" w:hAnsi="Arial" w:cs="Arial"/>
          <w:sz w:val="32"/>
          <w:szCs w:val="32"/>
        </w:rPr>
        <w:t>Module Code and Title</w:t>
      </w:r>
      <w:r w:rsidR="007910E6" w:rsidRPr="007910E6">
        <w:rPr>
          <w:rFonts w:ascii="Arial" w:eastAsia="Arial" w:hAnsi="Arial" w:cs="Arial"/>
          <w:sz w:val="32"/>
          <w:szCs w:val="32"/>
        </w:rPr>
        <w:t>: LCHS7002</w:t>
      </w:r>
    </w:p>
    <w:p w14:paraId="3F4BA569" w14:textId="2A3D6103" w:rsidR="00B574A5" w:rsidRPr="007910E6" w:rsidRDefault="007C4B82">
      <w:pPr>
        <w:spacing w:before="120" w:after="120"/>
        <w:jc w:val="center"/>
        <w:rPr>
          <w:sz w:val="32"/>
          <w:szCs w:val="32"/>
        </w:rPr>
      </w:pPr>
      <w:r w:rsidRPr="007910E6">
        <w:rPr>
          <w:rFonts w:ascii="Arial" w:eastAsia="Arial" w:hAnsi="Arial" w:cs="Arial"/>
          <w:sz w:val="32"/>
          <w:szCs w:val="32"/>
        </w:rPr>
        <w:t>Lecturer's Name</w:t>
      </w:r>
      <w:r w:rsidR="007910E6" w:rsidRPr="007910E6">
        <w:rPr>
          <w:rFonts w:ascii="Arial" w:eastAsia="Arial" w:hAnsi="Arial" w:cs="Arial"/>
          <w:sz w:val="32"/>
          <w:szCs w:val="32"/>
        </w:rPr>
        <w:t>: Dr Pascal Navelle</w:t>
      </w:r>
    </w:p>
    <w:p w14:paraId="54157500" w14:textId="77777777" w:rsidR="00B574A5" w:rsidRPr="007910E6" w:rsidRDefault="00B574A5">
      <w:pPr>
        <w:jc w:val="center"/>
        <w:rPr>
          <w:sz w:val="32"/>
          <w:szCs w:val="32"/>
        </w:rPr>
      </w:pPr>
    </w:p>
    <w:p w14:paraId="56366242" w14:textId="77777777" w:rsidR="00B574A5" w:rsidRPr="007910E6" w:rsidRDefault="00B574A5">
      <w:pPr>
        <w:jc w:val="center"/>
        <w:rPr>
          <w:sz w:val="32"/>
          <w:szCs w:val="32"/>
        </w:rPr>
      </w:pPr>
    </w:p>
    <w:p w14:paraId="7F644EF8" w14:textId="77777777" w:rsidR="00B574A5" w:rsidRPr="007910E6" w:rsidRDefault="00B574A5">
      <w:pPr>
        <w:jc w:val="center"/>
        <w:rPr>
          <w:sz w:val="32"/>
          <w:szCs w:val="32"/>
        </w:rPr>
      </w:pPr>
    </w:p>
    <w:p w14:paraId="46368DDC" w14:textId="77777777" w:rsidR="00B574A5" w:rsidRDefault="00B574A5">
      <w:pPr>
        <w:jc w:val="center"/>
      </w:pPr>
    </w:p>
    <w:p w14:paraId="35ECFDE0" w14:textId="77777777" w:rsidR="00B574A5" w:rsidRDefault="00B574A5">
      <w:pPr>
        <w:jc w:val="center"/>
      </w:pPr>
    </w:p>
    <w:p w14:paraId="5FD442C1" w14:textId="77777777" w:rsidR="00B574A5" w:rsidRDefault="00B574A5">
      <w:pPr>
        <w:jc w:val="center"/>
      </w:pPr>
    </w:p>
    <w:p w14:paraId="6D11D1C8" w14:textId="77777777" w:rsidR="00B574A5" w:rsidRDefault="007C4B82">
      <w:r>
        <w:br w:type="page"/>
      </w:r>
    </w:p>
    <w:p w14:paraId="5FA9E688" w14:textId="77777777" w:rsidR="00B574A5" w:rsidRDefault="007C4B82">
      <w:pPr>
        <w:spacing w:after="100"/>
        <w:jc w:val="center"/>
      </w:pPr>
      <w:r>
        <w:rPr>
          <w:rFonts w:ascii="Calibri" w:eastAsia="Calibri" w:hAnsi="Calibri" w:cs="Calibri"/>
          <w:b/>
          <w:bCs/>
          <w:color w:val="000000"/>
          <w:sz w:val="36"/>
          <w:szCs w:val="36"/>
        </w:rPr>
        <w:lastRenderedPageBreak/>
        <w:t>Leadership, Governance and Systems Failure in Health and Social Care:</w:t>
      </w:r>
    </w:p>
    <w:p w14:paraId="13FDD96F" w14:textId="77777777" w:rsidR="00B574A5" w:rsidRDefault="007C4B82">
      <w:pPr>
        <w:spacing w:after="400"/>
        <w:jc w:val="center"/>
      </w:pPr>
      <w:r>
        <w:rPr>
          <w:rFonts w:ascii="Calibri" w:eastAsia="Calibri" w:hAnsi="Calibri" w:cs="Calibri"/>
          <w:b/>
          <w:bCs/>
          <w:color w:val="000000"/>
          <w:sz w:val="30"/>
          <w:szCs w:val="30"/>
        </w:rPr>
        <w:t>A Case Study of Lewis Blackman</w:t>
      </w:r>
    </w:p>
    <w:p w14:paraId="0C8B2BA1" w14:textId="77777777" w:rsidR="00B574A5" w:rsidRDefault="007C4B82">
      <w:pPr>
        <w:pStyle w:val="Heading1"/>
        <w:spacing w:before="360" w:after="200"/>
      </w:pPr>
      <w:r>
        <w:rPr>
          <w:rFonts w:ascii="Calibri" w:eastAsia="Calibri" w:hAnsi="Calibri" w:cs="Calibri"/>
          <w:b/>
          <w:bCs/>
          <w:color w:val="000000"/>
        </w:rPr>
        <w:t>Introduction</w:t>
      </w:r>
    </w:p>
    <w:p w14:paraId="52156AB9" w14:textId="77777777" w:rsidR="00B574A5" w:rsidRDefault="007C4B82">
      <w:pPr>
        <w:pStyle w:val="Heading3"/>
        <w:spacing w:before="240" w:after="140"/>
      </w:pPr>
      <w:r>
        <w:rPr>
          <w:rFonts w:ascii="Calibri" w:eastAsia="Calibri" w:hAnsi="Calibri" w:cs="Calibri"/>
          <w:b/>
          <w:bCs/>
          <w:color w:val="000000"/>
        </w:rPr>
        <w:t>Background and Purpose of the Case Study</w:t>
      </w:r>
    </w:p>
    <w:p w14:paraId="1AAC0DA1" w14:textId="77777777" w:rsidR="00B574A5" w:rsidRDefault="007C4B82">
      <w:pPr>
        <w:spacing w:before="120" w:after="180" w:line="360" w:lineRule="auto"/>
        <w:jc w:val="both"/>
      </w:pPr>
      <w:r>
        <w:rPr>
          <w:rFonts w:ascii="Cambria" w:eastAsia="Cambria" w:hAnsi="Cambria" w:cs="Cambria"/>
          <w:sz w:val="24"/>
          <w:szCs w:val="24"/>
        </w:rPr>
        <w:t>On 2 November 2000, fifteen-year-old Lewis Blackman was admitted to the Medical University of South Carolina (MUSC) Children's Hospital in Charleston for elective surgery to correct pectus excavatum, a congenital chest wall deformity. Four days later he died from an undetected perforated gastric ulcer and internal haemorrhage that a chain of junior clinicians failed to recognise and escalate (</w:t>
      </w:r>
      <w:proofErr w:type="spellStart"/>
      <w:r>
        <w:rPr>
          <w:rFonts w:ascii="Cambria" w:eastAsia="Cambria" w:hAnsi="Cambria" w:cs="Cambria"/>
          <w:sz w:val="24"/>
          <w:szCs w:val="24"/>
        </w:rPr>
        <w:t>Center</w:t>
      </w:r>
      <w:proofErr w:type="spellEnd"/>
      <w:r>
        <w:rPr>
          <w:rFonts w:ascii="Cambria" w:eastAsia="Cambria" w:hAnsi="Cambria" w:cs="Cambria"/>
          <w:sz w:val="24"/>
          <w:szCs w:val="24"/>
        </w:rPr>
        <w:t xml:space="preserve"> for Justice and Democracy, 2014; Post and Courier, 2016). His mother, Helen Haskell, turned the tragedy into a national patient-safety campaign, later founding Mothers Against Medical Error and helping secure the Lewis Blackman Hospital Patient Safety Act (South Carolina General Assembly, 2005). This report uses that case as its transformation case study, examining how failures of leadership and governance produced the outcome, and how the organisation and wider system subsequently changed.</w:t>
      </w:r>
    </w:p>
    <w:p w14:paraId="5593ABD5" w14:textId="77777777" w:rsidR="00B574A5" w:rsidRDefault="007C4B82">
      <w:pPr>
        <w:pStyle w:val="Heading3"/>
        <w:spacing w:before="240" w:after="140"/>
      </w:pPr>
      <w:r>
        <w:rPr>
          <w:rFonts w:ascii="Calibri" w:eastAsia="Calibri" w:hAnsi="Calibri" w:cs="Calibri"/>
          <w:b/>
          <w:bCs/>
          <w:color w:val="000000"/>
        </w:rPr>
        <w:t>What Leadership Means in Health and Social Care</w:t>
      </w:r>
    </w:p>
    <w:p w14:paraId="1D33FC1F" w14:textId="77777777" w:rsidR="00B574A5" w:rsidRDefault="007C4B82">
      <w:pPr>
        <w:spacing w:before="120" w:after="180" w:line="360" w:lineRule="auto"/>
        <w:jc w:val="both"/>
      </w:pPr>
      <w:r>
        <w:rPr>
          <w:rFonts w:ascii="Cambria" w:eastAsia="Cambria" w:hAnsi="Cambria" w:cs="Cambria"/>
          <w:sz w:val="24"/>
          <w:szCs w:val="24"/>
        </w:rPr>
        <w:t>Leadership can be understood as the process of influencing individuals and teams toward shared goals of safe, high-quality, person-centred care (West et al., 2015). It is exercised not only by senior executives but at every point of contact between staff, patients and families. Nembhard and Edmondson (2006) extend this definition usefully for the present case: they argue that leadership in clinical teams is expressed less through formal instruction than through everyday signals of inclusiveness, such as whe</w:t>
      </w:r>
      <w:r>
        <w:rPr>
          <w:rFonts w:ascii="Cambria" w:eastAsia="Cambria" w:hAnsi="Cambria" w:cs="Cambria"/>
          <w:sz w:val="24"/>
          <w:szCs w:val="24"/>
        </w:rPr>
        <w:t>ther a senior clinician visibly welcomes challenge from a junior colleague or a worried relative. On this reading, leadership failure at MUSC did not require any single dramatic act; it was expressed cumulatively, in the ordinary moments when the family's concerns were acknowledged politely but not acted upon.</w:t>
      </w:r>
    </w:p>
    <w:p w14:paraId="6E5C00C2" w14:textId="77777777" w:rsidR="00B574A5" w:rsidRDefault="007C4B82">
      <w:pPr>
        <w:pStyle w:val="Heading3"/>
        <w:spacing w:before="240" w:after="140"/>
      </w:pPr>
      <w:r>
        <w:rPr>
          <w:rFonts w:ascii="Calibri" w:eastAsia="Calibri" w:hAnsi="Calibri" w:cs="Calibri"/>
          <w:b/>
          <w:bCs/>
          <w:color w:val="000000"/>
        </w:rPr>
        <w:t>Centralisation, Decentralisation and Key Leadership Theories</w:t>
      </w:r>
    </w:p>
    <w:p w14:paraId="5A9607F6" w14:textId="77777777" w:rsidR="00B574A5" w:rsidRDefault="007C4B82">
      <w:pPr>
        <w:spacing w:before="120" w:after="180" w:line="360" w:lineRule="auto"/>
        <w:jc w:val="both"/>
      </w:pPr>
      <w:r>
        <w:rPr>
          <w:rFonts w:ascii="Cambria" w:eastAsia="Cambria" w:hAnsi="Cambria" w:cs="Cambria"/>
          <w:sz w:val="24"/>
          <w:szCs w:val="24"/>
        </w:rPr>
        <w:lastRenderedPageBreak/>
        <w:t>Organisations distribute influence through centralisation, where authority sits with a small number of senior post-holders, or decentralisation, where authority is pushed toward the frontline. A wide literature on leadership style spans contingency and situational models such as Hersey and Blanchard's (1969) framework, and relational approaches including transformational and transactional leadership (Bass, 1985).</w:t>
      </w:r>
    </w:p>
    <w:p w14:paraId="48BC6160" w14:textId="77777777" w:rsidR="00B574A5" w:rsidRDefault="007C4B82">
      <w:pPr>
        <w:pStyle w:val="Heading3"/>
        <w:spacing w:before="240" w:after="140"/>
      </w:pPr>
      <w:r>
        <w:rPr>
          <w:rFonts w:ascii="Calibri" w:eastAsia="Calibri" w:hAnsi="Calibri" w:cs="Calibri"/>
          <w:b/>
          <w:bCs/>
          <w:color w:val="000000"/>
        </w:rPr>
        <w:t>Why Leadership Style Selection Matters in Change or Crisis</w:t>
      </w:r>
    </w:p>
    <w:p w14:paraId="7DF0871F" w14:textId="77777777" w:rsidR="00B574A5" w:rsidRDefault="007C4B82">
      <w:pPr>
        <w:spacing w:before="120" w:after="180" w:line="360" w:lineRule="auto"/>
        <w:jc w:val="both"/>
      </w:pPr>
      <w:r>
        <w:rPr>
          <w:rFonts w:ascii="Cambria" w:eastAsia="Cambria" w:hAnsi="Cambria" w:cs="Cambria"/>
          <w:sz w:val="24"/>
          <w:szCs w:val="24"/>
        </w:rPr>
        <w:t>Selecting an appropriate style is not a matter of preference: in crisis, the wrong style can delay escalation and normalise risk, while the right style builds the psychological safety needed to prevent harm (Edmondson, 2018). Leadership therefore sits at the centre of any explanation of why safety failures occur and how organisations recover.</w:t>
      </w:r>
    </w:p>
    <w:p w14:paraId="0F7CBC02" w14:textId="77777777" w:rsidR="00B574A5" w:rsidRDefault="007C4B82">
      <w:pPr>
        <w:pStyle w:val="Heading3"/>
        <w:spacing w:before="240" w:after="140"/>
      </w:pPr>
      <w:r>
        <w:rPr>
          <w:rFonts w:ascii="Calibri" w:eastAsia="Calibri" w:hAnsi="Calibri" w:cs="Calibri"/>
          <w:b/>
          <w:bCs/>
          <w:color w:val="000000"/>
        </w:rPr>
        <w:t>Methodological Approach</w:t>
      </w:r>
    </w:p>
    <w:p w14:paraId="3F454310" w14:textId="77777777" w:rsidR="00B574A5" w:rsidRDefault="007C4B82">
      <w:pPr>
        <w:spacing w:before="120" w:after="180" w:line="360" w:lineRule="auto"/>
        <w:jc w:val="both"/>
      </w:pPr>
      <w:r>
        <w:rPr>
          <w:rFonts w:ascii="Cambria" w:eastAsia="Cambria" w:hAnsi="Cambria" w:cs="Cambria"/>
          <w:sz w:val="24"/>
          <w:szCs w:val="24"/>
        </w:rPr>
        <w:t xml:space="preserve">This analysis is underpinned by a systems thinking methodology, drawing on </w:t>
      </w:r>
      <w:proofErr w:type="spellStart"/>
      <w:r>
        <w:rPr>
          <w:rFonts w:ascii="Cambria" w:eastAsia="Cambria" w:hAnsi="Cambria" w:cs="Cambria"/>
          <w:sz w:val="24"/>
          <w:szCs w:val="24"/>
        </w:rPr>
        <w:t>Checkland's</w:t>
      </w:r>
      <w:proofErr w:type="spellEnd"/>
      <w:r>
        <w:rPr>
          <w:rFonts w:ascii="Cambria" w:eastAsia="Cambria" w:hAnsi="Cambria" w:cs="Cambria"/>
          <w:sz w:val="24"/>
          <w:szCs w:val="24"/>
        </w:rPr>
        <w:t xml:space="preserve"> (1981) Soft Systems Methodology (SSM) and its later refinement with Poulter (2006). SSM treats organisational failure not as the product of one faulty component but as an emergent property of interacting human activity systems: clinicians, families, policies and cultural norms operating together. The rich picture used in Section (a) is a core SSM tool, deliberately informal and pictorial, intended to surface multiple stakeholder perspectives and unspoken assumptions before any formal model of an</w:t>
      </w:r>
      <w:r>
        <w:rPr>
          <w:rFonts w:ascii="Cambria" w:eastAsia="Cambria" w:hAnsi="Cambria" w:cs="Cambria"/>
          <w:sz w:val="24"/>
          <w:szCs w:val="24"/>
        </w:rPr>
        <w:t xml:space="preserve"> ideal system is built. Applying this lens to the Blackman case allows the report to move beyond attributing blame to any single clinician, and instead to ask what the wider system of roles, rules and relationships made possible, and how that same system was subsequently redesigned.</w:t>
      </w:r>
    </w:p>
    <w:p w14:paraId="5F2A8857" w14:textId="77777777" w:rsidR="00B574A5" w:rsidRDefault="007C4B82">
      <w:pPr>
        <w:pStyle w:val="Heading3"/>
        <w:spacing w:before="240" w:after="140"/>
      </w:pPr>
      <w:r>
        <w:rPr>
          <w:rFonts w:ascii="Calibri" w:eastAsia="Calibri" w:hAnsi="Calibri" w:cs="Calibri"/>
          <w:b/>
          <w:bCs/>
          <w:color w:val="000000"/>
        </w:rPr>
        <w:t>Defining Governance and Its Relationship to Leadership</w:t>
      </w:r>
    </w:p>
    <w:p w14:paraId="7DBD4F0A" w14:textId="77777777" w:rsidR="00B574A5" w:rsidRDefault="007C4B82">
      <w:pPr>
        <w:spacing w:before="120" w:after="180" w:line="360" w:lineRule="auto"/>
        <w:jc w:val="both"/>
      </w:pPr>
      <w:r>
        <w:rPr>
          <w:rFonts w:ascii="Cambria" w:eastAsia="Cambria" w:hAnsi="Cambria" w:cs="Cambria"/>
          <w:sz w:val="24"/>
          <w:szCs w:val="24"/>
        </w:rPr>
        <w:t>Governance and leadership are related but distinct concepts, and the distinction matters for this case. Governance refers to the formal structures, policies and lines of accountability through which an organisation ensures decisions are made appropriately and risk is managed — who is authorised to order a test, who signs off a discharge, who is accountable when something goes wrong. Leadership, by contrast, is the behavioural and relational process through which those structures are brought to life day to d</w:t>
      </w:r>
      <w:r>
        <w:rPr>
          <w:rFonts w:ascii="Cambria" w:eastAsia="Cambria" w:hAnsi="Cambria" w:cs="Cambria"/>
          <w:sz w:val="24"/>
          <w:szCs w:val="24"/>
        </w:rPr>
        <w:t xml:space="preserve">ay. A hospital can have excellent governance on paper — clear escalation policies, defined roles, documented </w:t>
      </w:r>
      <w:r>
        <w:rPr>
          <w:rFonts w:ascii="Cambria" w:eastAsia="Cambria" w:hAnsi="Cambria" w:cs="Cambria"/>
          <w:sz w:val="24"/>
          <w:szCs w:val="24"/>
        </w:rPr>
        <w:lastRenderedPageBreak/>
        <w:t>protocols — and still fail if the leadership culture discourages staff from using those structures when it matters most. This is precisely what happened at MUSC: an escalation policy existed in principle, but the prevailing leadership culture, with its steep authority gradient and implicit expectation that juniors would not “bother” senior staff unnecessarily, meant the policy was never actually trig</w:t>
      </w:r>
      <w:r>
        <w:rPr>
          <w:rFonts w:ascii="Cambria" w:eastAsia="Cambria" w:hAnsi="Cambria" w:cs="Cambria"/>
          <w:sz w:val="24"/>
          <w:szCs w:val="24"/>
        </w:rPr>
        <w:t>gered. The case is therefore as much a lesson in the limits of governance-by-policy as it is a lesson in leadership style, and any recommendation must address both dimensions together rather than treating one as a substitute for the other.</w:t>
      </w:r>
    </w:p>
    <w:p w14:paraId="628E1FE0" w14:textId="77777777" w:rsidR="00B574A5" w:rsidRDefault="007C4B82">
      <w:pPr>
        <w:pStyle w:val="Heading3"/>
        <w:spacing w:before="240" w:after="140"/>
      </w:pPr>
      <w:r>
        <w:rPr>
          <w:rFonts w:ascii="Calibri" w:eastAsia="Calibri" w:hAnsi="Calibri" w:cs="Calibri"/>
          <w:b/>
          <w:bCs/>
          <w:color w:val="000000"/>
        </w:rPr>
        <w:t>Structure of This Report</w:t>
      </w:r>
    </w:p>
    <w:p w14:paraId="0169CE4A" w14:textId="77777777" w:rsidR="00B574A5" w:rsidRDefault="007C4B82">
      <w:pPr>
        <w:spacing w:before="120" w:after="180" w:line="360" w:lineRule="auto"/>
        <w:jc w:val="both"/>
      </w:pPr>
      <w:r>
        <w:rPr>
          <w:rFonts w:ascii="Cambria" w:eastAsia="Cambria" w:hAnsi="Cambria" w:cs="Cambria"/>
          <w:sz w:val="24"/>
          <w:szCs w:val="24"/>
        </w:rPr>
        <w:t>This report addresses, in turn: the systemic context of the problem using rich-picture and systems thinking; whether MUSC's operating model was centralised or decentralised; the leadership theories that explain what happened; the lessons learned and improvements introduced; and practical recommendations linking leadership, governance and systems thinking to sustained improvement.</w:t>
      </w:r>
    </w:p>
    <w:p w14:paraId="531B8E4D" w14:textId="77777777" w:rsidR="00B574A5" w:rsidRDefault="007C4B82">
      <w:pPr>
        <w:pStyle w:val="Heading1"/>
        <w:spacing w:before="360" w:after="200"/>
      </w:pPr>
      <w:r>
        <w:rPr>
          <w:rFonts w:ascii="Calibri" w:eastAsia="Calibri" w:hAnsi="Calibri" w:cs="Calibri"/>
          <w:b/>
          <w:bCs/>
          <w:color w:val="000000"/>
        </w:rPr>
        <w:t>Main Body and Analysis</w:t>
      </w:r>
    </w:p>
    <w:p w14:paraId="632EFA43" w14:textId="77777777" w:rsidR="00B574A5" w:rsidRDefault="007C4B82">
      <w:pPr>
        <w:pStyle w:val="Heading2"/>
        <w:spacing w:before="300" w:after="160"/>
      </w:pPr>
      <w:r>
        <w:rPr>
          <w:rFonts w:ascii="Calibri" w:eastAsia="Calibri" w:hAnsi="Calibri" w:cs="Calibri"/>
          <w:b/>
          <w:bCs/>
          <w:color w:val="000000"/>
          <w:sz w:val="28"/>
          <w:szCs w:val="28"/>
        </w:rPr>
        <w:t>a. Identifying the Problem and Setting the System Context: Applying Systems Thinking and the Rich Picture</w:t>
      </w:r>
    </w:p>
    <w:p w14:paraId="1C43BCED" w14:textId="77777777" w:rsidR="00B574A5" w:rsidRDefault="007C4B82">
      <w:pPr>
        <w:pStyle w:val="Heading3"/>
        <w:spacing w:before="240" w:after="140"/>
      </w:pPr>
      <w:r>
        <w:rPr>
          <w:rFonts w:ascii="Calibri" w:eastAsia="Calibri" w:hAnsi="Calibri" w:cs="Calibri"/>
          <w:b/>
          <w:bCs/>
          <w:color w:val="000000"/>
        </w:rPr>
        <w:t>The Central Problem</w:t>
      </w:r>
    </w:p>
    <w:p w14:paraId="6DB388BE" w14:textId="77777777" w:rsidR="00B574A5" w:rsidRDefault="007C4B82">
      <w:pPr>
        <w:spacing w:before="120" w:after="180" w:line="360" w:lineRule="auto"/>
        <w:jc w:val="both"/>
      </w:pPr>
      <w:r>
        <w:rPr>
          <w:rFonts w:ascii="Cambria" w:eastAsia="Cambria" w:hAnsi="Cambria" w:cs="Cambria"/>
          <w:sz w:val="24"/>
          <w:szCs w:val="24"/>
        </w:rPr>
        <w:t>Lewis Blackman received the analgesic ketorolac (Toradol) after surgery, a drug associated with gastrointestinal bleeding, and over roughly thirty hours he developed worsening abdominal pain, distension, a fast heart rate, pallor, low temperature and an absence of urine output (123 Help Me, 2023). His family repeatedly alerted nursing staff, who reassured them rather than escalating to a senior physician. Once contacted, the surgical team took over two hours to review him, and no clinician ordered the simpl</w:t>
      </w:r>
      <w:r>
        <w:rPr>
          <w:rFonts w:ascii="Cambria" w:eastAsia="Cambria" w:hAnsi="Cambria" w:cs="Cambria"/>
          <w:sz w:val="24"/>
          <w:szCs w:val="24"/>
        </w:rPr>
        <w:t>e blood test that would have revealed internal bleeding (</w:t>
      </w:r>
      <w:proofErr w:type="spellStart"/>
      <w:r>
        <w:rPr>
          <w:rFonts w:ascii="Cambria" w:eastAsia="Cambria" w:hAnsi="Cambria" w:cs="Cambria"/>
          <w:sz w:val="24"/>
          <w:szCs w:val="24"/>
        </w:rPr>
        <w:t>Center</w:t>
      </w:r>
      <w:proofErr w:type="spellEnd"/>
      <w:r>
        <w:rPr>
          <w:rFonts w:ascii="Cambria" w:eastAsia="Cambria" w:hAnsi="Cambria" w:cs="Cambria"/>
          <w:sz w:val="24"/>
          <w:szCs w:val="24"/>
        </w:rPr>
        <w:t xml:space="preserve"> for Justice and Democracy, 2014). He died on 6 November 2000 from a perforated ulcer and haemorrhagic shock.</w:t>
      </w:r>
    </w:p>
    <w:p w14:paraId="1B91C727" w14:textId="77777777" w:rsidR="00B574A5" w:rsidRDefault="007C4B82">
      <w:pPr>
        <w:pStyle w:val="Heading3"/>
        <w:spacing w:before="240" w:after="140"/>
      </w:pPr>
      <w:r>
        <w:rPr>
          <w:rFonts w:ascii="Calibri" w:eastAsia="Calibri" w:hAnsi="Calibri" w:cs="Calibri"/>
          <w:b/>
          <w:bCs/>
          <w:color w:val="000000"/>
        </w:rPr>
        <w:t>Global Statistical Evidence (WHO Figures)</w:t>
      </w:r>
    </w:p>
    <w:p w14:paraId="4291ECD3" w14:textId="77777777" w:rsidR="00B574A5" w:rsidRDefault="007C4B82">
      <w:pPr>
        <w:spacing w:before="120" w:after="180" w:line="360" w:lineRule="auto"/>
        <w:jc w:val="both"/>
      </w:pPr>
      <w:r>
        <w:rPr>
          <w:rFonts w:ascii="Cambria" w:eastAsia="Cambria" w:hAnsi="Cambria" w:cs="Cambria"/>
          <w:sz w:val="24"/>
          <w:szCs w:val="24"/>
        </w:rPr>
        <w:t xml:space="preserve">This local incident sits within a global pattern. The WHO's Global Patient Safety Report 2024 estimates that around one in ten patients in high-income countries is harmed while receiving </w:t>
      </w:r>
      <w:r>
        <w:rPr>
          <w:rFonts w:ascii="Cambria" w:eastAsia="Cambria" w:hAnsi="Cambria" w:cs="Cambria"/>
          <w:sz w:val="24"/>
          <w:szCs w:val="24"/>
        </w:rPr>
        <w:lastRenderedPageBreak/>
        <w:t>hospital care, that low- and middle-income country hospitals record roughly 134 million adverse events annually, contributing to about 2.6 million deaths, and that one in twenty patients globally experiences preventable medication harm, over half originating at the prescribing stage (World Health Organization, 2024) — directly mirroring the prescribing and monitoring failure in Lewis's case (see Figure 2).</w:t>
      </w:r>
    </w:p>
    <w:p w14:paraId="73372354" w14:textId="77777777" w:rsidR="00B574A5" w:rsidRDefault="007C4B82">
      <w:pPr>
        <w:spacing w:before="200" w:after="60"/>
        <w:jc w:val="center"/>
      </w:pPr>
      <w:r>
        <w:rPr>
          <w:noProof/>
        </w:rPr>
        <w:drawing>
          <wp:inline distT="0" distB="0" distL="0" distR="0" wp14:anchorId="64EDE97F" wp14:editId="16239644">
            <wp:extent cx="4572000" cy="281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4572000" cy="2819400"/>
                    </a:xfrm>
                    <a:prstGeom prst="rect">
                      <a:avLst/>
                    </a:prstGeom>
                  </pic:spPr>
                </pic:pic>
              </a:graphicData>
            </a:graphic>
          </wp:inline>
        </w:drawing>
      </w:r>
    </w:p>
    <w:p w14:paraId="25535510" w14:textId="77777777" w:rsidR="00B574A5" w:rsidRDefault="007C4B82">
      <w:pPr>
        <w:spacing w:after="240"/>
        <w:jc w:val="center"/>
      </w:pPr>
      <w:r>
        <w:rPr>
          <w:rFonts w:ascii="Cambria" w:eastAsia="Cambria" w:hAnsi="Cambria" w:cs="Cambria"/>
          <w:i/>
          <w:iCs/>
          <w:sz w:val="22"/>
          <w:szCs w:val="22"/>
        </w:rPr>
        <w:t>Figure 2: Global Burden of Unsafe Care</w:t>
      </w:r>
    </w:p>
    <w:p w14:paraId="08F310EC" w14:textId="77777777" w:rsidR="00B574A5" w:rsidRDefault="007C4B82">
      <w:pPr>
        <w:spacing w:before="120" w:after="180" w:line="360" w:lineRule="auto"/>
        <w:jc w:val="both"/>
      </w:pPr>
      <w:r>
        <w:rPr>
          <w:rFonts w:ascii="Cambria" w:eastAsia="Cambria" w:hAnsi="Cambria" w:cs="Cambria"/>
          <w:sz w:val="24"/>
          <w:szCs w:val="24"/>
        </w:rPr>
        <w:t>These figures are consistent with wider evidence that poor-quality care remains a largely overlooked epidemic even where resources are adequate: a 2025 review in Frontiers in Public Health argues that structural and cultural barriers, rather than purely technical or resource constraints, are the dominant drivers of persistently unsafe care across both high- and low-income settings (Frontiers in Public Health, 2025). Comparative international analysis compiled in the NCBI's Textbook of Patient Safety and Cli</w:t>
      </w:r>
      <w:r>
        <w:rPr>
          <w:rFonts w:ascii="Cambria" w:eastAsia="Cambria" w:hAnsi="Cambria" w:cs="Cambria"/>
          <w:sz w:val="24"/>
          <w:szCs w:val="24"/>
        </w:rPr>
        <w:t>nical Risk Management similarly finds that adverse-event rates vary less by a country's wealth than by the strength of its safety culture and reporting systems (NCBI Bookshelf, 2020). MUSC in 2000 was a well-resourced academic medical centre, which reinforces the same conclusion: Lewis's death is better explained by cultural and leadership failure than by any shortage of technical capability.</w:t>
      </w:r>
    </w:p>
    <w:p w14:paraId="6FDCD37F" w14:textId="77777777" w:rsidR="00B574A5" w:rsidRDefault="007C4B82">
      <w:pPr>
        <w:pStyle w:val="Heading3"/>
        <w:spacing w:before="240" w:after="140"/>
      </w:pPr>
      <w:r>
        <w:rPr>
          <w:rFonts w:ascii="Calibri" w:eastAsia="Calibri" w:hAnsi="Calibri" w:cs="Calibri"/>
          <w:b/>
          <w:bCs/>
          <w:color w:val="000000"/>
        </w:rPr>
        <w:t>National Statistical Evidence</w:t>
      </w:r>
    </w:p>
    <w:p w14:paraId="05AA9DF6" w14:textId="77777777" w:rsidR="00B574A5" w:rsidRDefault="007C4B82">
      <w:pPr>
        <w:spacing w:before="120" w:after="180" w:line="360" w:lineRule="auto"/>
        <w:jc w:val="both"/>
      </w:pPr>
      <w:r>
        <w:rPr>
          <w:rFonts w:ascii="Cambria" w:eastAsia="Cambria" w:hAnsi="Cambria" w:cs="Cambria"/>
          <w:sz w:val="24"/>
          <w:szCs w:val="24"/>
        </w:rPr>
        <w:lastRenderedPageBreak/>
        <w:t>In the same year Lewis died, the US Institute of Medicine estimated up to 98,000 Americans were dying annually from preventable medical error (Institute of Medicine, 2000), placing MUSC's failure within a system already known to be unsafe. Comparable national-level analysis from the UK-focused Global State of Patient Safety 2023 project found that a lower-performing health system could see over 17,000 avoidable deaths a year relative to top-decile OECD performers (Institute of Global Health Innovation, 2023</w:t>
      </w:r>
      <w:r>
        <w:rPr>
          <w:rFonts w:ascii="Cambria" w:eastAsia="Cambria" w:hAnsi="Cambria" w:cs="Cambria"/>
          <w:sz w:val="24"/>
          <w:szCs w:val="24"/>
        </w:rPr>
        <w:t>), underscoring that governance and leadership quality, not only clinical skill, drives population-level outcomes (see Figure 3).</w:t>
      </w:r>
    </w:p>
    <w:p w14:paraId="7D7A8C5A" w14:textId="77777777" w:rsidR="00B574A5" w:rsidRDefault="007C4B82">
      <w:pPr>
        <w:spacing w:before="200" w:after="60"/>
        <w:jc w:val="center"/>
      </w:pPr>
      <w:r>
        <w:rPr>
          <w:noProof/>
        </w:rPr>
        <w:drawing>
          <wp:inline distT="0" distB="0" distL="0" distR="0" wp14:anchorId="6E485C1B" wp14:editId="69027ADB">
            <wp:extent cx="4191000" cy="3219450"/>
            <wp:effectExtent l="0" t="0" r="0" b="0"/>
            <wp:docPr id="2128931876" name="Picture 2128931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4191000" cy="3219450"/>
                    </a:xfrm>
                    <a:prstGeom prst="rect">
                      <a:avLst/>
                    </a:prstGeom>
                  </pic:spPr>
                </pic:pic>
              </a:graphicData>
            </a:graphic>
          </wp:inline>
        </w:drawing>
      </w:r>
    </w:p>
    <w:p w14:paraId="61675C6B" w14:textId="77777777" w:rsidR="00B574A5" w:rsidRDefault="007C4B82">
      <w:pPr>
        <w:spacing w:after="240"/>
        <w:jc w:val="center"/>
      </w:pPr>
      <w:r>
        <w:rPr>
          <w:rFonts w:ascii="Cambria" w:eastAsia="Cambria" w:hAnsi="Cambria" w:cs="Cambria"/>
          <w:i/>
          <w:iCs/>
          <w:sz w:val="22"/>
          <w:szCs w:val="22"/>
        </w:rPr>
        <w:t>Figure 3: Avoidable Deaths Relative to Top-Decile OECD Performance</w:t>
      </w:r>
    </w:p>
    <w:p w14:paraId="55515B4C" w14:textId="77777777" w:rsidR="00B574A5" w:rsidRDefault="007C4B82">
      <w:pPr>
        <w:pStyle w:val="Heading3"/>
        <w:spacing w:before="240" w:after="140"/>
      </w:pPr>
      <w:r>
        <w:rPr>
          <w:rFonts w:ascii="Calibri" w:eastAsia="Calibri" w:hAnsi="Calibri" w:cs="Calibri"/>
          <w:b/>
          <w:bCs/>
          <w:color w:val="000000"/>
        </w:rPr>
        <w:t>Evidence from National Patient Safety Organisations (IHI Figures)</w:t>
      </w:r>
    </w:p>
    <w:p w14:paraId="2D285810" w14:textId="77777777" w:rsidR="00B574A5" w:rsidRDefault="007C4B82">
      <w:pPr>
        <w:spacing w:before="120" w:after="180" w:line="360" w:lineRule="auto"/>
        <w:jc w:val="both"/>
      </w:pPr>
      <w:r>
        <w:rPr>
          <w:rFonts w:ascii="Cambria" w:eastAsia="Cambria" w:hAnsi="Cambria" w:cs="Cambria"/>
          <w:sz w:val="24"/>
          <w:szCs w:val="24"/>
        </w:rPr>
        <w:t>The Institute for Healthcare Improvement's Global Trigger Tool, developed in the years following Lewis's death, was designed because incident-reporting systems like the one that failed at MUSC were known to under-detect harm, requiring retrospective record review to reveal the true scale of adverse events (World Health Organization, 2024). The National Patient Safety Foundation's (2015) Free from Harm report, published fifteen years after Lewis's death, reached the same conclusion at national scale, finding</w:t>
      </w:r>
      <w:r>
        <w:rPr>
          <w:rFonts w:ascii="Cambria" w:eastAsia="Cambria" w:hAnsi="Cambria" w:cs="Cambria"/>
          <w:sz w:val="24"/>
          <w:szCs w:val="24"/>
        </w:rPr>
        <w:t xml:space="preserve"> that most US healthcare organisations still lacked a reliable, board-level mechanism for turning frontline safety </w:t>
      </w:r>
      <w:r>
        <w:rPr>
          <w:rFonts w:ascii="Cambria" w:eastAsia="Cambria" w:hAnsi="Cambria" w:cs="Cambria"/>
          <w:sz w:val="24"/>
          <w:szCs w:val="24"/>
        </w:rPr>
        <w:lastRenderedPageBreak/>
        <w:t>concerns into system-wide learning, and recommending that patient safety be treated as a core strategic priority rather than a peripheral compliance function.</w:t>
      </w:r>
    </w:p>
    <w:p w14:paraId="7FC73566" w14:textId="77777777" w:rsidR="00B574A5" w:rsidRDefault="007C4B82">
      <w:pPr>
        <w:pStyle w:val="Heading3"/>
        <w:spacing w:before="240" w:after="140"/>
      </w:pPr>
      <w:r>
        <w:rPr>
          <w:rFonts w:ascii="Calibri" w:eastAsia="Calibri" w:hAnsi="Calibri" w:cs="Calibri"/>
          <w:b/>
          <w:bCs/>
          <w:color w:val="000000"/>
        </w:rPr>
        <w:t>Systemic Weaknesses Reflected by the Problem</w:t>
      </w:r>
    </w:p>
    <w:p w14:paraId="18589739" w14:textId="77777777" w:rsidR="00B574A5" w:rsidRDefault="007C4B82">
      <w:pPr>
        <w:spacing w:before="120" w:after="180" w:line="360" w:lineRule="auto"/>
        <w:jc w:val="both"/>
      </w:pPr>
      <w:r>
        <w:rPr>
          <w:rFonts w:ascii="Cambria" w:eastAsia="Cambria" w:hAnsi="Cambria" w:cs="Cambria"/>
          <w:sz w:val="24"/>
          <w:szCs w:val="24"/>
        </w:rPr>
        <w:t>The case reflects systemic weaknesses in communication (the family's concerns were repeatedly absorbed rather than passed upward), accountability (no individual felt responsible for triggering senior review) and leadership (a command-driven culture that did not actively support escalation).</w:t>
      </w:r>
    </w:p>
    <w:p w14:paraId="19AE2147" w14:textId="77777777" w:rsidR="00B574A5" w:rsidRDefault="007C4B82">
      <w:pPr>
        <w:spacing w:before="120" w:after="180" w:line="360" w:lineRule="auto"/>
        <w:jc w:val="both"/>
      </w:pPr>
      <w:r>
        <w:rPr>
          <w:rFonts w:ascii="Cambria" w:eastAsia="Cambria" w:hAnsi="Cambria" w:cs="Cambria"/>
          <w:sz w:val="24"/>
          <w:szCs w:val="24"/>
        </w:rPr>
        <w:t>These three weaknesses did not operate independently; each made the others harder to detect. Because communication failures meant concerns were absorbed at the bedside rather than passed upward, there was no documented trail that could later trigger an accountability response, and because no individual was formally accountable for recognising an emergency, there was no obvious owner responsible for correcting the communication pattern before it caused harm. Leadership culture connects the two: it determines</w:t>
      </w:r>
      <w:r>
        <w:rPr>
          <w:rFonts w:ascii="Cambria" w:eastAsia="Cambria" w:hAnsi="Cambria" w:cs="Cambria"/>
          <w:sz w:val="24"/>
          <w:szCs w:val="24"/>
        </w:rPr>
        <w:t xml:space="preserve"> whether staff experience raising a concern as safe and expected, or as a challenge to hierarchy best avoided. In a genuinely learning organisation, these three elements are designed to reinforce each other positively — clear communication channels feed accountability, and visible accountability reinforces confidence to communicate — whereas at MUSC in 2000 they reinforced each other negatively, each weakness making the next more likely.</w:t>
      </w:r>
    </w:p>
    <w:p w14:paraId="483F63C7" w14:textId="77777777" w:rsidR="00B574A5" w:rsidRDefault="007C4B82">
      <w:pPr>
        <w:pStyle w:val="Heading3"/>
        <w:spacing w:before="240" w:after="140"/>
      </w:pPr>
      <w:r>
        <w:rPr>
          <w:rFonts w:ascii="Calibri" w:eastAsia="Calibri" w:hAnsi="Calibri" w:cs="Calibri"/>
          <w:b/>
          <w:bCs/>
          <w:color w:val="000000"/>
        </w:rPr>
        <w:t>Level of Governance Involved</w:t>
      </w:r>
    </w:p>
    <w:p w14:paraId="42E3B1F8" w14:textId="77777777" w:rsidR="00B574A5" w:rsidRDefault="007C4B82">
      <w:pPr>
        <w:spacing w:before="120" w:after="180" w:line="360" w:lineRule="auto"/>
        <w:jc w:val="both"/>
      </w:pPr>
      <w:r>
        <w:rPr>
          <w:rFonts w:ascii="Cambria" w:eastAsia="Cambria" w:hAnsi="Cambria" w:cs="Cambria"/>
          <w:sz w:val="24"/>
          <w:szCs w:val="24"/>
        </w:rPr>
        <w:t>Responsibility for this failure sat at the level of the organisation — MUSC's clinical escalation policy and educational supervision structures — rather than with any single nurse or resident, which is why the resulting reform targeted system design rather than individual blame.</w:t>
      </w:r>
    </w:p>
    <w:p w14:paraId="342F476B" w14:textId="77777777" w:rsidR="00B574A5" w:rsidRDefault="007C4B82">
      <w:pPr>
        <w:pStyle w:val="Heading3"/>
        <w:spacing w:before="240" w:after="140"/>
      </w:pPr>
      <w:r>
        <w:rPr>
          <w:rFonts w:ascii="Calibri" w:eastAsia="Calibri" w:hAnsi="Calibri" w:cs="Calibri"/>
          <w:b/>
          <w:bCs/>
          <w:color w:val="000000"/>
        </w:rPr>
        <w:t>Underlying Challenges: Staffing, Safety Outcomes and Budget</w:t>
      </w:r>
    </w:p>
    <w:p w14:paraId="14D3A2EC" w14:textId="77777777" w:rsidR="00B574A5" w:rsidRDefault="007C4B82">
      <w:pPr>
        <w:spacing w:before="120" w:after="180" w:line="360" w:lineRule="auto"/>
        <w:jc w:val="both"/>
      </w:pPr>
      <w:r>
        <w:rPr>
          <w:rFonts w:ascii="Cambria" w:eastAsia="Cambria" w:hAnsi="Cambria" w:cs="Cambria"/>
          <w:sz w:val="24"/>
          <w:szCs w:val="24"/>
        </w:rPr>
        <w:t xml:space="preserve">Workforce data illustrate the underlying structural challenge. A study of New York hospitals found nurse-to-patient ratios ranging from 4.3 to 10.5 patients per nurse, with each additional patient independently increasing the likelihood of death, extended stay and readmission (National Institute of Nursing Research, 2021). More broadly, nurse-sensitive </w:t>
      </w:r>
      <w:r>
        <w:rPr>
          <w:rFonts w:ascii="Cambria" w:eastAsia="Cambria" w:hAnsi="Cambria" w:cs="Cambria"/>
          <w:sz w:val="24"/>
          <w:szCs w:val="24"/>
        </w:rPr>
        <w:lastRenderedPageBreak/>
        <w:t>outcome research shows in-hospital mortality risk falls sharply once staffing coverage reaches safe levels (see Figure 4). Where staff are stretched, the continuous, vigilant observation Lewis needed becomes structurally harder to deliver, regardless of individual competence.</w:t>
      </w:r>
    </w:p>
    <w:p w14:paraId="161E036A" w14:textId="77777777" w:rsidR="00B574A5" w:rsidRDefault="007C4B82">
      <w:pPr>
        <w:spacing w:before="200" w:after="60"/>
        <w:jc w:val="center"/>
      </w:pPr>
      <w:r>
        <w:rPr>
          <w:noProof/>
        </w:rPr>
        <w:drawing>
          <wp:inline distT="0" distB="0" distL="0" distR="0" wp14:anchorId="1F3017ED" wp14:editId="131295F3">
            <wp:extent cx="4191000" cy="2790825"/>
            <wp:effectExtent l="0" t="0" r="0" b="0"/>
            <wp:docPr id="112450744" name="Picture 112450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191000" cy="2790825"/>
                    </a:xfrm>
                    <a:prstGeom prst="rect">
                      <a:avLst/>
                    </a:prstGeom>
                  </pic:spPr>
                </pic:pic>
              </a:graphicData>
            </a:graphic>
          </wp:inline>
        </w:drawing>
      </w:r>
    </w:p>
    <w:p w14:paraId="1875BE85" w14:textId="77777777" w:rsidR="00B574A5" w:rsidRDefault="007C4B82">
      <w:pPr>
        <w:spacing w:after="240"/>
        <w:jc w:val="center"/>
      </w:pPr>
      <w:r>
        <w:rPr>
          <w:rFonts w:ascii="Cambria" w:eastAsia="Cambria" w:hAnsi="Cambria" w:cs="Cambria"/>
          <w:i/>
          <w:iCs/>
          <w:sz w:val="22"/>
          <w:szCs w:val="22"/>
        </w:rPr>
        <w:t>Figure 4: Nurse Staffing Coverage and Mortality Risk</w:t>
      </w:r>
    </w:p>
    <w:p w14:paraId="781AB2F4" w14:textId="77777777" w:rsidR="00B574A5" w:rsidRDefault="007C4B82">
      <w:pPr>
        <w:spacing w:before="120" w:after="180" w:line="360" w:lineRule="auto"/>
        <w:jc w:val="both"/>
      </w:pPr>
      <w:r>
        <w:rPr>
          <w:rFonts w:ascii="Cambria" w:eastAsia="Cambria" w:hAnsi="Cambria" w:cs="Cambria"/>
          <w:sz w:val="24"/>
          <w:szCs w:val="24"/>
        </w:rPr>
        <w:t>This relationship is not unique to the New York data cited above. Broader workforce analysis compiled by Health Carousel (2024) links mandated minimum nurse-to-patient ratios to measurably lower rates of hospital-acquired complications and readmission across multiple US states, while a review of state-level ratio legislation found that jurisdictions with enforceable minimum staffing laws consistently reported better patient outcomes than those relying on voluntary guidance (Nevada State University, 2025). S</w:t>
      </w:r>
      <w:r>
        <w:rPr>
          <w:rFonts w:ascii="Cambria" w:eastAsia="Cambria" w:hAnsi="Cambria" w:cs="Cambria"/>
          <w:sz w:val="24"/>
          <w:szCs w:val="24"/>
        </w:rPr>
        <w:t>outh Carolina, where MUSC is located, had no enforceable minimum ratio law in 2000 and still does not mandate the specific ratios many other states now require, leaving individual hospitals significant discretion over staffing levels during exactly the kind of high-acuity postoperative period Lewis was in. This regulatory gap illustrates how governance failure operated at more than one level simultaneously: within the hospital's own escalation culture, and within the wider policy environment that determined</w:t>
      </w:r>
      <w:r>
        <w:rPr>
          <w:rFonts w:ascii="Cambria" w:eastAsia="Cambria" w:hAnsi="Cambria" w:cs="Cambria"/>
          <w:sz w:val="24"/>
          <w:szCs w:val="24"/>
        </w:rPr>
        <w:t xml:space="preserve"> how many staff were available to notice deterioration in the first place.</w:t>
      </w:r>
    </w:p>
    <w:p w14:paraId="33503526" w14:textId="77777777" w:rsidR="00B574A5" w:rsidRDefault="007C4B82">
      <w:pPr>
        <w:pStyle w:val="Heading3"/>
        <w:spacing w:before="240" w:after="140"/>
      </w:pPr>
      <w:r>
        <w:rPr>
          <w:rFonts w:ascii="Calibri" w:eastAsia="Calibri" w:hAnsi="Calibri" w:cs="Calibri"/>
          <w:b/>
          <w:bCs/>
          <w:color w:val="000000"/>
        </w:rPr>
        <w:t>A Comparative Case: Mid Staffordshire NHS Foundation Trust</w:t>
      </w:r>
    </w:p>
    <w:p w14:paraId="2713CC0C" w14:textId="77777777" w:rsidR="00B574A5" w:rsidRDefault="007C4B82">
      <w:pPr>
        <w:spacing w:before="120" w:after="180" w:line="360" w:lineRule="auto"/>
        <w:jc w:val="both"/>
      </w:pPr>
      <w:r>
        <w:rPr>
          <w:rFonts w:ascii="Cambria" w:eastAsia="Cambria" w:hAnsi="Cambria" w:cs="Cambria"/>
          <w:sz w:val="24"/>
          <w:szCs w:val="24"/>
        </w:rPr>
        <w:lastRenderedPageBreak/>
        <w:t>The pattern identified at MUSC is not confined to the United States. Robert Francis's (2013) public inquiry into Mid Staffordshire NHS Foundation Trust in England found that between 2005 and 2009 patients were left in soiled bedding, calls for assistance went unanswered, and warning signs of deterioration were repeatedly normalised by staff and managers alike, contributing to significantly elevated mortality. As at MUSC, the Mid Staffordshire inquiry did not identify a single culpable individual; it identif</w:t>
      </w:r>
      <w:r>
        <w:rPr>
          <w:rFonts w:ascii="Cambria" w:eastAsia="Cambria" w:hAnsi="Cambria" w:cs="Cambria"/>
          <w:sz w:val="24"/>
          <w:szCs w:val="24"/>
        </w:rPr>
        <w:t>ied an organisational culture preoccupied with financial and reputational targets, in which frontline concerns were filtered out before they reached senior leadership (Francis, 2013). Both cases show centralised authority structures that, rather than enabling swift escalation, created multiple points at which a warning could be absorbed rather than acted upon.</w:t>
      </w:r>
    </w:p>
    <w:p w14:paraId="3D87A8A6" w14:textId="77777777" w:rsidR="00B574A5" w:rsidRDefault="007C4B82">
      <w:pPr>
        <w:spacing w:before="120" w:after="180" w:line="360" w:lineRule="auto"/>
        <w:jc w:val="both"/>
      </w:pPr>
      <w:r>
        <w:rPr>
          <w:rFonts w:ascii="Cambria" w:eastAsia="Cambria" w:hAnsi="Cambria" w:cs="Cambria"/>
          <w:sz w:val="24"/>
          <w:szCs w:val="24"/>
        </w:rPr>
        <w:t xml:space="preserve">The comparison strengthens the argument that governance and leadership style, rather than local resourcing or individual competence in isolation, are the decisive variables in whether early warning signs translate into timely clinical action. It also demonstrates that the reforms which followed Lewis Blackman's death — decentralising the authority to escalate while retaining centralised clinical accountability — mirror the direction of reform recommended by Francis (2013) for the NHS, including a statutory </w:t>
      </w:r>
      <w:r>
        <w:rPr>
          <w:rFonts w:ascii="Cambria" w:eastAsia="Cambria" w:hAnsi="Cambria" w:cs="Cambria"/>
          <w:sz w:val="24"/>
          <w:szCs w:val="24"/>
        </w:rPr>
        <w:t>duty of candour and stronger incident-reporting protections. This convergence across two very different health systems, separated by roughly a decade and an ocean, suggests the underlying leadership and governance lessons are generalisable rather than specific to any one institution.</w:t>
      </w:r>
    </w:p>
    <w:p w14:paraId="185DBC4D" w14:textId="77777777" w:rsidR="00B574A5" w:rsidRDefault="007C4B82">
      <w:pPr>
        <w:pStyle w:val="Heading3"/>
        <w:spacing w:before="240" w:after="140"/>
      </w:pPr>
      <w:r>
        <w:rPr>
          <w:rFonts w:ascii="Calibri" w:eastAsia="Calibri" w:hAnsi="Calibri" w:cs="Calibri"/>
          <w:b/>
          <w:bCs/>
          <w:color w:val="000000"/>
        </w:rPr>
        <w:t>The Rich Picture</w:t>
      </w:r>
    </w:p>
    <w:p w14:paraId="5F0DA133" w14:textId="77777777" w:rsidR="00B574A5" w:rsidRDefault="007C4B82">
      <w:pPr>
        <w:spacing w:before="120" w:after="180" w:line="360" w:lineRule="auto"/>
        <w:jc w:val="both"/>
      </w:pPr>
      <w:r>
        <w:rPr>
          <w:rFonts w:ascii="Cambria" w:eastAsia="Cambria" w:hAnsi="Cambria" w:cs="Cambria"/>
          <w:sz w:val="24"/>
          <w:szCs w:val="24"/>
        </w:rPr>
        <w:t>Figure 1 visualises how people, processes and structures interacted: a deteriorating patient and an anxious family whose concerns were absorbed by frontline nurses; a junior resident acting without senior support; a rigid chain-of-command culture discouraging escalation “over the head” of a senior colleague; an attending surgeon contacted late; and no rapid-response or family-activated escalation mechanism. The feedback loop that should have existed — deterioration triggers escalation triggers senior review</w:t>
      </w:r>
      <w:r>
        <w:rPr>
          <w:rFonts w:ascii="Cambria" w:eastAsia="Cambria" w:hAnsi="Cambria" w:cs="Cambria"/>
          <w:sz w:val="24"/>
          <w:szCs w:val="24"/>
        </w:rPr>
        <w:t xml:space="preserve"> — was broken at every link.</w:t>
      </w:r>
    </w:p>
    <w:p w14:paraId="28EE0974" w14:textId="77777777" w:rsidR="00B574A5" w:rsidRDefault="007C4B82">
      <w:pPr>
        <w:spacing w:before="200" w:after="60"/>
        <w:jc w:val="center"/>
      </w:pPr>
      <w:r>
        <w:rPr>
          <w:noProof/>
        </w:rPr>
        <w:lastRenderedPageBreak/>
        <w:drawing>
          <wp:inline distT="0" distB="0" distL="0" distR="0" wp14:anchorId="4B0F3D41" wp14:editId="22ADC660">
            <wp:extent cx="4381500" cy="3048000"/>
            <wp:effectExtent l="0" t="0" r="0" b="0"/>
            <wp:docPr id="1784119643" name="Picture 1784119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381500" cy="3048000"/>
                    </a:xfrm>
                    <a:prstGeom prst="rect">
                      <a:avLst/>
                    </a:prstGeom>
                  </pic:spPr>
                </pic:pic>
              </a:graphicData>
            </a:graphic>
          </wp:inline>
        </w:drawing>
      </w:r>
    </w:p>
    <w:p w14:paraId="4EED7E82" w14:textId="77777777" w:rsidR="00B574A5" w:rsidRDefault="007C4B82">
      <w:pPr>
        <w:spacing w:after="240"/>
        <w:jc w:val="center"/>
      </w:pPr>
      <w:r>
        <w:rPr>
          <w:rFonts w:ascii="Cambria" w:eastAsia="Cambria" w:hAnsi="Cambria" w:cs="Cambria"/>
          <w:i/>
          <w:iCs/>
          <w:sz w:val="22"/>
          <w:szCs w:val="22"/>
        </w:rPr>
        <w:t>Figure 1: Rich Picture — Post-operative care breakdown in the Lewis Blackman case</w:t>
      </w:r>
    </w:p>
    <w:p w14:paraId="081B1320" w14:textId="77777777" w:rsidR="00B574A5" w:rsidRDefault="007C4B82">
      <w:pPr>
        <w:pStyle w:val="Heading2"/>
        <w:spacing w:before="300" w:after="160"/>
      </w:pPr>
      <w:r>
        <w:rPr>
          <w:rFonts w:ascii="Calibri" w:eastAsia="Calibri" w:hAnsi="Calibri" w:cs="Calibri"/>
          <w:b/>
          <w:bCs/>
          <w:color w:val="000000"/>
          <w:sz w:val="28"/>
          <w:szCs w:val="28"/>
        </w:rPr>
        <w:t>b. Centralisation or Decentralisation within the Case Study</w:t>
      </w:r>
    </w:p>
    <w:p w14:paraId="11B97A8F" w14:textId="77777777" w:rsidR="00B574A5" w:rsidRDefault="007C4B82">
      <w:pPr>
        <w:pStyle w:val="Heading3"/>
        <w:spacing w:before="240" w:after="140"/>
      </w:pPr>
      <w:r>
        <w:rPr>
          <w:rFonts w:ascii="Calibri" w:eastAsia="Calibri" w:hAnsi="Calibri" w:cs="Calibri"/>
          <w:b/>
          <w:bCs/>
          <w:color w:val="000000"/>
        </w:rPr>
        <w:t>Centralised Systems at MUSC</w:t>
      </w:r>
    </w:p>
    <w:p w14:paraId="139F81D0" w14:textId="77777777" w:rsidR="00B574A5" w:rsidRDefault="007C4B82">
      <w:pPr>
        <w:spacing w:before="120" w:after="180" w:line="360" w:lineRule="auto"/>
        <w:jc w:val="both"/>
      </w:pPr>
      <w:r>
        <w:rPr>
          <w:rFonts w:ascii="Cambria" w:eastAsia="Cambria" w:hAnsi="Cambria" w:cs="Cambria"/>
          <w:sz w:val="24"/>
          <w:szCs w:val="24"/>
        </w:rPr>
        <w:t>MUSC in 2000 operated a steeply centralised clinical authority model. Formal decision rights over Lewis's care — ordering tests, changing medication, deciding when a patient needed senior reassessment — were concentrated in the attending surgeon and a small number of senior physicians, consistent with the traditional teaching-hospital hierarchy (</w:t>
      </w:r>
      <w:proofErr w:type="spellStart"/>
      <w:r>
        <w:rPr>
          <w:rFonts w:ascii="Cambria" w:eastAsia="Cambria" w:hAnsi="Cambria" w:cs="Cambria"/>
          <w:sz w:val="24"/>
          <w:szCs w:val="24"/>
        </w:rPr>
        <w:t>Center</w:t>
      </w:r>
      <w:proofErr w:type="spellEnd"/>
      <w:r>
        <w:rPr>
          <w:rFonts w:ascii="Cambria" w:eastAsia="Cambria" w:hAnsi="Cambria" w:cs="Cambria"/>
          <w:sz w:val="24"/>
          <w:szCs w:val="24"/>
        </w:rPr>
        <w:t xml:space="preserve"> for Justice and Democracy, 2014). The two-and-a-half-hour delay between the family's request for the surgeon and any physician review illustrates the model directly: because authority was concentrated several rungs from the bedside, and junior staff lacked confidence to bypass that hierarchy, care effectively stalled. The advantage of centralisation, in principle, is consistency of clinical judgement and clear accountability with the most experienced clinician; the disadvantage, starkly illustrated h</w:t>
      </w:r>
      <w:r>
        <w:rPr>
          <w:rFonts w:ascii="Cambria" w:eastAsia="Cambria" w:hAnsi="Cambria" w:cs="Cambria"/>
          <w:sz w:val="24"/>
          <w:szCs w:val="24"/>
        </w:rPr>
        <w:t>ere, is a single point of failure — if the senior decision-maker is unavailable or uninformed, no one else is empowered to act, and response time to a fast-moving complication becomes dangerously long (Reason, 2000).</w:t>
      </w:r>
    </w:p>
    <w:p w14:paraId="6943D570" w14:textId="77777777" w:rsidR="00B574A5" w:rsidRDefault="007C4B82">
      <w:pPr>
        <w:pStyle w:val="Heading3"/>
        <w:spacing w:before="240" w:after="140"/>
      </w:pPr>
      <w:r>
        <w:rPr>
          <w:rFonts w:ascii="Calibri" w:eastAsia="Calibri" w:hAnsi="Calibri" w:cs="Calibri"/>
          <w:b/>
          <w:bCs/>
          <w:color w:val="000000"/>
        </w:rPr>
        <w:t>Decentralised Elements at the Frontline</w:t>
      </w:r>
    </w:p>
    <w:p w14:paraId="6A601176" w14:textId="77777777" w:rsidR="00B574A5" w:rsidRDefault="007C4B82">
      <w:pPr>
        <w:spacing w:before="120" w:after="180" w:line="360" w:lineRule="auto"/>
        <w:jc w:val="both"/>
      </w:pPr>
      <w:r>
        <w:rPr>
          <w:rFonts w:ascii="Cambria" w:eastAsia="Cambria" w:hAnsi="Cambria" w:cs="Cambria"/>
          <w:sz w:val="24"/>
          <w:szCs w:val="24"/>
        </w:rPr>
        <w:t xml:space="preserve">Paradoxically, the frontline operated with a form of unsupported decentralisation: nurses and the on-call resident interpreted ambiguous, worsening signs largely on their own, </w:t>
      </w:r>
      <w:r>
        <w:rPr>
          <w:rFonts w:ascii="Cambria" w:eastAsia="Cambria" w:hAnsi="Cambria" w:cs="Cambria"/>
          <w:sz w:val="24"/>
          <w:szCs w:val="24"/>
        </w:rPr>
        <w:lastRenderedPageBreak/>
        <w:t>without authority to independently trigger a higher level of review. Decentralised authority distributes decision-making closer to where information is freshest — in principle an advantage, since bedside staff saw the deterioration first-hand — but only improves outcomes when paired with the competence, confidence and organisational permission to act on that information (West et al., 2015). At MUSC, junior staff had proximity without authority, while senior staff had authority without proximity. Nurse-sensi</w:t>
      </w:r>
      <w:r>
        <w:rPr>
          <w:rFonts w:ascii="Cambria" w:eastAsia="Cambria" w:hAnsi="Cambria" w:cs="Cambria"/>
          <w:sz w:val="24"/>
          <w:szCs w:val="24"/>
        </w:rPr>
        <w:t>tive outcome research supports how damaging this combination is: when staffing coverage falls below roughly ninety percent of safe levels, in-hospital mortality risk rises sharply (Fagerström et al., 2025).</w:t>
      </w:r>
    </w:p>
    <w:p w14:paraId="028ACBAA" w14:textId="77777777" w:rsidR="00B574A5" w:rsidRDefault="007C4B82">
      <w:pPr>
        <w:pStyle w:val="Heading3"/>
        <w:spacing w:before="240" w:after="140"/>
      </w:pPr>
      <w:r>
        <w:rPr>
          <w:rFonts w:ascii="Calibri" w:eastAsia="Calibri" w:hAnsi="Calibri" w:cs="Calibri"/>
          <w:b/>
          <w:bCs/>
          <w:color w:val="000000"/>
        </w:rPr>
        <w:t>Critical Analysis: Impact on Crisis Management, Decision-Making and Accountability</w:t>
      </w:r>
    </w:p>
    <w:p w14:paraId="21B3EC89" w14:textId="77777777" w:rsidR="00B574A5" w:rsidRDefault="007C4B82">
      <w:pPr>
        <w:spacing w:before="120" w:after="180" w:line="360" w:lineRule="auto"/>
        <w:jc w:val="both"/>
      </w:pPr>
      <w:r>
        <w:rPr>
          <w:rFonts w:ascii="Cambria" w:eastAsia="Cambria" w:hAnsi="Cambria" w:cs="Cambria"/>
          <w:sz w:val="24"/>
          <w:szCs w:val="24"/>
        </w:rPr>
        <w:t xml:space="preserve">Neither pure centralisation nor pure decentralisation would have prevented Lewis's death; the failure was the absence of a bridging mechanism between them — an agreed, low-friction escalation pathway any nurse, resident or family member could trigger regardless of hierarchical position. This is the gap MUSC's later reforms closed: a rapid-response system was introduced, extending activation rights to patients and families themselves and converting a rigid chain of command into a hybrid model, where routine </w:t>
      </w:r>
      <w:r>
        <w:rPr>
          <w:rFonts w:ascii="Cambria" w:eastAsia="Cambria" w:hAnsi="Cambria" w:cs="Cambria"/>
          <w:sz w:val="24"/>
          <w:szCs w:val="24"/>
        </w:rPr>
        <w:t>authority remains with senior clinicians but emergency escalation authority is decentralised to anyone at the bedside (Post and Courier, 2016). This hybrid — centralised accountability paired with decentralised authority to escalate — is now regarded as best practice in patient-safety governance, and hospitals implementing rapid-response systems consistently report fewer unplanned intensive-care transfers and cardiac arrests outside intensive care.</w:t>
      </w:r>
    </w:p>
    <w:p w14:paraId="0E860AF5" w14:textId="77777777" w:rsidR="00B574A5" w:rsidRDefault="007C4B82">
      <w:pPr>
        <w:pStyle w:val="Heading3"/>
        <w:spacing w:before="240" w:after="140"/>
      </w:pPr>
      <w:r>
        <w:rPr>
          <w:rFonts w:ascii="Calibri" w:eastAsia="Calibri" w:hAnsi="Calibri" w:cs="Calibri"/>
          <w:b/>
          <w:bCs/>
          <w:color w:val="000000"/>
        </w:rPr>
        <w:t>Contemporary Governance Models Supporting This Hybrid Approach</w:t>
      </w:r>
    </w:p>
    <w:p w14:paraId="475F128C" w14:textId="77777777" w:rsidR="00B574A5" w:rsidRDefault="007C4B82">
      <w:pPr>
        <w:spacing w:before="120" w:after="180" w:line="360" w:lineRule="auto"/>
        <w:jc w:val="both"/>
      </w:pPr>
      <w:r>
        <w:rPr>
          <w:rFonts w:ascii="Cambria" w:eastAsia="Cambria" w:hAnsi="Cambria" w:cs="Cambria"/>
          <w:sz w:val="24"/>
          <w:szCs w:val="24"/>
        </w:rPr>
        <w:t>The hybrid model MUSC eventually adopted anticipates the approach later formalised in England's Patient Safety Incident Response Framework, which explicitly requires organisations to build multiple, non-hierarchical channels through which staff, patients and families can trigger a safety response, rather than relying solely on the formal chain of command (NHS England, 2022). Vincent's (2010) systems-based account of patient safety makes the same point theoretically: safety is a property of the whole system'</w:t>
      </w:r>
      <w:r>
        <w:rPr>
          <w:rFonts w:ascii="Cambria" w:eastAsia="Cambria" w:hAnsi="Cambria" w:cs="Cambria"/>
          <w:sz w:val="24"/>
          <w:szCs w:val="24"/>
        </w:rPr>
        <w:t xml:space="preserve">s design, not of any individual actor's vigilance, so resilient organisations deliberately build redundant </w:t>
      </w:r>
      <w:r>
        <w:rPr>
          <w:rFonts w:ascii="Cambria" w:eastAsia="Cambria" w:hAnsi="Cambria" w:cs="Cambria"/>
          <w:sz w:val="24"/>
          <w:szCs w:val="24"/>
        </w:rPr>
        <w:lastRenderedPageBreak/>
        <w:t>pathways for concerns to surface even when the primary pathway — in Lewis's case, nurse to resident to attending — fails. Read together, this confirms that MUSC's post-2000 reforms were not an idiosyncratic local fix but an early instance of a governance model that international patient-safety bodies have since adopted as standard practice.</w:t>
      </w:r>
    </w:p>
    <w:p w14:paraId="255771E2" w14:textId="77777777" w:rsidR="00B574A5" w:rsidRDefault="007C4B82">
      <w:pPr>
        <w:pStyle w:val="Heading2"/>
        <w:spacing w:before="300" w:after="160"/>
      </w:pPr>
      <w:r>
        <w:rPr>
          <w:rFonts w:ascii="Calibri" w:eastAsia="Calibri" w:hAnsi="Calibri" w:cs="Calibri"/>
          <w:b/>
          <w:bCs/>
          <w:color w:val="000000"/>
          <w:sz w:val="28"/>
          <w:szCs w:val="28"/>
        </w:rPr>
        <w:t>c. Leadership Theories and Application to the Case Study</w:t>
      </w:r>
    </w:p>
    <w:p w14:paraId="26B8A998" w14:textId="77777777" w:rsidR="00B574A5" w:rsidRDefault="007C4B82">
      <w:pPr>
        <w:pStyle w:val="Heading3"/>
        <w:spacing w:before="240" w:after="140"/>
      </w:pPr>
      <w:r>
        <w:rPr>
          <w:rFonts w:ascii="Calibri" w:eastAsia="Calibri" w:hAnsi="Calibri" w:cs="Calibri"/>
          <w:b/>
          <w:bCs/>
          <w:color w:val="000000"/>
        </w:rPr>
        <w:t>Situational Leadership</w:t>
      </w:r>
    </w:p>
    <w:p w14:paraId="154EF26E" w14:textId="77777777" w:rsidR="00B574A5" w:rsidRDefault="007C4B82">
      <w:pPr>
        <w:spacing w:before="120" w:after="180" w:line="360" w:lineRule="auto"/>
        <w:jc w:val="both"/>
      </w:pPr>
      <w:r>
        <w:rPr>
          <w:rFonts w:ascii="Cambria" w:eastAsia="Cambria" w:hAnsi="Cambria" w:cs="Cambria"/>
          <w:sz w:val="24"/>
          <w:szCs w:val="24"/>
        </w:rPr>
        <w:t>Hersey and Blanchard's (1969) situational leadership theory holds that effective leaders adapt their style to followers' competence and confidence. The on-call resident and nursing staff caring for Lewis were relatively inexperienced with a deteriorating post-surgical paediatric patient, yet were functionally left with minimal direct supervision despite the situation demanding close direction — a mismatch between staff readiness and leadership style.</w:t>
      </w:r>
    </w:p>
    <w:p w14:paraId="10B72102" w14:textId="77777777" w:rsidR="00B574A5" w:rsidRDefault="007C4B82">
      <w:pPr>
        <w:pStyle w:val="Heading3"/>
        <w:spacing w:before="240" w:after="140"/>
      </w:pPr>
      <w:r>
        <w:rPr>
          <w:rFonts w:ascii="Calibri" w:eastAsia="Calibri" w:hAnsi="Calibri" w:cs="Calibri"/>
          <w:b/>
          <w:bCs/>
          <w:color w:val="000000"/>
        </w:rPr>
        <w:t>Transactional Leadership</w:t>
      </w:r>
    </w:p>
    <w:p w14:paraId="5C7A024C" w14:textId="77777777" w:rsidR="00B574A5" w:rsidRDefault="007C4B82">
      <w:pPr>
        <w:spacing w:before="120" w:after="180" w:line="360" w:lineRule="auto"/>
        <w:jc w:val="both"/>
      </w:pPr>
      <w:r>
        <w:rPr>
          <w:rFonts w:ascii="Cambria" w:eastAsia="Cambria" w:hAnsi="Cambria" w:cs="Cambria"/>
          <w:sz w:val="24"/>
          <w:szCs w:val="24"/>
        </w:rPr>
        <w:t>The culture at MUSC reflected transactional leadership: defined roles, standard procedures and management by exception, with senior clinicians intervening only once problems were explicitly escalated (Bass, 1985). This works for routine care but depends entirely on subordinates correctly identifying and reporting the exception — precisely the step that failed. A 2025 systematic review of twelve studies found transactional leadership was consistently outperformed by transformational and ethical leadership on</w:t>
      </w:r>
      <w:r>
        <w:rPr>
          <w:rFonts w:ascii="Cambria" w:eastAsia="Cambria" w:hAnsi="Cambria" w:cs="Cambria"/>
          <w:sz w:val="24"/>
          <w:szCs w:val="24"/>
        </w:rPr>
        <w:t xml:space="preserve"> measures of open communication and error reporting (Fagerström et al., 2025).</w:t>
      </w:r>
    </w:p>
    <w:p w14:paraId="4FB6FCC5" w14:textId="77777777" w:rsidR="00B574A5" w:rsidRDefault="007C4B82">
      <w:pPr>
        <w:pStyle w:val="Heading3"/>
        <w:spacing w:before="240" w:after="140"/>
      </w:pPr>
      <w:r>
        <w:rPr>
          <w:rFonts w:ascii="Calibri" w:eastAsia="Calibri" w:hAnsi="Calibri" w:cs="Calibri"/>
          <w:b/>
          <w:bCs/>
          <w:color w:val="000000"/>
        </w:rPr>
        <w:t>Transformational Leadership</w:t>
      </w:r>
    </w:p>
    <w:p w14:paraId="3A0BDF45" w14:textId="77777777" w:rsidR="00B574A5" w:rsidRDefault="007C4B82">
      <w:pPr>
        <w:spacing w:before="120" w:after="180" w:line="360" w:lineRule="auto"/>
        <w:jc w:val="both"/>
      </w:pPr>
      <w:r>
        <w:rPr>
          <w:rFonts w:ascii="Cambria" w:eastAsia="Cambria" w:hAnsi="Cambria" w:cs="Cambria"/>
          <w:sz w:val="24"/>
          <w:szCs w:val="24"/>
        </w:rPr>
        <w:t xml:space="preserve">Transformational leadership, in which leaders build shared purpose and empower followers to exceed formal role boundaries in patients' interests (Bass, 1985), was largely absent at the point of care. A systematic review of the nursing work environment found transformational leadership behaviours associated with reduced adverse events and improved patient satisfaction (Boamah et al., 2018), while the 2025 review found it correlated with enhanced teamwork and organisational learning across settings </w:t>
      </w:r>
      <w:r>
        <w:rPr>
          <w:rFonts w:ascii="Cambria" w:eastAsia="Cambria" w:hAnsi="Cambria" w:cs="Cambria"/>
          <w:sz w:val="24"/>
          <w:szCs w:val="24"/>
        </w:rPr>
        <w:lastRenderedPageBreak/>
        <w:t>(Fagerström et al., 2025). Underpinning all three theories is Edmondson's (2018) concept of psychological safety, which the MUSC hierarchy actively discouraged.</w:t>
      </w:r>
    </w:p>
    <w:p w14:paraId="74811B67" w14:textId="77777777" w:rsidR="00B574A5" w:rsidRDefault="007C4B82">
      <w:pPr>
        <w:spacing w:before="120" w:after="180" w:line="360" w:lineRule="auto"/>
        <w:jc w:val="both"/>
      </w:pPr>
      <w:r>
        <w:rPr>
          <w:rFonts w:ascii="Cambria" w:eastAsia="Cambria" w:hAnsi="Cambria" w:cs="Cambria"/>
          <w:sz w:val="24"/>
          <w:szCs w:val="24"/>
        </w:rPr>
        <w:t xml:space="preserve">This effect is not confined to acute hospital settings. Laschinger and Fida (2015) found that transformational leadership behaviours predicted stronger patient-safety culture and higher work engagement even in home care services, where clinicians often work with less direct supervision than hospital staff — arguably an even more demanding test of whether empowerment substitutes effectively for hierarchical control. Industry analysis by </w:t>
      </w:r>
      <w:proofErr w:type="spellStart"/>
      <w:r>
        <w:rPr>
          <w:rFonts w:ascii="Cambria" w:eastAsia="Cambria" w:hAnsi="Cambria" w:cs="Cambria"/>
          <w:sz w:val="24"/>
          <w:szCs w:val="24"/>
        </w:rPr>
        <w:t>Relias</w:t>
      </w:r>
      <w:proofErr w:type="spellEnd"/>
      <w:r>
        <w:rPr>
          <w:rFonts w:ascii="Cambria" w:eastAsia="Cambria" w:hAnsi="Cambria" w:cs="Cambria"/>
          <w:sz w:val="24"/>
          <w:szCs w:val="24"/>
        </w:rPr>
        <w:t xml:space="preserve"> (2024) draws a similar practical link, arguing that transformational leaders improve safety outcomes specifically by increasing staff willingness to speak up about errors and near-misses before they escalate into harm, which is precisely the behaviour that was absent among the nurses and resident caring for Lewis. Nembhard and Edmondson's (2006) earlier study reinforces the mechanism: they found that when senior clinicians were perceived as inclusive rather than status-conscious, frontline staff repo</w:t>
      </w:r>
      <w:r>
        <w:rPr>
          <w:rFonts w:ascii="Cambria" w:eastAsia="Cambria" w:hAnsi="Cambria" w:cs="Cambria"/>
          <w:sz w:val="24"/>
          <w:szCs w:val="24"/>
        </w:rPr>
        <w:t>rted feeling safer raising concerns, regardless of their formal rank — the inverse of the steep authority gradient documented at MUSC.</w:t>
      </w:r>
    </w:p>
    <w:p w14:paraId="1805273F" w14:textId="77777777" w:rsidR="00B574A5" w:rsidRDefault="007C4B82">
      <w:pPr>
        <w:pStyle w:val="Heading3"/>
        <w:spacing w:before="240" w:after="140"/>
      </w:pPr>
      <w:r>
        <w:rPr>
          <w:rFonts w:ascii="Calibri" w:eastAsia="Calibri" w:hAnsi="Calibri" w:cs="Calibri"/>
          <w:b/>
          <w:bCs/>
          <w:color w:val="000000"/>
        </w:rPr>
        <w:t>Ethical and Person-Centred Leadership Considerations</w:t>
      </w:r>
    </w:p>
    <w:p w14:paraId="18BF53DC" w14:textId="77777777" w:rsidR="00B574A5" w:rsidRDefault="007C4B82">
      <w:pPr>
        <w:spacing w:before="120" w:after="180" w:line="360" w:lineRule="auto"/>
        <w:jc w:val="both"/>
      </w:pPr>
      <w:r>
        <w:rPr>
          <w:rFonts w:ascii="Cambria" w:eastAsia="Cambria" w:hAnsi="Cambria" w:cs="Cambria"/>
          <w:sz w:val="24"/>
          <w:szCs w:val="24"/>
        </w:rPr>
        <w:t>Beyond the formal leadership typologies already discussed, the case also raises a question of ethical leadership: whose knowledge counted as legitimate evidence of Lewis's deterioration. The nurses' observations and the family's repeated, increasingly urgent concerns were, in effect, treated as less credible than the absence of an explicit senior diagnosis. Person-centred models of care argue that a patient and their family are themselves a source of clinical information, not merely recipients of it, and th</w:t>
      </w:r>
      <w:r>
        <w:rPr>
          <w:rFonts w:ascii="Cambria" w:eastAsia="Cambria" w:hAnsi="Cambria" w:cs="Cambria"/>
          <w:sz w:val="24"/>
          <w:szCs w:val="24"/>
        </w:rPr>
        <w:t>at dismissing their observations is itself a form of harm, independent of the eventual physical outcome (West et al., 2015). An ethically led organisation would have built structures that assumed family and nursing concern could itself be sufficient grounds for escalation, rather than requiring that concern to be re-validated by a more senior clinician before it counted. Judged against that standard, the leadership failure at MUSC was not only a technical failure of escalation but a failure to treat the pat</w:t>
      </w:r>
      <w:r>
        <w:rPr>
          <w:rFonts w:ascii="Cambria" w:eastAsia="Cambria" w:hAnsi="Cambria" w:cs="Cambria"/>
          <w:sz w:val="24"/>
          <w:szCs w:val="24"/>
        </w:rPr>
        <w:t>ient and family as legitimate partners in identifying risk, a theme that resurfaces directly in this report's recommendations.</w:t>
      </w:r>
    </w:p>
    <w:p w14:paraId="7F00ECB2" w14:textId="77777777" w:rsidR="00B574A5" w:rsidRDefault="007C4B82">
      <w:pPr>
        <w:pStyle w:val="Heading3"/>
        <w:spacing w:before="240" w:after="140"/>
      </w:pPr>
      <w:r>
        <w:rPr>
          <w:rFonts w:ascii="Calibri" w:eastAsia="Calibri" w:hAnsi="Calibri" w:cs="Calibri"/>
          <w:b/>
          <w:bCs/>
          <w:color w:val="000000"/>
        </w:rPr>
        <w:lastRenderedPageBreak/>
        <w:t>Was the Leadership Style Appropriate? Reactive vs Proactive, and What the Data Reveal</w:t>
      </w:r>
    </w:p>
    <w:p w14:paraId="61855755" w14:textId="77777777" w:rsidR="00B574A5" w:rsidRDefault="007C4B82">
      <w:pPr>
        <w:spacing w:before="120" w:after="180" w:line="360" w:lineRule="auto"/>
        <w:jc w:val="both"/>
      </w:pPr>
      <w:r>
        <w:rPr>
          <w:rFonts w:ascii="Cambria" w:eastAsia="Cambria" w:hAnsi="Cambria" w:cs="Cambria"/>
          <w:sz w:val="24"/>
          <w:szCs w:val="24"/>
        </w:rPr>
        <w:t>Leadership at MUSC in 2000 was reactive and command-driven rather than proactive and purpose-driven: decisions were triggered by problems already visible rather than anticipated through structured monitoring. Staff-confidence and safety-outcome data collected in the years following the incident, which informed subsequent reform, revealed low confidence among junior staff in escalating concerns. A more distributed, emotionally intelligent leadership approach — training and empowering frontline staff and acti</w:t>
      </w:r>
      <w:r>
        <w:rPr>
          <w:rFonts w:ascii="Cambria" w:eastAsia="Cambria" w:hAnsi="Cambria" w:cs="Cambria"/>
          <w:sz w:val="24"/>
          <w:szCs w:val="24"/>
        </w:rPr>
        <w:t>vely soliciting family input — would have been markedly more appropriate for the situation Lewis presented.</w:t>
      </w:r>
    </w:p>
    <w:p w14:paraId="53743CA8" w14:textId="77777777" w:rsidR="00B574A5" w:rsidRDefault="007C4B82">
      <w:pPr>
        <w:pStyle w:val="Heading2"/>
        <w:spacing w:before="300" w:after="160"/>
      </w:pPr>
      <w:r>
        <w:rPr>
          <w:rFonts w:ascii="Calibri" w:eastAsia="Calibri" w:hAnsi="Calibri" w:cs="Calibri"/>
          <w:b/>
          <w:bCs/>
          <w:color w:val="000000"/>
          <w:sz w:val="28"/>
          <w:szCs w:val="28"/>
        </w:rPr>
        <w:t>d. Improvement and Lessons Learned</w:t>
      </w:r>
    </w:p>
    <w:p w14:paraId="2D47DEA3" w14:textId="77777777" w:rsidR="00B574A5" w:rsidRDefault="007C4B82">
      <w:pPr>
        <w:pStyle w:val="Heading3"/>
        <w:spacing w:before="240" w:after="140"/>
      </w:pPr>
      <w:r>
        <w:rPr>
          <w:rFonts w:ascii="Calibri" w:eastAsia="Calibri" w:hAnsi="Calibri" w:cs="Calibri"/>
          <w:b/>
          <w:bCs/>
          <w:color w:val="000000"/>
        </w:rPr>
        <w:t>Missed Opportunities and Evidence-Based Solutions</w:t>
      </w:r>
    </w:p>
    <w:p w14:paraId="3934D261" w14:textId="77777777" w:rsidR="00B574A5" w:rsidRDefault="007C4B82">
      <w:pPr>
        <w:spacing w:before="120" w:after="180" w:line="360" w:lineRule="auto"/>
        <w:jc w:val="both"/>
      </w:pPr>
      <w:r>
        <w:rPr>
          <w:rFonts w:ascii="Cambria" w:eastAsia="Cambria" w:hAnsi="Cambria" w:cs="Cambria"/>
          <w:sz w:val="24"/>
          <w:szCs w:val="24"/>
        </w:rPr>
        <w:t xml:space="preserve">Leadership and governance interacted to produce a predictable, rather than random, failure. Reason's (2000) “Swiss cheese” model is instructive: each individual gap — an </w:t>
      </w:r>
      <w:proofErr w:type="spellStart"/>
      <w:r>
        <w:rPr>
          <w:rFonts w:ascii="Cambria" w:eastAsia="Cambria" w:hAnsi="Cambria" w:cs="Cambria"/>
          <w:sz w:val="24"/>
          <w:szCs w:val="24"/>
        </w:rPr>
        <w:t>unescalated</w:t>
      </w:r>
      <w:proofErr w:type="spellEnd"/>
      <w:r>
        <w:rPr>
          <w:rFonts w:ascii="Cambria" w:eastAsia="Cambria" w:hAnsi="Cambria" w:cs="Cambria"/>
          <w:sz w:val="24"/>
          <w:szCs w:val="24"/>
        </w:rPr>
        <w:t xml:space="preserve"> observation, an unordered test, an unavailable senior — was survivable alone, but their alignment let harm pass straight through the system's defences.</w:t>
      </w:r>
    </w:p>
    <w:p w14:paraId="3A77B1CC" w14:textId="77777777" w:rsidR="00B574A5" w:rsidRDefault="007C4B82">
      <w:pPr>
        <w:spacing w:before="120" w:after="180" w:line="360" w:lineRule="auto"/>
        <w:jc w:val="both"/>
      </w:pPr>
      <w:r>
        <w:rPr>
          <w:rFonts w:ascii="Cambria" w:eastAsia="Cambria" w:hAnsi="Cambria" w:cs="Cambria"/>
          <w:sz w:val="24"/>
          <w:szCs w:val="24"/>
        </w:rPr>
        <w:t>Problem: delayed escalation and diffuse accountability in a centralised hierarchy meant no single person felt responsible for recognising Lewis's deterioration as an emergency. Data: comparable evidence shows this is a general pattern — over half of preventable medication harm originates where clinical decisions are made and never corrected downstream (World Health Organization, 2024), and staffing research shows measurably higher mortality risk once authority to act is constrained (National Institute of Nu</w:t>
      </w:r>
      <w:r>
        <w:rPr>
          <w:rFonts w:ascii="Cambria" w:eastAsia="Cambria" w:hAnsi="Cambria" w:cs="Cambria"/>
          <w:sz w:val="24"/>
          <w:szCs w:val="24"/>
        </w:rPr>
        <w:t>rsing Research, 2021; Fagerström et al., 2025). Improvement: the response, implemented in the years following the case, decentralised the authority to escalate while keeping clinical accountability centralised — a formal rapid-response system, structured early-warning observations, and a mechanism allowing the family itself to trigger urgent senior review, bypassing the usual chain of command.</w:t>
      </w:r>
    </w:p>
    <w:p w14:paraId="1CECC1CB" w14:textId="77777777" w:rsidR="00B574A5" w:rsidRDefault="007C4B82">
      <w:pPr>
        <w:spacing w:before="120" w:after="180" w:line="360" w:lineRule="auto"/>
        <w:jc w:val="both"/>
      </w:pPr>
      <w:r>
        <w:rPr>
          <w:rFonts w:ascii="Cambria" w:eastAsia="Cambria" w:hAnsi="Cambria" w:cs="Cambria"/>
          <w:sz w:val="24"/>
          <w:szCs w:val="24"/>
        </w:rPr>
        <w:t xml:space="preserve">The Lewis Blackman Hospital Patient Safety Act, signed into South Carolina law in 2005, required all clinical staff — including students, interns and residents — to wear identification showing name, role and level of training, directly addressing the family's </w:t>
      </w:r>
      <w:r>
        <w:rPr>
          <w:rFonts w:ascii="Cambria" w:eastAsia="Cambria" w:hAnsi="Cambria" w:cs="Cambria"/>
          <w:sz w:val="24"/>
          <w:szCs w:val="24"/>
        </w:rPr>
        <w:lastRenderedPageBreak/>
        <w:t>documented confusion about seniority (South Carolina General Assembly, 2005; Knight, 2022). It also encouraged mechanisms enabling patients and families to request an immediate higher-level review, an innovation that has since informed “Condition Help”-style family-activated rapid-response systems elsewhere.</w:t>
      </w:r>
    </w:p>
    <w:p w14:paraId="41D344B0" w14:textId="77777777" w:rsidR="00B574A5" w:rsidRDefault="007C4B82">
      <w:pPr>
        <w:pStyle w:val="Heading3"/>
        <w:spacing w:before="240" w:after="140"/>
      </w:pPr>
      <w:r>
        <w:rPr>
          <w:rFonts w:ascii="Calibri" w:eastAsia="Calibri" w:hAnsi="Calibri" w:cs="Calibri"/>
          <w:b/>
          <w:bCs/>
          <w:color w:val="000000"/>
        </w:rPr>
        <w:t>Applying a Change Management Lens: Kotter's Model</w:t>
      </w:r>
    </w:p>
    <w:p w14:paraId="60FEF9C3" w14:textId="77777777" w:rsidR="00B574A5" w:rsidRDefault="007C4B82">
      <w:pPr>
        <w:spacing w:before="120" w:after="180" w:line="360" w:lineRule="auto"/>
        <w:jc w:val="both"/>
      </w:pPr>
      <w:r>
        <w:rPr>
          <w:rFonts w:ascii="Cambria" w:eastAsia="Cambria" w:hAnsi="Cambria" w:cs="Cambria"/>
          <w:sz w:val="24"/>
          <w:szCs w:val="24"/>
        </w:rPr>
        <w:t>The transformation that followed Lewis Blackman's death also illustrates recognised change-management theory. Kotter's (1996) eight-step model for leading organisational change describes successful transformation as beginning with a sense of urgency, followed by building a guiding coalition, forming a clear vision, and anchoring new approaches in the culture. Helen Haskell's public campaign, and the media and legislative attention it generated, functioned as the urgency-creating trigger Kotter identifies as</w:t>
      </w:r>
      <w:r>
        <w:rPr>
          <w:rFonts w:ascii="Cambria" w:eastAsia="Cambria" w:hAnsi="Cambria" w:cs="Cambria"/>
          <w:sz w:val="24"/>
          <w:szCs w:val="24"/>
        </w:rPr>
        <w:t xml:space="preserve"> a precondition for change that might otherwise have been resisted by an institution defending its existing practices.</w:t>
      </w:r>
    </w:p>
    <w:p w14:paraId="30C0A846" w14:textId="77777777" w:rsidR="00B574A5" w:rsidRDefault="007C4B82">
      <w:pPr>
        <w:spacing w:before="120" w:after="180" w:line="360" w:lineRule="auto"/>
        <w:jc w:val="both"/>
      </w:pPr>
      <w:r>
        <w:rPr>
          <w:rFonts w:ascii="Cambria" w:eastAsia="Cambria" w:hAnsi="Cambria" w:cs="Cambria"/>
          <w:sz w:val="24"/>
          <w:szCs w:val="24"/>
        </w:rPr>
        <w:t>The passage of the Lewis Blackman Hospital Patient Safety Act formed a visible, symbolic short-term win of the kind Kotter argues is necessary to sustain momentum, while the subsequent spread of family-activated rapid-response systems to other hospitals nationally reflects his final stage of anchoring change in wider organisational and professional culture, beyond the institution where the failure occurred. Viewed through this lens, the case shows that leadership during a crisis is necessary but insufficien</w:t>
      </w:r>
      <w:r>
        <w:rPr>
          <w:rFonts w:ascii="Cambria" w:eastAsia="Cambria" w:hAnsi="Cambria" w:cs="Cambria"/>
          <w:sz w:val="24"/>
          <w:szCs w:val="24"/>
        </w:rPr>
        <w:t>t on its own; sustained improvement required leadership after the crisis as well, translating a single tragic event into a structured, staged change programme rather than a one-off policy announcement. This distinction matters for practice: organisations that respond to serious incidents only with an immediate apology and a single policy change, without the kind of staged, culturally embedded process Kotter describes, are more likely to see improvements fade once public attention moves on.</w:t>
      </w:r>
    </w:p>
    <w:p w14:paraId="6A0457A0" w14:textId="77777777" w:rsidR="00B574A5" w:rsidRDefault="007C4B82">
      <w:pPr>
        <w:pStyle w:val="Heading3"/>
        <w:spacing w:before="240" w:after="140"/>
      </w:pPr>
      <w:r>
        <w:rPr>
          <w:rFonts w:ascii="Calibri" w:eastAsia="Calibri" w:hAnsi="Calibri" w:cs="Calibri"/>
          <w:b/>
          <w:bCs/>
          <w:color w:val="000000"/>
        </w:rPr>
        <w:t>Linking System Structure, Leadership Style and System Feedback</w:t>
      </w:r>
    </w:p>
    <w:p w14:paraId="43A278EE" w14:textId="77777777" w:rsidR="00B574A5" w:rsidRDefault="007C4B82">
      <w:pPr>
        <w:spacing w:before="120" w:after="180" w:line="360" w:lineRule="auto"/>
        <w:jc w:val="both"/>
      </w:pPr>
      <w:r>
        <w:rPr>
          <w:rFonts w:ascii="Cambria" w:eastAsia="Cambria" w:hAnsi="Cambria" w:cs="Cambria"/>
          <w:sz w:val="24"/>
          <w:szCs w:val="24"/>
        </w:rPr>
        <w:t xml:space="preserve">System structure, leadership style and organisational feedback loops were mutually reinforcing rather than independent. A centralised authority structure only functions safely when paired with highly reliable escalation discipline or decentralised emergency-override </w:t>
      </w:r>
      <w:r>
        <w:rPr>
          <w:rFonts w:ascii="Cambria" w:eastAsia="Cambria" w:hAnsi="Cambria" w:cs="Cambria"/>
          <w:sz w:val="24"/>
          <w:szCs w:val="24"/>
        </w:rPr>
        <w:lastRenderedPageBreak/>
        <w:t>rights; MUSC in 2000 had neither. Other health and social care organisations can draw a clear lesson: safety cannot depend on hierarchy functioning perfectly under pressure — it must be engineered with redundancy, and leadership must actively build the psychological safety that makes redundant escalation pathways usable. Evidence and data should be used not only retrospectively, through incident investigation, but prospectively, through routine monitoring of near-misses, staffing ratios and reporting-cultur</w:t>
      </w:r>
      <w:r>
        <w:rPr>
          <w:rFonts w:ascii="Cambria" w:eastAsia="Cambria" w:hAnsi="Cambria" w:cs="Cambria"/>
          <w:sz w:val="24"/>
          <w:szCs w:val="24"/>
        </w:rPr>
        <w:t>e metrics.</w:t>
      </w:r>
    </w:p>
    <w:p w14:paraId="4B061A34" w14:textId="77777777" w:rsidR="00B574A5" w:rsidRDefault="007C4B82">
      <w:pPr>
        <w:pStyle w:val="Heading1"/>
        <w:spacing w:before="360" w:after="200"/>
      </w:pPr>
      <w:r>
        <w:rPr>
          <w:rFonts w:ascii="Calibri" w:eastAsia="Calibri" w:hAnsi="Calibri" w:cs="Calibri"/>
          <w:b/>
          <w:bCs/>
          <w:color w:val="000000"/>
        </w:rPr>
        <w:t>Recommendation</w:t>
      </w:r>
    </w:p>
    <w:p w14:paraId="44280B44" w14:textId="77777777" w:rsidR="00B574A5" w:rsidRDefault="007C4B82">
      <w:pPr>
        <w:pStyle w:val="Heading3"/>
        <w:spacing w:before="240" w:after="140"/>
      </w:pPr>
      <w:r>
        <w:rPr>
          <w:rFonts w:ascii="Calibri" w:eastAsia="Calibri" w:hAnsi="Calibri" w:cs="Calibri"/>
          <w:b/>
          <w:bCs/>
          <w:color w:val="000000"/>
        </w:rPr>
        <w:t>Leadership Style</w:t>
      </w:r>
    </w:p>
    <w:p w14:paraId="4F450964" w14:textId="77777777" w:rsidR="00B574A5" w:rsidRDefault="007C4B82">
      <w:pPr>
        <w:spacing w:before="120" w:after="180" w:line="360" w:lineRule="auto"/>
        <w:jc w:val="both"/>
      </w:pPr>
      <w:r>
        <w:rPr>
          <w:rFonts w:ascii="Cambria" w:eastAsia="Cambria" w:hAnsi="Cambria" w:cs="Cambria"/>
          <w:sz w:val="24"/>
          <w:szCs w:val="24"/>
        </w:rPr>
        <w:t>The most effective and sustainable leadership style for this context is a blended model combining transformational leadership, to build shared purpose and psychological safety (Bass, 1985; Edmondson, 2018), with situational leadership, ensuring supervision matches junior clinicians' actual competence during high-acuity periods (Hersey and Blanchard, 1969). Purely transactional, command-driven leadership should be reserved for genuinely routine, low-risk activity.</w:t>
      </w:r>
    </w:p>
    <w:p w14:paraId="26862B6E" w14:textId="77777777" w:rsidR="00B574A5" w:rsidRDefault="007C4B82">
      <w:pPr>
        <w:pStyle w:val="Heading3"/>
        <w:spacing w:before="240" w:after="140"/>
      </w:pPr>
      <w:r>
        <w:rPr>
          <w:rFonts w:ascii="Calibri" w:eastAsia="Calibri" w:hAnsi="Calibri" w:cs="Calibri"/>
          <w:b/>
          <w:bCs/>
          <w:color w:val="000000"/>
        </w:rPr>
        <w:t>Strengthening Governance, Communication and Systems Integration</w:t>
      </w:r>
    </w:p>
    <w:p w14:paraId="043CD63C" w14:textId="77777777" w:rsidR="00B574A5" w:rsidRDefault="007C4B82">
      <w:pPr>
        <w:spacing w:before="120" w:after="180" w:line="360" w:lineRule="auto"/>
        <w:jc w:val="both"/>
      </w:pPr>
      <w:r>
        <w:rPr>
          <w:rFonts w:ascii="Cambria" w:eastAsia="Cambria" w:hAnsi="Cambria" w:cs="Cambria"/>
          <w:sz w:val="24"/>
          <w:szCs w:val="24"/>
        </w:rPr>
        <w:t>The organisation should formalise a decentralised escalation pathway that any staff member can activate without prior senior authorisation, alongside a family-activated rapid-response mechanism modelled on the reforms introduced after this case. Structured tools such as SBAR (Situation–Background–Assessment–Recommendation) should be mandated for handovers, and staff identification by name, role and seniority should be standard, consistent with the Lewis Blackman Hospital Patient Safety Act (South Carolina G</w:t>
      </w:r>
      <w:r>
        <w:rPr>
          <w:rFonts w:ascii="Cambria" w:eastAsia="Cambria" w:hAnsi="Cambria" w:cs="Cambria"/>
          <w:sz w:val="24"/>
          <w:szCs w:val="24"/>
        </w:rPr>
        <w:t>eneral Assembly, 2005).</w:t>
      </w:r>
    </w:p>
    <w:p w14:paraId="2CF362E9" w14:textId="77777777" w:rsidR="00B574A5" w:rsidRDefault="007C4B82">
      <w:pPr>
        <w:pStyle w:val="Heading3"/>
        <w:spacing w:before="240" w:after="140"/>
      </w:pPr>
      <w:r>
        <w:rPr>
          <w:rFonts w:ascii="Calibri" w:eastAsia="Calibri" w:hAnsi="Calibri" w:cs="Calibri"/>
          <w:b/>
          <w:bCs/>
          <w:color w:val="000000"/>
        </w:rPr>
        <w:t>Enhancing Technical and Allocative Efficiency</w:t>
      </w:r>
    </w:p>
    <w:p w14:paraId="10265772" w14:textId="77777777" w:rsidR="00B574A5" w:rsidRDefault="007C4B82">
      <w:pPr>
        <w:spacing w:before="120" w:after="180" w:line="360" w:lineRule="auto"/>
        <w:jc w:val="both"/>
      </w:pPr>
      <w:r>
        <w:rPr>
          <w:rFonts w:ascii="Cambria" w:eastAsia="Cambria" w:hAnsi="Cambria" w:cs="Cambria"/>
          <w:sz w:val="24"/>
          <w:szCs w:val="24"/>
        </w:rPr>
        <w:t xml:space="preserve">Nurse-to-patient staffing ratios should be reviewed against the evidence linking higher workload to increased mortality risk (National Institute of Nursing Research, 2021; Fagerström et al., 2025), with resources reallocated toward postoperative and high-dependency units. Investment in early-warning observation and rapid-response systems should be prioritised as a high-return intervention, consistent with WHO guidance that </w:t>
      </w:r>
      <w:r>
        <w:rPr>
          <w:rFonts w:ascii="Cambria" w:eastAsia="Cambria" w:hAnsi="Cambria" w:cs="Cambria"/>
          <w:sz w:val="24"/>
          <w:szCs w:val="24"/>
        </w:rPr>
        <w:lastRenderedPageBreak/>
        <w:t>prevention is markedly less costly than treating avoidable harm (World Health Organization, 2024).</w:t>
      </w:r>
    </w:p>
    <w:p w14:paraId="29F558E1" w14:textId="77777777" w:rsidR="00B574A5" w:rsidRDefault="007C4B82">
      <w:pPr>
        <w:spacing w:before="120" w:after="180" w:line="360" w:lineRule="auto"/>
        <w:jc w:val="both"/>
      </w:pPr>
      <w:r>
        <w:rPr>
          <w:rFonts w:ascii="Cambria" w:eastAsia="Cambria" w:hAnsi="Cambria" w:cs="Cambria"/>
          <w:sz w:val="24"/>
          <w:szCs w:val="24"/>
        </w:rPr>
        <w:t>The economic case for this investment is well established: OECD (2018) analysis found that the direct and indirect costs of unsafe care, including extended admissions, litigation and lost productivity, substantially exceed the cost of proven prevention measures such as early-warning systems and safe staffing, meaning organisations that under-invest in safety infrastructure are likely to pay more, not less, over time. The National Patient Safety Foundation's (2015) Free from Harm report reaches a parallel co</w:t>
      </w:r>
      <w:r>
        <w:rPr>
          <w:rFonts w:ascii="Cambria" w:eastAsia="Cambria" w:hAnsi="Cambria" w:cs="Cambria"/>
          <w:sz w:val="24"/>
          <w:szCs w:val="24"/>
        </w:rPr>
        <w:t>nclusion, recommending that healthcare boards treat patient safety as a core strategic priority, resourced and reported on with the same rigour as financial performance, rather than delegated solely to clinical quality committees. Applied to this case, that means safe staffing ratios and rapid-response infrastructure should be presented to hospital boards not as a compliance cost but as a direct investment in avoiding the litigation, reputational damage and human cost exemplified by the Blackman case itself</w:t>
      </w:r>
      <w:r>
        <w:rPr>
          <w:rFonts w:ascii="Cambria" w:eastAsia="Cambria" w:hAnsi="Cambria" w:cs="Cambria"/>
          <w:sz w:val="24"/>
          <w:szCs w:val="24"/>
        </w:rPr>
        <w:t>.</w:t>
      </w:r>
    </w:p>
    <w:p w14:paraId="445F6683" w14:textId="77777777" w:rsidR="00B574A5" w:rsidRDefault="007C4B82">
      <w:pPr>
        <w:pStyle w:val="Heading3"/>
        <w:spacing w:before="240" w:after="140"/>
      </w:pPr>
      <w:r>
        <w:rPr>
          <w:rFonts w:ascii="Calibri" w:eastAsia="Calibri" w:hAnsi="Calibri" w:cs="Calibri"/>
          <w:b/>
          <w:bCs/>
          <w:color w:val="000000"/>
        </w:rPr>
        <w:t>Continuous Learning, Stakeholder Engagement and Co-production</w:t>
      </w:r>
    </w:p>
    <w:p w14:paraId="1AEC80F7" w14:textId="77777777" w:rsidR="00B574A5" w:rsidRDefault="007C4B82">
      <w:pPr>
        <w:spacing w:before="120" w:after="180" w:line="360" w:lineRule="auto"/>
        <w:jc w:val="both"/>
      </w:pPr>
      <w:r>
        <w:rPr>
          <w:rFonts w:ascii="Cambria" w:eastAsia="Cambria" w:hAnsi="Cambria" w:cs="Cambria"/>
          <w:sz w:val="24"/>
          <w:szCs w:val="24"/>
        </w:rPr>
        <w:t>The organisation should institutionalise routine mortality review, near-miss reporting with genuine “just culture” protections, and regular staff psychological-safety surveys. Patients and families should be treated as safety partners: co-production mechanisms, actively inviting family observations into the clinical picture, should be embedded rather than exceptional.</w:t>
      </w:r>
    </w:p>
    <w:p w14:paraId="7E1C413E" w14:textId="77777777" w:rsidR="00B574A5" w:rsidRDefault="007C4B82">
      <w:pPr>
        <w:spacing w:before="120" w:after="180" w:line="360" w:lineRule="auto"/>
        <w:jc w:val="both"/>
      </w:pPr>
      <w:r>
        <w:rPr>
          <w:rFonts w:ascii="Cambria" w:eastAsia="Cambria" w:hAnsi="Cambria" w:cs="Cambria"/>
          <w:sz w:val="24"/>
          <w:szCs w:val="24"/>
        </w:rPr>
        <w:t>These recommendations are practical and evidence-based, directly addressing the failure points identified in the analysis — delayed escalation, an unsupported authority gradient, insufficient staffing capacity and the absence of family voice.</w:t>
      </w:r>
    </w:p>
    <w:p w14:paraId="1CFFEC99" w14:textId="77777777" w:rsidR="00B574A5" w:rsidRDefault="007C4B82">
      <w:pPr>
        <w:pStyle w:val="Heading1"/>
        <w:spacing w:before="360" w:after="200"/>
      </w:pPr>
      <w:r>
        <w:rPr>
          <w:rFonts w:ascii="Calibri" w:eastAsia="Calibri" w:hAnsi="Calibri" w:cs="Calibri"/>
          <w:b/>
          <w:bCs/>
          <w:color w:val="000000"/>
        </w:rPr>
        <w:t>Conclusion</w:t>
      </w:r>
    </w:p>
    <w:p w14:paraId="212473D7" w14:textId="77777777" w:rsidR="00B574A5" w:rsidRDefault="007C4B82">
      <w:pPr>
        <w:pStyle w:val="Heading3"/>
        <w:spacing w:before="240" w:after="140"/>
      </w:pPr>
      <w:r>
        <w:rPr>
          <w:rFonts w:ascii="Calibri" w:eastAsia="Calibri" w:hAnsi="Calibri" w:cs="Calibri"/>
          <w:b/>
          <w:bCs/>
          <w:color w:val="000000"/>
        </w:rPr>
        <w:t>Summary of Main Findings</w:t>
      </w:r>
    </w:p>
    <w:p w14:paraId="0E7CB2CF" w14:textId="77777777" w:rsidR="00B574A5" w:rsidRDefault="007C4B82">
      <w:pPr>
        <w:spacing w:before="120" w:after="180" w:line="360" w:lineRule="auto"/>
        <w:jc w:val="both"/>
      </w:pPr>
      <w:r>
        <w:rPr>
          <w:rFonts w:ascii="Cambria" w:eastAsia="Cambria" w:hAnsi="Cambria" w:cs="Cambria"/>
          <w:sz w:val="24"/>
          <w:szCs w:val="24"/>
        </w:rPr>
        <w:t xml:space="preserve">The Lewis Blackman case demonstrates that catastrophic patient harm rarely results from a single error; it results from the alignment of multiple, individually survivable weaknesses in leadership, governance and system design. A centralised clinical hierarchy, combined with a </w:t>
      </w:r>
      <w:r>
        <w:rPr>
          <w:rFonts w:ascii="Cambria" w:eastAsia="Cambria" w:hAnsi="Cambria" w:cs="Cambria"/>
          <w:sz w:val="24"/>
          <w:szCs w:val="24"/>
        </w:rPr>
        <w:lastRenderedPageBreak/>
        <w:t>transactional leadership culture and a steep authority gradient, meant repeated warning signs from a deteriorating patient and his family were absorbed rather than escalated, with fatal consequences. National and global data confirm this was not an isolated failure but an instance of a widespread pattern affecting roughly one in ten hospitalised patients in high-income countries.</w:t>
      </w:r>
    </w:p>
    <w:p w14:paraId="60E46F69" w14:textId="77777777" w:rsidR="00B574A5" w:rsidRDefault="007C4B82">
      <w:pPr>
        <w:pStyle w:val="Heading3"/>
        <w:spacing w:before="240" w:after="140"/>
      </w:pPr>
      <w:r>
        <w:rPr>
          <w:rFonts w:ascii="Calibri" w:eastAsia="Calibri" w:hAnsi="Calibri" w:cs="Calibri"/>
          <w:b/>
          <w:bCs/>
          <w:color w:val="000000"/>
        </w:rPr>
        <w:t>The Importance of Leadership, Governance and Systems Thinking in Driving Change</w:t>
      </w:r>
    </w:p>
    <w:p w14:paraId="36930289" w14:textId="77777777" w:rsidR="00B574A5" w:rsidRDefault="007C4B82">
      <w:pPr>
        <w:spacing w:before="120" w:after="180" w:line="360" w:lineRule="auto"/>
        <w:jc w:val="both"/>
      </w:pPr>
      <w:r>
        <w:rPr>
          <w:rFonts w:ascii="Cambria" w:eastAsia="Cambria" w:hAnsi="Cambria" w:cs="Cambria"/>
          <w:sz w:val="24"/>
          <w:szCs w:val="24"/>
        </w:rPr>
        <w:t>The organisational and legislative response — decentralising the authority to escalate, mandating staff identification, and empowering families to trigger urgent review — illustrates how evidence-based governance reform, guided by appropriate leadership theory, can convert tragedy into durable systemic improvement. Safety cannot rely on hierarchy functioning flawlessly under pressure: it must be deliberately engineered, through the right blend of leadership style, distributed authority and continuous, data-</w:t>
      </w:r>
      <w:r>
        <w:rPr>
          <w:rFonts w:ascii="Cambria" w:eastAsia="Cambria" w:hAnsi="Cambria" w:cs="Cambria"/>
          <w:sz w:val="24"/>
          <w:szCs w:val="24"/>
        </w:rPr>
        <w:t>driven learning, to remain safe even when individual links in the chain fail.</w:t>
      </w:r>
    </w:p>
    <w:p w14:paraId="40D5111E" w14:textId="77777777" w:rsidR="00B574A5" w:rsidRDefault="007C4B82">
      <w:pPr>
        <w:pStyle w:val="Heading3"/>
        <w:spacing w:before="240" w:after="140"/>
      </w:pPr>
      <w:r>
        <w:rPr>
          <w:rFonts w:ascii="Calibri" w:eastAsia="Calibri" w:hAnsi="Calibri" w:cs="Calibri"/>
          <w:b/>
          <w:bCs/>
          <w:color w:val="000000"/>
        </w:rPr>
        <w:t>Limitations of This Analysis</w:t>
      </w:r>
    </w:p>
    <w:p w14:paraId="48FE9373" w14:textId="77777777" w:rsidR="00B574A5" w:rsidRDefault="007C4B82">
      <w:pPr>
        <w:spacing w:before="120" w:after="180" w:line="360" w:lineRule="auto"/>
        <w:jc w:val="both"/>
      </w:pPr>
      <w:r>
        <w:rPr>
          <w:rFonts w:ascii="Cambria" w:eastAsia="Cambria" w:hAnsi="Cambria" w:cs="Cambria"/>
          <w:sz w:val="24"/>
          <w:szCs w:val="24"/>
        </w:rPr>
        <w:t xml:space="preserve">This report relies on secondary sources — media reporting, campaign material, legislative text and published academic literature — rather than on primary MUSC clinical records, incident-investigation reports or interviews with staff involved, none of which are publicly available. As a result, some of the specific timings and internal decision-making described in journalistic and campaign accounts cannot be independently verified against the hospital's own documentation, and the analysis of leadership style </w:t>
      </w:r>
      <w:r>
        <w:rPr>
          <w:rFonts w:ascii="Cambria" w:eastAsia="Cambria" w:hAnsi="Cambria" w:cs="Cambria"/>
          <w:sz w:val="24"/>
          <w:szCs w:val="24"/>
        </w:rPr>
        <w:t>is necessarily inferred from outcomes and public statements rather than observed directly. The broader statistical evidence used to contextualise the case is also drawn from different health systems, time periods and patient populations than Lewis's own, so the figures should be read as illustrating a general pattern rather than as a precise quantification of risk at MUSC specifically in 2000. Despite these limitations, the consistency between the documented sequence of events, the subsequent legislative re</w:t>
      </w:r>
      <w:r>
        <w:rPr>
          <w:rFonts w:ascii="Cambria" w:eastAsia="Cambria" w:hAnsi="Cambria" w:cs="Cambria"/>
          <w:sz w:val="24"/>
          <w:szCs w:val="24"/>
        </w:rPr>
        <w:t>sponse, and the wider international evidence on leadership, staffing and escalation gives reasonable confidence in the report's central conclusions.</w:t>
      </w:r>
    </w:p>
    <w:p w14:paraId="696B7DAA" w14:textId="77777777" w:rsidR="00B574A5" w:rsidRDefault="007C4B82">
      <w:pPr>
        <w:pStyle w:val="Heading3"/>
        <w:spacing w:before="240" w:after="140"/>
      </w:pPr>
      <w:r>
        <w:rPr>
          <w:rFonts w:ascii="Calibri" w:eastAsia="Calibri" w:hAnsi="Calibri" w:cs="Calibri"/>
          <w:b/>
          <w:bCs/>
          <w:color w:val="000000"/>
        </w:rPr>
        <w:t>Wider Relevance</w:t>
      </w:r>
    </w:p>
    <w:p w14:paraId="5BC0C942" w14:textId="77777777" w:rsidR="00B574A5" w:rsidRDefault="007C4B82">
      <w:pPr>
        <w:spacing w:before="120" w:after="180" w:line="360" w:lineRule="auto"/>
        <w:jc w:val="both"/>
      </w:pPr>
      <w:r>
        <w:rPr>
          <w:rFonts w:ascii="Cambria" w:eastAsia="Cambria" w:hAnsi="Cambria" w:cs="Cambria"/>
          <w:sz w:val="24"/>
          <w:szCs w:val="24"/>
        </w:rPr>
        <w:lastRenderedPageBreak/>
        <w:t>The WHO's Global Patient Safety Action Plan 2021–2030 explicitly names exactly the mechanisms this report has identified as central to the Blackman case: engaged leadership, a culture of psychological safety, and the meaningful involvement of patients and families in their own care, as foundational pillars of safer systems worldwide (World Health Organization, 2021). That a single South Carolina hospital's failure in 2000 anticipated priorities a global health body would only formalise two decades later und</w:t>
      </w:r>
      <w:r>
        <w:rPr>
          <w:rFonts w:ascii="Cambria" w:eastAsia="Cambria" w:hAnsi="Cambria" w:cs="Cambria"/>
          <w:sz w:val="24"/>
          <w:szCs w:val="24"/>
        </w:rPr>
        <w:t>erscores both how avoidable Lewis's death was and how enduring its lessons have proven. The measure of whether health and social care organisations have genuinely learned from cases like this one is not whether a new policy exists on paper, but whether a frightened family member today would be able to get a senior clinician to their bedside faster than Helen Haskell could in November 2000.</w:t>
      </w:r>
    </w:p>
    <w:p w14:paraId="0DF5D567" w14:textId="77777777" w:rsidR="00B574A5" w:rsidRDefault="007C4B82">
      <w:r>
        <w:br w:type="page"/>
      </w:r>
    </w:p>
    <w:p w14:paraId="2B087D87" w14:textId="77777777" w:rsidR="00B574A5" w:rsidRDefault="007C4B82">
      <w:pPr>
        <w:pStyle w:val="Heading1"/>
        <w:spacing w:before="360" w:after="200"/>
      </w:pPr>
      <w:r>
        <w:rPr>
          <w:rFonts w:ascii="Calibri" w:eastAsia="Calibri" w:hAnsi="Calibri" w:cs="Calibri"/>
          <w:b/>
          <w:bCs/>
          <w:color w:val="000000"/>
        </w:rPr>
        <w:lastRenderedPageBreak/>
        <w:t>References</w:t>
      </w:r>
    </w:p>
    <w:p w14:paraId="7FC464DA" w14:textId="77777777" w:rsidR="00B574A5" w:rsidRDefault="007C4B82">
      <w:pPr>
        <w:spacing w:after="160" w:line="300" w:lineRule="auto"/>
        <w:ind w:left="480" w:hanging="480"/>
      </w:pPr>
      <w:r>
        <w:rPr>
          <w:rFonts w:ascii="Cambria" w:eastAsia="Cambria" w:hAnsi="Cambria" w:cs="Cambria"/>
          <w:sz w:val="22"/>
          <w:szCs w:val="22"/>
        </w:rPr>
        <w:t xml:space="preserve">123 Help Me (2023) </w:t>
      </w:r>
      <w:r>
        <w:rPr>
          <w:rFonts w:ascii="Cambria" w:eastAsia="Cambria" w:hAnsi="Cambria" w:cs="Cambria"/>
          <w:i/>
          <w:iCs/>
          <w:sz w:val="22"/>
          <w:szCs w:val="22"/>
        </w:rPr>
        <w:t>Lewis Blackman Case Study.</w:t>
      </w:r>
      <w:r>
        <w:rPr>
          <w:rFonts w:ascii="Cambria" w:eastAsia="Cambria" w:hAnsi="Cambria" w:cs="Cambria"/>
          <w:sz w:val="22"/>
          <w:szCs w:val="22"/>
        </w:rPr>
        <w:t xml:space="preserve"> Available at: https://www.123helpme.com/essay/Lewis-Blackman-Case-Study-719254 (Accessed: 10 August 2026).</w:t>
      </w:r>
    </w:p>
    <w:p w14:paraId="2C5E03F8" w14:textId="77777777" w:rsidR="00B574A5" w:rsidRDefault="007C4B82">
      <w:pPr>
        <w:spacing w:after="160" w:line="300" w:lineRule="auto"/>
        <w:ind w:left="480" w:hanging="480"/>
      </w:pPr>
      <w:r>
        <w:rPr>
          <w:rFonts w:ascii="Cambria" w:eastAsia="Cambria" w:hAnsi="Cambria" w:cs="Cambria"/>
          <w:sz w:val="22"/>
          <w:szCs w:val="22"/>
        </w:rPr>
        <w:t xml:space="preserve">Bass, B.M. (1985) </w:t>
      </w:r>
      <w:r>
        <w:rPr>
          <w:rFonts w:ascii="Cambria" w:eastAsia="Cambria" w:hAnsi="Cambria" w:cs="Cambria"/>
          <w:i/>
          <w:iCs/>
          <w:sz w:val="22"/>
          <w:szCs w:val="22"/>
        </w:rPr>
        <w:t>Leadership and Performance Beyond Expectations.</w:t>
      </w:r>
      <w:r>
        <w:rPr>
          <w:rFonts w:ascii="Cambria" w:eastAsia="Cambria" w:hAnsi="Cambria" w:cs="Cambria"/>
          <w:sz w:val="22"/>
          <w:szCs w:val="22"/>
        </w:rPr>
        <w:t xml:space="preserve"> New York: Free Press.</w:t>
      </w:r>
    </w:p>
    <w:p w14:paraId="2DCB15D7" w14:textId="77777777" w:rsidR="00B574A5" w:rsidRDefault="007C4B82">
      <w:pPr>
        <w:spacing w:after="160" w:line="300" w:lineRule="auto"/>
        <w:ind w:left="480" w:hanging="480"/>
      </w:pPr>
      <w:r>
        <w:rPr>
          <w:rFonts w:ascii="Cambria" w:eastAsia="Cambria" w:hAnsi="Cambria" w:cs="Cambria"/>
          <w:sz w:val="22"/>
          <w:szCs w:val="22"/>
        </w:rPr>
        <w:t xml:space="preserve">Boamah, S.A., Laschinger, H.K.S., Wong, C. and Clarke, S. (2018) 'Effect of transformational leadership on job satisfaction and patient safety outcomes', </w:t>
      </w:r>
      <w:r>
        <w:rPr>
          <w:rFonts w:ascii="Cambria" w:eastAsia="Cambria" w:hAnsi="Cambria" w:cs="Cambria"/>
          <w:i/>
          <w:iCs/>
          <w:sz w:val="22"/>
          <w:szCs w:val="22"/>
        </w:rPr>
        <w:t>Nursing Outlook</w:t>
      </w:r>
      <w:r>
        <w:rPr>
          <w:rFonts w:ascii="Cambria" w:eastAsia="Cambria" w:hAnsi="Cambria" w:cs="Cambria"/>
          <w:sz w:val="22"/>
          <w:szCs w:val="22"/>
        </w:rPr>
        <w:t>, 66(2), pp. 180-189.</w:t>
      </w:r>
    </w:p>
    <w:p w14:paraId="63119D4A" w14:textId="77777777" w:rsidR="00B574A5" w:rsidRDefault="007C4B82">
      <w:pPr>
        <w:spacing w:after="160" w:line="300" w:lineRule="auto"/>
        <w:ind w:left="480" w:hanging="480"/>
      </w:pPr>
      <w:proofErr w:type="spellStart"/>
      <w:r>
        <w:rPr>
          <w:rFonts w:ascii="Cambria" w:eastAsia="Cambria" w:hAnsi="Cambria" w:cs="Cambria"/>
          <w:sz w:val="22"/>
          <w:szCs w:val="22"/>
        </w:rPr>
        <w:t>Center</w:t>
      </w:r>
      <w:proofErr w:type="spellEnd"/>
      <w:r>
        <w:rPr>
          <w:rFonts w:ascii="Cambria" w:eastAsia="Cambria" w:hAnsi="Cambria" w:cs="Cambria"/>
          <w:sz w:val="22"/>
          <w:szCs w:val="22"/>
        </w:rPr>
        <w:t xml:space="preserve"> for Justice and Democracy (2014) </w:t>
      </w:r>
      <w:r>
        <w:rPr>
          <w:rFonts w:ascii="Cambria" w:eastAsia="Cambria" w:hAnsi="Cambria" w:cs="Cambria"/>
          <w:i/>
          <w:iCs/>
          <w:sz w:val="22"/>
          <w:szCs w:val="22"/>
        </w:rPr>
        <w:t>Medical Malpractice Story: Lewis Wardlaw Blackman.</w:t>
      </w:r>
      <w:r>
        <w:rPr>
          <w:rFonts w:ascii="Cambria" w:eastAsia="Cambria" w:hAnsi="Cambria" w:cs="Cambria"/>
          <w:sz w:val="22"/>
          <w:szCs w:val="22"/>
        </w:rPr>
        <w:t xml:space="preserve"> Available at: https://centerjd.org/content/medical-malpractice-story-lewis-wardlaw-blackman (Accessed: 10 August 2026).</w:t>
      </w:r>
    </w:p>
    <w:p w14:paraId="35CC04F6" w14:textId="77777777" w:rsidR="00B574A5" w:rsidRDefault="007C4B82">
      <w:pPr>
        <w:spacing w:after="160" w:line="300" w:lineRule="auto"/>
        <w:ind w:left="480" w:hanging="480"/>
      </w:pPr>
      <w:proofErr w:type="spellStart"/>
      <w:r>
        <w:rPr>
          <w:rFonts w:ascii="Cambria" w:eastAsia="Cambria" w:hAnsi="Cambria" w:cs="Cambria"/>
          <w:sz w:val="22"/>
          <w:szCs w:val="22"/>
        </w:rPr>
        <w:t>Checkland</w:t>
      </w:r>
      <w:proofErr w:type="spellEnd"/>
      <w:r>
        <w:rPr>
          <w:rFonts w:ascii="Cambria" w:eastAsia="Cambria" w:hAnsi="Cambria" w:cs="Cambria"/>
          <w:sz w:val="22"/>
          <w:szCs w:val="22"/>
        </w:rPr>
        <w:t xml:space="preserve">, P. (1981) </w:t>
      </w:r>
      <w:r>
        <w:rPr>
          <w:rFonts w:ascii="Cambria" w:eastAsia="Cambria" w:hAnsi="Cambria" w:cs="Cambria"/>
          <w:i/>
          <w:iCs/>
          <w:sz w:val="22"/>
          <w:szCs w:val="22"/>
        </w:rPr>
        <w:t>Systems Thinking, Systems Practice.</w:t>
      </w:r>
      <w:r>
        <w:rPr>
          <w:rFonts w:ascii="Cambria" w:eastAsia="Cambria" w:hAnsi="Cambria" w:cs="Cambria"/>
          <w:sz w:val="22"/>
          <w:szCs w:val="22"/>
        </w:rPr>
        <w:t xml:space="preserve"> Chichester: Wiley.</w:t>
      </w:r>
    </w:p>
    <w:p w14:paraId="6EE72C7A" w14:textId="77777777" w:rsidR="00B574A5" w:rsidRDefault="007C4B82">
      <w:pPr>
        <w:spacing w:after="160" w:line="300" w:lineRule="auto"/>
        <w:ind w:left="480" w:hanging="480"/>
      </w:pPr>
      <w:proofErr w:type="spellStart"/>
      <w:r>
        <w:rPr>
          <w:rFonts w:ascii="Cambria" w:eastAsia="Cambria" w:hAnsi="Cambria" w:cs="Cambria"/>
          <w:sz w:val="22"/>
          <w:szCs w:val="22"/>
        </w:rPr>
        <w:t>Checkland</w:t>
      </w:r>
      <w:proofErr w:type="spellEnd"/>
      <w:r>
        <w:rPr>
          <w:rFonts w:ascii="Cambria" w:eastAsia="Cambria" w:hAnsi="Cambria" w:cs="Cambria"/>
          <w:sz w:val="22"/>
          <w:szCs w:val="22"/>
        </w:rPr>
        <w:t xml:space="preserve">, P. and Poulter, J. (2006) </w:t>
      </w:r>
      <w:r>
        <w:rPr>
          <w:rFonts w:ascii="Cambria" w:eastAsia="Cambria" w:hAnsi="Cambria" w:cs="Cambria"/>
          <w:i/>
          <w:iCs/>
          <w:sz w:val="22"/>
          <w:szCs w:val="22"/>
        </w:rPr>
        <w:t>Learning for Action: A Short Definitive Account of Soft Systems Methodology.</w:t>
      </w:r>
      <w:r>
        <w:rPr>
          <w:rFonts w:ascii="Cambria" w:eastAsia="Cambria" w:hAnsi="Cambria" w:cs="Cambria"/>
          <w:sz w:val="22"/>
          <w:szCs w:val="22"/>
        </w:rPr>
        <w:t xml:space="preserve"> Chichester: Wiley.</w:t>
      </w:r>
    </w:p>
    <w:p w14:paraId="35A23FBA" w14:textId="77777777" w:rsidR="00B574A5" w:rsidRDefault="007C4B82">
      <w:pPr>
        <w:spacing w:after="160" w:line="300" w:lineRule="auto"/>
        <w:ind w:left="480" w:hanging="480"/>
      </w:pPr>
      <w:r>
        <w:rPr>
          <w:rFonts w:ascii="Cambria" w:eastAsia="Cambria" w:hAnsi="Cambria" w:cs="Cambria"/>
          <w:sz w:val="22"/>
          <w:szCs w:val="22"/>
        </w:rPr>
        <w:t xml:space="preserve">Edmondson, A.C. (2018) </w:t>
      </w:r>
      <w:r>
        <w:rPr>
          <w:rFonts w:ascii="Cambria" w:eastAsia="Cambria" w:hAnsi="Cambria" w:cs="Cambria"/>
          <w:i/>
          <w:iCs/>
          <w:sz w:val="22"/>
          <w:szCs w:val="22"/>
        </w:rPr>
        <w:t>The Fearless Organization: Creating Psychological Safety in the Workplace for Learning, Innovation, and Growth.</w:t>
      </w:r>
      <w:r>
        <w:rPr>
          <w:rFonts w:ascii="Cambria" w:eastAsia="Cambria" w:hAnsi="Cambria" w:cs="Cambria"/>
          <w:sz w:val="22"/>
          <w:szCs w:val="22"/>
        </w:rPr>
        <w:t xml:space="preserve"> Hoboken, NJ: Wiley.</w:t>
      </w:r>
    </w:p>
    <w:p w14:paraId="2C73A2B4" w14:textId="77777777" w:rsidR="00B574A5" w:rsidRDefault="007C4B82">
      <w:pPr>
        <w:spacing w:after="160" w:line="300" w:lineRule="auto"/>
        <w:ind w:left="480" w:hanging="480"/>
      </w:pPr>
      <w:r>
        <w:rPr>
          <w:rFonts w:ascii="Cambria" w:eastAsia="Cambria" w:hAnsi="Cambria" w:cs="Cambria"/>
          <w:sz w:val="22"/>
          <w:szCs w:val="22"/>
        </w:rPr>
        <w:t xml:space="preserve">Fagerström, L. et al. (2025) 'The effects of leadership on patient safety culture in health care: a systematic review', </w:t>
      </w:r>
      <w:r>
        <w:rPr>
          <w:rFonts w:ascii="Cambria" w:eastAsia="Cambria" w:hAnsi="Cambria" w:cs="Cambria"/>
          <w:i/>
          <w:iCs/>
          <w:sz w:val="22"/>
          <w:szCs w:val="22"/>
        </w:rPr>
        <w:t>BMC Nursing</w:t>
      </w:r>
      <w:r>
        <w:rPr>
          <w:rFonts w:ascii="Cambria" w:eastAsia="Cambria" w:hAnsi="Cambria" w:cs="Cambria"/>
          <w:sz w:val="22"/>
          <w:szCs w:val="22"/>
        </w:rPr>
        <w:t>, 24, article 04263.</w:t>
      </w:r>
    </w:p>
    <w:p w14:paraId="6B35AEF3" w14:textId="77777777" w:rsidR="00B574A5" w:rsidRDefault="007C4B82">
      <w:pPr>
        <w:spacing w:after="160" w:line="300" w:lineRule="auto"/>
        <w:ind w:left="480" w:hanging="480"/>
      </w:pPr>
      <w:r>
        <w:rPr>
          <w:rFonts w:ascii="Cambria" w:eastAsia="Cambria" w:hAnsi="Cambria" w:cs="Cambria"/>
          <w:sz w:val="22"/>
          <w:szCs w:val="22"/>
        </w:rPr>
        <w:t xml:space="preserve">Francis, R. (2013) </w:t>
      </w:r>
      <w:r>
        <w:rPr>
          <w:rFonts w:ascii="Cambria" w:eastAsia="Cambria" w:hAnsi="Cambria" w:cs="Cambria"/>
          <w:i/>
          <w:iCs/>
          <w:sz w:val="22"/>
          <w:szCs w:val="22"/>
        </w:rPr>
        <w:t>Report of the Mid Staffordshire NHS Foundation Trust Public Inquiry.</w:t>
      </w:r>
      <w:r>
        <w:rPr>
          <w:rFonts w:ascii="Cambria" w:eastAsia="Cambria" w:hAnsi="Cambria" w:cs="Cambria"/>
          <w:sz w:val="22"/>
          <w:szCs w:val="22"/>
        </w:rPr>
        <w:t xml:space="preserve"> London: The Stationery Office.</w:t>
      </w:r>
    </w:p>
    <w:p w14:paraId="05859F23" w14:textId="77777777" w:rsidR="00B574A5" w:rsidRDefault="007C4B82">
      <w:pPr>
        <w:spacing w:after="160" w:line="300" w:lineRule="auto"/>
        <w:ind w:left="480" w:hanging="480"/>
      </w:pPr>
      <w:r>
        <w:rPr>
          <w:rFonts w:ascii="Cambria" w:eastAsia="Cambria" w:hAnsi="Cambria" w:cs="Cambria"/>
          <w:sz w:val="22"/>
          <w:szCs w:val="22"/>
        </w:rPr>
        <w:t xml:space="preserve">Frontiers in Public Health (2025) 'Poor quality care in healthcare settings: an overlooked epidemic', </w:t>
      </w:r>
      <w:r>
        <w:rPr>
          <w:rFonts w:ascii="Cambria" w:eastAsia="Cambria" w:hAnsi="Cambria" w:cs="Cambria"/>
          <w:i/>
          <w:iCs/>
          <w:sz w:val="22"/>
          <w:szCs w:val="22"/>
        </w:rPr>
        <w:t>Frontiers in Public Health</w:t>
      </w:r>
      <w:r>
        <w:rPr>
          <w:rFonts w:ascii="Cambria" w:eastAsia="Cambria" w:hAnsi="Cambria" w:cs="Cambria"/>
          <w:sz w:val="22"/>
          <w:szCs w:val="22"/>
        </w:rPr>
        <w:t>, 13:1504172.</w:t>
      </w:r>
    </w:p>
    <w:p w14:paraId="7236A2C1" w14:textId="77777777" w:rsidR="00B574A5" w:rsidRDefault="007C4B82">
      <w:pPr>
        <w:spacing w:after="160" w:line="300" w:lineRule="auto"/>
        <w:ind w:left="480" w:hanging="480"/>
      </w:pPr>
      <w:r>
        <w:rPr>
          <w:rFonts w:ascii="Cambria" w:eastAsia="Cambria" w:hAnsi="Cambria" w:cs="Cambria"/>
          <w:sz w:val="22"/>
          <w:szCs w:val="22"/>
        </w:rPr>
        <w:t xml:space="preserve">Health Carousel (2024) </w:t>
      </w:r>
      <w:r>
        <w:rPr>
          <w:rFonts w:ascii="Cambria" w:eastAsia="Cambria" w:hAnsi="Cambria" w:cs="Cambria"/>
          <w:i/>
          <w:iCs/>
          <w:sz w:val="22"/>
          <w:szCs w:val="22"/>
        </w:rPr>
        <w:t>Achieving Better Care: Nurse Staffing Ratios and Patient Outcomes.</w:t>
      </w:r>
      <w:r>
        <w:rPr>
          <w:rFonts w:ascii="Cambria" w:eastAsia="Cambria" w:hAnsi="Cambria" w:cs="Cambria"/>
          <w:sz w:val="22"/>
          <w:szCs w:val="22"/>
        </w:rPr>
        <w:t xml:space="preserve"> Available at: https://www.healthcarousel.com/resources/anurse-staffing-ratios-and-patient-outcomes (Accessed: 10 August 2026).</w:t>
      </w:r>
    </w:p>
    <w:p w14:paraId="350ECA4A" w14:textId="77777777" w:rsidR="00B574A5" w:rsidRDefault="007C4B82">
      <w:pPr>
        <w:spacing w:after="160" w:line="300" w:lineRule="auto"/>
        <w:ind w:left="480" w:hanging="480"/>
      </w:pPr>
      <w:r>
        <w:rPr>
          <w:rFonts w:ascii="Cambria" w:eastAsia="Cambria" w:hAnsi="Cambria" w:cs="Cambria"/>
          <w:sz w:val="22"/>
          <w:szCs w:val="22"/>
        </w:rPr>
        <w:t xml:space="preserve">Hersey, P. and Blanchard, K.H. (1969) 'Life cycle theory of leadership', </w:t>
      </w:r>
      <w:r>
        <w:rPr>
          <w:rFonts w:ascii="Cambria" w:eastAsia="Cambria" w:hAnsi="Cambria" w:cs="Cambria"/>
          <w:i/>
          <w:iCs/>
          <w:sz w:val="22"/>
          <w:szCs w:val="22"/>
        </w:rPr>
        <w:t>Training and Development Journal</w:t>
      </w:r>
      <w:r>
        <w:rPr>
          <w:rFonts w:ascii="Cambria" w:eastAsia="Cambria" w:hAnsi="Cambria" w:cs="Cambria"/>
          <w:sz w:val="22"/>
          <w:szCs w:val="22"/>
        </w:rPr>
        <w:t>, 23(5), pp. 26-34.</w:t>
      </w:r>
    </w:p>
    <w:p w14:paraId="13733C3F" w14:textId="77777777" w:rsidR="00B574A5" w:rsidRDefault="007C4B82">
      <w:pPr>
        <w:spacing w:after="160" w:line="300" w:lineRule="auto"/>
        <w:ind w:left="480" w:hanging="480"/>
      </w:pPr>
      <w:r>
        <w:rPr>
          <w:rFonts w:ascii="Cambria" w:eastAsia="Cambria" w:hAnsi="Cambria" w:cs="Cambria"/>
          <w:sz w:val="22"/>
          <w:szCs w:val="22"/>
        </w:rPr>
        <w:t xml:space="preserve">Institute for Healthcare Improvement (2024) </w:t>
      </w:r>
      <w:r>
        <w:rPr>
          <w:rFonts w:ascii="Cambria" w:eastAsia="Cambria" w:hAnsi="Cambria" w:cs="Cambria"/>
          <w:i/>
          <w:iCs/>
          <w:sz w:val="22"/>
          <w:szCs w:val="22"/>
        </w:rPr>
        <w:t>IHI Global Trigger Tool for Measuring Adverse Events.</w:t>
      </w:r>
      <w:r>
        <w:rPr>
          <w:rFonts w:ascii="Cambria" w:eastAsia="Cambria" w:hAnsi="Cambria" w:cs="Cambria"/>
          <w:sz w:val="22"/>
          <w:szCs w:val="22"/>
        </w:rPr>
        <w:t xml:space="preserve"> Boston: IHI.</w:t>
      </w:r>
    </w:p>
    <w:p w14:paraId="46DAFBAD" w14:textId="77777777" w:rsidR="00B574A5" w:rsidRDefault="007C4B82">
      <w:pPr>
        <w:spacing w:after="160" w:line="300" w:lineRule="auto"/>
        <w:ind w:left="480" w:hanging="480"/>
      </w:pPr>
      <w:r>
        <w:rPr>
          <w:rFonts w:ascii="Cambria" w:eastAsia="Cambria" w:hAnsi="Cambria" w:cs="Cambria"/>
          <w:sz w:val="22"/>
          <w:szCs w:val="22"/>
        </w:rPr>
        <w:t xml:space="preserve">Institute of Global Health Innovation, Imperial College London (2023) </w:t>
      </w:r>
      <w:r>
        <w:rPr>
          <w:rFonts w:ascii="Cambria" w:eastAsia="Cambria" w:hAnsi="Cambria" w:cs="Cambria"/>
          <w:i/>
          <w:iCs/>
          <w:sz w:val="22"/>
          <w:szCs w:val="22"/>
        </w:rPr>
        <w:t>Global State of Patient Safety 2023.</w:t>
      </w:r>
      <w:r>
        <w:rPr>
          <w:rFonts w:ascii="Cambria" w:eastAsia="Cambria" w:hAnsi="Cambria" w:cs="Cambria"/>
          <w:sz w:val="22"/>
          <w:szCs w:val="22"/>
        </w:rPr>
        <w:t xml:space="preserve"> Available at: https://www.imperial.ac.uk/Stories/global-state-of-patient-safety/ (Accessed: 10 August 2026).</w:t>
      </w:r>
    </w:p>
    <w:p w14:paraId="59F5FDED" w14:textId="77777777" w:rsidR="00B574A5" w:rsidRDefault="007C4B82">
      <w:pPr>
        <w:spacing w:after="160" w:line="300" w:lineRule="auto"/>
        <w:ind w:left="480" w:hanging="480"/>
      </w:pPr>
      <w:r>
        <w:rPr>
          <w:rFonts w:ascii="Cambria" w:eastAsia="Cambria" w:hAnsi="Cambria" w:cs="Cambria"/>
          <w:sz w:val="22"/>
          <w:szCs w:val="22"/>
        </w:rPr>
        <w:lastRenderedPageBreak/>
        <w:t xml:space="preserve">Institute of Medicine (2000) </w:t>
      </w:r>
      <w:r>
        <w:rPr>
          <w:rFonts w:ascii="Cambria" w:eastAsia="Cambria" w:hAnsi="Cambria" w:cs="Cambria"/>
          <w:i/>
          <w:iCs/>
          <w:sz w:val="22"/>
          <w:szCs w:val="22"/>
        </w:rPr>
        <w:t>To Err Is Human: Building a Safer Health System.</w:t>
      </w:r>
      <w:r>
        <w:rPr>
          <w:rFonts w:ascii="Cambria" w:eastAsia="Cambria" w:hAnsi="Cambria" w:cs="Cambria"/>
          <w:sz w:val="22"/>
          <w:szCs w:val="22"/>
        </w:rPr>
        <w:t xml:space="preserve"> Washington, DC: National Academies Press.</w:t>
      </w:r>
    </w:p>
    <w:p w14:paraId="4D1B6462" w14:textId="77777777" w:rsidR="00B574A5" w:rsidRDefault="007C4B82">
      <w:pPr>
        <w:spacing w:after="160" w:line="300" w:lineRule="auto"/>
        <w:ind w:left="480" w:hanging="480"/>
      </w:pPr>
      <w:r>
        <w:rPr>
          <w:rFonts w:ascii="Cambria" w:eastAsia="Cambria" w:hAnsi="Cambria" w:cs="Cambria"/>
          <w:sz w:val="22"/>
          <w:szCs w:val="22"/>
        </w:rPr>
        <w:t xml:space="preserve">Knight, E. (2022) </w:t>
      </w:r>
      <w:r>
        <w:rPr>
          <w:rFonts w:ascii="Cambria" w:eastAsia="Cambria" w:hAnsi="Cambria" w:cs="Cambria"/>
          <w:i/>
          <w:iCs/>
          <w:sz w:val="22"/>
          <w:szCs w:val="22"/>
        </w:rPr>
        <w:t>Lewis Blackman: Lessons Learned from a Ninth-Grader.</w:t>
      </w:r>
      <w:r>
        <w:rPr>
          <w:rFonts w:ascii="Cambria" w:eastAsia="Cambria" w:hAnsi="Cambria" w:cs="Cambria"/>
          <w:sz w:val="22"/>
          <w:szCs w:val="22"/>
        </w:rPr>
        <w:t xml:space="preserve"> Medium. Available at: https://lsnitmd.medium.com/lewis-blackman-lessons-learned-from-a-ninth-grader-73d0731bfe23 (Accessed: 10 August 2026).</w:t>
      </w:r>
    </w:p>
    <w:p w14:paraId="2EE6E409" w14:textId="77777777" w:rsidR="00B574A5" w:rsidRDefault="007C4B82">
      <w:pPr>
        <w:spacing w:after="160" w:line="300" w:lineRule="auto"/>
        <w:ind w:left="480" w:hanging="480"/>
      </w:pPr>
      <w:r>
        <w:rPr>
          <w:rFonts w:ascii="Cambria" w:eastAsia="Cambria" w:hAnsi="Cambria" w:cs="Cambria"/>
          <w:sz w:val="22"/>
          <w:szCs w:val="22"/>
        </w:rPr>
        <w:t xml:space="preserve">Kotter, J.P. (1996) </w:t>
      </w:r>
      <w:r>
        <w:rPr>
          <w:rFonts w:ascii="Cambria" w:eastAsia="Cambria" w:hAnsi="Cambria" w:cs="Cambria"/>
          <w:i/>
          <w:iCs/>
          <w:sz w:val="22"/>
          <w:szCs w:val="22"/>
        </w:rPr>
        <w:t>Leading Change.</w:t>
      </w:r>
      <w:r>
        <w:rPr>
          <w:rFonts w:ascii="Cambria" w:eastAsia="Cambria" w:hAnsi="Cambria" w:cs="Cambria"/>
          <w:sz w:val="22"/>
          <w:szCs w:val="22"/>
        </w:rPr>
        <w:t xml:space="preserve"> Boston: Harvard Business School Press.</w:t>
      </w:r>
    </w:p>
    <w:p w14:paraId="6AC6FE57" w14:textId="77777777" w:rsidR="00B574A5" w:rsidRDefault="007C4B82">
      <w:pPr>
        <w:spacing w:after="160" w:line="300" w:lineRule="auto"/>
        <w:ind w:left="480" w:hanging="480"/>
      </w:pPr>
      <w:r>
        <w:rPr>
          <w:rFonts w:ascii="Cambria" w:eastAsia="Cambria" w:hAnsi="Cambria" w:cs="Cambria"/>
          <w:sz w:val="22"/>
          <w:szCs w:val="22"/>
        </w:rPr>
        <w:t xml:space="preserve">Laschinger, H.K.S. and Fida, R. (2015) 'Linking transformational leadership, patient safety culture and work engagement in home care services', </w:t>
      </w:r>
      <w:r>
        <w:rPr>
          <w:rFonts w:ascii="Cambria" w:eastAsia="Cambria" w:hAnsi="Cambria" w:cs="Cambria"/>
          <w:i/>
          <w:iCs/>
          <w:sz w:val="22"/>
          <w:szCs w:val="22"/>
        </w:rPr>
        <w:t>Journal of Nursing Management</w:t>
      </w:r>
      <w:r>
        <w:rPr>
          <w:rFonts w:ascii="Cambria" w:eastAsia="Cambria" w:hAnsi="Cambria" w:cs="Cambria"/>
          <w:sz w:val="22"/>
          <w:szCs w:val="22"/>
        </w:rPr>
        <w:t>, 23(2), pp. 213-223.</w:t>
      </w:r>
    </w:p>
    <w:p w14:paraId="6F183DF9" w14:textId="77777777" w:rsidR="00B574A5" w:rsidRDefault="007C4B82">
      <w:pPr>
        <w:spacing w:after="160" w:line="300" w:lineRule="auto"/>
        <w:ind w:left="480" w:hanging="480"/>
      </w:pPr>
      <w:r>
        <w:rPr>
          <w:rFonts w:ascii="Cambria" w:eastAsia="Cambria" w:hAnsi="Cambria" w:cs="Cambria"/>
          <w:sz w:val="22"/>
          <w:szCs w:val="22"/>
        </w:rPr>
        <w:t xml:space="preserve">National Institute of Nursing Research (2021) </w:t>
      </w:r>
      <w:r>
        <w:rPr>
          <w:rFonts w:ascii="Cambria" w:eastAsia="Cambria" w:hAnsi="Cambria" w:cs="Cambria"/>
          <w:i/>
          <w:iCs/>
          <w:sz w:val="22"/>
          <w:szCs w:val="22"/>
        </w:rPr>
        <w:t>Evidence that Reducing Patient-to-Nurse Staffing Ratios Can Save Lives and Money.</w:t>
      </w:r>
      <w:r>
        <w:rPr>
          <w:rFonts w:ascii="Cambria" w:eastAsia="Cambria" w:hAnsi="Cambria" w:cs="Cambria"/>
          <w:sz w:val="22"/>
          <w:szCs w:val="22"/>
        </w:rPr>
        <w:t xml:space="preserve"> Bethesda: National Institutes of Health.</w:t>
      </w:r>
    </w:p>
    <w:p w14:paraId="100E68BB" w14:textId="77777777" w:rsidR="00B574A5" w:rsidRDefault="007C4B82">
      <w:pPr>
        <w:spacing w:after="160" w:line="300" w:lineRule="auto"/>
        <w:ind w:left="480" w:hanging="480"/>
      </w:pPr>
      <w:r>
        <w:rPr>
          <w:rFonts w:ascii="Cambria" w:eastAsia="Cambria" w:hAnsi="Cambria" w:cs="Cambria"/>
          <w:sz w:val="22"/>
          <w:szCs w:val="22"/>
        </w:rPr>
        <w:t xml:space="preserve">National Patient Safety Foundation (2015) </w:t>
      </w:r>
      <w:r>
        <w:rPr>
          <w:rFonts w:ascii="Cambria" w:eastAsia="Cambria" w:hAnsi="Cambria" w:cs="Cambria"/>
          <w:i/>
          <w:iCs/>
          <w:sz w:val="22"/>
          <w:szCs w:val="22"/>
        </w:rPr>
        <w:t>Free from Harm: Accelerating Patient Safety Improvement.</w:t>
      </w:r>
      <w:r>
        <w:rPr>
          <w:rFonts w:ascii="Cambria" w:eastAsia="Cambria" w:hAnsi="Cambria" w:cs="Cambria"/>
          <w:sz w:val="22"/>
          <w:szCs w:val="22"/>
        </w:rPr>
        <w:t xml:space="preserve"> Boston: NPSF.</w:t>
      </w:r>
    </w:p>
    <w:p w14:paraId="13D4775F" w14:textId="77777777" w:rsidR="00B574A5" w:rsidRDefault="007C4B82">
      <w:pPr>
        <w:spacing w:after="160" w:line="300" w:lineRule="auto"/>
        <w:ind w:left="480" w:hanging="480"/>
      </w:pPr>
      <w:r>
        <w:rPr>
          <w:rFonts w:ascii="Cambria" w:eastAsia="Cambria" w:hAnsi="Cambria" w:cs="Cambria"/>
          <w:sz w:val="22"/>
          <w:szCs w:val="22"/>
        </w:rPr>
        <w:t xml:space="preserve">NCBI Bookshelf (2020) 'Patient Safety in the World', in </w:t>
      </w:r>
      <w:r>
        <w:rPr>
          <w:rFonts w:ascii="Cambria" w:eastAsia="Cambria" w:hAnsi="Cambria" w:cs="Cambria"/>
          <w:i/>
          <w:iCs/>
          <w:sz w:val="22"/>
          <w:szCs w:val="22"/>
        </w:rPr>
        <w:t>Textbook of Patient Safety and Clinical Risk Management.</w:t>
      </w:r>
      <w:r>
        <w:rPr>
          <w:rFonts w:ascii="Cambria" w:eastAsia="Cambria" w:hAnsi="Cambria" w:cs="Cambria"/>
          <w:sz w:val="22"/>
          <w:szCs w:val="22"/>
        </w:rPr>
        <w:t xml:space="preserve"> Cham: Springer.</w:t>
      </w:r>
    </w:p>
    <w:p w14:paraId="58F43C25" w14:textId="77777777" w:rsidR="00B574A5" w:rsidRDefault="007C4B82">
      <w:pPr>
        <w:spacing w:after="160" w:line="300" w:lineRule="auto"/>
        <w:ind w:left="480" w:hanging="480"/>
      </w:pPr>
      <w:r>
        <w:rPr>
          <w:rFonts w:ascii="Cambria" w:eastAsia="Cambria" w:hAnsi="Cambria" w:cs="Cambria"/>
          <w:sz w:val="22"/>
          <w:szCs w:val="22"/>
        </w:rPr>
        <w:t xml:space="preserve">Nembhard, I.M. and Edmondson, A.C. (2006) 'Making it safe: the effects of leader inclusiveness and professional status on psychological safety and improvement efforts in health care teams', </w:t>
      </w:r>
      <w:r>
        <w:rPr>
          <w:rFonts w:ascii="Cambria" w:eastAsia="Cambria" w:hAnsi="Cambria" w:cs="Cambria"/>
          <w:i/>
          <w:iCs/>
          <w:sz w:val="22"/>
          <w:szCs w:val="22"/>
        </w:rPr>
        <w:t xml:space="preserve">Journal of Organizational </w:t>
      </w:r>
      <w:proofErr w:type="spellStart"/>
      <w:r>
        <w:rPr>
          <w:rFonts w:ascii="Cambria" w:eastAsia="Cambria" w:hAnsi="Cambria" w:cs="Cambria"/>
          <w:i/>
          <w:iCs/>
          <w:sz w:val="22"/>
          <w:szCs w:val="22"/>
        </w:rPr>
        <w:t>Behavior</w:t>
      </w:r>
      <w:proofErr w:type="spellEnd"/>
      <w:r>
        <w:rPr>
          <w:rFonts w:ascii="Cambria" w:eastAsia="Cambria" w:hAnsi="Cambria" w:cs="Cambria"/>
          <w:sz w:val="22"/>
          <w:szCs w:val="22"/>
        </w:rPr>
        <w:t>, 27(7), pp. 941-966.</w:t>
      </w:r>
    </w:p>
    <w:p w14:paraId="2CB43FF8" w14:textId="77777777" w:rsidR="00B574A5" w:rsidRDefault="007C4B82">
      <w:pPr>
        <w:spacing w:after="160" w:line="300" w:lineRule="auto"/>
        <w:ind w:left="480" w:hanging="480"/>
      </w:pPr>
      <w:r>
        <w:rPr>
          <w:rFonts w:ascii="Cambria" w:eastAsia="Cambria" w:hAnsi="Cambria" w:cs="Cambria"/>
          <w:sz w:val="22"/>
          <w:szCs w:val="22"/>
        </w:rPr>
        <w:t xml:space="preserve">Nevada State University (2025) </w:t>
      </w:r>
      <w:r>
        <w:rPr>
          <w:rFonts w:ascii="Cambria" w:eastAsia="Cambria" w:hAnsi="Cambria" w:cs="Cambria"/>
          <w:i/>
          <w:iCs/>
          <w:sz w:val="22"/>
          <w:szCs w:val="22"/>
        </w:rPr>
        <w:t>Nurse-Patient Ratio Laws: Why Are They Important?</w:t>
      </w:r>
      <w:r>
        <w:rPr>
          <w:rFonts w:ascii="Cambria" w:eastAsia="Cambria" w:hAnsi="Cambria" w:cs="Cambria"/>
          <w:sz w:val="22"/>
          <w:szCs w:val="22"/>
        </w:rPr>
        <w:t xml:space="preserve"> Available at: https://nevadastate.edu/son/rn-bsn/nurse-patient-ratio-laws-why-are-they-important/ (Accessed: 10 August 2026).</w:t>
      </w:r>
    </w:p>
    <w:p w14:paraId="1A06CF7C" w14:textId="77777777" w:rsidR="00B574A5" w:rsidRDefault="007C4B82">
      <w:pPr>
        <w:spacing w:after="160" w:line="300" w:lineRule="auto"/>
        <w:ind w:left="480" w:hanging="480"/>
      </w:pPr>
      <w:r>
        <w:rPr>
          <w:rFonts w:ascii="Cambria" w:eastAsia="Cambria" w:hAnsi="Cambria" w:cs="Cambria"/>
          <w:sz w:val="22"/>
          <w:szCs w:val="22"/>
        </w:rPr>
        <w:t xml:space="preserve">NHS England (2022) </w:t>
      </w:r>
      <w:r>
        <w:rPr>
          <w:rFonts w:ascii="Cambria" w:eastAsia="Cambria" w:hAnsi="Cambria" w:cs="Cambria"/>
          <w:i/>
          <w:iCs/>
          <w:sz w:val="22"/>
          <w:szCs w:val="22"/>
        </w:rPr>
        <w:t>Patient Safety Incident Response Framework.</w:t>
      </w:r>
      <w:r>
        <w:rPr>
          <w:rFonts w:ascii="Cambria" w:eastAsia="Cambria" w:hAnsi="Cambria" w:cs="Cambria"/>
          <w:sz w:val="22"/>
          <w:szCs w:val="22"/>
        </w:rPr>
        <w:t xml:space="preserve"> London: NHS England.</w:t>
      </w:r>
    </w:p>
    <w:p w14:paraId="125278FA" w14:textId="77777777" w:rsidR="00B574A5" w:rsidRDefault="007C4B82">
      <w:pPr>
        <w:spacing w:after="160" w:line="300" w:lineRule="auto"/>
        <w:ind w:left="480" w:hanging="480"/>
      </w:pPr>
      <w:r>
        <w:rPr>
          <w:rFonts w:ascii="Cambria" w:eastAsia="Cambria" w:hAnsi="Cambria" w:cs="Cambria"/>
          <w:sz w:val="22"/>
          <w:szCs w:val="22"/>
        </w:rPr>
        <w:t xml:space="preserve">Organisation for Economic Co-operation and Development (2018) </w:t>
      </w:r>
      <w:r>
        <w:rPr>
          <w:rFonts w:ascii="Cambria" w:eastAsia="Cambria" w:hAnsi="Cambria" w:cs="Cambria"/>
          <w:i/>
          <w:iCs/>
          <w:sz w:val="22"/>
          <w:szCs w:val="22"/>
        </w:rPr>
        <w:t>The Economics of Patient Safety in Primary and Ambulatory Care: Flying Blind.</w:t>
      </w:r>
      <w:r>
        <w:rPr>
          <w:rFonts w:ascii="Cambria" w:eastAsia="Cambria" w:hAnsi="Cambria" w:cs="Cambria"/>
          <w:sz w:val="22"/>
          <w:szCs w:val="22"/>
        </w:rPr>
        <w:t xml:space="preserve"> Paris: OECD Health Working Papers.</w:t>
      </w:r>
    </w:p>
    <w:p w14:paraId="00F7D9C1" w14:textId="77777777" w:rsidR="00B574A5" w:rsidRDefault="007C4B82">
      <w:pPr>
        <w:spacing w:after="160" w:line="300" w:lineRule="auto"/>
        <w:ind w:left="480" w:hanging="480"/>
      </w:pPr>
      <w:r>
        <w:rPr>
          <w:rFonts w:ascii="Cambria" w:eastAsia="Cambria" w:hAnsi="Cambria" w:cs="Cambria"/>
          <w:sz w:val="22"/>
          <w:szCs w:val="22"/>
        </w:rPr>
        <w:t xml:space="preserve">Post and Courier (2016) </w:t>
      </w:r>
      <w:r>
        <w:rPr>
          <w:rFonts w:ascii="Cambria" w:eastAsia="Cambria" w:hAnsi="Cambria" w:cs="Cambria"/>
          <w:i/>
          <w:iCs/>
          <w:sz w:val="22"/>
          <w:szCs w:val="22"/>
        </w:rPr>
        <w:t>In Honor of a Son Who Died Too Soon... Mother Helps Others Through Boy's Legacy.</w:t>
      </w:r>
      <w:r>
        <w:rPr>
          <w:rFonts w:ascii="Cambria" w:eastAsia="Cambria" w:hAnsi="Cambria" w:cs="Cambria"/>
          <w:sz w:val="22"/>
          <w:szCs w:val="22"/>
        </w:rPr>
        <w:t xml:space="preserve"> Charleston: Post and Courier. Available at: https://www.postandcourier.com (Accessed: 10 August 2026).</w:t>
      </w:r>
    </w:p>
    <w:p w14:paraId="3F6966CD" w14:textId="77777777" w:rsidR="00B574A5" w:rsidRDefault="007C4B82">
      <w:pPr>
        <w:spacing w:after="160" w:line="300" w:lineRule="auto"/>
        <w:ind w:left="480" w:hanging="480"/>
      </w:pPr>
      <w:r>
        <w:rPr>
          <w:rFonts w:ascii="Cambria" w:eastAsia="Cambria" w:hAnsi="Cambria" w:cs="Cambria"/>
          <w:sz w:val="22"/>
          <w:szCs w:val="22"/>
        </w:rPr>
        <w:t xml:space="preserve">Reason, J. (2000) 'Human error: models and management', </w:t>
      </w:r>
      <w:r>
        <w:rPr>
          <w:rFonts w:ascii="Cambria" w:eastAsia="Cambria" w:hAnsi="Cambria" w:cs="Cambria"/>
          <w:i/>
          <w:iCs/>
          <w:sz w:val="22"/>
          <w:szCs w:val="22"/>
        </w:rPr>
        <w:t>British Medical Journal</w:t>
      </w:r>
      <w:r>
        <w:rPr>
          <w:rFonts w:ascii="Cambria" w:eastAsia="Cambria" w:hAnsi="Cambria" w:cs="Cambria"/>
          <w:sz w:val="22"/>
          <w:szCs w:val="22"/>
        </w:rPr>
        <w:t>, 320(7237), pp. 768-770.</w:t>
      </w:r>
    </w:p>
    <w:p w14:paraId="4999AE53" w14:textId="77777777" w:rsidR="00B574A5" w:rsidRDefault="007C4B82">
      <w:pPr>
        <w:spacing w:after="160" w:line="300" w:lineRule="auto"/>
        <w:ind w:left="480" w:hanging="480"/>
      </w:pPr>
      <w:proofErr w:type="spellStart"/>
      <w:r>
        <w:rPr>
          <w:rFonts w:ascii="Cambria" w:eastAsia="Cambria" w:hAnsi="Cambria" w:cs="Cambria"/>
          <w:sz w:val="22"/>
          <w:szCs w:val="22"/>
        </w:rPr>
        <w:t>Relias</w:t>
      </w:r>
      <w:proofErr w:type="spellEnd"/>
      <w:r>
        <w:rPr>
          <w:rFonts w:ascii="Cambria" w:eastAsia="Cambria" w:hAnsi="Cambria" w:cs="Cambria"/>
          <w:sz w:val="22"/>
          <w:szCs w:val="22"/>
        </w:rPr>
        <w:t xml:space="preserve"> (2024) </w:t>
      </w:r>
      <w:r>
        <w:rPr>
          <w:rFonts w:ascii="Cambria" w:eastAsia="Cambria" w:hAnsi="Cambria" w:cs="Cambria"/>
          <w:i/>
          <w:iCs/>
          <w:sz w:val="22"/>
          <w:szCs w:val="22"/>
        </w:rPr>
        <w:t>How Transformational Leadership Improves Patient Safety.</w:t>
      </w:r>
      <w:r>
        <w:rPr>
          <w:rFonts w:ascii="Cambria" w:eastAsia="Cambria" w:hAnsi="Cambria" w:cs="Cambria"/>
          <w:sz w:val="22"/>
          <w:szCs w:val="22"/>
        </w:rPr>
        <w:t xml:space="preserve"> Available at: https://www.relias.com/blog/how-transformational-leadership-improves-patient-safety (Accessed: 10 August 2026).</w:t>
      </w:r>
    </w:p>
    <w:p w14:paraId="27C18204" w14:textId="77777777" w:rsidR="00B574A5" w:rsidRDefault="007C4B82">
      <w:pPr>
        <w:spacing w:after="160" w:line="300" w:lineRule="auto"/>
        <w:ind w:left="480" w:hanging="480"/>
      </w:pPr>
      <w:r>
        <w:rPr>
          <w:rFonts w:ascii="Cambria" w:eastAsia="Cambria" w:hAnsi="Cambria" w:cs="Cambria"/>
          <w:sz w:val="22"/>
          <w:szCs w:val="22"/>
        </w:rPr>
        <w:lastRenderedPageBreak/>
        <w:t xml:space="preserve">South Carolina General Assembly (2005) </w:t>
      </w:r>
      <w:r>
        <w:rPr>
          <w:rFonts w:ascii="Cambria" w:eastAsia="Cambria" w:hAnsi="Cambria" w:cs="Cambria"/>
          <w:i/>
          <w:iCs/>
          <w:sz w:val="22"/>
          <w:szCs w:val="22"/>
        </w:rPr>
        <w:t>Lewis Blackman Hospital Patient Safety Act, Act No. 146.</w:t>
      </w:r>
      <w:r>
        <w:rPr>
          <w:rFonts w:ascii="Cambria" w:eastAsia="Cambria" w:hAnsi="Cambria" w:cs="Cambria"/>
          <w:sz w:val="22"/>
          <w:szCs w:val="22"/>
        </w:rPr>
        <w:t xml:space="preserve"> Columbia, SC: South Carolina Legislature. Available at: https://www.scstatehouse.gov/sess116_2005-2006/bills/3832.htm (Accessed: 10 August 2026).</w:t>
      </w:r>
    </w:p>
    <w:p w14:paraId="45A5A174" w14:textId="77777777" w:rsidR="00B574A5" w:rsidRDefault="007C4B82">
      <w:pPr>
        <w:spacing w:after="160" w:line="300" w:lineRule="auto"/>
        <w:ind w:left="480" w:hanging="480"/>
      </w:pPr>
      <w:r>
        <w:rPr>
          <w:rFonts w:ascii="Cambria" w:eastAsia="Cambria" w:hAnsi="Cambria" w:cs="Cambria"/>
          <w:sz w:val="22"/>
          <w:szCs w:val="22"/>
        </w:rPr>
        <w:t xml:space="preserve">Vincent, C. (2010) </w:t>
      </w:r>
      <w:r>
        <w:rPr>
          <w:rFonts w:ascii="Cambria" w:eastAsia="Cambria" w:hAnsi="Cambria" w:cs="Cambria"/>
          <w:i/>
          <w:iCs/>
          <w:sz w:val="22"/>
          <w:szCs w:val="22"/>
        </w:rPr>
        <w:t>Patient Safety.</w:t>
      </w:r>
      <w:r>
        <w:rPr>
          <w:rFonts w:ascii="Cambria" w:eastAsia="Cambria" w:hAnsi="Cambria" w:cs="Cambria"/>
          <w:sz w:val="22"/>
          <w:szCs w:val="22"/>
        </w:rPr>
        <w:t xml:space="preserve"> 2nd </w:t>
      </w:r>
      <w:proofErr w:type="spellStart"/>
      <w:r>
        <w:rPr>
          <w:rFonts w:ascii="Cambria" w:eastAsia="Cambria" w:hAnsi="Cambria" w:cs="Cambria"/>
          <w:sz w:val="22"/>
          <w:szCs w:val="22"/>
        </w:rPr>
        <w:t>edn</w:t>
      </w:r>
      <w:proofErr w:type="spellEnd"/>
      <w:r>
        <w:rPr>
          <w:rFonts w:ascii="Cambria" w:eastAsia="Cambria" w:hAnsi="Cambria" w:cs="Cambria"/>
          <w:sz w:val="22"/>
          <w:szCs w:val="22"/>
        </w:rPr>
        <w:t>. Chichester: Wiley-Blackwell.</w:t>
      </w:r>
    </w:p>
    <w:p w14:paraId="7E2FBC59" w14:textId="77777777" w:rsidR="00B574A5" w:rsidRDefault="007C4B82">
      <w:pPr>
        <w:spacing w:after="160" w:line="300" w:lineRule="auto"/>
        <w:ind w:left="480" w:hanging="480"/>
      </w:pPr>
      <w:r>
        <w:rPr>
          <w:rFonts w:ascii="Cambria" w:eastAsia="Cambria" w:hAnsi="Cambria" w:cs="Cambria"/>
          <w:sz w:val="22"/>
          <w:szCs w:val="22"/>
        </w:rPr>
        <w:t xml:space="preserve">West, M., Eckert, R., Steward, K. and Pasmore, B. (2015) </w:t>
      </w:r>
      <w:r>
        <w:rPr>
          <w:rFonts w:ascii="Cambria" w:eastAsia="Cambria" w:hAnsi="Cambria" w:cs="Cambria"/>
          <w:i/>
          <w:iCs/>
          <w:sz w:val="22"/>
          <w:szCs w:val="22"/>
        </w:rPr>
        <w:t>Developing Collective Leadership for Health Care.</w:t>
      </w:r>
      <w:r>
        <w:rPr>
          <w:rFonts w:ascii="Cambria" w:eastAsia="Cambria" w:hAnsi="Cambria" w:cs="Cambria"/>
          <w:sz w:val="22"/>
          <w:szCs w:val="22"/>
        </w:rPr>
        <w:t xml:space="preserve"> London: The King's Fund.</w:t>
      </w:r>
    </w:p>
    <w:p w14:paraId="0859A10A" w14:textId="77777777" w:rsidR="00B574A5" w:rsidRDefault="007C4B82">
      <w:pPr>
        <w:spacing w:after="160" w:line="300" w:lineRule="auto"/>
        <w:ind w:left="480" w:hanging="480"/>
      </w:pPr>
      <w:r>
        <w:rPr>
          <w:rFonts w:ascii="Cambria" w:eastAsia="Cambria" w:hAnsi="Cambria" w:cs="Cambria"/>
          <w:sz w:val="22"/>
          <w:szCs w:val="22"/>
        </w:rPr>
        <w:t xml:space="preserve">World Health Organization (2021) </w:t>
      </w:r>
      <w:r>
        <w:rPr>
          <w:rFonts w:ascii="Cambria" w:eastAsia="Cambria" w:hAnsi="Cambria" w:cs="Cambria"/>
          <w:i/>
          <w:iCs/>
          <w:sz w:val="22"/>
          <w:szCs w:val="22"/>
        </w:rPr>
        <w:t>Global Patient Safety Action Plan 2021-2030.</w:t>
      </w:r>
      <w:r>
        <w:rPr>
          <w:rFonts w:ascii="Cambria" w:eastAsia="Cambria" w:hAnsi="Cambria" w:cs="Cambria"/>
          <w:sz w:val="22"/>
          <w:szCs w:val="22"/>
        </w:rPr>
        <w:t xml:space="preserve"> Geneva: WHO.</w:t>
      </w:r>
    </w:p>
    <w:p w14:paraId="7183B61A" w14:textId="77777777" w:rsidR="00B574A5" w:rsidRDefault="007C4B82">
      <w:pPr>
        <w:spacing w:after="160" w:line="300" w:lineRule="auto"/>
        <w:ind w:left="480" w:hanging="480"/>
      </w:pPr>
      <w:r>
        <w:rPr>
          <w:rFonts w:ascii="Cambria" w:eastAsia="Cambria" w:hAnsi="Cambria" w:cs="Cambria"/>
          <w:sz w:val="22"/>
          <w:szCs w:val="22"/>
        </w:rPr>
        <w:t xml:space="preserve">World Health Organization (2024) </w:t>
      </w:r>
      <w:r>
        <w:rPr>
          <w:rFonts w:ascii="Cambria" w:eastAsia="Cambria" w:hAnsi="Cambria" w:cs="Cambria"/>
          <w:i/>
          <w:iCs/>
          <w:sz w:val="22"/>
          <w:szCs w:val="22"/>
        </w:rPr>
        <w:t>Global Patient Safety Report 2024.</w:t>
      </w:r>
      <w:r>
        <w:rPr>
          <w:rFonts w:ascii="Cambria" w:eastAsia="Cambria" w:hAnsi="Cambria" w:cs="Cambria"/>
          <w:sz w:val="22"/>
          <w:szCs w:val="22"/>
        </w:rPr>
        <w:t xml:space="preserve"> Geneva: WHO.</w:t>
      </w:r>
    </w:p>
    <w:sectPr w:rsidR="00B574A5">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Gautami">
    <w:panose1 w:val="020B0502040204020203"/>
    <w:charset w:val="00"/>
    <w:family w:val="swiss"/>
    <w:pitch w:val="variable"/>
    <w:sig w:usb0="002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33315A"/>
    <w:multiLevelType w:val="hybridMultilevel"/>
    <w:tmpl w:val="C1C06464"/>
    <w:lvl w:ilvl="0" w:tplc="B63A794E">
      <w:start w:val="1"/>
      <w:numFmt w:val="bullet"/>
      <w:lvlText w:val="●"/>
      <w:lvlJc w:val="left"/>
      <w:pPr>
        <w:ind w:left="720" w:hanging="360"/>
      </w:pPr>
    </w:lvl>
    <w:lvl w:ilvl="1" w:tplc="30AA7818">
      <w:start w:val="1"/>
      <w:numFmt w:val="bullet"/>
      <w:lvlText w:val="○"/>
      <w:lvlJc w:val="left"/>
      <w:pPr>
        <w:ind w:left="1440" w:hanging="360"/>
      </w:pPr>
    </w:lvl>
    <w:lvl w:ilvl="2" w:tplc="C654168A">
      <w:start w:val="1"/>
      <w:numFmt w:val="bullet"/>
      <w:lvlText w:val="■"/>
      <w:lvlJc w:val="left"/>
      <w:pPr>
        <w:ind w:left="2160" w:hanging="360"/>
      </w:pPr>
    </w:lvl>
    <w:lvl w:ilvl="3" w:tplc="08C4A846">
      <w:start w:val="1"/>
      <w:numFmt w:val="bullet"/>
      <w:lvlText w:val="●"/>
      <w:lvlJc w:val="left"/>
      <w:pPr>
        <w:ind w:left="2880" w:hanging="360"/>
      </w:pPr>
    </w:lvl>
    <w:lvl w:ilvl="4" w:tplc="0B1C8B98">
      <w:start w:val="1"/>
      <w:numFmt w:val="bullet"/>
      <w:lvlText w:val="○"/>
      <w:lvlJc w:val="left"/>
      <w:pPr>
        <w:ind w:left="3600" w:hanging="360"/>
      </w:pPr>
    </w:lvl>
    <w:lvl w:ilvl="5" w:tplc="A716701C">
      <w:start w:val="1"/>
      <w:numFmt w:val="bullet"/>
      <w:lvlText w:val="■"/>
      <w:lvlJc w:val="left"/>
      <w:pPr>
        <w:ind w:left="4320" w:hanging="360"/>
      </w:pPr>
    </w:lvl>
    <w:lvl w:ilvl="6" w:tplc="3F2A7976">
      <w:start w:val="1"/>
      <w:numFmt w:val="bullet"/>
      <w:lvlText w:val="●"/>
      <w:lvlJc w:val="left"/>
      <w:pPr>
        <w:ind w:left="5040" w:hanging="360"/>
      </w:pPr>
    </w:lvl>
    <w:lvl w:ilvl="7" w:tplc="4418DDE2">
      <w:start w:val="1"/>
      <w:numFmt w:val="bullet"/>
      <w:lvlText w:val="●"/>
      <w:lvlJc w:val="left"/>
      <w:pPr>
        <w:ind w:left="5760" w:hanging="360"/>
      </w:pPr>
    </w:lvl>
    <w:lvl w:ilvl="8" w:tplc="DB501E30">
      <w:start w:val="1"/>
      <w:numFmt w:val="bullet"/>
      <w:lvlText w:val="●"/>
      <w:lvlJc w:val="left"/>
      <w:pPr>
        <w:ind w:left="6480" w:hanging="360"/>
      </w:pPr>
    </w:lvl>
  </w:abstractNum>
  <w:num w:numId="1" w16cid:durableId="367495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4A5"/>
    <w:rsid w:val="003A7A7F"/>
    <w:rsid w:val="007910E6"/>
    <w:rsid w:val="00B574A5"/>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B1FD9"/>
  <w15:docId w15:val="{0A819A41-7C7F-4F7A-97FD-AE5EBCCB0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te-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6088</Words>
  <Characters>34703</Characters>
  <Application>Microsoft Office Word</Application>
  <DocSecurity>0</DocSecurity>
  <Lines>289</Lines>
  <Paragraphs>81</Paragraphs>
  <ScaleCrop>false</ScaleCrop>
  <Company/>
  <LinksUpToDate>false</LinksUpToDate>
  <CharactersWithSpaces>40710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ravi marepogu</cp:lastModifiedBy>
  <cp:revision>2</cp:revision>
  <dcterms:created xsi:type="dcterms:W3CDTF">2026-08-10T20:48:00Z</dcterms:created>
  <dcterms:modified xsi:type="dcterms:W3CDTF">2026-08-10T20:48:00Z</dcterms:modified>
</cp:coreProperties>
</file>