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B29F77" w14:textId="77777777" w:rsidR="005C5CD7" w:rsidRDefault="005C5CD7" w:rsidP="0069145B">
      <w:pPr>
        <w:spacing w:line="360" w:lineRule="auto"/>
        <w:jc w:val="both"/>
      </w:pPr>
    </w:p>
    <w:p w14:paraId="4127953B" w14:textId="77777777" w:rsidR="00A45B1E" w:rsidRDefault="00A45B1E" w:rsidP="0069145B">
      <w:pPr>
        <w:spacing w:line="360" w:lineRule="auto"/>
        <w:jc w:val="both"/>
      </w:pPr>
    </w:p>
    <w:p w14:paraId="7E1109E5" w14:textId="4698807F" w:rsidR="00A45B1E" w:rsidRPr="00A45B1E" w:rsidRDefault="00A45B1E" w:rsidP="00A45B1E">
      <w:pPr>
        <w:spacing w:line="360" w:lineRule="auto"/>
        <w:jc w:val="center"/>
        <w:rPr>
          <w:rFonts w:ascii="Times New Roman" w:hAnsi="Times New Roman" w:cs="Times New Roman"/>
          <w:b/>
          <w:bCs/>
          <w:sz w:val="44"/>
          <w:szCs w:val="44"/>
        </w:rPr>
      </w:pPr>
      <w:r w:rsidRPr="00A45B1E">
        <w:rPr>
          <w:rFonts w:ascii="Times New Roman" w:hAnsi="Times New Roman" w:cs="Times New Roman"/>
          <w:b/>
          <w:bCs/>
          <w:sz w:val="44"/>
          <w:szCs w:val="44"/>
        </w:rPr>
        <w:t>Finance for Business Managers (BMMB7005)</w:t>
      </w:r>
    </w:p>
    <w:p w14:paraId="6EB598F0" w14:textId="77777777" w:rsidR="00A45B1E" w:rsidRDefault="00A45B1E" w:rsidP="00A45B1E">
      <w:pPr>
        <w:spacing w:line="360" w:lineRule="auto"/>
        <w:jc w:val="both"/>
        <w:rPr>
          <w:rFonts w:ascii="Times New Roman" w:hAnsi="Times New Roman" w:cs="Times New Roman"/>
          <w:b/>
          <w:bCs/>
        </w:rPr>
      </w:pPr>
    </w:p>
    <w:p w14:paraId="47B92E0A" w14:textId="77777777" w:rsidR="00A45B1E" w:rsidRDefault="00A45B1E" w:rsidP="00A45B1E">
      <w:pPr>
        <w:spacing w:line="360" w:lineRule="auto"/>
        <w:jc w:val="both"/>
        <w:rPr>
          <w:rFonts w:ascii="Times New Roman" w:hAnsi="Times New Roman" w:cs="Times New Roman"/>
          <w:b/>
          <w:bCs/>
        </w:rPr>
      </w:pPr>
    </w:p>
    <w:p w14:paraId="26282368" w14:textId="77777777" w:rsidR="00A45B1E" w:rsidRDefault="00A45B1E" w:rsidP="00A45B1E">
      <w:pPr>
        <w:spacing w:line="360" w:lineRule="auto"/>
        <w:jc w:val="both"/>
        <w:rPr>
          <w:rFonts w:ascii="Times New Roman" w:hAnsi="Times New Roman" w:cs="Times New Roman"/>
          <w:b/>
          <w:bCs/>
        </w:rPr>
      </w:pPr>
    </w:p>
    <w:p w14:paraId="6CE3043A" w14:textId="77777777" w:rsidR="00A45B1E" w:rsidRDefault="00A45B1E" w:rsidP="00A45B1E">
      <w:pPr>
        <w:spacing w:line="360" w:lineRule="auto"/>
        <w:jc w:val="both"/>
        <w:rPr>
          <w:rFonts w:ascii="Times New Roman" w:hAnsi="Times New Roman" w:cs="Times New Roman"/>
          <w:b/>
          <w:bCs/>
        </w:rPr>
      </w:pPr>
    </w:p>
    <w:p w14:paraId="5C260ECB" w14:textId="77777777" w:rsidR="00A45B1E" w:rsidRDefault="00A45B1E" w:rsidP="00A45B1E">
      <w:pPr>
        <w:spacing w:line="360" w:lineRule="auto"/>
        <w:jc w:val="both"/>
        <w:rPr>
          <w:rFonts w:ascii="Times New Roman" w:hAnsi="Times New Roman" w:cs="Times New Roman"/>
          <w:b/>
          <w:bCs/>
        </w:rPr>
      </w:pPr>
    </w:p>
    <w:p w14:paraId="3B1266FA" w14:textId="77777777" w:rsidR="00A45B1E" w:rsidRDefault="00A45B1E" w:rsidP="00A45B1E">
      <w:pPr>
        <w:spacing w:line="360" w:lineRule="auto"/>
        <w:jc w:val="both"/>
        <w:rPr>
          <w:rFonts w:ascii="Times New Roman" w:hAnsi="Times New Roman" w:cs="Times New Roman"/>
          <w:b/>
          <w:bCs/>
        </w:rPr>
      </w:pPr>
    </w:p>
    <w:p w14:paraId="4C054782" w14:textId="77777777" w:rsidR="00A45B1E" w:rsidRDefault="00A45B1E" w:rsidP="00A45B1E">
      <w:pPr>
        <w:spacing w:line="360" w:lineRule="auto"/>
        <w:jc w:val="both"/>
        <w:rPr>
          <w:rFonts w:ascii="Times New Roman" w:hAnsi="Times New Roman" w:cs="Times New Roman"/>
          <w:b/>
          <w:bCs/>
        </w:rPr>
      </w:pPr>
    </w:p>
    <w:p w14:paraId="30409C40" w14:textId="77777777" w:rsidR="007767A9" w:rsidRDefault="007767A9" w:rsidP="00A45B1E">
      <w:pPr>
        <w:spacing w:line="360" w:lineRule="auto"/>
        <w:jc w:val="both"/>
        <w:rPr>
          <w:rFonts w:ascii="Times New Roman" w:hAnsi="Times New Roman" w:cs="Times New Roman"/>
          <w:b/>
          <w:bCs/>
        </w:rPr>
      </w:pPr>
    </w:p>
    <w:p w14:paraId="40E98CC5" w14:textId="77777777" w:rsidR="007767A9" w:rsidRDefault="007767A9" w:rsidP="00A45B1E">
      <w:pPr>
        <w:spacing w:line="360" w:lineRule="auto"/>
        <w:jc w:val="both"/>
        <w:rPr>
          <w:rFonts w:ascii="Times New Roman" w:hAnsi="Times New Roman" w:cs="Times New Roman"/>
          <w:b/>
          <w:bCs/>
        </w:rPr>
      </w:pPr>
    </w:p>
    <w:p w14:paraId="1A086575" w14:textId="77777777" w:rsidR="007767A9" w:rsidRDefault="007767A9" w:rsidP="00A45B1E">
      <w:pPr>
        <w:spacing w:line="360" w:lineRule="auto"/>
        <w:jc w:val="both"/>
        <w:rPr>
          <w:rFonts w:ascii="Times New Roman" w:hAnsi="Times New Roman" w:cs="Times New Roman"/>
          <w:b/>
          <w:bCs/>
        </w:rPr>
      </w:pPr>
    </w:p>
    <w:p w14:paraId="72AD4D1C" w14:textId="77777777" w:rsidR="007767A9" w:rsidRDefault="007767A9" w:rsidP="00A45B1E">
      <w:pPr>
        <w:spacing w:line="360" w:lineRule="auto"/>
        <w:jc w:val="both"/>
        <w:rPr>
          <w:rFonts w:ascii="Times New Roman" w:hAnsi="Times New Roman" w:cs="Times New Roman"/>
          <w:b/>
          <w:bCs/>
        </w:rPr>
      </w:pPr>
    </w:p>
    <w:p w14:paraId="688F0336" w14:textId="77777777" w:rsidR="007767A9" w:rsidRDefault="007767A9" w:rsidP="00A45B1E">
      <w:pPr>
        <w:spacing w:line="360" w:lineRule="auto"/>
        <w:jc w:val="both"/>
        <w:rPr>
          <w:rFonts w:ascii="Times New Roman" w:hAnsi="Times New Roman" w:cs="Times New Roman"/>
          <w:b/>
          <w:bCs/>
        </w:rPr>
      </w:pPr>
    </w:p>
    <w:p w14:paraId="01951308" w14:textId="19541BD5" w:rsidR="00A45B1E" w:rsidRDefault="00A45B1E" w:rsidP="00A45B1E">
      <w:pPr>
        <w:spacing w:line="360" w:lineRule="auto"/>
        <w:jc w:val="both"/>
        <w:rPr>
          <w:rFonts w:ascii="Times New Roman" w:hAnsi="Times New Roman" w:cs="Times New Roman"/>
          <w:b/>
          <w:bCs/>
        </w:rPr>
      </w:pPr>
      <w:r>
        <w:rPr>
          <w:rFonts w:ascii="Times New Roman" w:hAnsi="Times New Roman" w:cs="Times New Roman"/>
          <w:b/>
          <w:bCs/>
        </w:rPr>
        <w:t xml:space="preserve">Student Name: </w:t>
      </w:r>
      <w:proofErr w:type="spellStart"/>
      <w:r w:rsidR="005B78AA">
        <w:rPr>
          <w:rFonts w:ascii="Times New Roman" w:hAnsi="Times New Roman" w:cs="Times New Roman"/>
          <w:b/>
          <w:bCs/>
        </w:rPr>
        <w:t>Protick</w:t>
      </w:r>
      <w:proofErr w:type="spellEnd"/>
      <w:r w:rsidR="005B78AA">
        <w:rPr>
          <w:rFonts w:ascii="Times New Roman" w:hAnsi="Times New Roman" w:cs="Times New Roman"/>
          <w:b/>
          <w:bCs/>
        </w:rPr>
        <w:t xml:space="preserve"> L Gomes</w:t>
      </w:r>
    </w:p>
    <w:p w14:paraId="4F07D45A" w14:textId="20FE7CE9" w:rsidR="00A45B1E" w:rsidRDefault="00A45B1E" w:rsidP="00A45B1E">
      <w:pPr>
        <w:spacing w:line="360" w:lineRule="auto"/>
        <w:jc w:val="both"/>
        <w:rPr>
          <w:rFonts w:ascii="Times New Roman" w:hAnsi="Times New Roman" w:cs="Times New Roman"/>
          <w:b/>
          <w:bCs/>
        </w:rPr>
      </w:pPr>
      <w:r>
        <w:rPr>
          <w:rFonts w:ascii="Times New Roman" w:hAnsi="Times New Roman" w:cs="Times New Roman"/>
          <w:b/>
          <w:bCs/>
        </w:rPr>
        <w:t xml:space="preserve">ID: </w:t>
      </w:r>
      <w:r w:rsidR="005B78AA">
        <w:rPr>
          <w:rFonts w:ascii="Times New Roman" w:hAnsi="Times New Roman" w:cs="Times New Roman"/>
          <w:b/>
          <w:bCs/>
        </w:rPr>
        <w:t>2506443</w:t>
      </w:r>
    </w:p>
    <w:p w14:paraId="7A6A4E3E" w14:textId="77777777" w:rsidR="00A45B1E" w:rsidRDefault="00A45B1E" w:rsidP="00A45B1E">
      <w:pPr>
        <w:spacing w:line="360" w:lineRule="auto"/>
        <w:jc w:val="both"/>
        <w:rPr>
          <w:rFonts w:ascii="Times New Roman" w:hAnsi="Times New Roman" w:cs="Times New Roman"/>
          <w:b/>
          <w:bCs/>
        </w:rPr>
      </w:pPr>
    </w:p>
    <w:p w14:paraId="36A6F55A" w14:textId="77777777" w:rsidR="00A45B1E" w:rsidRDefault="00A45B1E" w:rsidP="0069145B">
      <w:pPr>
        <w:spacing w:line="360" w:lineRule="auto"/>
        <w:jc w:val="both"/>
      </w:pPr>
    </w:p>
    <w:p w14:paraId="52B31CD9" w14:textId="77777777" w:rsidR="00A45B1E" w:rsidRDefault="00A45B1E" w:rsidP="0069145B">
      <w:pPr>
        <w:spacing w:line="360" w:lineRule="auto"/>
        <w:jc w:val="both"/>
      </w:pPr>
    </w:p>
    <w:p w14:paraId="44B79C19" w14:textId="77777777" w:rsidR="00A45B1E" w:rsidRDefault="00A45B1E" w:rsidP="0069145B">
      <w:pPr>
        <w:spacing w:line="360" w:lineRule="auto"/>
        <w:jc w:val="both"/>
      </w:pPr>
    </w:p>
    <w:p w14:paraId="1B1B78F4" w14:textId="77777777" w:rsidR="00A45B1E" w:rsidRPr="0069145B" w:rsidRDefault="00A45B1E" w:rsidP="0069145B">
      <w:pPr>
        <w:spacing w:line="360" w:lineRule="auto"/>
        <w:jc w:val="both"/>
      </w:pPr>
    </w:p>
    <w:p w14:paraId="36669B84" w14:textId="6858BBD7" w:rsidR="0069145B" w:rsidRPr="0069145B" w:rsidRDefault="0069145B" w:rsidP="0069145B">
      <w:pPr>
        <w:spacing w:line="360" w:lineRule="auto"/>
        <w:jc w:val="both"/>
        <w:rPr>
          <w:rFonts w:ascii="Times New Roman" w:eastAsia="Times New Roman" w:hAnsi="Times New Roman" w:cs="Times New Roman"/>
          <w:b/>
          <w:bCs/>
          <w:kern w:val="0"/>
          <w14:ligatures w14:val="none"/>
        </w:rPr>
      </w:pPr>
      <w:r w:rsidRPr="0069145B">
        <w:rPr>
          <w:rFonts w:ascii="Times New Roman" w:eastAsia="Times New Roman" w:hAnsi="Times New Roman" w:cs="Times New Roman"/>
          <w:b/>
          <w:bCs/>
          <w:kern w:val="0"/>
          <w14:ligatures w14:val="none"/>
        </w:rPr>
        <w:lastRenderedPageBreak/>
        <w:t>Executive Summary</w:t>
      </w:r>
    </w:p>
    <w:p w14:paraId="680A6E7A" w14:textId="4F36D68D" w:rsidR="0069145B" w:rsidRPr="0069145B" w:rsidRDefault="0069145B" w:rsidP="0069145B">
      <w:pPr>
        <w:spacing w:line="360" w:lineRule="auto"/>
        <w:jc w:val="both"/>
        <w:rPr>
          <w:rFonts w:ascii="Times New Roman" w:eastAsia="Times New Roman" w:hAnsi="Times New Roman" w:cs="Times New Roman"/>
          <w:kern w:val="0"/>
          <w14:ligatures w14:val="none"/>
        </w:rPr>
      </w:pPr>
      <w:r w:rsidRPr="0069145B">
        <w:rPr>
          <w:rFonts w:ascii="Times New Roman" w:eastAsia="Times New Roman" w:hAnsi="Times New Roman" w:cs="Times New Roman"/>
          <w:kern w:val="0"/>
          <w14:ligatures w14:val="none"/>
        </w:rPr>
        <w:t xml:space="preserve">Part 1 concludes that Unilever PLC remains financially resilient despite short-term pressures on reported profitability. Revenue growth and improved gross margins indicate effective pricing and cost management, while underlying operating performance suggests strengthening operational efficiency. Although reported returns on capital and equity declined due to restructuring costs, liquidity and solvency remained stable, and investor confidence was supported through sustained dividends and </w:t>
      </w:r>
      <w:proofErr w:type="spellStart"/>
      <w:r w:rsidRPr="0069145B">
        <w:rPr>
          <w:rFonts w:ascii="Times New Roman" w:eastAsia="Times New Roman" w:hAnsi="Times New Roman" w:cs="Times New Roman"/>
          <w:kern w:val="0"/>
          <w14:ligatures w14:val="none"/>
        </w:rPr>
        <w:t>favourable</w:t>
      </w:r>
      <w:proofErr w:type="spellEnd"/>
      <w:r w:rsidRPr="0069145B">
        <w:rPr>
          <w:rFonts w:ascii="Times New Roman" w:eastAsia="Times New Roman" w:hAnsi="Times New Roman" w:cs="Times New Roman"/>
          <w:kern w:val="0"/>
          <w14:ligatures w14:val="none"/>
        </w:rPr>
        <w:t xml:space="preserve"> market valuation. Overall, the analysis indicates that Unilever’s core business continues to perform strongly, with recent pressures reflecting strategic transformation rather than fundamental weakness.</w:t>
      </w:r>
    </w:p>
    <w:p w14:paraId="060D5374" w14:textId="733D33BB" w:rsidR="00DD1AC4" w:rsidRPr="0069145B" w:rsidRDefault="0069145B" w:rsidP="0069145B">
      <w:pPr>
        <w:spacing w:line="360" w:lineRule="auto"/>
        <w:jc w:val="both"/>
        <w:rPr>
          <w:rFonts w:ascii="Times New Roman" w:eastAsia="Times New Roman" w:hAnsi="Times New Roman" w:cs="Times New Roman"/>
          <w:kern w:val="0"/>
          <w14:ligatures w14:val="none"/>
        </w:rPr>
      </w:pPr>
      <w:r w:rsidRPr="0069145B">
        <w:rPr>
          <w:rFonts w:ascii="Times New Roman" w:eastAsia="Times New Roman" w:hAnsi="Times New Roman" w:cs="Times New Roman"/>
          <w:kern w:val="0"/>
          <w14:ligatures w14:val="none"/>
        </w:rPr>
        <w:t xml:space="preserve">Part 2 finds that all three investment options considered by Westward Plc are financially viable, as each generates a positive Net Present Value. Among the alternatives, developing internet sales emerges as the preferred standalone project due to its superior NPV and strong IRR relative to the cost of capital. When capital is limited, an optimal investment policy involving a combination of projects </w:t>
      </w:r>
      <w:proofErr w:type="spellStart"/>
      <w:r w:rsidRPr="0069145B">
        <w:rPr>
          <w:rFonts w:ascii="Times New Roman" w:eastAsia="Times New Roman" w:hAnsi="Times New Roman" w:cs="Times New Roman"/>
          <w:kern w:val="0"/>
          <w14:ligatures w14:val="none"/>
        </w:rPr>
        <w:t>maximises</w:t>
      </w:r>
      <w:proofErr w:type="spellEnd"/>
      <w:r w:rsidRPr="0069145B">
        <w:rPr>
          <w:rFonts w:ascii="Times New Roman" w:eastAsia="Times New Roman" w:hAnsi="Times New Roman" w:cs="Times New Roman"/>
          <w:kern w:val="0"/>
          <w14:ligatures w14:val="none"/>
        </w:rPr>
        <w:t xml:space="preserve"> total NPV. While non-discounting methods provide useful insights into liquidity and accounting performance, Net Present Value remains the most reliable basis for decision-making. A balanced financing strategy combining retained earnings and debt is recommended to support the investment </w:t>
      </w:r>
      <w:proofErr w:type="spellStart"/>
      <w:r w:rsidRPr="0069145B">
        <w:rPr>
          <w:rFonts w:ascii="Times New Roman" w:eastAsia="Times New Roman" w:hAnsi="Times New Roman" w:cs="Times New Roman"/>
          <w:kern w:val="0"/>
          <w14:ligatures w14:val="none"/>
        </w:rPr>
        <w:t>programme</w:t>
      </w:r>
      <w:proofErr w:type="spellEnd"/>
      <w:r w:rsidRPr="0069145B">
        <w:rPr>
          <w:rFonts w:ascii="Times New Roman" w:eastAsia="Times New Roman" w:hAnsi="Times New Roman" w:cs="Times New Roman"/>
          <w:kern w:val="0"/>
          <w14:ligatures w14:val="none"/>
        </w:rPr>
        <w:t xml:space="preserve"> while maintaining financial flexibility.</w:t>
      </w:r>
    </w:p>
    <w:p w14:paraId="71BC163F" w14:textId="77777777" w:rsidR="00DD1AC4" w:rsidRDefault="00DD1AC4"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42197DBD" w14:textId="77777777" w:rsidR="005D7E96" w:rsidRDefault="005D7E96"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0CD8647B" w14:textId="77777777" w:rsidR="005D7E96" w:rsidRDefault="005D7E96"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09F79FC0" w14:textId="77777777" w:rsidR="005D7E96" w:rsidRDefault="005D7E96"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6428030B" w14:textId="77777777" w:rsidR="005D7E96" w:rsidRDefault="005D7E96"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05D768C6" w14:textId="77777777" w:rsidR="005D7E96" w:rsidRDefault="005D7E96"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79279697" w14:textId="77777777" w:rsidR="005D7E96" w:rsidRDefault="005D7E96"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016C3A39" w14:textId="77777777" w:rsidR="005D7E96" w:rsidRDefault="005D7E96"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sdt>
      <w:sdtPr>
        <w:rPr>
          <w:rFonts w:asciiTheme="minorHAnsi" w:eastAsiaTheme="minorHAnsi" w:hAnsiTheme="minorHAnsi" w:cstheme="minorBidi"/>
          <w:color w:val="auto"/>
          <w:kern w:val="2"/>
          <w:sz w:val="24"/>
          <w:szCs w:val="24"/>
          <w14:ligatures w14:val="standardContextual"/>
        </w:rPr>
        <w:id w:val="-2009050081"/>
        <w:docPartObj>
          <w:docPartGallery w:val="Table of Contents"/>
          <w:docPartUnique/>
        </w:docPartObj>
      </w:sdtPr>
      <w:sdtEndPr>
        <w:rPr>
          <w:b/>
          <w:bCs/>
          <w:noProof/>
        </w:rPr>
      </w:sdtEndPr>
      <w:sdtContent>
        <w:p w14:paraId="286AB39A" w14:textId="396072C9" w:rsidR="005D7E96" w:rsidRPr="005D7E96" w:rsidRDefault="005D7E96">
          <w:pPr>
            <w:pStyle w:val="TOCHeading"/>
            <w:rPr>
              <w:rFonts w:ascii="Times New Roman" w:hAnsi="Times New Roman" w:cs="Times New Roman"/>
            </w:rPr>
          </w:pPr>
          <w:r w:rsidRPr="005D7E96">
            <w:rPr>
              <w:rFonts w:ascii="Times New Roman" w:hAnsi="Times New Roman" w:cs="Times New Roman"/>
            </w:rPr>
            <w:t>Contents</w:t>
          </w:r>
        </w:p>
        <w:p w14:paraId="5B81DA71" w14:textId="3E2EF525" w:rsidR="005D7E96" w:rsidRPr="005D7E96" w:rsidRDefault="005D7E96">
          <w:pPr>
            <w:pStyle w:val="TOC1"/>
            <w:tabs>
              <w:tab w:val="right" w:leader="dot" w:pos="9350"/>
            </w:tabs>
            <w:rPr>
              <w:rFonts w:ascii="Times New Roman" w:hAnsi="Times New Roman" w:cs="Times New Roman"/>
              <w:noProof/>
            </w:rPr>
          </w:pPr>
          <w:r w:rsidRPr="005D7E96">
            <w:rPr>
              <w:rFonts w:ascii="Times New Roman" w:hAnsi="Times New Roman" w:cs="Times New Roman"/>
            </w:rPr>
            <w:fldChar w:fldCharType="begin"/>
          </w:r>
          <w:r w:rsidRPr="005D7E96">
            <w:rPr>
              <w:rFonts w:ascii="Times New Roman" w:hAnsi="Times New Roman" w:cs="Times New Roman"/>
            </w:rPr>
            <w:instrText xml:space="preserve"> TOC \o "1-3" \h \z \u </w:instrText>
          </w:r>
          <w:r w:rsidRPr="005D7E96">
            <w:rPr>
              <w:rFonts w:ascii="Times New Roman" w:hAnsi="Times New Roman" w:cs="Times New Roman"/>
            </w:rPr>
            <w:fldChar w:fldCharType="separate"/>
          </w:r>
          <w:hyperlink w:anchor="_Toc219020631" w:history="1">
            <w:r w:rsidRPr="005D7E96">
              <w:rPr>
                <w:rStyle w:val="Hyperlink"/>
                <w:rFonts w:ascii="Times New Roman" w:eastAsia="Times New Roman" w:hAnsi="Times New Roman" w:cs="Times New Roman"/>
                <w:noProof/>
              </w:rPr>
              <w:t>Introduction</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_Toc219020631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3</w:t>
            </w:r>
            <w:r w:rsidRPr="005D7E96">
              <w:rPr>
                <w:rFonts w:ascii="Times New Roman" w:hAnsi="Times New Roman" w:cs="Times New Roman"/>
                <w:noProof/>
                <w:webHidden/>
              </w:rPr>
              <w:fldChar w:fldCharType="end"/>
            </w:r>
          </w:hyperlink>
        </w:p>
        <w:p w14:paraId="1FA6157E" w14:textId="71A6AACE" w:rsidR="005D7E96" w:rsidRPr="005D7E96" w:rsidRDefault="005D7E96">
          <w:pPr>
            <w:pStyle w:val="TOC1"/>
            <w:tabs>
              <w:tab w:val="right" w:leader="dot" w:pos="9350"/>
            </w:tabs>
            <w:rPr>
              <w:rFonts w:ascii="Times New Roman" w:hAnsi="Times New Roman" w:cs="Times New Roman"/>
              <w:noProof/>
            </w:rPr>
          </w:pPr>
          <w:hyperlink w:anchor="_Toc219020632" w:history="1">
            <w:r w:rsidRPr="005D7E96">
              <w:rPr>
                <w:rStyle w:val="Hyperlink"/>
                <w:rFonts w:ascii="Times New Roman" w:hAnsi="Times New Roman" w:cs="Times New Roman"/>
                <w:noProof/>
              </w:rPr>
              <w:t>Part 1</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_Toc219020632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3</w:t>
            </w:r>
            <w:r w:rsidRPr="005D7E96">
              <w:rPr>
                <w:rFonts w:ascii="Times New Roman" w:hAnsi="Times New Roman" w:cs="Times New Roman"/>
                <w:noProof/>
                <w:webHidden/>
              </w:rPr>
              <w:fldChar w:fldCharType="end"/>
            </w:r>
          </w:hyperlink>
        </w:p>
        <w:p w14:paraId="41934097" w14:textId="16E69774" w:rsidR="005D7E96" w:rsidRPr="005D7E96" w:rsidRDefault="005D7E96">
          <w:pPr>
            <w:pStyle w:val="TOC2"/>
            <w:tabs>
              <w:tab w:val="right" w:leader="dot" w:pos="9350"/>
            </w:tabs>
            <w:rPr>
              <w:rFonts w:ascii="Times New Roman" w:hAnsi="Times New Roman" w:cs="Times New Roman"/>
              <w:noProof/>
            </w:rPr>
          </w:pPr>
          <w:hyperlink w:anchor="_Toc219020633" w:history="1">
            <w:r w:rsidRPr="005D7E96">
              <w:rPr>
                <w:rStyle w:val="Hyperlink"/>
                <w:rFonts w:ascii="Times New Roman" w:hAnsi="Times New Roman" w:cs="Times New Roman"/>
                <w:noProof/>
              </w:rPr>
              <w:t>Profitability Analysis</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_Toc219020633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3</w:t>
            </w:r>
            <w:r w:rsidRPr="005D7E96">
              <w:rPr>
                <w:rFonts w:ascii="Times New Roman" w:hAnsi="Times New Roman" w:cs="Times New Roman"/>
                <w:noProof/>
                <w:webHidden/>
              </w:rPr>
              <w:fldChar w:fldCharType="end"/>
            </w:r>
          </w:hyperlink>
        </w:p>
        <w:p w14:paraId="4921B513" w14:textId="500AB44D" w:rsidR="005D7E96" w:rsidRPr="005D7E96" w:rsidRDefault="005D7E96">
          <w:pPr>
            <w:pStyle w:val="TOC3"/>
            <w:tabs>
              <w:tab w:val="right" w:leader="dot" w:pos="9350"/>
            </w:tabs>
            <w:rPr>
              <w:rFonts w:ascii="Times New Roman" w:hAnsi="Times New Roman" w:cs="Times New Roman"/>
              <w:noProof/>
            </w:rPr>
          </w:pPr>
          <w:hyperlink w:anchor="_Toc219020634" w:history="1">
            <w:r w:rsidRPr="005D7E96">
              <w:rPr>
                <w:rStyle w:val="Hyperlink"/>
                <w:rFonts w:ascii="Times New Roman" w:hAnsi="Times New Roman" w:cs="Times New Roman"/>
                <w:noProof/>
              </w:rPr>
              <w:t>Revenue and Margin Performance</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_Toc219020634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4</w:t>
            </w:r>
            <w:r w:rsidRPr="005D7E96">
              <w:rPr>
                <w:rFonts w:ascii="Times New Roman" w:hAnsi="Times New Roman" w:cs="Times New Roman"/>
                <w:noProof/>
                <w:webHidden/>
              </w:rPr>
              <w:fldChar w:fldCharType="end"/>
            </w:r>
          </w:hyperlink>
        </w:p>
        <w:p w14:paraId="2D2C7A09" w14:textId="1B9838A9" w:rsidR="005D7E96" w:rsidRPr="005D7E96" w:rsidRDefault="005D7E96">
          <w:pPr>
            <w:pStyle w:val="TOC3"/>
            <w:tabs>
              <w:tab w:val="right" w:leader="dot" w:pos="9350"/>
            </w:tabs>
            <w:rPr>
              <w:rFonts w:ascii="Times New Roman" w:hAnsi="Times New Roman" w:cs="Times New Roman"/>
              <w:noProof/>
            </w:rPr>
          </w:pPr>
          <w:hyperlink w:anchor="_Toc219020635" w:history="1">
            <w:r w:rsidRPr="005D7E96">
              <w:rPr>
                <w:rStyle w:val="Hyperlink"/>
                <w:rFonts w:ascii="Times New Roman" w:hAnsi="Times New Roman" w:cs="Times New Roman"/>
                <w:noProof/>
              </w:rPr>
              <w:t>Operating Profitability</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_Toc219020635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4</w:t>
            </w:r>
            <w:r w:rsidRPr="005D7E96">
              <w:rPr>
                <w:rFonts w:ascii="Times New Roman" w:hAnsi="Times New Roman" w:cs="Times New Roman"/>
                <w:noProof/>
                <w:webHidden/>
              </w:rPr>
              <w:fldChar w:fldCharType="end"/>
            </w:r>
          </w:hyperlink>
        </w:p>
        <w:p w14:paraId="1E5286D6" w14:textId="745ED8E9" w:rsidR="005D7E96" w:rsidRPr="005D7E96" w:rsidRDefault="005D7E96">
          <w:pPr>
            <w:pStyle w:val="TOC3"/>
            <w:tabs>
              <w:tab w:val="right" w:leader="dot" w:pos="9350"/>
            </w:tabs>
            <w:rPr>
              <w:rFonts w:ascii="Times New Roman" w:hAnsi="Times New Roman" w:cs="Times New Roman"/>
              <w:noProof/>
            </w:rPr>
          </w:pPr>
          <w:hyperlink w:anchor="_Toc219020636" w:history="1">
            <w:r w:rsidRPr="005D7E96">
              <w:rPr>
                <w:rStyle w:val="Hyperlink"/>
                <w:rFonts w:ascii="Times New Roman" w:hAnsi="Times New Roman" w:cs="Times New Roman"/>
                <w:noProof/>
              </w:rPr>
              <w:t>Net Profitability</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_Toc219020636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5</w:t>
            </w:r>
            <w:r w:rsidRPr="005D7E96">
              <w:rPr>
                <w:rFonts w:ascii="Times New Roman" w:hAnsi="Times New Roman" w:cs="Times New Roman"/>
                <w:noProof/>
                <w:webHidden/>
              </w:rPr>
              <w:fldChar w:fldCharType="end"/>
            </w:r>
          </w:hyperlink>
        </w:p>
        <w:p w14:paraId="5F0B71DE" w14:textId="202D7F74" w:rsidR="005D7E96" w:rsidRPr="005D7E96" w:rsidRDefault="005D7E96">
          <w:pPr>
            <w:pStyle w:val="TOC3"/>
            <w:tabs>
              <w:tab w:val="right" w:leader="dot" w:pos="9350"/>
            </w:tabs>
            <w:rPr>
              <w:rFonts w:ascii="Times New Roman" w:hAnsi="Times New Roman" w:cs="Times New Roman"/>
              <w:noProof/>
            </w:rPr>
          </w:pPr>
          <w:hyperlink w:anchor="_Toc219020637" w:history="1">
            <w:r w:rsidRPr="005D7E96">
              <w:rPr>
                <w:rStyle w:val="Hyperlink"/>
                <w:rFonts w:ascii="Times New Roman" w:hAnsi="Times New Roman" w:cs="Times New Roman"/>
                <w:noProof/>
              </w:rPr>
              <w:t>Profitability Analysis Summary</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_Toc219020637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6</w:t>
            </w:r>
            <w:r w:rsidRPr="005D7E96">
              <w:rPr>
                <w:rFonts w:ascii="Times New Roman" w:hAnsi="Times New Roman" w:cs="Times New Roman"/>
                <w:noProof/>
                <w:webHidden/>
              </w:rPr>
              <w:fldChar w:fldCharType="end"/>
            </w:r>
          </w:hyperlink>
        </w:p>
        <w:p w14:paraId="551C3F58" w14:textId="0794D81C" w:rsidR="005D7E96" w:rsidRPr="005D7E96" w:rsidRDefault="005D7E96">
          <w:pPr>
            <w:pStyle w:val="TOC2"/>
            <w:tabs>
              <w:tab w:val="right" w:leader="dot" w:pos="9350"/>
            </w:tabs>
            <w:rPr>
              <w:rFonts w:ascii="Times New Roman" w:hAnsi="Times New Roman" w:cs="Times New Roman"/>
              <w:noProof/>
            </w:rPr>
          </w:pPr>
          <w:hyperlink w:anchor="_Toc219020638" w:history="1">
            <w:r w:rsidRPr="005D7E96">
              <w:rPr>
                <w:rStyle w:val="Hyperlink"/>
                <w:rFonts w:ascii="Times New Roman" w:hAnsi="Times New Roman" w:cs="Times New Roman"/>
                <w:noProof/>
              </w:rPr>
              <w:t>Return Measures: ROCE and ROE</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_Toc219020638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6</w:t>
            </w:r>
            <w:r w:rsidRPr="005D7E96">
              <w:rPr>
                <w:rFonts w:ascii="Times New Roman" w:hAnsi="Times New Roman" w:cs="Times New Roman"/>
                <w:noProof/>
                <w:webHidden/>
              </w:rPr>
              <w:fldChar w:fldCharType="end"/>
            </w:r>
          </w:hyperlink>
        </w:p>
        <w:p w14:paraId="37B6E9D0" w14:textId="70BC4510" w:rsidR="005D7E96" w:rsidRPr="005D7E96" w:rsidRDefault="005D7E96">
          <w:pPr>
            <w:pStyle w:val="TOC3"/>
            <w:tabs>
              <w:tab w:val="right" w:leader="dot" w:pos="9350"/>
            </w:tabs>
            <w:rPr>
              <w:rFonts w:ascii="Times New Roman" w:hAnsi="Times New Roman" w:cs="Times New Roman"/>
              <w:noProof/>
            </w:rPr>
          </w:pPr>
          <w:hyperlink w:anchor="_Toc219020639" w:history="1">
            <w:r w:rsidRPr="005D7E96">
              <w:rPr>
                <w:rStyle w:val="Hyperlink"/>
                <w:rFonts w:ascii="Times New Roman" w:hAnsi="Times New Roman" w:cs="Times New Roman"/>
                <w:noProof/>
              </w:rPr>
              <w:t>Return on Capital Employed (ROCE)</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_Toc219020639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6</w:t>
            </w:r>
            <w:r w:rsidRPr="005D7E96">
              <w:rPr>
                <w:rFonts w:ascii="Times New Roman" w:hAnsi="Times New Roman" w:cs="Times New Roman"/>
                <w:noProof/>
                <w:webHidden/>
              </w:rPr>
              <w:fldChar w:fldCharType="end"/>
            </w:r>
          </w:hyperlink>
        </w:p>
        <w:p w14:paraId="7F34980A" w14:textId="32E9501A" w:rsidR="005D7E96" w:rsidRPr="005D7E96" w:rsidRDefault="005D7E96">
          <w:pPr>
            <w:pStyle w:val="TOC3"/>
            <w:tabs>
              <w:tab w:val="right" w:leader="dot" w:pos="9350"/>
            </w:tabs>
            <w:rPr>
              <w:rFonts w:ascii="Times New Roman" w:hAnsi="Times New Roman" w:cs="Times New Roman"/>
              <w:noProof/>
            </w:rPr>
          </w:pPr>
          <w:hyperlink w:anchor="_Toc219020640" w:history="1">
            <w:r w:rsidRPr="005D7E96">
              <w:rPr>
                <w:rStyle w:val="Hyperlink"/>
                <w:rFonts w:ascii="Times New Roman" w:hAnsi="Times New Roman" w:cs="Times New Roman"/>
                <w:noProof/>
              </w:rPr>
              <w:t>Return on Equity (ROE)</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_Toc219020640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7</w:t>
            </w:r>
            <w:r w:rsidRPr="005D7E96">
              <w:rPr>
                <w:rFonts w:ascii="Times New Roman" w:hAnsi="Times New Roman" w:cs="Times New Roman"/>
                <w:noProof/>
                <w:webHidden/>
              </w:rPr>
              <w:fldChar w:fldCharType="end"/>
            </w:r>
          </w:hyperlink>
        </w:p>
        <w:p w14:paraId="1FB9C2C7" w14:textId="55A1ADE0" w:rsidR="005D7E96" w:rsidRPr="005D7E96" w:rsidRDefault="005D7E96">
          <w:pPr>
            <w:pStyle w:val="TOC3"/>
            <w:tabs>
              <w:tab w:val="right" w:leader="dot" w:pos="9350"/>
            </w:tabs>
            <w:rPr>
              <w:rFonts w:ascii="Times New Roman" w:hAnsi="Times New Roman" w:cs="Times New Roman"/>
              <w:noProof/>
            </w:rPr>
          </w:pPr>
          <w:hyperlink w:anchor="_Toc219020641" w:history="1">
            <w:r w:rsidRPr="005D7E96">
              <w:rPr>
                <w:rStyle w:val="Hyperlink"/>
                <w:rFonts w:ascii="Times New Roman" w:hAnsi="Times New Roman" w:cs="Times New Roman"/>
                <w:noProof/>
              </w:rPr>
              <w:t>Return Measures Summary</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_Toc219020641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8</w:t>
            </w:r>
            <w:r w:rsidRPr="005D7E96">
              <w:rPr>
                <w:rFonts w:ascii="Times New Roman" w:hAnsi="Times New Roman" w:cs="Times New Roman"/>
                <w:noProof/>
                <w:webHidden/>
              </w:rPr>
              <w:fldChar w:fldCharType="end"/>
            </w:r>
          </w:hyperlink>
        </w:p>
        <w:p w14:paraId="34720B9C" w14:textId="0B5839D4" w:rsidR="005D7E96" w:rsidRPr="005D7E96" w:rsidRDefault="005D7E96">
          <w:pPr>
            <w:pStyle w:val="TOC2"/>
            <w:tabs>
              <w:tab w:val="right" w:leader="dot" w:pos="9350"/>
            </w:tabs>
            <w:rPr>
              <w:rFonts w:ascii="Times New Roman" w:hAnsi="Times New Roman" w:cs="Times New Roman"/>
              <w:noProof/>
            </w:rPr>
          </w:pPr>
          <w:hyperlink w:anchor="_Toc219020642" w:history="1">
            <w:r w:rsidRPr="005D7E96">
              <w:rPr>
                <w:rStyle w:val="Hyperlink"/>
                <w:rFonts w:ascii="Times New Roman" w:hAnsi="Times New Roman" w:cs="Times New Roman"/>
                <w:noProof/>
              </w:rPr>
              <w:t>Liquidity Analysis</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_Toc219020642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8</w:t>
            </w:r>
            <w:r w:rsidRPr="005D7E96">
              <w:rPr>
                <w:rFonts w:ascii="Times New Roman" w:hAnsi="Times New Roman" w:cs="Times New Roman"/>
                <w:noProof/>
                <w:webHidden/>
              </w:rPr>
              <w:fldChar w:fldCharType="end"/>
            </w:r>
          </w:hyperlink>
        </w:p>
        <w:p w14:paraId="163425CF" w14:textId="246E5816" w:rsidR="005D7E96" w:rsidRPr="005D7E96" w:rsidRDefault="005D7E96">
          <w:pPr>
            <w:pStyle w:val="TOC3"/>
            <w:tabs>
              <w:tab w:val="right" w:leader="dot" w:pos="9350"/>
            </w:tabs>
            <w:rPr>
              <w:rFonts w:ascii="Times New Roman" w:hAnsi="Times New Roman" w:cs="Times New Roman"/>
              <w:noProof/>
            </w:rPr>
          </w:pPr>
          <w:hyperlink w:anchor="_Toc219020643" w:history="1">
            <w:r w:rsidRPr="005D7E96">
              <w:rPr>
                <w:rStyle w:val="Hyperlink"/>
                <w:rFonts w:ascii="Times New Roman" w:hAnsi="Times New Roman" w:cs="Times New Roman"/>
                <w:noProof/>
              </w:rPr>
              <w:t>Current Ratio</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_Toc219020643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9</w:t>
            </w:r>
            <w:r w:rsidRPr="005D7E96">
              <w:rPr>
                <w:rFonts w:ascii="Times New Roman" w:hAnsi="Times New Roman" w:cs="Times New Roman"/>
                <w:noProof/>
                <w:webHidden/>
              </w:rPr>
              <w:fldChar w:fldCharType="end"/>
            </w:r>
          </w:hyperlink>
        </w:p>
        <w:p w14:paraId="699B2A46" w14:textId="0D295CD1" w:rsidR="005D7E96" w:rsidRPr="005D7E96" w:rsidRDefault="005D7E96">
          <w:pPr>
            <w:pStyle w:val="TOC3"/>
            <w:tabs>
              <w:tab w:val="right" w:leader="dot" w:pos="9350"/>
            </w:tabs>
            <w:rPr>
              <w:rFonts w:ascii="Times New Roman" w:hAnsi="Times New Roman" w:cs="Times New Roman"/>
              <w:noProof/>
            </w:rPr>
          </w:pPr>
          <w:hyperlink w:anchor="_Toc219020644" w:history="1">
            <w:r w:rsidRPr="005D7E96">
              <w:rPr>
                <w:rStyle w:val="Hyperlink"/>
                <w:rFonts w:ascii="Times New Roman" w:hAnsi="Times New Roman" w:cs="Times New Roman"/>
                <w:noProof/>
              </w:rPr>
              <w:t>Quick Ratio</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_Toc219020644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9</w:t>
            </w:r>
            <w:r w:rsidRPr="005D7E96">
              <w:rPr>
                <w:rFonts w:ascii="Times New Roman" w:hAnsi="Times New Roman" w:cs="Times New Roman"/>
                <w:noProof/>
                <w:webHidden/>
              </w:rPr>
              <w:fldChar w:fldCharType="end"/>
            </w:r>
          </w:hyperlink>
        </w:p>
        <w:p w14:paraId="00B1A27D" w14:textId="04A21514" w:rsidR="005D7E96" w:rsidRPr="005D7E96" w:rsidRDefault="005D7E96">
          <w:pPr>
            <w:pStyle w:val="TOC3"/>
            <w:tabs>
              <w:tab w:val="right" w:leader="dot" w:pos="9350"/>
            </w:tabs>
            <w:rPr>
              <w:rFonts w:ascii="Times New Roman" w:hAnsi="Times New Roman" w:cs="Times New Roman"/>
              <w:noProof/>
            </w:rPr>
          </w:pPr>
          <w:hyperlink w:anchor="_Toc219020645" w:history="1">
            <w:r w:rsidRPr="005D7E96">
              <w:rPr>
                <w:rStyle w:val="Hyperlink"/>
                <w:rFonts w:ascii="Times New Roman" w:hAnsi="Times New Roman" w:cs="Times New Roman"/>
                <w:noProof/>
              </w:rPr>
              <w:t>Working Capital Liquidity Implications</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_Toc219020645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10</w:t>
            </w:r>
            <w:r w:rsidRPr="005D7E96">
              <w:rPr>
                <w:rFonts w:ascii="Times New Roman" w:hAnsi="Times New Roman" w:cs="Times New Roman"/>
                <w:noProof/>
                <w:webHidden/>
              </w:rPr>
              <w:fldChar w:fldCharType="end"/>
            </w:r>
          </w:hyperlink>
        </w:p>
        <w:p w14:paraId="39B34DD5" w14:textId="3AD5FFAA" w:rsidR="005D7E96" w:rsidRPr="005D7E96" w:rsidRDefault="005D7E96">
          <w:pPr>
            <w:pStyle w:val="TOC3"/>
            <w:tabs>
              <w:tab w:val="right" w:leader="dot" w:pos="9350"/>
            </w:tabs>
            <w:rPr>
              <w:rFonts w:ascii="Times New Roman" w:hAnsi="Times New Roman" w:cs="Times New Roman"/>
              <w:noProof/>
            </w:rPr>
          </w:pPr>
          <w:hyperlink w:anchor="_Toc219020646" w:history="1">
            <w:r w:rsidRPr="005D7E96">
              <w:rPr>
                <w:rStyle w:val="Hyperlink"/>
                <w:rFonts w:ascii="Times New Roman" w:hAnsi="Times New Roman" w:cs="Times New Roman"/>
                <w:noProof/>
              </w:rPr>
              <w:t>Liquidity Analysis Summary</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_Toc219020646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10</w:t>
            </w:r>
            <w:r w:rsidRPr="005D7E96">
              <w:rPr>
                <w:rFonts w:ascii="Times New Roman" w:hAnsi="Times New Roman" w:cs="Times New Roman"/>
                <w:noProof/>
                <w:webHidden/>
              </w:rPr>
              <w:fldChar w:fldCharType="end"/>
            </w:r>
          </w:hyperlink>
        </w:p>
        <w:p w14:paraId="2EBDB59B" w14:textId="164E786A" w:rsidR="005D7E96" w:rsidRPr="005D7E96" w:rsidRDefault="005D7E96">
          <w:pPr>
            <w:pStyle w:val="TOC2"/>
            <w:tabs>
              <w:tab w:val="right" w:leader="dot" w:pos="9350"/>
            </w:tabs>
            <w:rPr>
              <w:rFonts w:ascii="Times New Roman" w:hAnsi="Times New Roman" w:cs="Times New Roman"/>
              <w:noProof/>
            </w:rPr>
          </w:pPr>
          <w:hyperlink w:anchor="_Toc219020647" w:history="1">
            <w:r w:rsidRPr="005D7E96">
              <w:rPr>
                <w:rStyle w:val="Hyperlink"/>
                <w:rFonts w:ascii="Times New Roman" w:hAnsi="Times New Roman" w:cs="Times New Roman"/>
                <w:noProof/>
              </w:rPr>
              <w:t>Solvency and Capital Structure</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_Toc219020647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11</w:t>
            </w:r>
            <w:r w:rsidRPr="005D7E96">
              <w:rPr>
                <w:rFonts w:ascii="Times New Roman" w:hAnsi="Times New Roman" w:cs="Times New Roman"/>
                <w:noProof/>
                <w:webHidden/>
              </w:rPr>
              <w:fldChar w:fldCharType="end"/>
            </w:r>
          </w:hyperlink>
        </w:p>
        <w:p w14:paraId="3EECB65A" w14:textId="300BCA02" w:rsidR="005D7E96" w:rsidRPr="005D7E96" w:rsidRDefault="005D7E96">
          <w:pPr>
            <w:pStyle w:val="TOC3"/>
            <w:tabs>
              <w:tab w:val="right" w:leader="dot" w:pos="9350"/>
            </w:tabs>
            <w:rPr>
              <w:rFonts w:ascii="Times New Roman" w:hAnsi="Times New Roman" w:cs="Times New Roman"/>
              <w:noProof/>
            </w:rPr>
          </w:pPr>
          <w:hyperlink w:anchor="_Toc219020648" w:history="1">
            <w:r w:rsidRPr="005D7E96">
              <w:rPr>
                <w:rStyle w:val="Hyperlink"/>
                <w:rFonts w:ascii="Times New Roman" w:hAnsi="Times New Roman" w:cs="Times New Roman"/>
                <w:noProof/>
              </w:rPr>
              <w:t>Gearing Ratio</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_Toc219020648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11</w:t>
            </w:r>
            <w:r w:rsidRPr="005D7E96">
              <w:rPr>
                <w:rFonts w:ascii="Times New Roman" w:hAnsi="Times New Roman" w:cs="Times New Roman"/>
                <w:noProof/>
                <w:webHidden/>
              </w:rPr>
              <w:fldChar w:fldCharType="end"/>
            </w:r>
          </w:hyperlink>
        </w:p>
        <w:p w14:paraId="1A1C79A2" w14:textId="056CBA4D" w:rsidR="005D7E96" w:rsidRPr="005D7E96" w:rsidRDefault="005D7E96">
          <w:pPr>
            <w:pStyle w:val="TOC3"/>
            <w:tabs>
              <w:tab w:val="right" w:leader="dot" w:pos="9350"/>
            </w:tabs>
            <w:rPr>
              <w:rFonts w:ascii="Times New Roman" w:hAnsi="Times New Roman" w:cs="Times New Roman"/>
              <w:noProof/>
            </w:rPr>
          </w:pPr>
          <w:hyperlink w:anchor="_Toc219020649" w:history="1">
            <w:r w:rsidRPr="005D7E96">
              <w:rPr>
                <w:rStyle w:val="Hyperlink"/>
                <w:rFonts w:ascii="Times New Roman" w:hAnsi="Times New Roman" w:cs="Times New Roman"/>
                <w:noProof/>
              </w:rPr>
              <w:t>Relationship Between Gearing and Shareholder Returns</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_Toc219020649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12</w:t>
            </w:r>
            <w:r w:rsidRPr="005D7E96">
              <w:rPr>
                <w:rFonts w:ascii="Times New Roman" w:hAnsi="Times New Roman" w:cs="Times New Roman"/>
                <w:noProof/>
                <w:webHidden/>
              </w:rPr>
              <w:fldChar w:fldCharType="end"/>
            </w:r>
          </w:hyperlink>
        </w:p>
        <w:p w14:paraId="5172F4A5" w14:textId="5942C51B" w:rsidR="005D7E96" w:rsidRPr="005D7E96" w:rsidRDefault="005D7E96">
          <w:pPr>
            <w:pStyle w:val="TOC3"/>
            <w:tabs>
              <w:tab w:val="right" w:leader="dot" w:pos="9350"/>
            </w:tabs>
            <w:rPr>
              <w:rFonts w:ascii="Times New Roman" w:hAnsi="Times New Roman" w:cs="Times New Roman"/>
              <w:noProof/>
            </w:rPr>
          </w:pPr>
          <w:hyperlink w:anchor="_Toc219020650" w:history="1">
            <w:r w:rsidRPr="005D7E96">
              <w:rPr>
                <w:rStyle w:val="Hyperlink"/>
                <w:rFonts w:ascii="Times New Roman" w:hAnsi="Times New Roman" w:cs="Times New Roman"/>
                <w:noProof/>
              </w:rPr>
              <w:t>Interest Cover</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_Toc219020650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12</w:t>
            </w:r>
            <w:r w:rsidRPr="005D7E96">
              <w:rPr>
                <w:rFonts w:ascii="Times New Roman" w:hAnsi="Times New Roman" w:cs="Times New Roman"/>
                <w:noProof/>
                <w:webHidden/>
              </w:rPr>
              <w:fldChar w:fldCharType="end"/>
            </w:r>
          </w:hyperlink>
        </w:p>
        <w:p w14:paraId="42205201" w14:textId="4D4FD98C" w:rsidR="005D7E96" w:rsidRPr="005D7E96" w:rsidRDefault="005D7E96">
          <w:pPr>
            <w:pStyle w:val="TOC3"/>
            <w:tabs>
              <w:tab w:val="right" w:leader="dot" w:pos="9350"/>
            </w:tabs>
            <w:rPr>
              <w:rFonts w:ascii="Times New Roman" w:hAnsi="Times New Roman" w:cs="Times New Roman"/>
              <w:noProof/>
            </w:rPr>
          </w:pPr>
          <w:hyperlink w:anchor="_Toc219020651" w:history="1">
            <w:r w:rsidRPr="005D7E96">
              <w:rPr>
                <w:rStyle w:val="Hyperlink"/>
                <w:rFonts w:ascii="Times New Roman" w:hAnsi="Times New Roman" w:cs="Times New Roman"/>
                <w:noProof/>
              </w:rPr>
              <w:t>Solvency and Capital Structure Summary</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_Toc219020651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13</w:t>
            </w:r>
            <w:r w:rsidRPr="005D7E96">
              <w:rPr>
                <w:rFonts w:ascii="Times New Roman" w:hAnsi="Times New Roman" w:cs="Times New Roman"/>
                <w:noProof/>
                <w:webHidden/>
              </w:rPr>
              <w:fldChar w:fldCharType="end"/>
            </w:r>
          </w:hyperlink>
        </w:p>
        <w:p w14:paraId="6CF6D810" w14:textId="09740DD7" w:rsidR="005D7E96" w:rsidRPr="005D7E96" w:rsidRDefault="005D7E96">
          <w:pPr>
            <w:pStyle w:val="TOC2"/>
            <w:tabs>
              <w:tab w:val="right" w:leader="dot" w:pos="9350"/>
            </w:tabs>
            <w:rPr>
              <w:rFonts w:ascii="Times New Roman" w:hAnsi="Times New Roman" w:cs="Times New Roman"/>
              <w:noProof/>
            </w:rPr>
          </w:pPr>
          <w:hyperlink w:anchor="_Toc219020652" w:history="1">
            <w:r w:rsidRPr="005D7E96">
              <w:rPr>
                <w:rStyle w:val="Hyperlink"/>
                <w:rFonts w:ascii="Times New Roman" w:hAnsi="Times New Roman" w:cs="Times New Roman"/>
                <w:noProof/>
              </w:rPr>
              <w:t>Efficiency Analysis</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_Toc219020652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13</w:t>
            </w:r>
            <w:r w:rsidRPr="005D7E96">
              <w:rPr>
                <w:rFonts w:ascii="Times New Roman" w:hAnsi="Times New Roman" w:cs="Times New Roman"/>
                <w:noProof/>
                <w:webHidden/>
              </w:rPr>
              <w:fldChar w:fldCharType="end"/>
            </w:r>
          </w:hyperlink>
        </w:p>
        <w:p w14:paraId="54CBC6A3" w14:textId="74805D9B" w:rsidR="005D7E96" w:rsidRPr="005D7E96" w:rsidRDefault="005D7E96">
          <w:pPr>
            <w:pStyle w:val="TOC3"/>
            <w:tabs>
              <w:tab w:val="right" w:leader="dot" w:pos="9350"/>
            </w:tabs>
            <w:rPr>
              <w:rFonts w:ascii="Times New Roman" w:hAnsi="Times New Roman" w:cs="Times New Roman"/>
              <w:noProof/>
            </w:rPr>
          </w:pPr>
          <w:hyperlink w:anchor="_Toc219020653" w:history="1">
            <w:r w:rsidRPr="005D7E96">
              <w:rPr>
                <w:rStyle w:val="Hyperlink"/>
                <w:rFonts w:ascii="Times New Roman" w:hAnsi="Times New Roman" w:cs="Times New Roman"/>
                <w:noProof/>
              </w:rPr>
              <w:t>Inventory Days</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_Toc219020653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13</w:t>
            </w:r>
            <w:r w:rsidRPr="005D7E96">
              <w:rPr>
                <w:rFonts w:ascii="Times New Roman" w:hAnsi="Times New Roman" w:cs="Times New Roman"/>
                <w:noProof/>
                <w:webHidden/>
              </w:rPr>
              <w:fldChar w:fldCharType="end"/>
            </w:r>
          </w:hyperlink>
        </w:p>
        <w:p w14:paraId="2890398D" w14:textId="75DF26C9" w:rsidR="005D7E96" w:rsidRPr="005D7E96" w:rsidRDefault="005D7E96">
          <w:pPr>
            <w:pStyle w:val="TOC3"/>
            <w:tabs>
              <w:tab w:val="right" w:leader="dot" w:pos="9350"/>
            </w:tabs>
            <w:rPr>
              <w:rFonts w:ascii="Times New Roman" w:hAnsi="Times New Roman" w:cs="Times New Roman"/>
              <w:noProof/>
            </w:rPr>
          </w:pPr>
          <w:hyperlink w:anchor="_Toc219020654" w:history="1">
            <w:r w:rsidRPr="005D7E96">
              <w:rPr>
                <w:rStyle w:val="Hyperlink"/>
                <w:rFonts w:ascii="Times New Roman" w:hAnsi="Times New Roman" w:cs="Times New Roman"/>
                <w:noProof/>
              </w:rPr>
              <w:t>Receivables Days</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_Toc219020654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14</w:t>
            </w:r>
            <w:r w:rsidRPr="005D7E96">
              <w:rPr>
                <w:rFonts w:ascii="Times New Roman" w:hAnsi="Times New Roman" w:cs="Times New Roman"/>
                <w:noProof/>
                <w:webHidden/>
              </w:rPr>
              <w:fldChar w:fldCharType="end"/>
            </w:r>
          </w:hyperlink>
        </w:p>
        <w:p w14:paraId="3FFCA400" w14:textId="047D0264" w:rsidR="005D7E96" w:rsidRPr="005D7E96" w:rsidRDefault="005D7E96">
          <w:pPr>
            <w:pStyle w:val="TOC3"/>
            <w:tabs>
              <w:tab w:val="right" w:leader="dot" w:pos="9350"/>
            </w:tabs>
            <w:rPr>
              <w:rFonts w:ascii="Times New Roman" w:hAnsi="Times New Roman" w:cs="Times New Roman"/>
              <w:noProof/>
            </w:rPr>
          </w:pPr>
          <w:hyperlink w:anchor="_Toc219020655" w:history="1">
            <w:r w:rsidRPr="005D7E96">
              <w:rPr>
                <w:rStyle w:val="Hyperlink"/>
                <w:rFonts w:ascii="Times New Roman" w:hAnsi="Times New Roman" w:cs="Times New Roman"/>
                <w:noProof/>
              </w:rPr>
              <w:t>Payables Days</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_Toc219020655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14</w:t>
            </w:r>
            <w:r w:rsidRPr="005D7E96">
              <w:rPr>
                <w:rFonts w:ascii="Times New Roman" w:hAnsi="Times New Roman" w:cs="Times New Roman"/>
                <w:noProof/>
                <w:webHidden/>
              </w:rPr>
              <w:fldChar w:fldCharType="end"/>
            </w:r>
          </w:hyperlink>
        </w:p>
        <w:p w14:paraId="5A2C5C4E" w14:textId="5E537B53" w:rsidR="005D7E96" w:rsidRPr="005D7E96" w:rsidRDefault="005D7E96">
          <w:pPr>
            <w:pStyle w:val="TOC3"/>
            <w:tabs>
              <w:tab w:val="right" w:leader="dot" w:pos="9350"/>
            </w:tabs>
            <w:rPr>
              <w:rFonts w:ascii="Times New Roman" w:hAnsi="Times New Roman" w:cs="Times New Roman"/>
              <w:noProof/>
            </w:rPr>
          </w:pPr>
          <w:hyperlink w:anchor="_Toc219020656" w:history="1">
            <w:r w:rsidRPr="005D7E96">
              <w:rPr>
                <w:rStyle w:val="Hyperlink"/>
                <w:rFonts w:ascii="Times New Roman" w:hAnsi="Times New Roman" w:cs="Times New Roman"/>
                <w:noProof/>
              </w:rPr>
              <w:t>Efficiency Analysis Summary</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_Toc219020656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15</w:t>
            </w:r>
            <w:r w:rsidRPr="005D7E96">
              <w:rPr>
                <w:rFonts w:ascii="Times New Roman" w:hAnsi="Times New Roman" w:cs="Times New Roman"/>
                <w:noProof/>
                <w:webHidden/>
              </w:rPr>
              <w:fldChar w:fldCharType="end"/>
            </w:r>
          </w:hyperlink>
        </w:p>
        <w:p w14:paraId="72DE0109" w14:textId="2F4D2380" w:rsidR="005D7E96" w:rsidRPr="005D7E96" w:rsidRDefault="005D7E96">
          <w:pPr>
            <w:pStyle w:val="TOC2"/>
            <w:tabs>
              <w:tab w:val="right" w:leader="dot" w:pos="9350"/>
            </w:tabs>
            <w:rPr>
              <w:rFonts w:ascii="Times New Roman" w:hAnsi="Times New Roman" w:cs="Times New Roman"/>
              <w:noProof/>
            </w:rPr>
          </w:pPr>
          <w:hyperlink w:anchor="_Toc219020657" w:history="1">
            <w:r w:rsidRPr="005D7E96">
              <w:rPr>
                <w:rStyle w:val="Hyperlink"/>
                <w:rFonts w:ascii="Times New Roman" w:hAnsi="Times New Roman" w:cs="Times New Roman"/>
                <w:noProof/>
              </w:rPr>
              <w:t>Investor Performance</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_Toc219020657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15</w:t>
            </w:r>
            <w:r w:rsidRPr="005D7E96">
              <w:rPr>
                <w:rFonts w:ascii="Times New Roman" w:hAnsi="Times New Roman" w:cs="Times New Roman"/>
                <w:noProof/>
                <w:webHidden/>
              </w:rPr>
              <w:fldChar w:fldCharType="end"/>
            </w:r>
          </w:hyperlink>
        </w:p>
        <w:p w14:paraId="49DABB44" w14:textId="68F86DEC" w:rsidR="005D7E96" w:rsidRPr="005D7E96" w:rsidRDefault="005D7E96">
          <w:pPr>
            <w:pStyle w:val="TOC3"/>
            <w:tabs>
              <w:tab w:val="right" w:leader="dot" w:pos="9350"/>
            </w:tabs>
            <w:rPr>
              <w:rFonts w:ascii="Times New Roman" w:hAnsi="Times New Roman" w:cs="Times New Roman"/>
              <w:noProof/>
            </w:rPr>
          </w:pPr>
          <w:hyperlink w:anchor="_Toc219020658" w:history="1">
            <w:r w:rsidRPr="005D7E96">
              <w:rPr>
                <w:rStyle w:val="Hyperlink"/>
                <w:rFonts w:ascii="Times New Roman" w:hAnsi="Times New Roman" w:cs="Times New Roman"/>
                <w:noProof/>
              </w:rPr>
              <w:t>Earnings per Share (EPS)</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_Toc219020658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16</w:t>
            </w:r>
            <w:r w:rsidRPr="005D7E96">
              <w:rPr>
                <w:rFonts w:ascii="Times New Roman" w:hAnsi="Times New Roman" w:cs="Times New Roman"/>
                <w:noProof/>
                <w:webHidden/>
              </w:rPr>
              <w:fldChar w:fldCharType="end"/>
            </w:r>
          </w:hyperlink>
        </w:p>
        <w:p w14:paraId="674F096D" w14:textId="500307C4" w:rsidR="005D7E96" w:rsidRPr="005D7E96" w:rsidRDefault="005D7E96">
          <w:pPr>
            <w:pStyle w:val="TOC3"/>
            <w:tabs>
              <w:tab w:val="right" w:leader="dot" w:pos="9350"/>
            </w:tabs>
            <w:rPr>
              <w:rFonts w:ascii="Times New Roman" w:hAnsi="Times New Roman" w:cs="Times New Roman"/>
              <w:noProof/>
            </w:rPr>
          </w:pPr>
          <w:hyperlink w:anchor="_Toc219020659" w:history="1">
            <w:r w:rsidRPr="005D7E96">
              <w:rPr>
                <w:rStyle w:val="Hyperlink"/>
                <w:rFonts w:ascii="Times New Roman" w:hAnsi="Times New Roman" w:cs="Times New Roman"/>
                <w:noProof/>
              </w:rPr>
              <w:t>Dividend per Share and Dividend Cover</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_Toc219020659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16</w:t>
            </w:r>
            <w:r w:rsidRPr="005D7E96">
              <w:rPr>
                <w:rFonts w:ascii="Times New Roman" w:hAnsi="Times New Roman" w:cs="Times New Roman"/>
                <w:noProof/>
                <w:webHidden/>
              </w:rPr>
              <w:fldChar w:fldCharType="end"/>
            </w:r>
          </w:hyperlink>
        </w:p>
        <w:p w14:paraId="5E297FC0" w14:textId="03E85CDF" w:rsidR="005D7E96" w:rsidRPr="005D7E96" w:rsidRDefault="005D7E96">
          <w:pPr>
            <w:pStyle w:val="TOC3"/>
            <w:tabs>
              <w:tab w:val="right" w:leader="dot" w:pos="9350"/>
            </w:tabs>
            <w:rPr>
              <w:rFonts w:ascii="Times New Roman" w:hAnsi="Times New Roman" w:cs="Times New Roman"/>
              <w:noProof/>
            </w:rPr>
          </w:pPr>
          <w:hyperlink w:anchor="_Toc219020660" w:history="1">
            <w:r w:rsidRPr="005D7E96">
              <w:rPr>
                <w:rStyle w:val="Hyperlink"/>
                <w:rFonts w:ascii="Times New Roman" w:hAnsi="Times New Roman" w:cs="Times New Roman"/>
                <w:noProof/>
              </w:rPr>
              <w:t>Dividend Yield</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_Toc219020660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17</w:t>
            </w:r>
            <w:r w:rsidRPr="005D7E96">
              <w:rPr>
                <w:rFonts w:ascii="Times New Roman" w:hAnsi="Times New Roman" w:cs="Times New Roman"/>
                <w:noProof/>
                <w:webHidden/>
              </w:rPr>
              <w:fldChar w:fldCharType="end"/>
            </w:r>
          </w:hyperlink>
        </w:p>
        <w:p w14:paraId="7916CAD4" w14:textId="1645FCDA" w:rsidR="005D7E96" w:rsidRPr="005D7E96" w:rsidRDefault="005D7E96">
          <w:pPr>
            <w:pStyle w:val="TOC3"/>
            <w:tabs>
              <w:tab w:val="right" w:leader="dot" w:pos="9350"/>
            </w:tabs>
            <w:rPr>
              <w:rFonts w:ascii="Times New Roman" w:hAnsi="Times New Roman" w:cs="Times New Roman"/>
              <w:noProof/>
            </w:rPr>
          </w:pPr>
          <w:hyperlink w:anchor="_Toc219020661" w:history="1">
            <w:r w:rsidRPr="005D7E96">
              <w:rPr>
                <w:rStyle w:val="Hyperlink"/>
                <w:rFonts w:ascii="Times New Roman" w:hAnsi="Times New Roman" w:cs="Times New Roman"/>
                <w:noProof/>
              </w:rPr>
              <w:t>Price/Earnings (P/E) Ratio</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_Toc219020661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17</w:t>
            </w:r>
            <w:r w:rsidRPr="005D7E96">
              <w:rPr>
                <w:rFonts w:ascii="Times New Roman" w:hAnsi="Times New Roman" w:cs="Times New Roman"/>
                <w:noProof/>
                <w:webHidden/>
              </w:rPr>
              <w:fldChar w:fldCharType="end"/>
            </w:r>
          </w:hyperlink>
        </w:p>
        <w:p w14:paraId="7A701E4C" w14:textId="61ABC4A1" w:rsidR="005D7E96" w:rsidRPr="005D7E96" w:rsidRDefault="005D7E96">
          <w:pPr>
            <w:pStyle w:val="TOC3"/>
            <w:tabs>
              <w:tab w:val="right" w:leader="dot" w:pos="9350"/>
            </w:tabs>
            <w:rPr>
              <w:rFonts w:ascii="Times New Roman" w:hAnsi="Times New Roman" w:cs="Times New Roman"/>
              <w:noProof/>
            </w:rPr>
          </w:pPr>
          <w:hyperlink w:anchor="_Toc219020662" w:history="1">
            <w:r w:rsidRPr="005D7E96">
              <w:rPr>
                <w:rStyle w:val="Hyperlink"/>
                <w:rFonts w:ascii="Times New Roman" w:hAnsi="Times New Roman" w:cs="Times New Roman"/>
                <w:noProof/>
              </w:rPr>
              <w:t>Investor Performance Summary</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_Toc219020662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18</w:t>
            </w:r>
            <w:r w:rsidRPr="005D7E96">
              <w:rPr>
                <w:rFonts w:ascii="Times New Roman" w:hAnsi="Times New Roman" w:cs="Times New Roman"/>
                <w:noProof/>
                <w:webHidden/>
              </w:rPr>
              <w:fldChar w:fldCharType="end"/>
            </w:r>
          </w:hyperlink>
        </w:p>
        <w:p w14:paraId="3A475068" w14:textId="342BD089" w:rsidR="005D7E96" w:rsidRPr="005D7E96" w:rsidRDefault="005D7E96">
          <w:pPr>
            <w:pStyle w:val="TOC1"/>
            <w:tabs>
              <w:tab w:val="right" w:leader="dot" w:pos="9350"/>
            </w:tabs>
            <w:rPr>
              <w:rFonts w:ascii="Times New Roman" w:hAnsi="Times New Roman" w:cs="Times New Roman"/>
              <w:noProof/>
            </w:rPr>
          </w:pPr>
          <w:hyperlink w:anchor="_Toc219020663" w:history="1">
            <w:r w:rsidRPr="005D7E96">
              <w:rPr>
                <w:rStyle w:val="Hyperlink"/>
                <w:rFonts w:ascii="Times New Roman" w:hAnsi="Times New Roman" w:cs="Times New Roman"/>
                <w:noProof/>
              </w:rPr>
              <w:t>Part 2 – Investment Appraisal for Westward Plc</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_Toc219020663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18</w:t>
            </w:r>
            <w:r w:rsidRPr="005D7E96">
              <w:rPr>
                <w:rFonts w:ascii="Times New Roman" w:hAnsi="Times New Roman" w:cs="Times New Roman"/>
                <w:noProof/>
                <w:webHidden/>
              </w:rPr>
              <w:fldChar w:fldCharType="end"/>
            </w:r>
          </w:hyperlink>
        </w:p>
        <w:p w14:paraId="5CE476ED" w14:textId="6A055AD1" w:rsidR="005D7E96" w:rsidRPr="005D7E96" w:rsidRDefault="005D7E96">
          <w:pPr>
            <w:pStyle w:val="TOC2"/>
            <w:tabs>
              <w:tab w:val="right" w:leader="dot" w:pos="9350"/>
            </w:tabs>
            <w:rPr>
              <w:rFonts w:ascii="Times New Roman" w:hAnsi="Times New Roman" w:cs="Times New Roman"/>
              <w:noProof/>
            </w:rPr>
          </w:pPr>
          <w:hyperlink w:anchor="_Toc219020664" w:history="1">
            <w:r w:rsidRPr="005D7E96">
              <w:rPr>
                <w:rStyle w:val="Hyperlink"/>
                <w:rFonts w:ascii="Times New Roman" w:hAnsi="Times New Roman" w:cs="Times New Roman"/>
                <w:noProof/>
              </w:rPr>
              <w:t>(a) Net Present Value (NPV)</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_Toc219020664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19</w:t>
            </w:r>
            <w:r w:rsidRPr="005D7E96">
              <w:rPr>
                <w:rFonts w:ascii="Times New Roman" w:hAnsi="Times New Roman" w:cs="Times New Roman"/>
                <w:noProof/>
                <w:webHidden/>
              </w:rPr>
              <w:fldChar w:fldCharType="end"/>
            </w:r>
          </w:hyperlink>
        </w:p>
        <w:p w14:paraId="43B3576F" w14:textId="618DCABE" w:rsidR="005D7E96" w:rsidRPr="005D7E96" w:rsidRDefault="005D7E96">
          <w:pPr>
            <w:pStyle w:val="TOC3"/>
            <w:tabs>
              <w:tab w:val="right" w:leader="dot" w:pos="9350"/>
            </w:tabs>
            <w:rPr>
              <w:rFonts w:ascii="Times New Roman" w:hAnsi="Times New Roman" w:cs="Times New Roman"/>
              <w:noProof/>
            </w:rPr>
          </w:pPr>
          <w:hyperlink w:anchor="_Toc219020665" w:history="1">
            <w:r w:rsidRPr="005D7E96">
              <w:rPr>
                <w:rStyle w:val="Hyperlink"/>
                <w:rFonts w:ascii="Times New Roman" w:hAnsi="Times New Roman" w:cs="Times New Roman"/>
                <w:noProof/>
              </w:rPr>
              <w:t>Interpretation</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_Toc219020665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19</w:t>
            </w:r>
            <w:r w:rsidRPr="005D7E96">
              <w:rPr>
                <w:rFonts w:ascii="Times New Roman" w:hAnsi="Times New Roman" w:cs="Times New Roman"/>
                <w:noProof/>
                <w:webHidden/>
              </w:rPr>
              <w:fldChar w:fldCharType="end"/>
            </w:r>
          </w:hyperlink>
        </w:p>
        <w:p w14:paraId="522E2865" w14:textId="1A3C5828" w:rsidR="005D7E96" w:rsidRPr="005D7E96" w:rsidRDefault="005D7E96">
          <w:pPr>
            <w:pStyle w:val="TOC3"/>
            <w:tabs>
              <w:tab w:val="right" w:leader="dot" w:pos="9350"/>
            </w:tabs>
            <w:rPr>
              <w:rFonts w:ascii="Times New Roman" w:hAnsi="Times New Roman" w:cs="Times New Roman"/>
              <w:noProof/>
            </w:rPr>
          </w:pPr>
          <w:hyperlink w:anchor="_Toc219020666" w:history="1">
            <w:r w:rsidRPr="005D7E96">
              <w:rPr>
                <w:rStyle w:val="Hyperlink"/>
                <w:rFonts w:ascii="Times New Roman" w:hAnsi="Times New Roman" w:cs="Times New Roman"/>
                <w:noProof/>
              </w:rPr>
              <w:t>Recommendation Based on NPV</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_Toc219020666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20</w:t>
            </w:r>
            <w:r w:rsidRPr="005D7E96">
              <w:rPr>
                <w:rFonts w:ascii="Times New Roman" w:hAnsi="Times New Roman" w:cs="Times New Roman"/>
                <w:noProof/>
                <w:webHidden/>
              </w:rPr>
              <w:fldChar w:fldCharType="end"/>
            </w:r>
          </w:hyperlink>
        </w:p>
        <w:p w14:paraId="4FD09A2F" w14:textId="04FEC784" w:rsidR="005D7E96" w:rsidRPr="005D7E96" w:rsidRDefault="005D7E96">
          <w:pPr>
            <w:pStyle w:val="TOC2"/>
            <w:tabs>
              <w:tab w:val="right" w:leader="dot" w:pos="9350"/>
            </w:tabs>
            <w:rPr>
              <w:rFonts w:ascii="Times New Roman" w:hAnsi="Times New Roman" w:cs="Times New Roman"/>
              <w:noProof/>
            </w:rPr>
          </w:pPr>
          <w:hyperlink w:anchor="_Toc219020667" w:history="1">
            <w:r w:rsidRPr="005D7E96">
              <w:rPr>
                <w:rStyle w:val="Hyperlink"/>
                <w:rFonts w:ascii="Times New Roman" w:hAnsi="Times New Roman" w:cs="Times New Roman"/>
                <w:noProof/>
              </w:rPr>
              <w:t>(b) Internal Rate of Return (IRR) Evaluation</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_Toc219020667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20</w:t>
            </w:r>
            <w:r w:rsidRPr="005D7E96">
              <w:rPr>
                <w:rFonts w:ascii="Times New Roman" w:hAnsi="Times New Roman" w:cs="Times New Roman"/>
                <w:noProof/>
                <w:webHidden/>
              </w:rPr>
              <w:fldChar w:fldCharType="end"/>
            </w:r>
          </w:hyperlink>
        </w:p>
        <w:p w14:paraId="10B7E1B5" w14:textId="4588E27D" w:rsidR="005D7E96" w:rsidRPr="005D7E96" w:rsidRDefault="005D7E96">
          <w:pPr>
            <w:pStyle w:val="TOC3"/>
            <w:tabs>
              <w:tab w:val="right" w:leader="dot" w:pos="9350"/>
            </w:tabs>
            <w:rPr>
              <w:rFonts w:ascii="Times New Roman" w:hAnsi="Times New Roman" w:cs="Times New Roman"/>
              <w:noProof/>
            </w:rPr>
          </w:pPr>
          <w:hyperlink w:anchor="_Toc219020668" w:history="1">
            <w:r w:rsidRPr="005D7E96">
              <w:rPr>
                <w:rStyle w:val="Hyperlink"/>
                <w:rFonts w:ascii="Times New Roman" w:hAnsi="Times New Roman" w:cs="Times New Roman"/>
                <w:noProof/>
              </w:rPr>
              <w:t>Interpretation</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_Toc219020668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21</w:t>
            </w:r>
            <w:r w:rsidRPr="005D7E96">
              <w:rPr>
                <w:rFonts w:ascii="Times New Roman" w:hAnsi="Times New Roman" w:cs="Times New Roman"/>
                <w:noProof/>
                <w:webHidden/>
              </w:rPr>
              <w:fldChar w:fldCharType="end"/>
            </w:r>
          </w:hyperlink>
        </w:p>
        <w:p w14:paraId="795A8E0E" w14:textId="692C7100" w:rsidR="005D7E96" w:rsidRPr="005D7E96" w:rsidRDefault="005D7E96">
          <w:pPr>
            <w:pStyle w:val="TOC2"/>
            <w:tabs>
              <w:tab w:val="right" w:leader="dot" w:pos="9350"/>
            </w:tabs>
            <w:rPr>
              <w:rFonts w:ascii="Times New Roman" w:hAnsi="Times New Roman" w:cs="Times New Roman"/>
              <w:noProof/>
            </w:rPr>
          </w:pPr>
          <w:hyperlink w:anchor="_Toc219020669" w:history="1">
            <w:r w:rsidRPr="005D7E96">
              <w:rPr>
                <w:rStyle w:val="Hyperlink"/>
                <w:rFonts w:ascii="Times New Roman" w:hAnsi="Times New Roman" w:cs="Times New Roman"/>
                <w:noProof/>
              </w:rPr>
              <w:t>IRR versus NPV</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_Toc219020669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21</w:t>
            </w:r>
            <w:r w:rsidRPr="005D7E96">
              <w:rPr>
                <w:rFonts w:ascii="Times New Roman" w:hAnsi="Times New Roman" w:cs="Times New Roman"/>
                <w:noProof/>
                <w:webHidden/>
              </w:rPr>
              <w:fldChar w:fldCharType="end"/>
            </w:r>
          </w:hyperlink>
        </w:p>
        <w:p w14:paraId="22089CDC" w14:textId="0C3C96CD" w:rsidR="005D7E96" w:rsidRPr="005D7E96" w:rsidRDefault="005D7E96">
          <w:pPr>
            <w:pStyle w:val="TOC2"/>
            <w:tabs>
              <w:tab w:val="right" w:leader="dot" w:pos="9350"/>
            </w:tabs>
            <w:rPr>
              <w:rFonts w:ascii="Times New Roman" w:hAnsi="Times New Roman" w:cs="Times New Roman"/>
              <w:noProof/>
            </w:rPr>
          </w:pPr>
          <w:hyperlink w:anchor="_Toc219020670" w:history="1">
            <w:r w:rsidRPr="005D7E96">
              <w:rPr>
                <w:rStyle w:val="Hyperlink"/>
                <w:rFonts w:ascii="Times New Roman" w:hAnsi="Times New Roman" w:cs="Times New Roman"/>
                <w:noProof/>
              </w:rPr>
              <w:t>Payback Period and Accounting Rate of Return (ARR)</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_Toc219020670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22</w:t>
            </w:r>
            <w:r w:rsidRPr="005D7E96">
              <w:rPr>
                <w:rFonts w:ascii="Times New Roman" w:hAnsi="Times New Roman" w:cs="Times New Roman"/>
                <w:noProof/>
                <w:webHidden/>
              </w:rPr>
              <w:fldChar w:fldCharType="end"/>
            </w:r>
          </w:hyperlink>
        </w:p>
        <w:p w14:paraId="3F765B72" w14:textId="2F959982" w:rsidR="005D7E96" w:rsidRPr="005D7E96" w:rsidRDefault="005D7E96">
          <w:pPr>
            <w:pStyle w:val="TOC3"/>
            <w:tabs>
              <w:tab w:val="right" w:leader="dot" w:pos="9350"/>
            </w:tabs>
            <w:rPr>
              <w:rFonts w:ascii="Times New Roman" w:hAnsi="Times New Roman" w:cs="Times New Roman"/>
              <w:noProof/>
            </w:rPr>
          </w:pPr>
          <w:hyperlink w:anchor="_Toc219020671" w:history="1">
            <w:r w:rsidRPr="005D7E96">
              <w:rPr>
                <w:rStyle w:val="Hyperlink"/>
                <w:rFonts w:ascii="Times New Roman" w:hAnsi="Times New Roman" w:cs="Times New Roman"/>
                <w:noProof/>
              </w:rPr>
              <w:t>Payback Period</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_Toc219020671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22</w:t>
            </w:r>
            <w:r w:rsidRPr="005D7E96">
              <w:rPr>
                <w:rFonts w:ascii="Times New Roman" w:hAnsi="Times New Roman" w:cs="Times New Roman"/>
                <w:noProof/>
                <w:webHidden/>
              </w:rPr>
              <w:fldChar w:fldCharType="end"/>
            </w:r>
          </w:hyperlink>
        </w:p>
        <w:p w14:paraId="3A9EEEBE" w14:textId="33613331" w:rsidR="005D7E96" w:rsidRPr="005D7E96" w:rsidRDefault="005D7E96">
          <w:pPr>
            <w:pStyle w:val="TOC3"/>
            <w:tabs>
              <w:tab w:val="right" w:leader="dot" w:pos="9350"/>
            </w:tabs>
            <w:rPr>
              <w:rFonts w:ascii="Times New Roman" w:hAnsi="Times New Roman" w:cs="Times New Roman"/>
              <w:noProof/>
            </w:rPr>
          </w:pPr>
          <w:hyperlink w:anchor="_Toc219020672" w:history="1">
            <w:r w:rsidRPr="005D7E96">
              <w:rPr>
                <w:rStyle w:val="Hyperlink"/>
                <w:rFonts w:ascii="Times New Roman" w:hAnsi="Times New Roman" w:cs="Times New Roman"/>
                <w:noProof/>
              </w:rPr>
              <w:t>Interpretation of Payback Results</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_Toc219020672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22</w:t>
            </w:r>
            <w:r w:rsidRPr="005D7E96">
              <w:rPr>
                <w:rFonts w:ascii="Times New Roman" w:hAnsi="Times New Roman" w:cs="Times New Roman"/>
                <w:noProof/>
                <w:webHidden/>
              </w:rPr>
              <w:fldChar w:fldCharType="end"/>
            </w:r>
          </w:hyperlink>
        </w:p>
        <w:p w14:paraId="7E39D00D" w14:textId="159FB570" w:rsidR="005D7E96" w:rsidRPr="005D7E96" w:rsidRDefault="005D7E96">
          <w:pPr>
            <w:pStyle w:val="TOC2"/>
            <w:tabs>
              <w:tab w:val="right" w:leader="dot" w:pos="9350"/>
            </w:tabs>
            <w:rPr>
              <w:rFonts w:ascii="Times New Roman" w:hAnsi="Times New Roman" w:cs="Times New Roman"/>
              <w:noProof/>
            </w:rPr>
          </w:pPr>
          <w:hyperlink w:anchor="_Toc219020673" w:history="1">
            <w:r w:rsidRPr="005D7E96">
              <w:rPr>
                <w:rStyle w:val="Hyperlink"/>
                <w:rFonts w:ascii="Times New Roman" w:hAnsi="Times New Roman" w:cs="Times New Roman"/>
                <w:noProof/>
              </w:rPr>
              <w:t>Accounting Rate of Return (ARR)</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_Toc219020673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23</w:t>
            </w:r>
            <w:r w:rsidRPr="005D7E96">
              <w:rPr>
                <w:rFonts w:ascii="Times New Roman" w:hAnsi="Times New Roman" w:cs="Times New Roman"/>
                <w:noProof/>
                <w:webHidden/>
              </w:rPr>
              <w:fldChar w:fldCharType="end"/>
            </w:r>
          </w:hyperlink>
        </w:p>
        <w:p w14:paraId="0AEF8B8C" w14:textId="43A760E3" w:rsidR="005D7E96" w:rsidRPr="005D7E96" w:rsidRDefault="005D7E96">
          <w:pPr>
            <w:pStyle w:val="TOC3"/>
            <w:tabs>
              <w:tab w:val="right" w:leader="dot" w:pos="9350"/>
            </w:tabs>
            <w:rPr>
              <w:rFonts w:ascii="Times New Roman" w:hAnsi="Times New Roman" w:cs="Times New Roman"/>
              <w:noProof/>
            </w:rPr>
          </w:pPr>
          <w:hyperlink w:anchor="_Toc219020674" w:history="1">
            <w:r w:rsidRPr="005D7E96">
              <w:rPr>
                <w:rStyle w:val="Hyperlink"/>
                <w:rFonts w:ascii="Times New Roman" w:hAnsi="Times New Roman" w:cs="Times New Roman"/>
                <w:noProof/>
              </w:rPr>
              <w:t>Interpretation of ARR Results</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_Toc219020674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23</w:t>
            </w:r>
            <w:r w:rsidRPr="005D7E96">
              <w:rPr>
                <w:rFonts w:ascii="Times New Roman" w:hAnsi="Times New Roman" w:cs="Times New Roman"/>
                <w:noProof/>
                <w:webHidden/>
              </w:rPr>
              <w:fldChar w:fldCharType="end"/>
            </w:r>
          </w:hyperlink>
        </w:p>
        <w:p w14:paraId="22C9210D" w14:textId="3F357554" w:rsidR="005D7E96" w:rsidRPr="005D7E96" w:rsidRDefault="005D7E96">
          <w:pPr>
            <w:pStyle w:val="TOC3"/>
            <w:tabs>
              <w:tab w:val="right" w:leader="dot" w:pos="9350"/>
            </w:tabs>
            <w:rPr>
              <w:rFonts w:ascii="Times New Roman" w:hAnsi="Times New Roman" w:cs="Times New Roman"/>
              <w:noProof/>
            </w:rPr>
          </w:pPr>
          <w:hyperlink w:anchor="_Toc219020675" w:history="1">
            <w:r w:rsidRPr="005D7E96">
              <w:rPr>
                <w:rStyle w:val="Hyperlink"/>
                <w:rFonts w:ascii="Times New Roman" w:hAnsi="Times New Roman" w:cs="Times New Roman"/>
                <w:noProof/>
              </w:rPr>
              <w:t>Summary of Non-Discounting Methods</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_Toc219020675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24</w:t>
            </w:r>
            <w:r w:rsidRPr="005D7E96">
              <w:rPr>
                <w:rFonts w:ascii="Times New Roman" w:hAnsi="Times New Roman" w:cs="Times New Roman"/>
                <w:noProof/>
                <w:webHidden/>
              </w:rPr>
              <w:fldChar w:fldCharType="end"/>
            </w:r>
          </w:hyperlink>
        </w:p>
        <w:p w14:paraId="1905A320" w14:textId="1D9F9E3E" w:rsidR="005D7E96" w:rsidRPr="005D7E96" w:rsidRDefault="005D7E96">
          <w:pPr>
            <w:pStyle w:val="TOC3"/>
            <w:tabs>
              <w:tab w:val="right" w:leader="dot" w:pos="9350"/>
            </w:tabs>
            <w:rPr>
              <w:rFonts w:ascii="Times New Roman" w:hAnsi="Times New Roman" w:cs="Times New Roman"/>
              <w:noProof/>
            </w:rPr>
          </w:pPr>
          <w:hyperlink w:anchor="_Toc219020676" w:history="1">
            <w:r w:rsidRPr="005D7E96">
              <w:rPr>
                <w:rStyle w:val="Hyperlink"/>
                <w:rFonts w:ascii="Times New Roman" w:hAnsi="Times New Roman" w:cs="Times New Roman"/>
                <w:noProof/>
              </w:rPr>
              <w:t>(c) Interpretation of Results for Management</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_Toc219020676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24</w:t>
            </w:r>
            <w:r w:rsidRPr="005D7E96">
              <w:rPr>
                <w:rFonts w:ascii="Times New Roman" w:hAnsi="Times New Roman" w:cs="Times New Roman"/>
                <w:noProof/>
                <w:webHidden/>
              </w:rPr>
              <w:fldChar w:fldCharType="end"/>
            </w:r>
          </w:hyperlink>
        </w:p>
        <w:p w14:paraId="084FCD55" w14:textId="32388B5B" w:rsidR="005D7E96" w:rsidRPr="005D7E96" w:rsidRDefault="005D7E96">
          <w:pPr>
            <w:pStyle w:val="TOC2"/>
            <w:tabs>
              <w:tab w:val="right" w:leader="dot" w:pos="9350"/>
            </w:tabs>
            <w:rPr>
              <w:rFonts w:ascii="Times New Roman" w:hAnsi="Times New Roman" w:cs="Times New Roman"/>
              <w:noProof/>
            </w:rPr>
          </w:pPr>
          <w:hyperlink w:anchor="_Toc219020677" w:history="1">
            <w:r w:rsidRPr="005D7E96">
              <w:rPr>
                <w:rStyle w:val="Hyperlink"/>
                <w:rFonts w:ascii="Times New Roman" w:hAnsi="Times New Roman" w:cs="Times New Roman"/>
                <w:noProof/>
              </w:rPr>
              <w:t>(c.i) Theoretical Arguments for Net Present Value as the Best Method of Investment Appraisal</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_Toc219020677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24</w:t>
            </w:r>
            <w:r w:rsidRPr="005D7E96">
              <w:rPr>
                <w:rFonts w:ascii="Times New Roman" w:hAnsi="Times New Roman" w:cs="Times New Roman"/>
                <w:noProof/>
                <w:webHidden/>
              </w:rPr>
              <w:fldChar w:fldCharType="end"/>
            </w:r>
          </w:hyperlink>
        </w:p>
        <w:p w14:paraId="7884ED06" w14:textId="418FC6F1" w:rsidR="005D7E96" w:rsidRPr="005D7E96" w:rsidRDefault="005D7E96">
          <w:pPr>
            <w:pStyle w:val="TOC2"/>
            <w:tabs>
              <w:tab w:val="right" w:leader="dot" w:pos="9350"/>
            </w:tabs>
            <w:rPr>
              <w:rFonts w:ascii="Times New Roman" w:hAnsi="Times New Roman" w:cs="Times New Roman"/>
              <w:noProof/>
            </w:rPr>
          </w:pPr>
          <w:hyperlink w:anchor="_Toc219020678" w:history="1">
            <w:r w:rsidRPr="005D7E96">
              <w:rPr>
                <w:rStyle w:val="Hyperlink"/>
                <w:rFonts w:ascii="Times New Roman" w:hAnsi="Times New Roman" w:cs="Times New Roman"/>
                <w:noProof/>
              </w:rPr>
              <w:t>(c.ii) Reasons for the Continued Popularity of Non-Discounting Methods</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_Toc219020678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25</w:t>
            </w:r>
            <w:r w:rsidRPr="005D7E96">
              <w:rPr>
                <w:rFonts w:ascii="Times New Roman" w:hAnsi="Times New Roman" w:cs="Times New Roman"/>
                <w:noProof/>
                <w:webHidden/>
              </w:rPr>
              <w:fldChar w:fldCharType="end"/>
            </w:r>
          </w:hyperlink>
        </w:p>
        <w:p w14:paraId="1E85F365" w14:textId="19A2DEE0" w:rsidR="005D7E96" w:rsidRPr="005D7E96" w:rsidRDefault="005D7E96">
          <w:pPr>
            <w:pStyle w:val="TOC2"/>
            <w:tabs>
              <w:tab w:val="right" w:leader="dot" w:pos="9350"/>
            </w:tabs>
            <w:rPr>
              <w:rFonts w:ascii="Times New Roman" w:hAnsi="Times New Roman" w:cs="Times New Roman"/>
              <w:noProof/>
            </w:rPr>
          </w:pPr>
          <w:hyperlink w:anchor="_Toc219020679" w:history="1">
            <w:r w:rsidRPr="005D7E96">
              <w:rPr>
                <w:rStyle w:val="Hyperlink"/>
                <w:rFonts w:ascii="Times New Roman" w:hAnsi="Times New Roman" w:cs="Times New Roman"/>
                <w:noProof/>
              </w:rPr>
              <w:t>(c.iii) Other Factors to Consider Before Making an Investment Decision</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_Toc219020679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26</w:t>
            </w:r>
            <w:r w:rsidRPr="005D7E96">
              <w:rPr>
                <w:rFonts w:ascii="Times New Roman" w:hAnsi="Times New Roman" w:cs="Times New Roman"/>
                <w:noProof/>
                <w:webHidden/>
              </w:rPr>
              <w:fldChar w:fldCharType="end"/>
            </w:r>
          </w:hyperlink>
        </w:p>
        <w:p w14:paraId="13D7390B" w14:textId="592B26C1" w:rsidR="005D7E96" w:rsidRPr="005D7E96" w:rsidRDefault="005D7E96">
          <w:pPr>
            <w:pStyle w:val="TOC3"/>
            <w:tabs>
              <w:tab w:val="right" w:leader="dot" w:pos="9350"/>
            </w:tabs>
            <w:rPr>
              <w:rFonts w:ascii="Times New Roman" w:hAnsi="Times New Roman" w:cs="Times New Roman"/>
              <w:noProof/>
            </w:rPr>
          </w:pPr>
          <w:hyperlink w:anchor="_Toc219020680" w:history="1">
            <w:r w:rsidRPr="005D7E96">
              <w:rPr>
                <w:rStyle w:val="Hyperlink"/>
                <w:rFonts w:ascii="Times New Roman" w:hAnsi="Times New Roman" w:cs="Times New Roman"/>
                <w:noProof/>
              </w:rPr>
              <w:t>Section (c) Summary</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_Toc219020680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27</w:t>
            </w:r>
            <w:r w:rsidRPr="005D7E96">
              <w:rPr>
                <w:rFonts w:ascii="Times New Roman" w:hAnsi="Times New Roman" w:cs="Times New Roman"/>
                <w:noProof/>
                <w:webHidden/>
              </w:rPr>
              <w:fldChar w:fldCharType="end"/>
            </w:r>
          </w:hyperlink>
        </w:p>
        <w:p w14:paraId="42B41C2F" w14:textId="67A7057D" w:rsidR="005D7E96" w:rsidRPr="005D7E96" w:rsidRDefault="005D7E96">
          <w:pPr>
            <w:pStyle w:val="TOC2"/>
            <w:tabs>
              <w:tab w:val="right" w:leader="dot" w:pos="9350"/>
            </w:tabs>
            <w:rPr>
              <w:rFonts w:ascii="Times New Roman" w:hAnsi="Times New Roman" w:cs="Times New Roman"/>
              <w:noProof/>
            </w:rPr>
          </w:pPr>
          <w:hyperlink w:anchor="_Toc219020681" w:history="1">
            <w:r w:rsidRPr="005D7E96">
              <w:rPr>
                <w:rStyle w:val="Hyperlink"/>
                <w:rFonts w:ascii="Times New Roman" w:hAnsi="Times New Roman" w:cs="Times New Roman"/>
                <w:noProof/>
              </w:rPr>
              <w:t>(d) Capital Rationing</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_Toc219020681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27</w:t>
            </w:r>
            <w:r w:rsidRPr="005D7E96">
              <w:rPr>
                <w:rFonts w:ascii="Times New Roman" w:hAnsi="Times New Roman" w:cs="Times New Roman"/>
                <w:noProof/>
                <w:webHidden/>
              </w:rPr>
              <w:fldChar w:fldCharType="end"/>
            </w:r>
          </w:hyperlink>
        </w:p>
        <w:p w14:paraId="12AA11F7" w14:textId="12D78789" w:rsidR="005D7E96" w:rsidRPr="005D7E96" w:rsidRDefault="005D7E96">
          <w:pPr>
            <w:pStyle w:val="TOC3"/>
            <w:tabs>
              <w:tab w:val="right" w:leader="dot" w:pos="9350"/>
            </w:tabs>
            <w:rPr>
              <w:rFonts w:ascii="Times New Roman" w:hAnsi="Times New Roman" w:cs="Times New Roman"/>
              <w:noProof/>
            </w:rPr>
          </w:pPr>
          <w:hyperlink w:anchor="_Toc219020682" w:history="1">
            <w:r w:rsidRPr="005D7E96">
              <w:rPr>
                <w:rStyle w:val="Hyperlink"/>
                <w:rFonts w:ascii="Times New Roman" w:hAnsi="Times New Roman" w:cs="Times New Roman"/>
                <w:noProof/>
              </w:rPr>
              <w:t>Optimal Investment Policy</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_Toc219020682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28</w:t>
            </w:r>
            <w:r w:rsidRPr="005D7E96">
              <w:rPr>
                <w:rFonts w:ascii="Times New Roman" w:hAnsi="Times New Roman" w:cs="Times New Roman"/>
                <w:noProof/>
                <w:webHidden/>
              </w:rPr>
              <w:fldChar w:fldCharType="end"/>
            </w:r>
          </w:hyperlink>
        </w:p>
        <w:p w14:paraId="217FF0DF" w14:textId="08FC82FC" w:rsidR="005D7E96" w:rsidRPr="005D7E96" w:rsidRDefault="005D7E96">
          <w:pPr>
            <w:pStyle w:val="TOC3"/>
            <w:tabs>
              <w:tab w:val="right" w:leader="dot" w:pos="9350"/>
            </w:tabs>
            <w:rPr>
              <w:rFonts w:ascii="Times New Roman" w:hAnsi="Times New Roman" w:cs="Times New Roman"/>
              <w:noProof/>
            </w:rPr>
          </w:pPr>
          <w:hyperlink w:anchor="_Toc219020683" w:history="1">
            <w:r w:rsidRPr="005D7E96">
              <w:rPr>
                <w:rStyle w:val="Hyperlink"/>
                <w:rFonts w:ascii="Times New Roman" w:hAnsi="Times New Roman" w:cs="Times New Roman"/>
                <w:noProof/>
              </w:rPr>
              <w:t>Interpretation for Management</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_Toc219020683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28</w:t>
            </w:r>
            <w:r w:rsidRPr="005D7E96">
              <w:rPr>
                <w:rFonts w:ascii="Times New Roman" w:hAnsi="Times New Roman" w:cs="Times New Roman"/>
                <w:noProof/>
                <w:webHidden/>
              </w:rPr>
              <w:fldChar w:fldCharType="end"/>
            </w:r>
          </w:hyperlink>
        </w:p>
        <w:p w14:paraId="44486112" w14:textId="709F97FD" w:rsidR="005D7E96" w:rsidRPr="005D7E96" w:rsidRDefault="005D7E96">
          <w:pPr>
            <w:pStyle w:val="TOC2"/>
            <w:tabs>
              <w:tab w:val="right" w:leader="dot" w:pos="9350"/>
            </w:tabs>
            <w:rPr>
              <w:rFonts w:ascii="Times New Roman" w:hAnsi="Times New Roman" w:cs="Times New Roman"/>
              <w:noProof/>
            </w:rPr>
          </w:pPr>
          <w:hyperlink w:anchor="_Toc219020684" w:history="1">
            <w:r w:rsidRPr="005D7E96">
              <w:rPr>
                <w:rStyle w:val="Hyperlink"/>
                <w:rFonts w:ascii="Times New Roman" w:hAnsi="Times New Roman" w:cs="Times New Roman"/>
                <w:noProof/>
              </w:rPr>
              <w:t>Financing the Investment Programme</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_Toc219020684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29</w:t>
            </w:r>
            <w:r w:rsidRPr="005D7E96">
              <w:rPr>
                <w:rFonts w:ascii="Times New Roman" w:hAnsi="Times New Roman" w:cs="Times New Roman"/>
                <w:noProof/>
                <w:webHidden/>
              </w:rPr>
              <w:fldChar w:fldCharType="end"/>
            </w:r>
          </w:hyperlink>
        </w:p>
        <w:p w14:paraId="27C0C303" w14:textId="736E02C8" w:rsidR="005D7E96" w:rsidRPr="005D7E96" w:rsidRDefault="005D7E96">
          <w:pPr>
            <w:pStyle w:val="TOC3"/>
            <w:tabs>
              <w:tab w:val="right" w:leader="dot" w:pos="9350"/>
            </w:tabs>
            <w:rPr>
              <w:rFonts w:ascii="Times New Roman" w:hAnsi="Times New Roman" w:cs="Times New Roman"/>
              <w:noProof/>
            </w:rPr>
          </w:pPr>
          <w:hyperlink w:anchor="_Toc219020685" w:history="1">
            <w:r w:rsidRPr="005D7E96">
              <w:rPr>
                <w:rStyle w:val="Hyperlink"/>
                <w:rFonts w:ascii="Times New Roman" w:hAnsi="Times New Roman" w:cs="Times New Roman"/>
                <w:noProof/>
              </w:rPr>
              <w:t>Recommended Financing Approach</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_Toc219020685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30</w:t>
            </w:r>
            <w:r w:rsidRPr="005D7E96">
              <w:rPr>
                <w:rFonts w:ascii="Times New Roman" w:hAnsi="Times New Roman" w:cs="Times New Roman"/>
                <w:noProof/>
                <w:webHidden/>
              </w:rPr>
              <w:fldChar w:fldCharType="end"/>
            </w:r>
          </w:hyperlink>
        </w:p>
        <w:p w14:paraId="29060AE8" w14:textId="2E00FB4C" w:rsidR="005D7E96" w:rsidRPr="005D7E96" w:rsidRDefault="005D7E96">
          <w:pPr>
            <w:pStyle w:val="TOC1"/>
            <w:tabs>
              <w:tab w:val="right" w:leader="dot" w:pos="9350"/>
            </w:tabs>
            <w:rPr>
              <w:rFonts w:ascii="Times New Roman" w:hAnsi="Times New Roman" w:cs="Times New Roman"/>
              <w:noProof/>
            </w:rPr>
          </w:pPr>
          <w:hyperlink w:anchor="_Toc219020686" w:history="1">
            <w:r w:rsidRPr="005D7E96">
              <w:rPr>
                <w:rStyle w:val="Hyperlink"/>
                <w:rFonts w:ascii="Times New Roman" w:eastAsia="Times New Roman" w:hAnsi="Times New Roman" w:cs="Times New Roman"/>
                <w:noProof/>
              </w:rPr>
              <w:t>Conclusion</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_Toc219020686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30</w:t>
            </w:r>
            <w:r w:rsidRPr="005D7E96">
              <w:rPr>
                <w:rFonts w:ascii="Times New Roman" w:hAnsi="Times New Roman" w:cs="Times New Roman"/>
                <w:noProof/>
                <w:webHidden/>
              </w:rPr>
              <w:fldChar w:fldCharType="end"/>
            </w:r>
          </w:hyperlink>
        </w:p>
        <w:p w14:paraId="67DD1E53" w14:textId="28DD6BA6" w:rsidR="005D7E96" w:rsidRPr="005D7E96" w:rsidRDefault="005D7E96">
          <w:pPr>
            <w:pStyle w:val="TOC1"/>
            <w:tabs>
              <w:tab w:val="right" w:leader="dot" w:pos="9350"/>
            </w:tabs>
            <w:rPr>
              <w:rFonts w:ascii="Times New Roman" w:hAnsi="Times New Roman" w:cs="Times New Roman"/>
              <w:noProof/>
            </w:rPr>
          </w:pPr>
          <w:hyperlink w:anchor="_Toc219020687" w:history="1">
            <w:r w:rsidRPr="005D7E96">
              <w:rPr>
                <w:rStyle w:val="Hyperlink"/>
                <w:rFonts w:ascii="Times New Roman" w:eastAsia="Times New Roman" w:hAnsi="Times New Roman" w:cs="Times New Roman"/>
                <w:noProof/>
              </w:rPr>
              <w:t>Reference list</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_Toc219020687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31</w:t>
            </w:r>
            <w:r w:rsidRPr="005D7E96">
              <w:rPr>
                <w:rFonts w:ascii="Times New Roman" w:hAnsi="Times New Roman" w:cs="Times New Roman"/>
                <w:noProof/>
                <w:webHidden/>
              </w:rPr>
              <w:fldChar w:fldCharType="end"/>
            </w:r>
          </w:hyperlink>
        </w:p>
        <w:p w14:paraId="28E15143" w14:textId="732CBE44" w:rsidR="005D7E96" w:rsidRPr="005D7E96" w:rsidRDefault="005D7E96">
          <w:pPr>
            <w:pStyle w:val="TOC1"/>
            <w:tabs>
              <w:tab w:val="right" w:leader="dot" w:pos="9350"/>
            </w:tabs>
            <w:rPr>
              <w:rFonts w:ascii="Times New Roman" w:hAnsi="Times New Roman" w:cs="Times New Roman"/>
              <w:noProof/>
            </w:rPr>
          </w:pPr>
          <w:hyperlink w:anchor="_Toc219020688" w:history="1">
            <w:r w:rsidRPr="005D7E96">
              <w:rPr>
                <w:rStyle w:val="Hyperlink"/>
                <w:rFonts w:ascii="Times New Roman" w:eastAsia="Times New Roman" w:hAnsi="Times New Roman" w:cs="Times New Roman"/>
                <w:noProof/>
              </w:rPr>
              <w:t>Appendix 1</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_Toc219020688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36</w:t>
            </w:r>
            <w:r w:rsidRPr="005D7E96">
              <w:rPr>
                <w:rFonts w:ascii="Times New Roman" w:hAnsi="Times New Roman" w:cs="Times New Roman"/>
                <w:noProof/>
                <w:webHidden/>
              </w:rPr>
              <w:fldChar w:fldCharType="end"/>
            </w:r>
          </w:hyperlink>
        </w:p>
        <w:p w14:paraId="66F73B86" w14:textId="1CA1AE57" w:rsidR="005D7E96" w:rsidRPr="005D7E96" w:rsidRDefault="005D7E96">
          <w:pPr>
            <w:pStyle w:val="TOC1"/>
            <w:tabs>
              <w:tab w:val="right" w:leader="dot" w:pos="9350"/>
            </w:tabs>
            <w:rPr>
              <w:rFonts w:ascii="Times New Roman" w:hAnsi="Times New Roman" w:cs="Times New Roman"/>
              <w:noProof/>
            </w:rPr>
          </w:pPr>
          <w:hyperlink w:anchor="_Toc219020689" w:history="1">
            <w:r w:rsidRPr="005D7E96">
              <w:rPr>
                <w:rStyle w:val="Hyperlink"/>
                <w:rFonts w:ascii="Times New Roman" w:eastAsia="Times New Roman" w:hAnsi="Times New Roman" w:cs="Times New Roman"/>
                <w:noProof/>
              </w:rPr>
              <w:t>Appendix 2</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_Toc219020689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40</w:t>
            </w:r>
            <w:r w:rsidRPr="005D7E96">
              <w:rPr>
                <w:rFonts w:ascii="Times New Roman" w:hAnsi="Times New Roman" w:cs="Times New Roman"/>
                <w:noProof/>
                <w:webHidden/>
              </w:rPr>
              <w:fldChar w:fldCharType="end"/>
            </w:r>
          </w:hyperlink>
        </w:p>
        <w:p w14:paraId="35B368C2" w14:textId="726BC0F1" w:rsidR="005D7E96" w:rsidRPr="005D7E96" w:rsidRDefault="005D7E96">
          <w:pPr>
            <w:pStyle w:val="TOC3"/>
            <w:tabs>
              <w:tab w:val="right" w:leader="dot" w:pos="9350"/>
            </w:tabs>
            <w:rPr>
              <w:rFonts w:ascii="Times New Roman" w:hAnsi="Times New Roman" w:cs="Times New Roman"/>
              <w:noProof/>
            </w:rPr>
          </w:pPr>
          <w:hyperlink w:anchor="_Toc219020690" w:history="1">
            <w:r w:rsidRPr="005D7E96">
              <w:rPr>
                <w:rStyle w:val="Hyperlink"/>
                <w:rFonts w:ascii="Times New Roman" w:eastAsia="Times New Roman" w:hAnsi="Times New Roman" w:cs="Times New Roman"/>
                <w:b/>
                <w:bCs/>
                <w:noProof/>
                <w:kern w:val="0"/>
                <w14:ligatures w14:val="none"/>
              </w:rPr>
              <w:t>1. After-tax cash flows (all options)</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_Toc219020690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40</w:t>
            </w:r>
            <w:r w:rsidRPr="005D7E96">
              <w:rPr>
                <w:rFonts w:ascii="Times New Roman" w:hAnsi="Times New Roman" w:cs="Times New Roman"/>
                <w:noProof/>
                <w:webHidden/>
              </w:rPr>
              <w:fldChar w:fldCharType="end"/>
            </w:r>
          </w:hyperlink>
        </w:p>
        <w:p w14:paraId="3EC6B597" w14:textId="67618C93" w:rsidR="005D7E96" w:rsidRPr="005D7E96" w:rsidRDefault="005D7E96">
          <w:pPr>
            <w:pStyle w:val="TOC3"/>
            <w:tabs>
              <w:tab w:val="right" w:leader="dot" w:pos="9350"/>
            </w:tabs>
            <w:rPr>
              <w:rFonts w:ascii="Times New Roman" w:hAnsi="Times New Roman" w:cs="Times New Roman"/>
              <w:noProof/>
            </w:rPr>
          </w:pPr>
          <w:hyperlink w:anchor="_Toc219020691" w:history="1">
            <w:r w:rsidRPr="005D7E96">
              <w:rPr>
                <w:rStyle w:val="Hyperlink"/>
                <w:rFonts w:ascii="Times New Roman" w:eastAsia="Times New Roman" w:hAnsi="Times New Roman" w:cs="Times New Roman"/>
                <w:b/>
                <w:bCs/>
                <w:noProof/>
                <w:kern w:val="0"/>
                <w14:ligatures w14:val="none"/>
              </w:rPr>
              <w:t>2. Net Present Value (NPV)</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_Toc219020691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40</w:t>
            </w:r>
            <w:r w:rsidRPr="005D7E96">
              <w:rPr>
                <w:rFonts w:ascii="Times New Roman" w:hAnsi="Times New Roman" w:cs="Times New Roman"/>
                <w:noProof/>
                <w:webHidden/>
              </w:rPr>
              <w:fldChar w:fldCharType="end"/>
            </w:r>
          </w:hyperlink>
        </w:p>
        <w:p w14:paraId="683136E6" w14:textId="4C84725F" w:rsidR="005D7E96" w:rsidRPr="005D7E96" w:rsidRDefault="005D7E96">
          <w:pPr>
            <w:pStyle w:val="TOC3"/>
            <w:tabs>
              <w:tab w:val="right" w:leader="dot" w:pos="9350"/>
            </w:tabs>
            <w:rPr>
              <w:rFonts w:ascii="Times New Roman" w:hAnsi="Times New Roman" w:cs="Times New Roman"/>
              <w:noProof/>
            </w:rPr>
          </w:pPr>
          <w:hyperlink w:anchor="_Toc219020692" w:history="1">
            <w:r w:rsidRPr="005D7E96">
              <w:rPr>
                <w:rStyle w:val="Hyperlink"/>
                <w:rFonts w:ascii="Times New Roman" w:eastAsia="Times New Roman" w:hAnsi="Times New Roman" w:cs="Times New Roman"/>
                <w:b/>
                <w:bCs/>
                <w:noProof/>
                <w:kern w:val="0"/>
                <w14:ligatures w14:val="none"/>
              </w:rPr>
              <w:t>3. Internal Rate of Return (IRR)</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_Toc219020692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41</w:t>
            </w:r>
            <w:r w:rsidRPr="005D7E96">
              <w:rPr>
                <w:rFonts w:ascii="Times New Roman" w:hAnsi="Times New Roman" w:cs="Times New Roman"/>
                <w:noProof/>
                <w:webHidden/>
              </w:rPr>
              <w:fldChar w:fldCharType="end"/>
            </w:r>
          </w:hyperlink>
        </w:p>
        <w:p w14:paraId="4313F59D" w14:textId="620C7D7F" w:rsidR="005D7E96" w:rsidRPr="005D7E96" w:rsidRDefault="005D7E96">
          <w:pPr>
            <w:pStyle w:val="TOC3"/>
            <w:tabs>
              <w:tab w:val="right" w:leader="dot" w:pos="9350"/>
            </w:tabs>
            <w:rPr>
              <w:rFonts w:ascii="Times New Roman" w:hAnsi="Times New Roman" w:cs="Times New Roman"/>
              <w:noProof/>
            </w:rPr>
          </w:pPr>
          <w:hyperlink w:anchor="_Toc219020693" w:history="1">
            <w:r w:rsidRPr="005D7E96">
              <w:rPr>
                <w:rStyle w:val="Hyperlink"/>
                <w:rFonts w:ascii="Times New Roman" w:eastAsia="Times New Roman" w:hAnsi="Times New Roman" w:cs="Times New Roman"/>
                <w:b/>
                <w:bCs/>
                <w:noProof/>
                <w:kern w:val="0"/>
                <w14:ligatures w14:val="none"/>
              </w:rPr>
              <w:t>4. Payback Period</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_Toc219020693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41</w:t>
            </w:r>
            <w:r w:rsidRPr="005D7E96">
              <w:rPr>
                <w:rFonts w:ascii="Times New Roman" w:hAnsi="Times New Roman" w:cs="Times New Roman"/>
                <w:noProof/>
                <w:webHidden/>
              </w:rPr>
              <w:fldChar w:fldCharType="end"/>
            </w:r>
          </w:hyperlink>
        </w:p>
        <w:p w14:paraId="6FC25CA0" w14:textId="2B7765A3" w:rsidR="005D7E96" w:rsidRPr="005D7E96" w:rsidRDefault="005D7E96">
          <w:pPr>
            <w:pStyle w:val="TOC3"/>
            <w:tabs>
              <w:tab w:val="right" w:leader="dot" w:pos="9350"/>
            </w:tabs>
            <w:rPr>
              <w:rFonts w:ascii="Times New Roman" w:hAnsi="Times New Roman" w:cs="Times New Roman"/>
              <w:noProof/>
            </w:rPr>
          </w:pPr>
          <w:hyperlink w:anchor="_Toc219020694" w:history="1">
            <w:r w:rsidRPr="005D7E96">
              <w:rPr>
                <w:rStyle w:val="Hyperlink"/>
                <w:rFonts w:ascii="Times New Roman" w:eastAsia="Times New Roman" w:hAnsi="Times New Roman" w:cs="Times New Roman"/>
                <w:b/>
                <w:bCs/>
                <w:noProof/>
                <w:kern w:val="0"/>
                <w14:ligatures w14:val="none"/>
              </w:rPr>
              <w:t>5. Accounting Rate of Return (ARR)</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_Toc219020694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41</w:t>
            </w:r>
            <w:r w:rsidRPr="005D7E96">
              <w:rPr>
                <w:rFonts w:ascii="Times New Roman" w:hAnsi="Times New Roman" w:cs="Times New Roman"/>
                <w:noProof/>
                <w:webHidden/>
              </w:rPr>
              <w:fldChar w:fldCharType="end"/>
            </w:r>
          </w:hyperlink>
        </w:p>
        <w:p w14:paraId="0E68691A" w14:textId="1DD84C46" w:rsidR="005D7E96" w:rsidRPr="005D7E96" w:rsidRDefault="005D7E96">
          <w:pPr>
            <w:pStyle w:val="TOC3"/>
            <w:tabs>
              <w:tab w:val="right" w:leader="dot" w:pos="9350"/>
            </w:tabs>
            <w:rPr>
              <w:rFonts w:ascii="Times New Roman" w:hAnsi="Times New Roman" w:cs="Times New Roman"/>
              <w:noProof/>
            </w:rPr>
          </w:pPr>
          <w:hyperlink w:anchor="_Toc219020695" w:history="1">
            <w:r w:rsidRPr="005D7E96">
              <w:rPr>
                <w:rStyle w:val="Hyperlink"/>
                <w:rFonts w:ascii="Times New Roman" w:eastAsia="Times New Roman" w:hAnsi="Times New Roman" w:cs="Times New Roman"/>
                <w:b/>
                <w:bCs/>
                <w:noProof/>
                <w:kern w:val="0"/>
                <w14:ligatures w14:val="none"/>
              </w:rPr>
              <w:t>6. Profitability Index (Capital Rationing)</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_Toc219020695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42</w:t>
            </w:r>
            <w:r w:rsidRPr="005D7E96">
              <w:rPr>
                <w:rFonts w:ascii="Times New Roman" w:hAnsi="Times New Roman" w:cs="Times New Roman"/>
                <w:noProof/>
                <w:webHidden/>
              </w:rPr>
              <w:fldChar w:fldCharType="end"/>
            </w:r>
          </w:hyperlink>
        </w:p>
        <w:p w14:paraId="2078F217" w14:textId="0DF2DEF7" w:rsidR="005D7E96" w:rsidRDefault="005D7E96">
          <w:r w:rsidRPr="005D7E96">
            <w:rPr>
              <w:rFonts w:ascii="Times New Roman" w:hAnsi="Times New Roman" w:cs="Times New Roman"/>
              <w:b/>
              <w:bCs/>
              <w:noProof/>
            </w:rPr>
            <w:fldChar w:fldCharType="end"/>
          </w:r>
        </w:p>
      </w:sdtContent>
    </w:sdt>
    <w:p w14:paraId="6260BD0A" w14:textId="77777777" w:rsidR="005D7E96" w:rsidRDefault="005D7E96"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58599C22" w14:textId="77777777" w:rsidR="0069145B" w:rsidRDefault="0069145B"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04F87062" w14:textId="77777777" w:rsidR="0069145B" w:rsidRDefault="0069145B"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64F674A2" w14:textId="77777777" w:rsidR="0069145B" w:rsidRDefault="0069145B"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422C8D95" w14:textId="77777777" w:rsidR="0069145B" w:rsidRDefault="0069145B"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3A427AB5" w14:textId="77777777" w:rsidR="0069145B" w:rsidRDefault="0069145B"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403BF3E2" w14:textId="77777777" w:rsidR="0069145B" w:rsidRDefault="0069145B"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66D52BDA" w14:textId="77777777" w:rsidR="0069145B" w:rsidRDefault="0069145B"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6B93043C" w14:textId="77777777" w:rsidR="005D7E96" w:rsidRDefault="005D7E96"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31D85F0E" w14:textId="77777777" w:rsidR="005D7E96" w:rsidRDefault="005D7E96"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7B8B5EDB" w14:textId="77777777" w:rsidR="005D7E96" w:rsidRDefault="005D7E96"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574B9F3D" w14:textId="77777777" w:rsidR="005D7E96" w:rsidRDefault="005D7E96"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31785E0E" w14:textId="484748AE" w:rsidR="00750F68" w:rsidRPr="00750F68" w:rsidRDefault="00750F68" w:rsidP="00B75985">
      <w:pPr>
        <w:pStyle w:val="Heading1"/>
        <w:rPr>
          <w:rFonts w:eastAsia="Times New Roman"/>
        </w:rPr>
      </w:pPr>
      <w:bookmarkStart w:id="0" w:name="_Toc219020631"/>
      <w:r w:rsidRPr="00750F68">
        <w:rPr>
          <w:rFonts w:eastAsia="Times New Roman"/>
        </w:rPr>
        <w:lastRenderedPageBreak/>
        <w:t>Introduction</w:t>
      </w:r>
      <w:bookmarkEnd w:id="0"/>
    </w:p>
    <w:p w14:paraId="12777D6B"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This report can be broadly categorized into two parts, both focusing on different areas </w:t>
      </w:r>
      <w:proofErr w:type="gramStart"/>
      <w:r w:rsidRPr="00B75985">
        <w:rPr>
          <w:rFonts w:ascii="Times New Roman" w:hAnsi="Times New Roman" w:cs="Times New Roman"/>
        </w:rPr>
        <w:t>with regard to</w:t>
      </w:r>
      <w:proofErr w:type="gramEnd"/>
      <w:r w:rsidRPr="00B75985">
        <w:rPr>
          <w:rFonts w:ascii="Times New Roman" w:hAnsi="Times New Roman" w:cs="Times New Roman"/>
        </w:rPr>
        <w:t xml:space="preserve"> financial decision-making in a business setting. (Adler, 2010; </w:t>
      </w:r>
      <w:proofErr w:type="spellStart"/>
      <w:r w:rsidRPr="00B75985">
        <w:rPr>
          <w:rFonts w:ascii="Times New Roman" w:hAnsi="Times New Roman" w:cs="Times New Roman"/>
        </w:rPr>
        <w:t>Clayman</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Fridson</w:t>
      </w:r>
      <w:proofErr w:type="spellEnd"/>
      <w:r w:rsidRPr="00B75985">
        <w:rPr>
          <w:rFonts w:ascii="Times New Roman" w:hAnsi="Times New Roman" w:cs="Times New Roman"/>
        </w:rPr>
        <w:t xml:space="preserve"> and Troughton, 2012; Allen, 2021)</w:t>
      </w:r>
    </w:p>
    <w:p w14:paraId="0D133516"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Part 1 deals with the financial performance and position of Unilever PLC. By employing financial ratio analysis, it assesses the profitability, efficiency, liquidity, solvency, and investor performance of the company during the most recent financial years. (Alexander and Britton, 2017; Elliott and Elliott, 2017; Van </w:t>
      </w:r>
      <w:proofErr w:type="spellStart"/>
      <w:r w:rsidRPr="00B75985">
        <w:rPr>
          <w:rFonts w:ascii="Times New Roman" w:hAnsi="Times New Roman" w:cs="Times New Roman"/>
        </w:rPr>
        <w:t>Greuning</w:t>
      </w:r>
      <w:proofErr w:type="spellEnd"/>
      <w:r w:rsidRPr="00B75985">
        <w:rPr>
          <w:rFonts w:ascii="Times New Roman" w:hAnsi="Times New Roman" w:cs="Times New Roman"/>
        </w:rPr>
        <w:t>, 2006; Palmer, 2018; Bragg, 2018; Sanzo, 2005; Hartley, Firer and Ford, 2006) The intention of this analysis is to examine the extent to which Unilever has been able to efficiently utilize their resources, remain Hobbit, and create values for the investors. (Adler, 2010; Palepu and Healy, 2020; Lichtenstein and Dade, 2007; de Jongh, 2011; H. Kent Baker and Ricciardi, 2014) This part provides a critical platform through which one can comprehend the use of financial information for performance analysis. (</w:t>
      </w:r>
      <w:proofErr w:type="spellStart"/>
      <w:r w:rsidRPr="00B75985">
        <w:rPr>
          <w:rFonts w:ascii="Times New Roman" w:hAnsi="Times New Roman" w:cs="Times New Roman"/>
        </w:rPr>
        <w:t>Atrill</w:t>
      </w:r>
      <w:proofErr w:type="spellEnd"/>
      <w:r w:rsidRPr="00B75985">
        <w:rPr>
          <w:rFonts w:ascii="Times New Roman" w:hAnsi="Times New Roman" w:cs="Times New Roman"/>
        </w:rPr>
        <w:t xml:space="preserve"> and </w:t>
      </w:r>
      <w:proofErr w:type="spellStart"/>
      <w:r w:rsidRPr="00B75985">
        <w:rPr>
          <w:rFonts w:ascii="Times New Roman" w:hAnsi="Times New Roman" w:cs="Times New Roman"/>
        </w:rPr>
        <w:t>Mclaney</w:t>
      </w:r>
      <w:proofErr w:type="spellEnd"/>
      <w:r w:rsidRPr="00B75985">
        <w:rPr>
          <w:rFonts w:ascii="Times New Roman" w:hAnsi="Times New Roman" w:cs="Times New Roman"/>
        </w:rPr>
        <w:t xml:space="preserve">, 2018; </w:t>
      </w:r>
      <w:proofErr w:type="spellStart"/>
      <w:r w:rsidRPr="00B75985">
        <w:rPr>
          <w:rFonts w:ascii="Times New Roman" w:hAnsi="Times New Roman" w:cs="Times New Roman"/>
        </w:rPr>
        <w:t>Atrill</w:t>
      </w:r>
      <w:proofErr w:type="spellEnd"/>
      <w:r w:rsidRPr="00B75985">
        <w:rPr>
          <w:rFonts w:ascii="Times New Roman" w:hAnsi="Times New Roman" w:cs="Times New Roman"/>
        </w:rPr>
        <w:t xml:space="preserve"> and </w:t>
      </w:r>
      <w:proofErr w:type="spellStart"/>
      <w:r w:rsidRPr="00B75985">
        <w:rPr>
          <w:rFonts w:ascii="Times New Roman" w:hAnsi="Times New Roman" w:cs="Times New Roman"/>
        </w:rPr>
        <w:t>Mclaney</w:t>
      </w:r>
      <w:proofErr w:type="spellEnd"/>
      <w:r w:rsidRPr="00B75985">
        <w:rPr>
          <w:rFonts w:ascii="Times New Roman" w:hAnsi="Times New Roman" w:cs="Times New Roman"/>
        </w:rPr>
        <w:t>, 2019; Jones, 2014; Thomas, 2022; Kimmel, Weygandt and Kieso, 2016)</w:t>
      </w:r>
    </w:p>
    <w:p w14:paraId="4C9971CB" w14:textId="4E61F4A4"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Part 2 focuses on applying financial decision making tools to an investment appraisal case study concerning Westward Plc. (Madura, 2018; Connolly, 2007) This part of the study examines an investment opportunity available in the form of three investment alternatives, which are appraised employing a number of discounted and non-discounted investment appraisal techniques such as Net Present Value, Internal Rate of Return, Payback Period, and Accounting Rate of Return. (CFI, 2022; Spring, 2018; Kagan, 2025; Gordon, 2020; </w:t>
      </w:r>
      <w:proofErr w:type="spellStart"/>
      <w:r w:rsidRPr="00B75985">
        <w:rPr>
          <w:rFonts w:ascii="Times New Roman" w:hAnsi="Times New Roman" w:cs="Times New Roman"/>
        </w:rPr>
        <w:t>Imarticus</w:t>
      </w:r>
      <w:proofErr w:type="spellEnd"/>
      <w:r w:rsidRPr="00B75985">
        <w:rPr>
          <w:rFonts w:ascii="Times New Roman" w:hAnsi="Times New Roman" w:cs="Times New Roman"/>
        </w:rPr>
        <w:t xml:space="preserve">, 2024) In addition to these considerations, the study </w:t>
      </w:r>
      <w:proofErr w:type="gramStart"/>
      <w:r w:rsidRPr="00B75985">
        <w:rPr>
          <w:rFonts w:ascii="Times New Roman" w:hAnsi="Times New Roman" w:cs="Times New Roman"/>
        </w:rPr>
        <w:t>takes into account</w:t>
      </w:r>
      <w:proofErr w:type="gramEnd"/>
      <w:r w:rsidRPr="00B75985">
        <w:rPr>
          <w:rFonts w:ascii="Times New Roman" w:hAnsi="Times New Roman" w:cs="Times New Roman"/>
        </w:rPr>
        <w:t xml:space="preserve"> tax, capital allowance, and capital rationing, finally making a recommendation to the board of directors. (</w:t>
      </w:r>
      <w:proofErr w:type="spellStart"/>
      <w:r w:rsidRPr="00B75985">
        <w:rPr>
          <w:rFonts w:ascii="Times New Roman" w:hAnsi="Times New Roman" w:cs="Times New Roman"/>
        </w:rPr>
        <w:t>Oakshott</w:t>
      </w:r>
      <w:proofErr w:type="spellEnd"/>
      <w:r w:rsidRPr="00B75985">
        <w:rPr>
          <w:rFonts w:ascii="Times New Roman" w:hAnsi="Times New Roman" w:cs="Times New Roman"/>
        </w:rPr>
        <w:t xml:space="preserve">, 2020; Almeida and Campello, 2005; Kersten, Harms, </w:t>
      </w:r>
      <w:proofErr w:type="spellStart"/>
      <w:r w:rsidRPr="00B75985">
        <w:rPr>
          <w:rFonts w:ascii="Times New Roman" w:hAnsi="Times New Roman" w:cs="Times New Roman"/>
        </w:rPr>
        <w:t>Liket</w:t>
      </w:r>
      <w:proofErr w:type="spellEnd"/>
      <w:r w:rsidRPr="00B75985">
        <w:rPr>
          <w:rFonts w:ascii="Times New Roman" w:hAnsi="Times New Roman" w:cs="Times New Roman"/>
        </w:rPr>
        <w:t xml:space="preserve"> and Maas, 2017)</w:t>
      </w:r>
    </w:p>
    <w:p w14:paraId="35AF48EC" w14:textId="77777777" w:rsidR="00B75985" w:rsidRPr="00B75985" w:rsidRDefault="00B75985" w:rsidP="00B75985">
      <w:pPr>
        <w:pStyle w:val="Heading1"/>
      </w:pPr>
      <w:bookmarkStart w:id="1" w:name="_Toc219020632"/>
      <w:r w:rsidRPr="00B75985">
        <w:t>Part 1</w:t>
      </w:r>
      <w:bookmarkEnd w:id="1"/>
    </w:p>
    <w:p w14:paraId="208D46D9" w14:textId="77777777" w:rsidR="00B75985" w:rsidRPr="00B75985" w:rsidRDefault="00B75985" w:rsidP="00B75985">
      <w:pPr>
        <w:pStyle w:val="Heading2"/>
      </w:pPr>
      <w:bookmarkStart w:id="2" w:name="_Toc219020633"/>
      <w:r w:rsidRPr="00B75985">
        <w:t>Profitability Analysis</w:t>
      </w:r>
      <w:bookmarkEnd w:id="2"/>
    </w:p>
    <w:p w14:paraId="66E3C6C0"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Profitability Analysis helps in identifying the efficiency with which the firm </w:t>
      </w:r>
      <w:proofErr w:type="gramStart"/>
      <w:r w:rsidRPr="00B75985">
        <w:rPr>
          <w:rFonts w:ascii="Times New Roman" w:hAnsi="Times New Roman" w:cs="Times New Roman"/>
        </w:rPr>
        <w:t>is able to</w:t>
      </w:r>
      <w:proofErr w:type="gramEnd"/>
      <w:r w:rsidRPr="00B75985">
        <w:rPr>
          <w:rFonts w:ascii="Times New Roman" w:hAnsi="Times New Roman" w:cs="Times New Roman"/>
        </w:rPr>
        <w:t xml:space="preserve"> convert its revenues into profitability, and the optimal utilization of resources invested in the business. (Palepu </w:t>
      </w:r>
      <w:r w:rsidRPr="00B75985">
        <w:rPr>
          <w:rFonts w:ascii="Times New Roman" w:hAnsi="Times New Roman" w:cs="Times New Roman"/>
        </w:rPr>
        <w:lastRenderedPageBreak/>
        <w:t>and Healy, 2020; Bragg, 2018; Palmer, 2018) Large multinational firms, for example Unilever PLC, for which the report has been prepared, can be judged in respect of their financial health from the yardstick of profitability. (Campbell, 2021; Best, 2013)</w:t>
      </w:r>
    </w:p>
    <w:p w14:paraId="4B4C9E5F"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Unilever competes in the global fast-moving consumer goods industry, which is driven by factors such as high intensity, low switching capital barriers, and high sensitivity to pricing pressures. (Surridge, 2022; Neneh, 2020) Volatility of raw material prices, increased energy prices, supply chain disruptions, and </w:t>
      </w:r>
      <w:proofErr w:type="spellStart"/>
      <w:r w:rsidRPr="00B75985">
        <w:rPr>
          <w:rFonts w:ascii="Times New Roman" w:hAnsi="Times New Roman" w:cs="Times New Roman"/>
        </w:rPr>
        <w:t>labour</w:t>
      </w:r>
      <w:proofErr w:type="spellEnd"/>
      <w:r w:rsidRPr="00B75985">
        <w:rPr>
          <w:rFonts w:ascii="Times New Roman" w:hAnsi="Times New Roman" w:cs="Times New Roman"/>
        </w:rPr>
        <w:t>-driven inflation have been some of the factors that have impacted the consumer goods industry in the past few years. (Chopra, 2021; Flynn, 2021; Gligor, 2020) Profitability analysis becomes the key in assessing if the company has managed to sustain margins while continuing to grow the top line. (</w:t>
      </w:r>
      <w:proofErr w:type="spellStart"/>
      <w:r w:rsidRPr="00B75985">
        <w:rPr>
          <w:rFonts w:ascii="Times New Roman" w:hAnsi="Times New Roman" w:cs="Times New Roman"/>
        </w:rPr>
        <w:t>Bloomenthal</w:t>
      </w:r>
      <w:proofErr w:type="spellEnd"/>
      <w:r w:rsidRPr="00B75985">
        <w:rPr>
          <w:rFonts w:ascii="Times New Roman" w:hAnsi="Times New Roman" w:cs="Times New Roman"/>
        </w:rPr>
        <w:t xml:space="preserve">, 2025; </w:t>
      </w:r>
      <w:proofErr w:type="spellStart"/>
      <w:r w:rsidRPr="00B75985">
        <w:rPr>
          <w:rFonts w:ascii="Times New Roman" w:hAnsi="Times New Roman" w:cs="Times New Roman"/>
        </w:rPr>
        <w:t>Palasciano</w:t>
      </w:r>
      <w:proofErr w:type="spellEnd"/>
      <w:r w:rsidRPr="00B75985">
        <w:rPr>
          <w:rFonts w:ascii="Times New Roman" w:hAnsi="Times New Roman" w:cs="Times New Roman"/>
        </w:rPr>
        <w:t>, 2025)</w:t>
      </w:r>
    </w:p>
    <w:p w14:paraId="0DBDDAF2" w14:textId="1B116A85"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Profitability ratio analysis has an important function in communication as it enables the management to show the shareholders the results of the business endeavors, apart from the internal comparison in pricing decisions and management of costs. (Adler, 2010; Lichtenstein and Dade, 2007; de Jongh, 2011) The discussion below seeks to examine the profitability of Unilever over the two financial years ending in 2023 and 2024. (Alexander and Britton, 2017; Elliott and Elliott, 2017)</w:t>
      </w:r>
    </w:p>
    <w:p w14:paraId="478524F8" w14:textId="77777777" w:rsidR="00B75985" w:rsidRPr="00B75985" w:rsidRDefault="00B75985" w:rsidP="00B75985">
      <w:pPr>
        <w:pStyle w:val="Heading3"/>
      </w:pPr>
      <w:bookmarkStart w:id="3" w:name="_Toc219020634"/>
      <w:r w:rsidRPr="00B75985">
        <w:t>Revenue and Margin Performance</w:t>
      </w:r>
      <w:bookmarkEnd w:id="3"/>
    </w:p>
    <w:p w14:paraId="59E81AA1"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In the financial year closing 2023, Unilever demonstrated a turnover of €59,604 million. In the following year, closing 2024, the company registered a rise in its turnover to €60,761 million. This assumes moderate growth. (Palepu and Healy, 2020; </w:t>
      </w:r>
      <w:proofErr w:type="spellStart"/>
      <w:r w:rsidRPr="00B75985">
        <w:rPr>
          <w:rFonts w:ascii="Times New Roman" w:hAnsi="Times New Roman" w:cs="Times New Roman"/>
        </w:rPr>
        <w:t>Palasciano</w:t>
      </w:r>
      <w:proofErr w:type="spellEnd"/>
      <w:r w:rsidRPr="00B75985">
        <w:rPr>
          <w:rFonts w:ascii="Times New Roman" w:hAnsi="Times New Roman" w:cs="Times New Roman"/>
        </w:rPr>
        <w:t xml:space="preserve">, 2025) Such growth may be attributed to the price strategies adopted by the business, its focus on essential products demanded by consumers, and its portfolio enhancement. (Best, 2013; Campbell, 2021; </w:t>
      </w:r>
      <w:proofErr w:type="spellStart"/>
      <w:r w:rsidRPr="00B75985">
        <w:rPr>
          <w:rFonts w:ascii="Times New Roman" w:hAnsi="Times New Roman" w:cs="Times New Roman"/>
        </w:rPr>
        <w:t>Aydiner</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Tatoglu</w:t>
      </w:r>
      <w:proofErr w:type="spellEnd"/>
      <w:r w:rsidRPr="00B75985">
        <w:rPr>
          <w:rFonts w:ascii="Times New Roman" w:hAnsi="Times New Roman" w:cs="Times New Roman"/>
        </w:rPr>
        <w:t>, Bayraktar, Zaim and Delen, 2019)</w:t>
      </w:r>
    </w:p>
    <w:p w14:paraId="385278D7"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In 2023, Unilever reported a gross profit of €25,175 million, leading to a gross profit margin of 42.2 percent. In 2024, the company registered a gross profit of €27,370 million, showing a high gross profit margin of 45.0 percent. (</w:t>
      </w:r>
      <w:proofErr w:type="spellStart"/>
      <w:r w:rsidRPr="00B75985">
        <w:rPr>
          <w:rFonts w:ascii="Times New Roman" w:hAnsi="Times New Roman" w:cs="Times New Roman"/>
        </w:rPr>
        <w:t>Bloomenthal</w:t>
      </w:r>
      <w:proofErr w:type="spellEnd"/>
      <w:r w:rsidRPr="00B75985">
        <w:rPr>
          <w:rFonts w:ascii="Times New Roman" w:hAnsi="Times New Roman" w:cs="Times New Roman"/>
        </w:rPr>
        <w:t>, 2025; Bragg, 2018) Based on the enhanced gross profit margin, it is apparent that Unilever makes a higher amount of profit from revenue after incurring production and sourcing expenses. (</w:t>
      </w:r>
      <w:proofErr w:type="spellStart"/>
      <w:r w:rsidRPr="00B75985">
        <w:rPr>
          <w:rFonts w:ascii="Times New Roman" w:hAnsi="Times New Roman" w:cs="Times New Roman"/>
        </w:rPr>
        <w:t>Bloomenthal</w:t>
      </w:r>
      <w:proofErr w:type="spellEnd"/>
      <w:r w:rsidRPr="00B75985">
        <w:rPr>
          <w:rFonts w:ascii="Times New Roman" w:hAnsi="Times New Roman" w:cs="Times New Roman"/>
        </w:rPr>
        <w:t>, 2025; Chopra, 2021)</w:t>
      </w:r>
    </w:p>
    <w:p w14:paraId="4F20B291" w14:textId="3CA5CD55"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lastRenderedPageBreak/>
        <w:t>This improvement in gross profitability margin would, therefore, indicate better cost management and pricing strategies. (Best, 2013; Adler, 2010) It would also show that Unilever has managed to transfer some costs to consumers despite rising operational costs. (</w:t>
      </w:r>
      <w:proofErr w:type="spellStart"/>
      <w:r w:rsidRPr="00B75985">
        <w:rPr>
          <w:rFonts w:ascii="Times New Roman" w:hAnsi="Times New Roman" w:cs="Times New Roman"/>
        </w:rPr>
        <w:t>Chorafas</w:t>
      </w:r>
      <w:proofErr w:type="spellEnd"/>
      <w:r w:rsidRPr="00B75985">
        <w:rPr>
          <w:rFonts w:ascii="Times New Roman" w:hAnsi="Times New Roman" w:cs="Times New Roman"/>
        </w:rPr>
        <w:t>, 2015; Campbell, 2021) Such an improvement, therefore, would show that there is efficiency in the procurement and production activities of the company. (Chopra, 2021; Flynn, 2021)</w:t>
      </w:r>
    </w:p>
    <w:p w14:paraId="346F4B1B" w14:textId="77777777" w:rsidR="00B75985" w:rsidRPr="00B75985" w:rsidRDefault="00B75985" w:rsidP="00B75985">
      <w:pPr>
        <w:pStyle w:val="Heading3"/>
      </w:pPr>
      <w:bookmarkStart w:id="4" w:name="_Toc219020635"/>
      <w:r w:rsidRPr="00B75985">
        <w:t>Operating Profitability</w:t>
      </w:r>
      <w:bookmarkEnd w:id="4"/>
    </w:p>
    <w:p w14:paraId="2CA109E6"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Operating profit margin depicts the efficiency of a firm in managing operating expenses prior to financing and taxation. (Hayes, 2025; Bragg, 2018) It is an indication of the management capability to control overheads like administration, marketing, and restructuring costs while supporting revenue growth. (Adler, 2010; Campbell, 2021)</w:t>
      </w:r>
    </w:p>
    <w:p w14:paraId="39059426"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Accordingly, in 2023, Unilever recorded operating profit of €9,758 million, translating to a reported operating margin of 16.4%. In 2024, the operating profit decreased to €9,400 million, yielding a reported operating margin of 15.5%, though the revenue increased. (Hayes, 2025; Palepu and Healy, 2020)</w:t>
      </w:r>
    </w:p>
    <w:p w14:paraId="2611363F"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It follows that the decrease in reported operating margin shows operating expenses have increased more quickly than sales in 2024. (Palepu and Healy, 2020; </w:t>
      </w:r>
      <w:proofErr w:type="spellStart"/>
      <w:r w:rsidRPr="00B75985">
        <w:rPr>
          <w:rFonts w:ascii="Times New Roman" w:hAnsi="Times New Roman" w:cs="Times New Roman"/>
        </w:rPr>
        <w:t>Atrill</w:t>
      </w:r>
      <w:proofErr w:type="spellEnd"/>
      <w:r w:rsidRPr="00B75985">
        <w:rPr>
          <w:rFonts w:ascii="Times New Roman" w:hAnsi="Times New Roman" w:cs="Times New Roman"/>
        </w:rPr>
        <w:t xml:space="preserve"> and </w:t>
      </w:r>
      <w:proofErr w:type="spellStart"/>
      <w:r w:rsidRPr="00B75985">
        <w:rPr>
          <w:rFonts w:ascii="Times New Roman" w:hAnsi="Times New Roman" w:cs="Times New Roman"/>
        </w:rPr>
        <w:t>Mclaney</w:t>
      </w:r>
      <w:proofErr w:type="spellEnd"/>
      <w:r w:rsidRPr="00B75985">
        <w:rPr>
          <w:rFonts w:ascii="Times New Roman" w:hAnsi="Times New Roman" w:cs="Times New Roman"/>
        </w:rPr>
        <w:t xml:space="preserve">, 2018) This decrease was primarily because of restructuring and transformation-related costs related to </w:t>
      </w:r>
      <w:proofErr w:type="spellStart"/>
      <w:r w:rsidRPr="00B75985">
        <w:rPr>
          <w:rFonts w:ascii="Times New Roman" w:hAnsi="Times New Roman" w:cs="Times New Roman"/>
        </w:rPr>
        <w:t>organisational</w:t>
      </w:r>
      <w:proofErr w:type="spellEnd"/>
      <w:r w:rsidRPr="00B75985">
        <w:rPr>
          <w:rFonts w:ascii="Times New Roman" w:hAnsi="Times New Roman" w:cs="Times New Roman"/>
        </w:rPr>
        <w:t xml:space="preserve"> simplification and portfolio changes. (Campbell, 2021; </w:t>
      </w:r>
      <w:proofErr w:type="spellStart"/>
      <w:r w:rsidRPr="00B75985">
        <w:rPr>
          <w:rFonts w:ascii="Times New Roman" w:hAnsi="Times New Roman" w:cs="Times New Roman"/>
        </w:rPr>
        <w:t>Chorafas</w:t>
      </w:r>
      <w:proofErr w:type="spellEnd"/>
      <w:r w:rsidRPr="00B75985">
        <w:rPr>
          <w:rFonts w:ascii="Times New Roman" w:hAnsi="Times New Roman" w:cs="Times New Roman"/>
        </w:rPr>
        <w:t>, 2015) These costs reduced reported profitability despite the improvement in gross margins in the period. (</w:t>
      </w:r>
      <w:proofErr w:type="spellStart"/>
      <w:r w:rsidRPr="00B75985">
        <w:rPr>
          <w:rFonts w:ascii="Times New Roman" w:hAnsi="Times New Roman" w:cs="Times New Roman"/>
        </w:rPr>
        <w:t>Bloomenthal</w:t>
      </w:r>
      <w:proofErr w:type="spellEnd"/>
      <w:r w:rsidRPr="00B75985">
        <w:rPr>
          <w:rFonts w:ascii="Times New Roman" w:hAnsi="Times New Roman" w:cs="Times New Roman"/>
        </w:rPr>
        <w:t>, 2025; Palepu and Healy, 2020)</w:t>
      </w:r>
    </w:p>
    <w:p w14:paraId="1F15AD7E" w14:textId="0383F6AB"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It is important that reported and underlying performance be distinguished. (Palepu and Healy, 2020; Elliott and Elliott, 2017) With the exclusion of non-underlying items, Unilever said the underlying operating margin increased to 18.4% in 2024 from 16.7% in 2023, thereby suggesting core operations became more efficient, and the decline in reported operating margin was because of one-off strategic costs rather than deterioration in operational efficiency. (Adler, 2010; Hayes, 2025; </w:t>
      </w:r>
      <w:proofErr w:type="spellStart"/>
      <w:r w:rsidRPr="00B75985">
        <w:rPr>
          <w:rFonts w:ascii="Times New Roman" w:hAnsi="Times New Roman" w:cs="Times New Roman"/>
        </w:rPr>
        <w:t>Chorafas</w:t>
      </w:r>
      <w:proofErr w:type="spellEnd"/>
      <w:r w:rsidRPr="00B75985">
        <w:rPr>
          <w:rFonts w:ascii="Times New Roman" w:hAnsi="Times New Roman" w:cs="Times New Roman"/>
        </w:rPr>
        <w:t>, 2015)</w:t>
      </w:r>
    </w:p>
    <w:p w14:paraId="1DAD7D3D" w14:textId="77777777" w:rsidR="00B75985" w:rsidRPr="00B75985" w:rsidRDefault="00B75985" w:rsidP="00B75985">
      <w:pPr>
        <w:pStyle w:val="Heading3"/>
      </w:pPr>
      <w:bookmarkStart w:id="5" w:name="_Toc219020636"/>
      <w:r w:rsidRPr="00B75985">
        <w:lastRenderedPageBreak/>
        <w:t>Net Profitability</w:t>
      </w:r>
      <w:bookmarkEnd w:id="5"/>
    </w:p>
    <w:p w14:paraId="23AA450F"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The net profit margin represents profitability after all expenses, including finance costs and taxation; it is the final return available to shareholders. (</w:t>
      </w:r>
      <w:proofErr w:type="spellStart"/>
      <w:r w:rsidRPr="00B75985">
        <w:rPr>
          <w:rFonts w:ascii="Times New Roman" w:hAnsi="Times New Roman" w:cs="Times New Roman"/>
        </w:rPr>
        <w:t>Palasciano</w:t>
      </w:r>
      <w:proofErr w:type="spellEnd"/>
      <w:r w:rsidRPr="00B75985">
        <w:rPr>
          <w:rFonts w:ascii="Times New Roman" w:hAnsi="Times New Roman" w:cs="Times New Roman"/>
        </w:rPr>
        <w:t xml:space="preserve">, 2025; </w:t>
      </w:r>
      <w:proofErr w:type="spellStart"/>
      <w:r w:rsidRPr="00B75985">
        <w:rPr>
          <w:rFonts w:ascii="Times New Roman" w:hAnsi="Times New Roman" w:cs="Times New Roman"/>
        </w:rPr>
        <w:t>Atrill</w:t>
      </w:r>
      <w:proofErr w:type="spellEnd"/>
      <w:r w:rsidRPr="00B75985">
        <w:rPr>
          <w:rFonts w:ascii="Times New Roman" w:hAnsi="Times New Roman" w:cs="Times New Roman"/>
        </w:rPr>
        <w:t xml:space="preserve"> and </w:t>
      </w:r>
      <w:proofErr w:type="spellStart"/>
      <w:r w:rsidRPr="00B75985">
        <w:rPr>
          <w:rFonts w:ascii="Times New Roman" w:hAnsi="Times New Roman" w:cs="Times New Roman"/>
        </w:rPr>
        <w:t>Mclaney</w:t>
      </w:r>
      <w:proofErr w:type="spellEnd"/>
      <w:r w:rsidRPr="00B75985">
        <w:rPr>
          <w:rFonts w:ascii="Times New Roman" w:hAnsi="Times New Roman" w:cs="Times New Roman"/>
        </w:rPr>
        <w:t xml:space="preserve">, 2019) As such, the overall financial outcome of operating and financing decisions is captured by this measure. (Allen, 2021; </w:t>
      </w:r>
      <w:proofErr w:type="spellStart"/>
      <w:r w:rsidRPr="00B75985">
        <w:rPr>
          <w:rFonts w:ascii="Times New Roman" w:hAnsi="Times New Roman" w:cs="Times New Roman"/>
        </w:rPr>
        <w:t>Clayman</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Fridson</w:t>
      </w:r>
      <w:proofErr w:type="spellEnd"/>
      <w:r w:rsidRPr="00B75985">
        <w:rPr>
          <w:rFonts w:ascii="Times New Roman" w:hAnsi="Times New Roman" w:cs="Times New Roman"/>
        </w:rPr>
        <w:t xml:space="preserve"> and Troughton, 2012)</w:t>
      </w:r>
    </w:p>
    <w:p w14:paraId="5B110B67" w14:textId="2DD07231"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In 2023, Unilever made a net profit of €7,140 million, translating to a net profit margin of 12.0%. In 2024, the net profit had decreased to €6,369 million, yielding a lower net profit margin of 10.5%. (</w:t>
      </w:r>
      <w:proofErr w:type="spellStart"/>
      <w:r w:rsidRPr="00B75985">
        <w:rPr>
          <w:rFonts w:ascii="Times New Roman" w:hAnsi="Times New Roman" w:cs="Times New Roman"/>
        </w:rPr>
        <w:t>Palasciano</w:t>
      </w:r>
      <w:proofErr w:type="spellEnd"/>
      <w:r w:rsidRPr="00B75985">
        <w:rPr>
          <w:rFonts w:ascii="Times New Roman" w:hAnsi="Times New Roman" w:cs="Times New Roman"/>
        </w:rPr>
        <w:t>, 2025; Palepu and Healy, 2020) The decreased net profitability reflects the combined effect of restructuring costs, higher finance expenses, and other non-recurring items incurred during the year. (Allen, 2021; Kotey, 2019) Although there was improvement in the operating performance level, these additional costs reduced the amount of profit ultimately attributable to shareholders. (Lichtenstein and Dade, 2007; de Jongh, 2011)</w:t>
      </w:r>
    </w:p>
    <w:p w14:paraId="37EF52BF" w14:textId="77777777" w:rsidR="00B75985" w:rsidRPr="00B75985" w:rsidRDefault="00B75985" w:rsidP="00B75985">
      <w:pPr>
        <w:pStyle w:val="Heading3"/>
      </w:pPr>
      <w:bookmarkStart w:id="6" w:name="_Toc219020637"/>
      <w:r w:rsidRPr="00B75985">
        <w:t>Profitability Analysis Summary</w:t>
      </w:r>
      <w:bookmarkEnd w:id="6"/>
    </w:p>
    <w:p w14:paraId="6ACCEB62" w14:textId="3122106C"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In general, Unilever reported a quite moderate growth in its revenue and a remarkable improvement in its gross profit performance during 2023 and 2024. (</w:t>
      </w:r>
      <w:proofErr w:type="spellStart"/>
      <w:r w:rsidRPr="00B75985">
        <w:rPr>
          <w:rFonts w:ascii="Times New Roman" w:hAnsi="Times New Roman" w:cs="Times New Roman"/>
        </w:rPr>
        <w:t>Bloomenthal</w:t>
      </w:r>
      <w:proofErr w:type="spellEnd"/>
      <w:r w:rsidRPr="00B75985">
        <w:rPr>
          <w:rFonts w:ascii="Times New Roman" w:hAnsi="Times New Roman" w:cs="Times New Roman"/>
        </w:rPr>
        <w:t>, 2025; Palepu and Healy, 2020) Nevertheless, costs associated with restructuring and transformation impacted negatively on its reported operating and net profit margins during this short term. (</w:t>
      </w:r>
      <w:proofErr w:type="spellStart"/>
      <w:r w:rsidRPr="00B75985">
        <w:rPr>
          <w:rFonts w:ascii="Times New Roman" w:hAnsi="Times New Roman" w:cs="Times New Roman"/>
        </w:rPr>
        <w:t>Chorafas</w:t>
      </w:r>
      <w:proofErr w:type="spellEnd"/>
      <w:r w:rsidRPr="00B75985">
        <w:rPr>
          <w:rFonts w:ascii="Times New Roman" w:hAnsi="Times New Roman" w:cs="Times New Roman"/>
        </w:rPr>
        <w:t>, 2015; Campbell, 2021) However, such gaps in reported and actual results indicate that the company’s profitability challenges have been influenced by its strategic investments in growth rather than its basic businesses’ performances. (Campbell, 2021; Best, 2013)</w:t>
      </w:r>
    </w:p>
    <w:p w14:paraId="526F115A" w14:textId="77777777" w:rsidR="00B75985" w:rsidRPr="00B75985" w:rsidRDefault="00B75985" w:rsidP="00B75985">
      <w:pPr>
        <w:pStyle w:val="Heading2"/>
      </w:pPr>
      <w:bookmarkStart w:id="7" w:name="_Toc219020638"/>
      <w:r w:rsidRPr="00B75985">
        <w:t>Return Measures: ROCE and ROE</w:t>
      </w:r>
      <w:bookmarkEnd w:id="7"/>
    </w:p>
    <w:p w14:paraId="440432C5" w14:textId="67BF35CF"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Although profits gauge how well the company performs in terms of revenue, returns gauge how well the company performs in terms of using the funds deployed in the operations of the company. (Palepu and Healy, 2020; Bragg, 2018) The key ratios that gauge how well the company performs in terms of using the funds during the operations of the company include the Return on Capital Employed (ROCE) ratio and the Return on Equity (ROE) ratio. (Maverick, 2022; Fernando, 2025) </w:t>
      </w:r>
      <w:r w:rsidRPr="00B75985">
        <w:rPr>
          <w:rFonts w:ascii="Times New Roman" w:hAnsi="Times New Roman" w:cs="Times New Roman"/>
        </w:rPr>
        <w:lastRenderedPageBreak/>
        <w:t>These ratios are essential in capital-intensive multinational corporations like Unilever. (</w:t>
      </w:r>
      <w:proofErr w:type="spellStart"/>
      <w:r w:rsidRPr="00B75985">
        <w:rPr>
          <w:rFonts w:ascii="Times New Roman" w:hAnsi="Times New Roman" w:cs="Times New Roman"/>
        </w:rPr>
        <w:t>Clayman</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Fridson</w:t>
      </w:r>
      <w:proofErr w:type="spellEnd"/>
      <w:r w:rsidRPr="00B75985">
        <w:rPr>
          <w:rFonts w:ascii="Times New Roman" w:hAnsi="Times New Roman" w:cs="Times New Roman"/>
        </w:rPr>
        <w:t xml:space="preserve"> and Troughton, 2012; Allen, 2021)</w:t>
      </w:r>
    </w:p>
    <w:p w14:paraId="701C8668" w14:textId="77777777" w:rsidR="00B75985" w:rsidRPr="00B75985" w:rsidRDefault="00B75985" w:rsidP="00B75985">
      <w:pPr>
        <w:pStyle w:val="Heading3"/>
      </w:pPr>
      <w:bookmarkStart w:id="8" w:name="_Toc219020639"/>
      <w:r w:rsidRPr="00B75985">
        <w:t>Return on Capital Employed (ROCE)</w:t>
      </w:r>
      <w:bookmarkEnd w:id="8"/>
    </w:p>
    <w:p w14:paraId="115D31A1"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Return on Capital Employed calculates the contribution of operational profit attributable to the </w:t>
      </w:r>
      <w:proofErr w:type="gramStart"/>
      <w:r w:rsidRPr="00B75985">
        <w:rPr>
          <w:rFonts w:ascii="Times New Roman" w:hAnsi="Times New Roman" w:cs="Times New Roman"/>
        </w:rPr>
        <w:t>long term</w:t>
      </w:r>
      <w:proofErr w:type="gramEnd"/>
      <w:r w:rsidRPr="00B75985">
        <w:rPr>
          <w:rFonts w:ascii="Times New Roman" w:hAnsi="Times New Roman" w:cs="Times New Roman"/>
        </w:rPr>
        <w:t xml:space="preserve"> capital used in business, taking into account both capital and long term borrowings. (Maverick, 2022; Bragg, 2018) It has been universally accepted as one of the key tools capable of measuring overall business performance because it relates operational profits with respective capital requirements. (Palmer, 2018; Palepu and Healy, 2020)</w:t>
      </w:r>
    </w:p>
    <w:p w14:paraId="3F45AC0E"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In 2023, Unilever had a ROCE of 16.3%. This suggests that for every euro invested in the business as part of the long-term capital base, the company was generating an approximate 16.3 cents per euro in operating profits. This is quite efficient and is aided by stable operating profits. (Maverick, 2022; Hayes, 2025)</w:t>
      </w:r>
    </w:p>
    <w:p w14:paraId="6EE66242"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In 2024, the reported ROCE was lower at 14.5%. This indicates a fall in the operating return on the capital employed. This has been affected by two key considerations: an increase in capital employed and a fall in reported operating profit due to restructuring expenses. (Allen, 2021; </w:t>
      </w:r>
      <w:proofErr w:type="spellStart"/>
      <w:r w:rsidRPr="00B75985">
        <w:rPr>
          <w:rFonts w:ascii="Times New Roman" w:hAnsi="Times New Roman" w:cs="Times New Roman"/>
        </w:rPr>
        <w:t>Chorafas</w:t>
      </w:r>
      <w:proofErr w:type="spellEnd"/>
      <w:r w:rsidRPr="00B75985">
        <w:rPr>
          <w:rFonts w:ascii="Times New Roman" w:hAnsi="Times New Roman" w:cs="Times New Roman"/>
        </w:rPr>
        <w:t>, 2015)</w:t>
      </w:r>
    </w:p>
    <w:p w14:paraId="175481A1"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Although there was a weakening in the reported level of ROCE, this does not necessarily mean that there was a deterioration in operational performance. (Palepu and Healy, 2020; Elliott and Elliott, 2017) When the effect of the non-underlying items was stripped away, it was noticeable that Unilever saw an improvement in its underlying level of ROCE of about 18.1% in 2024 compared to an underlying level of 16.2% in 2023. This implies that on the operational front, the business improved in terms of efficiency in using capital over the long term, and the decline in the reported level of ROCE was primarily because of the impact of strategic costs over the short term. (Adler, 2010; Campbell, 2021)</w:t>
      </w:r>
    </w:p>
    <w:p w14:paraId="634F7BD5" w14:textId="064CA302"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In conclusion, the data shown in the ROCE reveals an improvement in the capital efficiencies of Unilever despite the challenge posed by restructuring. (Campbell, 2021; </w:t>
      </w:r>
      <w:proofErr w:type="spellStart"/>
      <w:r w:rsidRPr="00B75985">
        <w:rPr>
          <w:rFonts w:ascii="Times New Roman" w:hAnsi="Times New Roman" w:cs="Times New Roman"/>
        </w:rPr>
        <w:t>Chorafas</w:t>
      </w:r>
      <w:proofErr w:type="spellEnd"/>
      <w:r w:rsidRPr="00B75985">
        <w:rPr>
          <w:rFonts w:ascii="Times New Roman" w:hAnsi="Times New Roman" w:cs="Times New Roman"/>
        </w:rPr>
        <w:t>, 2015)</w:t>
      </w:r>
    </w:p>
    <w:p w14:paraId="7B4E75B7" w14:textId="77777777" w:rsidR="00B75985" w:rsidRPr="00B75985" w:rsidRDefault="00B75985" w:rsidP="00B75985">
      <w:pPr>
        <w:pStyle w:val="Heading3"/>
      </w:pPr>
      <w:bookmarkStart w:id="9" w:name="_Toc219020640"/>
      <w:r w:rsidRPr="00B75985">
        <w:lastRenderedPageBreak/>
        <w:t>Return on Equity (ROE)</w:t>
      </w:r>
      <w:bookmarkEnd w:id="9"/>
    </w:p>
    <w:p w14:paraId="0C06D76F"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ROE helps determine the returns that shareholders have generated on their invested equity, and it is one of the most closely tracked financial indicators for shareholders. (Fernando, 2025; H. Kent Baker and Ricciardi, 2014) ROE indicates the efficiency with which the management has generated profits for the shareholders. (Lichtenstein and Dade, 2007; de Jongh, 2011)</w:t>
      </w:r>
    </w:p>
    <w:p w14:paraId="7D836ACD"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An ROE of approximately 38.4% was reported for Unilever in 2023, which is an indicator that it is highly sensitive to equity and fetches a high return on equity for the firm, thus making it efficient in creating value for its equity holders with its profitability streams. (Fernando, 2025; Allen, 2021)</w:t>
      </w:r>
    </w:p>
    <w:p w14:paraId="35A5447E"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In the year 2024, the ROE decreased to about 32.7%. The fall in ROE is attributed to the fall in the net profit, despite the Correspondent increase in the equity. Exceptional items affected the profitability for the period. The items acted to diminish the profitability of the company. (Fernando, 2025; </w:t>
      </w:r>
      <w:proofErr w:type="spellStart"/>
      <w:r w:rsidRPr="00B75985">
        <w:rPr>
          <w:rFonts w:ascii="Times New Roman" w:hAnsi="Times New Roman" w:cs="Times New Roman"/>
        </w:rPr>
        <w:t>Palasciano</w:t>
      </w:r>
      <w:proofErr w:type="spellEnd"/>
      <w:r w:rsidRPr="00B75985">
        <w:rPr>
          <w:rFonts w:ascii="Times New Roman" w:hAnsi="Times New Roman" w:cs="Times New Roman"/>
        </w:rPr>
        <w:t>, 2025; M Djoko Hanantijo, 2023)</w:t>
      </w:r>
    </w:p>
    <w:p w14:paraId="07024721" w14:textId="1AD6EAE9"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Despite the fall, ROE was nonetheless high. This suggests that Unilever was continuing to make high returns for its equity investors. The fall in ROE was mainly due to short-term circumstances and not due to an inability for Unilever to continue adding significant value. The high levels of ROE suggest that Unilever's business model is still strong enough to create significant value. (H. Kent Baker and Ricciardi, 2014; Best, 2013)</w:t>
      </w:r>
    </w:p>
    <w:p w14:paraId="7D6F6752" w14:textId="77777777" w:rsidR="00B75985" w:rsidRPr="00B75985" w:rsidRDefault="00B75985" w:rsidP="00B75985">
      <w:pPr>
        <w:pStyle w:val="Heading3"/>
      </w:pPr>
      <w:bookmarkStart w:id="10" w:name="_Toc219020641"/>
      <w:r w:rsidRPr="00B75985">
        <w:t>Return Measures Summary</w:t>
      </w:r>
      <w:bookmarkEnd w:id="10"/>
    </w:p>
    <w:p w14:paraId="46963EA5" w14:textId="54AE194D"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Overall, both reported ROCE and ROE fell between 2023 and 2024, reflecting increased capital employed and the impact of restructuring-related costs on profitability. (</w:t>
      </w:r>
      <w:proofErr w:type="spellStart"/>
      <w:r w:rsidRPr="00B75985">
        <w:rPr>
          <w:rFonts w:ascii="Times New Roman" w:hAnsi="Times New Roman" w:cs="Times New Roman"/>
        </w:rPr>
        <w:t>Chorafas</w:t>
      </w:r>
      <w:proofErr w:type="spellEnd"/>
      <w:r w:rsidRPr="00B75985">
        <w:rPr>
          <w:rFonts w:ascii="Times New Roman" w:hAnsi="Times New Roman" w:cs="Times New Roman"/>
        </w:rPr>
        <w:t>, 2015; M Djoko Hanantijo, 2023) However, underlying performance indicators show not only a better use of resources but also gains in capital efficiency. (Adler, 2010; Campbell, 2021) This would indicate that such a decline in reported returns was transient and identified with strategic transformation rather than a decline in the core operations of Unilever. (Campbell, 2021; Palepu and Healy, 2020)</w:t>
      </w:r>
    </w:p>
    <w:p w14:paraId="0CEE2D31" w14:textId="77777777" w:rsidR="00B75985" w:rsidRPr="00B75985" w:rsidRDefault="00B75985" w:rsidP="00B75985">
      <w:pPr>
        <w:pStyle w:val="Heading2"/>
      </w:pPr>
      <w:bookmarkStart w:id="11" w:name="_Toc219020642"/>
      <w:r w:rsidRPr="00B75985">
        <w:lastRenderedPageBreak/>
        <w:t>Liquidity Analysis</w:t>
      </w:r>
      <w:bookmarkEnd w:id="11"/>
    </w:p>
    <w:p w14:paraId="28485DD6"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Liquidity analysis examines the capacity of the entity to cover its short-term financial obligations as they become due. (CFI, 2020; </w:t>
      </w:r>
      <w:proofErr w:type="spellStart"/>
      <w:r w:rsidRPr="00B75985">
        <w:rPr>
          <w:rFonts w:ascii="Times New Roman" w:hAnsi="Times New Roman" w:cs="Times New Roman"/>
        </w:rPr>
        <w:t>Atrill</w:t>
      </w:r>
      <w:proofErr w:type="spellEnd"/>
      <w:r w:rsidRPr="00B75985">
        <w:rPr>
          <w:rFonts w:ascii="Times New Roman" w:hAnsi="Times New Roman" w:cs="Times New Roman"/>
        </w:rPr>
        <w:t xml:space="preserve"> and </w:t>
      </w:r>
      <w:proofErr w:type="spellStart"/>
      <w:r w:rsidRPr="00B75985">
        <w:rPr>
          <w:rFonts w:ascii="Times New Roman" w:hAnsi="Times New Roman" w:cs="Times New Roman"/>
        </w:rPr>
        <w:t>Mclaney</w:t>
      </w:r>
      <w:proofErr w:type="spellEnd"/>
      <w:r w:rsidRPr="00B75985">
        <w:rPr>
          <w:rFonts w:ascii="Times New Roman" w:hAnsi="Times New Roman" w:cs="Times New Roman"/>
        </w:rPr>
        <w:t>, 2018) This appraisal is concerned with focusing on the correlation between current assets and current liabilities. (Bragg, 2018; Palmer, 2018) The management of liquidity for large conglomerates, like Unilever PLC, is very closely associated with working capital management and supply chain optimization rather than maintaining large amounts of cash. (Chopra, 2021; Gligor, 2020)</w:t>
      </w:r>
    </w:p>
    <w:p w14:paraId="11052107" w14:textId="15C362A3"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Unlike smaller companies, Unilever has predictable revenue streams and steady sales through its international markets. Consequently, the interpretation of liquidity ratios for Unilever has been necessitated by its business model, cash conversion cycle, as well as its ability to access funds for the short term. (Almeida and Campello, 2005; Kersten, Harms, </w:t>
      </w:r>
      <w:proofErr w:type="spellStart"/>
      <w:r w:rsidRPr="00B75985">
        <w:rPr>
          <w:rFonts w:ascii="Times New Roman" w:hAnsi="Times New Roman" w:cs="Times New Roman"/>
        </w:rPr>
        <w:t>Liket</w:t>
      </w:r>
      <w:proofErr w:type="spellEnd"/>
      <w:r w:rsidRPr="00B75985">
        <w:rPr>
          <w:rFonts w:ascii="Times New Roman" w:hAnsi="Times New Roman" w:cs="Times New Roman"/>
        </w:rPr>
        <w:t xml:space="preserve"> and Maas, 2017) Low liquidity ratios may have little implications regarding financial problems, as Unilever may be pursuing optimal efficiency. (Allen, 2021; </w:t>
      </w:r>
      <w:proofErr w:type="spellStart"/>
      <w:r w:rsidRPr="00B75985">
        <w:rPr>
          <w:rFonts w:ascii="Times New Roman" w:hAnsi="Times New Roman" w:cs="Times New Roman"/>
        </w:rPr>
        <w:t>Chorafas</w:t>
      </w:r>
      <w:proofErr w:type="spellEnd"/>
      <w:r w:rsidRPr="00B75985">
        <w:rPr>
          <w:rFonts w:ascii="Times New Roman" w:hAnsi="Times New Roman" w:cs="Times New Roman"/>
        </w:rPr>
        <w:t>, 2015)</w:t>
      </w:r>
    </w:p>
    <w:p w14:paraId="0CD0B7A1" w14:textId="77777777" w:rsidR="00B75985" w:rsidRPr="00B75985" w:rsidRDefault="00B75985" w:rsidP="00B75985">
      <w:pPr>
        <w:pStyle w:val="Heading3"/>
      </w:pPr>
      <w:bookmarkStart w:id="12" w:name="_Toc219020643"/>
      <w:r w:rsidRPr="00B75985">
        <w:t>Current Ratio</w:t>
      </w:r>
      <w:bookmarkEnd w:id="12"/>
    </w:p>
    <w:p w14:paraId="3E2143CD"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The current ratio measures the relationship between current assets and current liabilities. The current ratio helps determine if a company can pay its current liabilities using current assets. (CFI, 2020; Bragg, 2018)</w:t>
      </w:r>
    </w:p>
    <w:p w14:paraId="1D32DEAD"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For the year 2023, the current ratio of Unilever stands at 0.97, which indicates that the current liabilities were slightly more than the current assets. For the year 2024, the current ratio </w:t>
      </w:r>
      <w:proofErr w:type="spellStart"/>
      <w:r w:rsidRPr="00B75985">
        <w:rPr>
          <w:rFonts w:ascii="Times New Roman" w:hAnsi="Times New Roman" w:cs="Times New Roman"/>
        </w:rPr>
        <w:t>ratio</w:t>
      </w:r>
      <w:proofErr w:type="spellEnd"/>
      <w:r w:rsidRPr="00B75985">
        <w:rPr>
          <w:rFonts w:ascii="Times New Roman" w:hAnsi="Times New Roman" w:cs="Times New Roman"/>
        </w:rPr>
        <w:t xml:space="preserve"> is slightly lower at 0.96. (CFI, 2020; </w:t>
      </w:r>
      <w:proofErr w:type="spellStart"/>
      <w:r w:rsidRPr="00B75985">
        <w:rPr>
          <w:rFonts w:ascii="Times New Roman" w:hAnsi="Times New Roman" w:cs="Times New Roman"/>
        </w:rPr>
        <w:t>Atrill</w:t>
      </w:r>
      <w:proofErr w:type="spellEnd"/>
      <w:r w:rsidRPr="00B75985">
        <w:rPr>
          <w:rFonts w:ascii="Times New Roman" w:hAnsi="Times New Roman" w:cs="Times New Roman"/>
        </w:rPr>
        <w:t xml:space="preserve"> and </w:t>
      </w:r>
      <w:proofErr w:type="spellStart"/>
      <w:r w:rsidRPr="00B75985">
        <w:rPr>
          <w:rFonts w:ascii="Times New Roman" w:hAnsi="Times New Roman" w:cs="Times New Roman"/>
        </w:rPr>
        <w:t>Mclaney</w:t>
      </w:r>
      <w:proofErr w:type="spellEnd"/>
      <w:r w:rsidRPr="00B75985">
        <w:rPr>
          <w:rFonts w:ascii="Times New Roman" w:hAnsi="Times New Roman" w:cs="Times New Roman"/>
        </w:rPr>
        <w:t>, 2018)</w:t>
      </w:r>
    </w:p>
    <w:p w14:paraId="43954619"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The stability of the current ratio throughout the two years can be taken as an indication that Unilever has maintained the same level of working capital structure. (Adler, 2010; Palepu and Healy, 2020) A ratio below one indicates that the business depends on the flows of funds to meet the payments as and when they fall due. (CFI, 2020; Almeida and Campello, 2005) In the case of a firm which has efficient operating cash flows and stable demand, it indicates effective management of the working capital rather than the problem of liquidity. (Chopra, 2021; Gligor, 2020)</w:t>
      </w:r>
    </w:p>
    <w:p w14:paraId="670DCD5E" w14:textId="51739E4E"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lastRenderedPageBreak/>
        <w:t>However, having a current ratio below one means that the company has a limited buffer to withstand unexpected short-term shocks. This means that the liquidity position of Unilever is vulnerable to the continued smooth operation of the organization’s business activities and cash flow generation processes. (Allen, 2021; Flynn, 2021)</w:t>
      </w:r>
    </w:p>
    <w:p w14:paraId="178C829E" w14:textId="77777777" w:rsidR="00B75985" w:rsidRPr="00B75985" w:rsidRDefault="00B75985" w:rsidP="00B75985">
      <w:pPr>
        <w:pStyle w:val="Heading3"/>
      </w:pPr>
      <w:bookmarkStart w:id="13" w:name="_Toc219020644"/>
      <w:r w:rsidRPr="00B75985">
        <w:t>Quick Ratio</w:t>
      </w:r>
      <w:bookmarkEnd w:id="13"/>
    </w:p>
    <w:p w14:paraId="047B975B"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The quick ratio is a more conservative liquidity ratio as it does not include inventories in current assets. The quick ratio measures the company’s ability to pay off its current liabilities without having to sell its inventory. (CFI, 2020; Bragg, 2018)</w:t>
      </w:r>
    </w:p>
    <w:p w14:paraId="146A3B21"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In 2023, Unilever's quick ratio was roughly 0.69. This decreased marginally to around 0.68 in 2024, which reflects an increase in its current liquidity position. (CFI, 2020; </w:t>
      </w:r>
      <w:proofErr w:type="spellStart"/>
      <w:r w:rsidRPr="00B75985">
        <w:rPr>
          <w:rFonts w:ascii="Times New Roman" w:hAnsi="Times New Roman" w:cs="Times New Roman"/>
        </w:rPr>
        <w:t>Atrill</w:t>
      </w:r>
      <w:proofErr w:type="spellEnd"/>
      <w:r w:rsidRPr="00B75985">
        <w:rPr>
          <w:rFonts w:ascii="Times New Roman" w:hAnsi="Times New Roman" w:cs="Times New Roman"/>
        </w:rPr>
        <w:t xml:space="preserve"> and </w:t>
      </w:r>
      <w:proofErr w:type="spellStart"/>
      <w:r w:rsidRPr="00B75985">
        <w:rPr>
          <w:rFonts w:ascii="Times New Roman" w:hAnsi="Times New Roman" w:cs="Times New Roman"/>
        </w:rPr>
        <w:t>Mclaney</w:t>
      </w:r>
      <w:proofErr w:type="spellEnd"/>
      <w:r w:rsidRPr="00B75985">
        <w:rPr>
          <w:rFonts w:ascii="Times New Roman" w:hAnsi="Times New Roman" w:cs="Times New Roman"/>
        </w:rPr>
        <w:t>, 2018)</w:t>
      </w:r>
    </w:p>
    <w:p w14:paraId="09338873" w14:textId="394B93CF"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The low quick ratio indicates that Unilever is very dependent on its inventory turnover and its steady cash flow </w:t>
      </w:r>
      <w:proofErr w:type="gramStart"/>
      <w:r w:rsidRPr="00B75985">
        <w:rPr>
          <w:rFonts w:ascii="Times New Roman" w:hAnsi="Times New Roman" w:cs="Times New Roman"/>
        </w:rPr>
        <w:t>in order to</w:t>
      </w:r>
      <w:proofErr w:type="gramEnd"/>
      <w:r w:rsidRPr="00B75985">
        <w:rPr>
          <w:rFonts w:ascii="Times New Roman" w:hAnsi="Times New Roman" w:cs="Times New Roman"/>
        </w:rPr>
        <w:t xml:space="preserve"> finance its short-term liabilities. (Wright and Slaybaugh, 2020; </w:t>
      </w:r>
      <w:proofErr w:type="spellStart"/>
      <w:r w:rsidRPr="00B75985">
        <w:rPr>
          <w:rFonts w:ascii="Times New Roman" w:hAnsi="Times New Roman" w:cs="Times New Roman"/>
        </w:rPr>
        <w:t>Relph</w:t>
      </w:r>
      <w:proofErr w:type="spellEnd"/>
      <w:r w:rsidRPr="00B75985">
        <w:rPr>
          <w:rFonts w:ascii="Times New Roman" w:hAnsi="Times New Roman" w:cs="Times New Roman"/>
        </w:rPr>
        <w:t xml:space="preserve">, 2015; </w:t>
      </w:r>
      <w:proofErr w:type="spellStart"/>
      <w:r w:rsidRPr="00B75985">
        <w:rPr>
          <w:rFonts w:ascii="Times New Roman" w:hAnsi="Times New Roman" w:cs="Times New Roman"/>
        </w:rPr>
        <w:t>Orobia</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Nakibuuka</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Bananuka</w:t>
      </w:r>
      <w:proofErr w:type="spellEnd"/>
      <w:r w:rsidRPr="00B75985">
        <w:rPr>
          <w:rFonts w:ascii="Times New Roman" w:hAnsi="Times New Roman" w:cs="Times New Roman"/>
        </w:rPr>
        <w:t xml:space="preserve"> and </w:t>
      </w:r>
      <w:proofErr w:type="spellStart"/>
      <w:r w:rsidRPr="00B75985">
        <w:rPr>
          <w:rFonts w:ascii="Times New Roman" w:hAnsi="Times New Roman" w:cs="Times New Roman"/>
        </w:rPr>
        <w:t>Akisimire</w:t>
      </w:r>
      <w:proofErr w:type="spellEnd"/>
      <w:r w:rsidRPr="00B75985">
        <w:rPr>
          <w:rFonts w:ascii="Times New Roman" w:hAnsi="Times New Roman" w:cs="Times New Roman"/>
        </w:rPr>
        <w:t xml:space="preserve">, 2020) Even though this </w:t>
      </w:r>
      <w:proofErr w:type="gramStart"/>
      <w:r w:rsidRPr="00B75985">
        <w:rPr>
          <w:rFonts w:ascii="Times New Roman" w:hAnsi="Times New Roman" w:cs="Times New Roman"/>
        </w:rPr>
        <w:t>enhances</w:t>
      </w:r>
      <w:proofErr w:type="gramEnd"/>
      <w:r w:rsidRPr="00B75985">
        <w:rPr>
          <w:rFonts w:ascii="Times New Roman" w:hAnsi="Times New Roman" w:cs="Times New Roman"/>
        </w:rPr>
        <w:t xml:space="preserve"> its capital efficiency and eliminates its need to hold cash, it increases its vulnerability to sales and supply chain disruptions. (Gligor, 2020; Flynn, 2021) A problem in inventory flow and accounts receivable payments may pose a challenge to its short-term liquidity. (Almeida and Campello, 2005; Kersten, Harms, </w:t>
      </w:r>
      <w:proofErr w:type="spellStart"/>
      <w:r w:rsidRPr="00B75985">
        <w:rPr>
          <w:rFonts w:ascii="Times New Roman" w:hAnsi="Times New Roman" w:cs="Times New Roman"/>
        </w:rPr>
        <w:t>Liket</w:t>
      </w:r>
      <w:proofErr w:type="spellEnd"/>
      <w:r w:rsidRPr="00B75985">
        <w:rPr>
          <w:rFonts w:ascii="Times New Roman" w:hAnsi="Times New Roman" w:cs="Times New Roman"/>
        </w:rPr>
        <w:t xml:space="preserve"> and Maas, 2017)</w:t>
      </w:r>
    </w:p>
    <w:p w14:paraId="1906553C" w14:textId="77777777" w:rsidR="00B75985" w:rsidRPr="00B75985" w:rsidRDefault="00B75985" w:rsidP="00B75985">
      <w:pPr>
        <w:pStyle w:val="Heading3"/>
      </w:pPr>
      <w:bookmarkStart w:id="14" w:name="_Toc219020645"/>
      <w:r w:rsidRPr="00B75985">
        <w:t>Working Capital Liquidity Implications</w:t>
      </w:r>
      <w:bookmarkEnd w:id="14"/>
    </w:p>
    <w:p w14:paraId="23008DC7"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Unilever’s liquidity ratios indicate its deliberate working capital management approach and lack of financial distress. (Adler, 2010; CFI, 2020) Unilever maintains its operation with tight liquidity, which results from its strong cash flow, optimal inventory management, and favorable trade receivables. (Chopra, 2021; Wright and Slaybaugh, 2020; Chen, Chung, Hsu and Wu, 2010)</w:t>
      </w:r>
    </w:p>
    <w:p w14:paraId="674BE0DC"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Additionally, Unilever maintains tight liquidity to enable it to optimally manage its working capital and increase its efficiency in generating cash flow. With tight liquidity, Unilever has minimized its unused working capital and maximized its profitability. (Palepu and Healy, 2020; Bragg, 2018)</w:t>
      </w:r>
    </w:p>
    <w:p w14:paraId="0945FACE" w14:textId="37A609E0"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lastRenderedPageBreak/>
        <w:t>On the other hand, this approach also implies reliance on stability in operations is strengthened. But sustained success in the management of inventory, receivables, and payables remains critical in liquidity management. Loss of momentum in cash flows or supply chain could impair Unilever’s capacity to pay its current liabilities without borrowing. (Flynn, 2021; Gligor, 2020; Allen, 2021)</w:t>
      </w:r>
    </w:p>
    <w:p w14:paraId="5CB369B5" w14:textId="77777777" w:rsidR="00B75985" w:rsidRPr="00B75985" w:rsidRDefault="00B75985" w:rsidP="00B75985">
      <w:pPr>
        <w:pStyle w:val="Heading3"/>
      </w:pPr>
      <w:bookmarkStart w:id="15" w:name="_Toc219020646"/>
      <w:r w:rsidRPr="00B75985">
        <w:t>Liquidity Analysis Summary</w:t>
      </w:r>
      <w:bookmarkEnd w:id="15"/>
    </w:p>
    <w:p w14:paraId="7B3B27D0" w14:textId="63BE24A3"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Overall, Unilever's liquidity situation is noted to have remained relatively stable but tight during the period from 2023 to 2024. (CFI, 2020; </w:t>
      </w:r>
      <w:proofErr w:type="spellStart"/>
      <w:r w:rsidRPr="00B75985">
        <w:rPr>
          <w:rFonts w:ascii="Times New Roman" w:hAnsi="Times New Roman" w:cs="Times New Roman"/>
        </w:rPr>
        <w:t>Atrill</w:t>
      </w:r>
      <w:proofErr w:type="spellEnd"/>
      <w:r w:rsidRPr="00B75985">
        <w:rPr>
          <w:rFonts w:ascii="Times New Roman" w:hAnsi="Times New Roman" w:cs="Times New Roman"/>
        </w:rPr>
        <w:t xml:space="preserve"> and </w:t>
      </w:r>
      <w:proofErr w:type="spellStart"/>
      <w:r w:rsidRPr="00B75985">
        <w:rPr>
          <w:rFonts w:ascii="Times New Roman" w:hAnsi="Times New Roman" w:cs="Times New Roman"/>
        </w:rPr>
        <w:t>Mclaney</w:t>
      </w:r>
      <w:proofErr w:type="spellEnd"/>
      <w:r w:rsidRPr="00B75985">
        <w:rPr>
          <w:rFonts w:ascii="Times New Roman" w:hAnsi="Times New Roman" w:cs="Times New Roman"/>
        </w:rPr>
        <w:t>, 2018) Unilever is seen to have the capability to meet its current financial obligations under normal operating circumstances, while the low liquidity ratios depict dependence on efficient working capital management practices and efficient cash flow management. (Adler, 2010; Palepu and Healy, 2020)</w:t>
      </w:r>
    </w:p>
    <w:p w14:paraId="27733FC3" w14:textId="77777777" w:rsidR="00B75985" w:rsidRPr="00B75985" w:rsidRDefault="00B75985" w:rsidP="00B75985">
      <w:pPr>
        <w:pStyle w:val="Heading2"/>
      </w:pPr>
      <w:bookmarkStart w:id="16" w:name="_Toc219020647"/>
      <w:r w:rsidRPr="00B75985">
        <w:t>Solvency and Capital Structure</w:t>
      </w:r>
      <w:bookmarkEnd w:id="16"/>
    </w:p>
    <w:p w14:paraId="0B61F695"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Solvency analysis gauges a company's ability to satisfy its long-term financial liabilities and determines the level of financial risk arising from its financing structure. (Allen, 2021; Kotey, 2019; M Djoko Hanantijo, 2023) In the case of Unilever PLC, a multinational group, solvency is particularly relevant given that strategic uses of long-term debt are usually made to finance investment, restructuring, and shareholder distributions. (</w:t>
      </w:r>
      <w:proofErr w:type="spellStart"/>
      <w:r w:rsidRPr="00B75985">
        <w:rPr>
          <w:rFonts w:ascii="Times New Roman" w:hAnsi="Times New Roman" w:cs="Times New Roman"/>
        </w:rPr>
        <w:t>Gianfrate</w:t>
      </w:r>
      <w:proofErr w:type="spellEnd"/>
      <w:r w:rsidRPr="00B75985">
        <w:rPr>
          <w:rFonts w:ascii="Times New Roman" w:hAnsi="Times New Roman" w:cs="Times New Roman"/>
        </w:rPr>
        <w:t xml:space="preserve"> and </w:t>
      </w:r>
      <w:proofErr w:type="spellStart"/>
      <w:r w:rsidRPr="00B75985">
        <w:rPr>
          <w:rFonts w:ascii="Times New Roman" w:hAnsi="Times New Roman" w:cs="Times New Roman"/>
        </w:rPr>
        <w:t>Loewenthal</w:t>
      </w:r>
      <w:proofErr w:type="spellEnd"/>
      <w:r w:rsidRPr="00B75985">
        <w:rPr>
          <w:rFonts w:ascii="Times New Roman" w:hAnsi="Times New Roman" w:cs="Times New Roman"/>
        </w:rPr>
        <w:t xml:space="preserve">, 2015; </w:t>
      </w:r>
      <w:proofErr w:type="spellStart"/>
      <w:r w:rsidRPr="00B75985">
        <w:rPr>
          <w:rFonts w:ascii="Times New Roman" w:hAnsi="Times New Roman" w:cs="Times New Roman"/>
        </w:rPr>
        <w:t>Clayman</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Fridson</w:t>
      </w:r>
      <w:proofErr w:type="spellEnd"/>
      <w:r w:rsidRPr="00B75985">
        <w:rPr>
          <w:rFonts w:ascii="Times New Roman" w:hAnsi="Times New Roman" w:cs="Times New Roman"/>
        </w:rPr>
        <w:t xml:space="preserve"> and Troughton, 2012) A sound capital structure ensures the ability of the company to balance risk and return while maintaining financial flexibility. (Campbell, 2021; </w:t>
      </w:r>
      <w:proofErr w:type="spellStart"/>
      <w:r w:rsidRPr="00B75985">
        <w:rPr>
          <w:rFonts w:ascii="Times New Roman" w:hAnsi="Times New Roman" w:cs="Times New Roman"/>
        </w:rPr>
        <w:t>Chorafas</w:t>
      </w:r>
      <w:proofErr w:type="spellEnd"/>
      <w:r w:rsidRPr="00B75985">
        <w:rPr>
          <w:rFonts w:ascii="Times New Roman" w:hAnsi="Times New Roman" w:cs="Times New Roman"/>
        </w:rPr>
        <w:t>, 2015)</w:t>
      </w:r>
    </w:p>
    <w:p w14:paraId="763EDF2D" w14:textId="198A0B35"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Unlike liquidity ratios, which focus on short-term obligations, solvency ratios provide insight into the long-term sustainability of the business. They help assess whether a company can continue to service its debt commitments while investing in future growth and maintaining shareholder confidence. (Allen, 2021; Chen, Chung, Hsu and Wu, 2010)</w:t>
      </w:r>
    </w:p>
    <w:p w14:paraId="6504BA6E" w14:textId="77777777" w:rsidR="00B75985" w:rsidRPr="00B75985" w:rsidRDefault="00B75985" w:rsidP="00B75985">
      <w:pPr>
        <w:pStyle w:val="Heading3"/>
      </w:pPr>
      <w:bookmarkStart w:id="17" w:name="_Toc219020648"/>
      <w:r w:rsidRPr="00B75985">
        <w:t>Gearing Ratio</w:t>
      </w:r>
      <w:bookmarkEnd w:id="17"/>
    </w:p>
    <w:p w14:paraId="0170FC2F"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Gearing Ratio indicates the proportion to which long term capitals are financed by long term borrowings and not by equities. A gearing ratio gives an approximate measure of risk and leverage of a company on debt. (Kenton, 2024; Bragg, 2018)</w:t>
      </w:r>
    </w:p>
    <w:p w14:paraId="668751F7"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lastRenderedPageBreak/>
        <w:t>Unilever's gearing ratio in the year 2023 was approximately 55.8%, which revealed that over 50% of the long-term funding had been raised from long-term borrowings. However, in 2024, the gearing ratio was slightly higher at 56.4%, indicating an increase in the use of debt funding. (Kenton, 2024; Kotey, 2019)</w:t>
      </w:r>
    </w:p>
    <w:p w14:paraId="70606817"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The rise in gearing indicates that Unilever has used a slightly more leveraged capital structure in 2024. This can be attributed to the funding used for restructuring programs and the preservation of dividend distributions to its shareholders. (Kotey, 2019; Almeida and Campello, 2005) Although higher gearing results in increased risks for the company, it can act as an incentive for shareholders with efficient operational results and manageable borrowing costs. (Allen, 2021; Lichtenstein and Dade, 2007)</w:t>
      </w:r>
    </w:p>
    <w:p w14:paraId="5F81A8B7" w14:textId="19A7F731"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Nevertheless, the rise in gearing makes the company’s financial flexibility decrease and more vulnerable to interest rate changes. Therefore, it becomes highly important for the company to maintain strong and stable operating profits </w:t>
      </w:r>
      <w:proofErr w:type="gramStart"/>
      <w:r w:rsidRPr="00B75985">
        <w:rPr>
          <w:rFonts w:ascii="Times New Roman" w:hAnsi="Times New Roman" w:cs="Times New Roman"/>
        </w:rPr>
        <w:t>in order to</w:t>
      </w:r>
      <w:proofErr w:type="gramEnd"/>
      <w:r w:rsidRPr="00B75985">
        <w:rPr>
          <w:rFonts w:ascii="Times New Roman" w:hAnsi="Times New Roman" w:cs="Times New Roman"/>
        </w:rPr>
        <w:t xml:space="preserve"> support its highly geared capital structure. (Allen, 2021; </w:t>
      </w:r>
      <w:proofErr w:type="spellStart"/>
      <w:r w:rsidRPr="00B75985">
        <w:rPr>
          <w:rFonts w:ascii="Times New Roman" w:hAnsi="Times New Roman" w:cs="Times New Roman"/>
        </w:rPr>
        <w:t>Chorafas</w:t>
      </w:r>
      <w:proofErr w:type="spellEnd"/>
      <w:r w:rsidRPr="00B75985">
        <w:rPr>
          <w:rFonts w:ascii="Times New Roman" w:hAnsi="Times New Roman" w:cs="Times New Roman"/>
        </w:rPr>
        <w:t>, 2015)</w:t>
      </w:r>
    </w:p>
    <w:p w14:paraId="0C32597D" w14:textId="77777777" w:rsidR="00B75985" w:rsidRPr="00B75985" w:rsidRDefault="00B75985" w:rsidP="00B75985">
      <w:pPr>
        <w:pStyle w:val="Heading3"/>
      </w:pPr>
      <w:bookmarkStart w:id="18" w:name="_Toc219020649"/>
      <w:r w:rsidRPr="00B75985">
        <w:t>Relationship Between Gearing and Shareholder Returns</w:t>
      </w:r>
      <w:bookmarkEnd w:id="18"/>
    </w:p>
    <w:p w14:paraId="029FBE32"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From a theoretical perspective, higher gearing would potentially increase financial leverage-driven returns for the company’s shareholders, on the proviso that the cost of the capital employed is exceeded by the rate of return obtained. (Allen, 2021; </w:t>
      </w:r>
      <w:proofErr w:type="spellStart"/>
      <w:r w:rsidRPr="00B75985">
        <w:rPr>
          <w:rFonts w:ascii="Times New Roman" w:hAnsi="Times New Roman" w:cs="Times New Roman"/>
        </w:rPr>
        <w:t>Clayman</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Fridson</w:t>
      </w:r>
      <w:proofErr w:type="spellEnd"/>
      <w:r w:rsidRPr="00B75985">
        <w:rPr>
          <w:rFonts w:ascii="Times New Roman" w:hAnsi="Times New Roman" w:cs="Times New Roman"/>
        </w:rPr>
        <w:t xml:space="preserve"> and Troughton, 2012) By the same token, the rise in the company’s gearing ratio in 2024 was accompanied by a fall in the return on equity. (Fernando, 2025; M Djoko Hanantijo, 2023)</w:t>
      </w:r>
    </w:p>
    <w:p w14:paraId="3159816B" w14:textId="01A3F43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This means that while costs associated with leverage were outweighed by lower profitability due to restructuring and transformation expenses, the impacts of leverage were not experienced in terms of return on investment. (</w:t>
      </w:r>
      <w:proofErr w:type="spellStart"/>
      <w:r w:rsidRPr="00B75985">
        <w:rPr>
          <w:rFonts w:ascii="Times New Roman" w:hAnsi="Times New Roman" w:cs="Times New Roman"/>
        </w:rPr>
        <w:t>Kotey</w:t>
      </w:r>
      <w:proofErr w:type="spellEnd"/>
      <w:r w:rsidRPr="00B75985">
        <w:rPr>
          <w:rFonts w:ascii="Times New Roman" w:hAnsi="Times New Roman" w:cs="Times New Roman"/>
        </w:rPr>
        <w:t xml:space="preserve">, 2019; </w:t>
      </w:r>
      <w:proofErr w:type="spellStart"/>
      <w:r w:rsidRPr="00B75985">
        <w:rPr>
          <w:rFonts w:ascii="Times New Roman" w:hAnsi="Times New Roman" w:cs="Times New Roman"/>
        </w:rPr>
        <w:t>Chorafas</w:t>
      </w:r>
      <w:proofErr w:type="spellEnd"/>
      <w:r w:rsidRPr="00B75985">
        <w:rPr>
          <w:rFonts w:ascii="Times New Roman" w:hAnsi="Times New Roman" w:cs="Times New Roman"/>
        </w:rPr>
        <w:t xml:space="preserve">, 2015) The longer term should now see such costs bring about profitability </w:t>
      </w:r>
      <w:proofErr w:type="gramStart"/>
      <w:r w:rsidRPr="00B75985">
        <w:rPr>
          <w:rFonts w:ascii="Times New Roman" w:hAnsi="Times New Roman" w:cs="Times New Roman"/>
        </w:rPr>
        <w:t>as a result of</w:t>
      </w:r>
      <w:proofErr w:type="gramEnd"/>
      <w:r w:rsidRPr="00B75985">
        <w:rPr>
          <w:rFonts w:ascii="Times New Roman" w:hAnsi="Times New Roman" w:cs="Times New Roman"/>
        </w:rPr>
        <w:t xml:space="preserve"> restructuring programs put in place. (Campbell, 2021; Adler, 2010)</w:t>
      </w:r>
    </w:p>
    <w:p w14:paraId="51C6AEA0" w14:textId="77777777" w:rsidR="00B75985" w:rsidRPr="00B75985" w:rsidRDefault="00B75985" w:rsidP="00B75985">
      <w:pPr>
        <w:pStyle w:val="Heading3"/>
      </w:pPr>
      <w:bookmarkStart w:id="19" w:name="_Toc219020650"/>
      <w:r w:rsidRPr="00B75985">
        <w:lastRenderedPageBreak/>
        <w:t>Interest Cover</w:t>
      </w:r>
      <w:bookmarkEnd w:id="19"/>
    </w:p>
    <w:p w14:paraId="4E261846"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The interest cover is an important indicator of a company’s ability to service its borrowings from its operating profits. (Allen, 2021; Bragg, 2018)</w:t>
      </w:r>
    </w:p>
    <w:p w14:paraId="267E21B4"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The interest cover for Unilever in 2023 stood at 10.6, which revealed that its operating profit was well </w:t>
      </w:r>
      <w:proofErr w:type="gramStart"/>
      <w:r w:rsidRPr="00B75985">
        <w:rPr>
          <w:rFonts w:ascii="Times New Roman" w:hAnsi="Times New Roman" w:cs="Times New Roman"/>
        </w:rPr>
        <w:t>in excess of</w:t>
      </w:r>
      <w:proofErr w:type="gramEnd"/>
      <w:r w:rsidRPr="00B75985">
        <w:rPr>
          <w:rFonts w:ascii="Times New Roman" w:hAnsi="Times New Roman" w:cs="Times New Roman"/>
        </w:rPr>
        <w:t xml:space="preserve"> its interest payment requirement. The interest cover for Unilever in 2024 reduced to 9.0. (Allen, 2021; Kotey, 2019)</w:t>
      </w:r>
    </w:p>
    <w:p w14:paraId="55393C27" w14:textId="7D37B675"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Although the interest cover ratio eased, it was still at a comfortable level in both years. This indicates that Unilever has maintained the ability to service its debt despite the rise in leverage and interest expense. However, the declining ratio indicates that Unilever has become more vulnerable to any potential increase in interest costs or fall in performance. (Almeida and Campello, 2005; Kersten, Harms, </w:t>
      </w:r>
      <w:proofErr w:type="spellStart"/>
      <w:r w:rsidRPr="00B75985">
        <w:rPr>
          <w:rFonts w:ascii="Times New Roman" w:hAnsi="Times New Roman" w:cs="Times New Roman"/>
        </w:rPr>
        <w:t>Liket</w:t>
      </w:r>
      <w:proofErr w:type="spellEnd"/>
      <w:r w:rsidRPr="00B75985">
        <w:rPr>
          <w:rFonts w:ascii="Times New Roman" w:hAnsi="Times New Roman" w:cs="Times New Roman"/>
        </w:rPr>
        <w:t xml:space="preserve"> and Maas, 2017)</w:t>
      </w:r>
    </w:p>
    <w:p w14:paraId="0FC581D5" w14:textId="77777777" w:rsidR="00B75985" w:rsidRPr="00B75985" w:rsidRDefault="00B75985" w:rsidP="00B75985">
      <w:pPr>
        <w:pStyle w:val="Heading3"/>
      </w:pPr>
      <w:bookmarkStart w:id="20" w:name="_Toc219020651"/>
      <w:r w:rsidRPr="00B75985">
        <w:t>Solvency and Capital Structure Summary</w:t>
      </w:r>
      <w:bookmarkEnd w:id="20"/>
    </w:p>
    <w:p w14:paraId="0B710EDF" w14:textId="0420472C"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However, in general, the solvency position at Unilever has remained strong from 2023 to 2024. (Allen, 2021; Kenton, 2024) Despite the increase in gearing and the lower interest cover, the company has maintained its strong ability to service its debts. (Bragg, 2018; Palmer, 2018) The current capital structure indicates proper leverage and minimal financial risks, although it is important for the company to maintain its profitability. (</w:t>
      </w:r>
      <w:proofErr w:type="spellStart"/>
      <w:r w:rsidRPr="00B75985">
        <w:rPr>
          <w:rFonts w:ascii="Times New Roman" w:hAnsi="Times New Roman" w:cs="Times New Roman"/>
        </w:rPr>
        <w:t>Chorafas</w:t>
      </w:r>
      <w:proofErr w:type="spellEnd"/>
      <w:r w:rsidRPr="00B75985">
        <w:rPr>
          <w:rFonts w:ascii="Times New Roman" w:hAnsi="Times New Roman" w:cs="Times New Roman"/>
        </w:rPr>
        <w:t>, 2015; Campbell, 2021)</w:t>
      </w:r>
    </w:p>
    <w:p w14:paraId="0B543BFC" w14:textId="77777777" w:rsidR="00B75985" w:rsidRPr="00B75985" w:rsidRDefault="00B75985" w:rsidP="00B75985">
      <w:pPr>
        <w:pStyle w:val="Heading2"/>
      </w:pPr>
      <w:bookmarkStart w:id="21" w:name="_Toc219020652"/>
      <w:r w:rsidRPr="00B75985">
        <w:t>Efficiency Analysis</w:t>
      </w:r>
      <w:bookmarkEnd w:id="21"/>
    </w:p>
    <w:p w14:paraId="398DE426"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Efficiency analysis does an examination of the efficiency and efficacy that a firm uses in relating to and taking control of its working capital elements. The elements that come into focus in this analysis include inventory, accounts receivable, and accounts payable. (Bragg, 2018; </w:t>
      </w:r>
      <w:proofErr w:type="spellStart"/>
      <w:r w:rsidRPr="00B75985">
        <w:rPr>
          <w:rFonts w:ascii="Times New Roman" w:hAnsi="Times New Roman" w:cs="Times New Roman"/>
        </w:rPr>
        <w:t>Atrill</w:t>
      </w:r>
      <w:proofErr w:type="spellEnd"/>
      <w:r w:rsidRPr="00B75985">
        <w:rPr>
          <w:rFonts w:ascii="Times New Roman" w:hAnsi="Times New Roman" w:cs="Times New Roman"/>
        </w:rPr>
        <w:t xml:space="preserve"> and </w:t>
      </w:r>
      <w:proofErr w:type="spellStart"/>
      <w:r w:rsidRPr="00B75985">
        <w:rPr>
          <w:rFonts w:ascii="Times New Roman" w:hAnsi="Times New Roman" w:cs="Times New Roman"/>
        </w:rPr>
        <w:t>Mclaney</w:t>
      </w:r>
      <w:proofErr w:type="spellEnd"/>
      <w:r w:rsidRPr="00B75985">
        <w:rPr>
          <w:rFonts w:ascii="Times New Roman" w:hAnsi="Times New Roman" w:cs="Times New Roman"/>
        </w:rPr>
        <w:t>, 2018; Palmer, 2018) For a huge business enterprise like Unilever PLC that is a large consumer products firm and operates in a global market, efficiency in working capital management is important given the high sales that such a business does. (Chopra, 2021; Gligor, 2020)</w:t>
      </w:r>
    </w:p>
    <w:p w14:paraId="40AA3E52" w14:textId="352F6EC3"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The changes in efficiency ratios also account for the changes in efficiency ratios and help in understanding the changes in liquidity ratios and profitability ratios in a better manner. (Palepu </w:t>
      </w:r>
      <w:r w:rsidRPr="00B75985">
        <w:rPr>
          <w:rFonts w:ascii="Times New Roman" w:hAnsi="Times New Roman" w:cs="Times New Roman"/>
        </w:rPr>
        <w:lastRenderedPageBreak/>
        <w:t>and Healy, 2020; Bragg, 2018) Below is the assessment of the efficiency of Unilever for the two financial years ending 2023 and 2024. (Sanzo, 2005; Hartley, Firer and Ford, 2006)</w:t>
      </w:r>
    </w:p>
    <w:p w14:paraId="5E2594A6" w14:textId="77777777" w:rsidR="00B75985" w:rsidRPr="00B75985" w:rsidRDefault="00B75985" w:rsidP="00B75985">
      <w:pPr>
        <w:pStyle w:val="Heading3"/>
      </w:pPr>
      <w:bookmarkStart w:id="22" w:name="_Toc219020653"/>
      <w:r w:rsidRPr="00B75985">
        <w:t>Inventory Days</w:t>
      </w:r>
      <w:bookmarkEnd w:id="22"/>
    </w:p>
    <w:p w14:paraId="62C47B5F"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Inventory days indicate the average </w:t>
      </w:r>
      <w:proofErr w:type="gramStart"/>
      <w:r w:rsidRPr="00B75985">
        <w:rPr>
          <w:rFonts w:ascii="Times New Roman" w:hAnsi="Times New Roman" w:cs="Times New Roman"/>
        </w:rPr>
        <w:t>period of time</w:t>
      </w:r>
      <w:proofErr w:type="gramEnd"/>
      <w:r w:rsidRPr="00B75985">
        <w:rPr>
          <w:rFonts w:ascii="Times New Roman" w:hAnsi="Times New Roman" w:cs="Times New Roman"/>
        </w:rPr>
        <w:t xml:space="preserve"> for which the inventory is held before its conversion into revenue. (Wright and Slaybaugh, 2020; Relph, 2015) It is an important ratio in the case of consumer goods industry because the industry requires proper management of the inventory </w:t>
      </w:r>
      <w:proofErr w:type="gramStart"/>
      <w:r w:rsidRPr="00B75985">
        <w:rPr>
          <w:rFonts w:ascii="Times New Roman" w:hAnsi="Times New Roman" w:cs="Times New Roman"/>
        </w:rPr>
        <w:t>in order to</w:t>
      </w:r>
      <w:proofErr w:type="gramEnd"/>
      <w:r w:rsidRPr="00B75985">
        <w:rPr>
          <w:rFonts w:ascii="Times New Roman" w:hAnsi="Times New Roman" w:cs="Times New Roman"/>
        </w:rPr>
        <w:t xml:space="preserve"> fulfill the demand as well as minimize the holding cost of the goods in the inventory. (</w:t>
      </w:r>
      <w:proofErr w:type="spellStart"/>
      <w:r w:rsidRPr="00B75985">
        <w:rPr>
          <w:rFonts w:ascii="Times New Roman" w:hAnsi="Times New Roman" w:cs="Times New Roman"/>
        </w:rPr>
        <w:t>Orobia</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Nakibuuka</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Bananuka</w:t>
      </w:r>
      <w:proofErr w:type="spellEnd"/>
      <w:r w:rsidRPr="00B75985">
        <w:rPr>
          <w:rFonts w:ascii="Times New Roman" w:hAnsi="Times New Roman" w:cs="Times New Roman"/>
        </w:rPr>
        <w:t xml:space="preserve"> and </w:t>
      </w:r>
      <w:proofErr w:type="spellStart"/>
      <w:r w:rsidRPr="00B75985">
        <w:rPr>
          <w:rFonts w:ascii="Times New Roman" w:hAnsi="Times New Roman" w:cs="Times New Roman"/>
        </w:rPr>
        <w:t>Akisimire</w:t>
      </w:r>
      <w:proofErr w:type="spellEnd"/>
      <w:r w:rsidRPr="00B75985">
        <w:rPr>
          <w:rFonts w:ascii="Times New Roman" w:hAnsi="Times New Roman" w:cs="Times New Roman"/>
        </w:rPr>
        <w:t>, 2020; Chopra, 2021)</w:t>
      </w:r>
    </w:p>
    <w:p w14:paraId="26BDC7E6"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In 2023, the days inventory was around 89 days in Unilever. In 2024, the days inventory rose to slightly over 98 days, showing that the inventory was held for a longer </w:t>
      </w:r>
      <w:proofErr w:type="gramStart"/>
      <w:r w:rsidRPr="00B75985">
        <w:rPr>
          <w:rFonts w:ascii="Times New Roman" w:hAnsi="Times New Roman" w:cs="Times New Roman"/>
        </w:rPr>
        <w:t>period of time</w:t>
      </w:r>
      <w:proofErr w:type="gramEnd"/>
      <w:r w:rsidRPr="00B75985">
        <w:rPr>
          <w:rFonts w:ascii="Times New Roman" w:hAnsi="Times New Roman" w:cs="Times New Roman"/>
        </w:rPr>
        <w:t>. (Relph, 2015; Wright and Slaybaugh, 2020)</w:t>
      </w:r>
    </w:p>
    <w:p w14:paraId="010802D3" w14:textId="55294D5E"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The rise in the number of inventory days indicates that Unilever held higher inventory levels in 2024. This could be attributed to the strategic decision to create inventory cushion levels in the wake of supply chain uncertainties. (Flynn, 2021; Gligor, 2020) Although holding higher inventory levels can improve supply chain resilience, there could be increased storage costs of obsolescence, especially within the context of the fast-moving consumer markets. (</w:t>
      </w:r>
      <w:proofErr w:type="spellStart"/>
      <w:r w:rsidRPr="00B75985">
        <w:rPr>
          <w:rFonts w:ascii="Times New Roman" w:hAnsi="Times New Roman" w:cs="Times New Roman"/>
        </w:rPr>
        <w:t>Chorafas</w:t>
      </w:r>
      <w:proofErr w:type="spellEnd"/>
      <w:r w:rsidRPr="00B75985">
        <w:rPr>
          <w:rFonts w:ascii="Times New Roman" w:hAnsi="Times New Roman" w:cs="Times New Roman"/>
        </w:rPr>
        <w:t xml:space="preserve">, 2015; </w:t>
      </w:r>
      <w:proofErr w:type="spellStart"/>
      <w:r w:rsidRPr="00B75985">
        <w:rPr>
          <w:rFonts w:ascii="Times New Roman" w:hAnsi="Times New Roman" w:cs="Times New Roman"/>
        </w:rPr>
        <w:t>Orobia</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Nakibuuka</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Bananuka</w:t>
      </w:r>
      <w:proofErr w:type="spellEnd"/>
      <w:r w:rsidRPr="00B75985">
        <w:rPr>
          <w:rFonts w:ascii="Times New Roman" w:hAnsi="Times New Roman" w:cs="Times New Roman"/>
        </w:rPr>
        <w:t xml:space="preserve"> and </w:t>
      </w:r>
      <w:proofErr w:type="spellStart"/>
      <w:r w:rsidRPr="00B75985">
        <w:rPr>
          <w:rFonts w:ascii="Times New Roman" w:hAnsi="Times New Roman" w:cs="Times New Roman"/>
        </w:rPr>
        <w:t>Akisimire</w:t>
      </w:r>
      <w:proofErr w:type="spellEnd"/>
      <w:r w:rsidRPr="00B75985">
        <w:rPr>
          <w:rFonts w:ascii="Times New Roman" w:hAnsi="Times New Roman" w:cs="Times New Roman"/>
        </w:rPr>
        <w:t>, 2020)</w:t>
      </w:r>
    </w:p>
    <w:p w14:paraId="2B610D41" w14:textId="77777777" w:rsidR="00B75985" w:rsidRPr="00B75985" w:rsidRDefault="00B75985" w:rsidP="00B75985">
      <w:pPr>
        <w:pStyle w:val="Heading3"/>
      </w:pPr>
      <w:bookmarkStart w:id="23" w:name="_Toc219020654"/>
      <w:r w:rsidRPr="00B75985">
        <w:t>Receivables Days</w:t>
      </w:r>
      <w:bookmarkEnd w:id="23"/>
    </w:p>
    <w:p w14:paraId="45463DB9"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Receivables days represent the average time it takes to receive payment from customers after the point of sale. It reveals the effectiveness of credit management. (Chen, Chung, Hsu and Wu, 2010; Almeida and Campello, 2005)</w:t>
      </w:r>
    </w:p>
    <w:p w14:paraId="32BAAFA6"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In the year 2023, the receivables days of Unilever stood at around 44 days. In the year 2024, the receivables days of Unilever increased to about 47 days, showing a slight delay in realizing cash from customers. (Palepu and Healy, 2020; Bragg, 2018)</w:t>
      </w:r>
    </w:p>
    <w:p w14:paraId="45B42975" w14:textId="070364D4"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This rise in receivables would indicate that Unilever has given its customers more time to pay off their accounts or has experienced difficulties in collecting cash in certain markets. However, it </w:t>
      </w:r>
      <w:r w:rsidRPr="00B75985">
        <w:rPr>
          <w:rFonts w:ascii="Times New Roman" w:hAnsi="Times New Roman" w:cs="Times New Roman"/>
        </w:rPr>
        <w:lastRenderedPageBreak/>
        <w:t xml:space="preserve">might not be such a big deal, as it would be problematic if it continues to </w:t>
      </w:r>
      <w:proofErr w:type="gramStart"/>
      <w:r w:rsidRPr="00B75985">
        <w:rPr>
          <w:rFonts w:ascii="Times New Roman" w:hAnsi="Times New Roman" w:cs="Times New Roman"/>
        </w:rPr>
        <w:t>increase</w:t>
      </w:r>
      <w:proofErr w:type="gramEnd"/>
      <w:r w:rsidRPr="00B75985">
        <w:rPr>
          <w:rFonts w:ascii="Times New Roman" w:hAnsi="Times New Roman" w:cs="Times New Roman"/>
        </w:rPr>
        <w:t xml:space="preserve"> and Unilever has to depend on other working capital finances. (Kersten, Harms, </w:t>
      </w:r>
      <w:proofErr w:type="spellStart"/>
      <w:r w:rsidRPr="00B75985">
        <w:rPr>
          <w:rFonts w:ascii="Times New Roman" w:hAnsi="Times New Roman" w:cs="Times New Roman"/>
        </w:rPr>
        <w:t>Liket</w:t>
      </w:r>
      <w:proofErr w:type="spellEnd"/>
      <w:r w:rsidRPr="00B75985">
        <w:rPr>
          <w:rFonts w:ascii="Times New Roman" w:hAnsi="Times New Roman" w:cs="Times New Roman"/>
        </w:rPr>
        <w:t xml:space="preserve"> and Maas, 2017; Kotey, 2019)</w:t>
      </w:r>
    </w:p>
    <w:p w14:paraId="2BA73955" w14:textId="77777777" w:rsidR="00B75985" w:rsidRPr="00B75985" w:rsidRDefault="00B75985" w:rsidP="00B75985">
      <w:pPr>
        <w:pStyle w:val="Heading3"/>
      </w:pPr>
      <w:bookmarkStart w:id="24" w:name="_Toc219020655"/>
      <w:r w:rsidRPr="00B75985">
        <w:t>Payables Days</w:t>
      </w:r>
      <w:bookmarkEnd w:id="24"/>
    </w:p>
    <w:p w14:paraId="494F44D3"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The payables days can be calculated by determining the average number of days it takes for the company to repay its suppliers and measuring the use of trade credit. (CFI Team, 2022; Chopra, 2021)</w:t>
      </w:r>
    </w:p>
    <w:p w14:paraId="01102F6B"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In 2023, Unilever's payables days are reported to be about 129 days. In contrast, in 2024, this heightened considerably to about 144 days, implying a longer settlement period of the payables. (CFI Team, 2022; Bragg, 2018)</w:t>
      </w:r>
    </w:p>
    <w:p w14:paraId="111CA38B" w14:textId="0281B929"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Extension of Payables Days: It indicates that the company relies more on suppliers for credit in 2024. It enhances cash flows. On the other hand, very high payments may result in strained relations with the suppliers, which may limit flexibility in negotiations of better terms in the future. (Chopra, 2021; Gligor, 2020)</w:t>
      </w:r>
    </w:p>
    <w:p w14:paraId="12BACD70" w14:textId="77777777" w:rsidR="00B75985" w:rsidRPr="00B75985" w:rsidRDefault="00B75985" w:rsidP="00B75985">
      <w:pPr>
        <w:pStyle w:val="Heading3"/>
      </w:pPr>
      <w:bookmarkStart w:id="25" w:name="_Toc219020656"/>
      <w:r w:rsidRPr="00B75985">
        <w:t>Efficiency Analysis Summary</w:t>
      </w:r>
      <w:bookmarkEnd w:id="25"/>
    </w:p>
    <w:p w14:paraId="654F2846" w14:textId="25A95D4C"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Overall, the efficiency of the working capital of Unilever weakened slightly in the period between 2023 and 2024. Inventories and receivables were held for longer periods of time; this further stretched the cash conversion cycle. (Wright and Slaybaugh, 2020; Chen, Chung, Hsu and Wu, 2010) This factor was partly compensated by an extraordinary extension of payables days, reflecting greater reliance on supplier financing. (Almeida and Campello, 2005; Kersten, Harms, </w:t>
      </w:r>
      <w:proofErr w:type="spellStart"/>
      <w:r w:rsidRPr="00B75985">
        <w:rPr>
          <w:rFonts w:ascii="Times New Roman" w:hAnsi="Times New Roman" w:cs="Times New Roman"/>
        </w:rPr>
        <w:t>Liket</w:t>
      </w:r>
      <w:proofErr w:type="spellEnd"/>
      <w:r w:rsidRPr="00B75985">
        <w:rPr>
          <w:rFonts w:ascii="Times New Roman" w:hAnsi="Times New Roman" w:cs="Times New Roman"/>
        </w:rPr>
        <w:t xml:space="preserve"> and Maas, 2017) Such a strategy serves to support liquidity but at the price of increasing dependence on effective inventory management and strong supplier relationships for sustainability. (Chopra, 2021; </w:t>
      </w:r>
      <w:proofErr w:type="spellStart"/>
      <w:r w:rsidRPr="00B75985">
        <w:rPr>
          <w:rFonts w:ascii="Times New Roman" w:hAnsi="Times New Roman" w:cs="Times New Roman"/>
        </w:rPr>
        <w:t>Chorafas</w:t>
      </w:r>
      <w:proofErr w:type="spellEnd"/>
      <w:r w:rsidRPr="00B75985">
        <w:rPr>
          <w:rFonts w:ascii="Times New Roman" w:hAnsi="Times New Roman" w:cs="Times New Roman"/>
        </w:rPr>
        <w:t>, 2015)</w:t>
      </w:r>
    </w:p>
    <w:p w14:paraId="28C8F599" w14:textId="77777777" w:rsidR="00B75985" w:rsidRPr="00B75985" w:rsidRDefault="00B75985" w:rsidP="00B75985">
      <w:pPr>
        <w:pStyle w:val="Heading2"/>
      </w:pPr>
      <w:bookmarkStart w:id="26" w:name="_Toc219020657"/>
      <w:r w:rsidRPr="00B75985">
        <w:t>Investor Performance</w:t>
      </w:r>
      <w:bookmarkEnd w:id="26"/>
    </w:p>
    <w:p w14:paraId="4082C533"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Investor performance ratios evaluate the efficiency with which a company's profits or returns are measured for shareholders, as well as market satisfaction with those returns. (H. Kent Baker and </w:t>
      </w:r>
      <w:r w:rsidRPr="00B75985">
        <w:rPr>
          <w:rFonts w:ascii="Times New Roman" w:hAnsi="Times New Roman" w:cs="Times New Roman"/>
        </w:rPr>
        <w:lastRenderedPageBreak/>
        <w:t>Ricciardi, 2014; Palepu and Healy, 2020) Such ratios would be critical for a globally listed public company like Unilever PLC, as market satisfaction with the returns received by shareholders influences market confidence, stock market performance, as well as the ability of Unilever PLC to raise equity capital. (Chen, Chung, Hsu and Wu, 2010; de Jongh, 2011)</w:t>
      </w:r>
    </w:p>
    <w:p w14:paraId="293BDC60" w14:textId="37605646"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Profitability and efficiency ratios differ in that investment ratios include not only internal financial performance measures, but also market values. Investment ratios, in other words, give information not only on the amount of value that is created for stockholders, but also on how this value is distributed and priced in the market. (H. Kent Baker and Ricciardi, 2014; Lichtenstein and Dade, 2007)</w:t>
      </w:r>
    </w:p>
    <w:p w14:paraId="78820D23" w14:textId="77777777" w:rsidR="00B75985" w:rsidRPr="00B75985" w:rsidRDefault="00B75985" w:rsidP="00B75985">
      <w:pPr>
        <w:pStyle w:val="Heading3"/>
      </w:pPr>
      <w:bookmarkStart w:id="27" w:name="_Toc219020658"/>
      <w:r w:rsidRPr="00B75985">
        <w:t>Earnings per Share (EPS)</w:t>
      </w:r>
      <w:bookmarkEnd w:id="27"/>
    </w:p>
    <w:p w14:paraId="303EF5BF"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The earnings per share represent the profit quotient attributable to each ordinary share. As such, it is one of the key indicators of value creation for a shareholder. (Schmidt, 2022; Palepu and Healy, 2020) EPS enables investors to look at profitability on a per-share basis rather than in absolute terms, which is particularly useful for comparisons over time. (H. Kent Baker and Ricciardi, 2014; Schmidt, 2022)</w:t>
      </w:r>
    </w:p>
    <w:p w14:paraId="7A6667F1"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In 2023, Unilever recorded an EPS of €2.82. While in 2024, the firm's earnings per share fell to €2.51. The reduction in EPS reflects the fall in reported net profit during 2024, primarily due to restructuring and transformation-related costs incurred during the year. (Schmidt, 2022; </w:t>
      </w:r>
      <w:proofErr w:type="spellStart"/>
      <w:r w:rsidRPr="00B75985">
        <w:rPr>
          <w:rFonts w:ascii="Times New Roman" w:hAnsi="Times New Roman" w:cs="Times New Roman"/>
        </w:rPr>
        <w:t>Palasciano</w:t>
      </w:r>
      <w:proofErr w:type="spellEnd"/>
      <w:r w:rsidRPr="00B75985">
        <w:rPr>
          <w:rFonts w:ascii="Times New Roman" w:hAnsi="Times New Roman" w:cs="Times New Roman"/>
        </w:rPr>
        <w:t>, 2025)</w:t>
      </w:r>
    </w:p>
    <w:p w14:paraId="50B0693E" w14:textId="53DC978D"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In that respect, the decline in EPS does indicate that the final earnings attributable to shareholders, on a per-share basis, weakened despite revenue growth and improved underlying operating performance. This all underlines the fact that exceptional costs can reduce shareholder returns for some time, even when the core operation remains strong. (H. Kent Baker and Ricciardi, 2014; Adler, 2010)</w:t>
      </w:r>
    </w:p>
    <w:p w14:paraId="1AC23D00" w14:textId="77777777" w:rsidR="00B75985" w:rsidRPr="00B75985" w:rsidRDefault="00B75985" w:rsidP="00B75985">
      <w:pPr>
        <w:pStyle w:val="Heading3"/>
      </w:pPr>
      <w:bookmarkStart w:id="28" w:name="_Toc219020659"/>
      <w:r w:rsidRPr="00B75985">
        <w:t>Dividend per Share and Dividend Cover</w:t>
      </w:r>
      <w:bookmarkEnd w:id="28"/>
    </w:p>
    <w:p w14:paraId="28AAFBCC"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The dividend per share highlights the return on investment that shareholders receive in cash. It reveals information about a company’s management confidence regarding sustainability. It is very </w:t>
      </w:r>
      <w:r w:rsidRPr="00B75985">
        <w:rPr>
          <w:rFonts w:ascii="Times New Roman" w:hAnsi="Times New Roman" w:cs="Times New Roman"/>
        </w:rPr>
        <w:lastRenderedPageBreak/>
        <w:t>useful in large, mature companies, where, as in the case of Unilever, shareholders look for stable cash flows. (Lichtenstein and Dade, 2007; Palepu and Healy, 2020)</w:t>
      </w:r>
    </w:p>
    <w:p w14:paraId="428A8FEF"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In 2023, Unilever declared a dividend of about €1.72 per share. This marginally increased to about €1.76 per share in 2024, showing that the company is </w:t>
      </w:r>
      <w:proofErr w:type="spellStart"/>
      <w:r w:rsidRPr="00B75985">
        <w:rPr>
          <w:rFonts w:ascii="Times New Roman" w:hAnsi="Times New Roman" w:cs="Times New Roman"/>
        </w:rPr>
        <w:t>stillwilling</w:t>
      </w:r>
      <w:proofErr w:type="spellEnd"/>
      <w:r w:rsidRPr="00B75985">
        <w:rPr>
          <w:rFonts w:ascii="Times New Roman" w:hAnsi="Times New Roman" w:cs="Times New Roman"/>
        </w:rPr>
        <w:t xml:space="preserve"> to pay dividends to its shareholders even with lower profits. (H. Kent Baker and Ricciardi, 2014; Lichtenstein and Dade, 2007)</w:t>
      </w:r>
    </w:p>
    <w:p w14:paraId="58C0A0F5"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Dividend cover indicates the level at which dividends are funded. In 2023, the dividend cover was about 1.6 times. This indicates that the earnings were more than sufficient to cover the dividend payments. In 2024, the dividend cover reduced to 1.4 times. (Bragg, 2018; Palmer, 2018)</w:t>
      </w:r>
    </w:p>
    <w:p w14:paraId="21670C8B" w14:textId="30FE9419"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Despite this drop in dividend cover, it remained above one in both years. This indicates that the dividend payments continued to be financed from profit rather than from reserve and further borrowing, which further indicates a sustainable dividend policy. (Palepu and Healy, 2020; de Jongh, 2011)</w:t>
      </w:r>
    </w:p>
    <w:p w14:paraId="0958E8EC" w14:textId="77777777" w:rsidR="00B75985" w:rsidRPr="00B75985" w:rsidRDefault="00B75985" w:rsidP="00B75985">
      <w:pPr>
        <w:pStyle w:val="Heading3"/>
      </w:pPr>
      <w:bookmarkStart w:id="29" w:name="_Toc219020660"/>
      <w:r w:rsidRPr="00B75985">
        <w:t>Dividend Yield</w:t>
      </w:r>
      <w:bookmarkEnd w:id="29"/>
    </w:p>
    <w:p w14:paraId="32EC5098"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Dividend yield calculates the income return available to investors in relation to the prevailing market price of the shares. (H. Kent Baker and Ricciardi, 2014; Palepu and Healy, 2020)</w:t>
      </w:r>
    </w:p>
    <w:p w14:paraId="62EBE4D8" w14:textId="01052525"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Between 2023 and 2024, the dividend yield of Unilever slightly decreased. While the dividend per share increased, this suggests that the firm's share price outpaced dividends. A decline in dividend yield due to higher share prices would typically be viewed as a good omen; it reflects confidence on the part of investors that growth and future earnings, rather than just income, have risen. (H. Kent Baker and Ricciardi, 2014; Lichtenstein and Dade, 2007)</w:t>
      </w:r>
    </w:p>
    <w:p w14:paraId="0EB72257" w14:textId="77777777" w:rsidR="00B75985" w:rsidRPr="00B75985" w:rsidRDefault="00B75985" w:rsidP="00B75985">
      <w:pPr>
        <w:pStyle w:val="Heading3"/>
      </w:pPr>
      <w:bookmarkStart w:id="30" w:name="_Toc219020661"/>
      <w:r w:rsidRPr="00B75985">
        <w:t>Price/Earnings (P/E) Ratio</w:t>
      </w:r>
      <w:bookmarkEnd w:id="30"/>
    </w:p>
    <w:p w14:paraId="22AD1E5A"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The Price/Earnings Ratio measures how much stock price investors will pay per dollar of earnings, as a reflection of their perceptions related to future growth, risk, and earnings. (H. Kent Baker and Ricciardi, 2014; Palepu and Healy, 2020)</w:t>
      </w:r>
    </w:p>
    <w:p w14:paraId="667225C1"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lastRenderedPageBreak/>
        <w:t>For the year 2023, Unilever’s P/E ratio was about 18.5 times. Moving into 2024, the ratio rose to about 20.1 times, although it experienced a reduction in the earnings-per-share ratio. This indicates that investors were able to pay an excess premium for Unilever's stocks, indicating possible confidence in the long-term strategy the firm has in place or its restructuring programs that would make its profitability increase in the future. (H. Kent Baker and Ricciardi, 2014; Chen, Chung, Hsu and Wu, 2010)</w:t>
      </w:r>
    </w:p>
    <w:p w14:paraId="7FD07AAD" w14:textId="097B1EEB"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The rising P/E ratio, coupled with the declining earnings, suggests that the market was primarily valued </w:t>
      </w:r>
      <w:proofErr w:type="gramStart"/>
      <w:r w:rsidRPr="00B75985">
        <w:rPr>
          <w:rFonts w:ascii="Times New Roman" w:hAnsi="Times New Roman" w:cs="Times New Roman"/>
        </w:rPr>
        <w:t>on the basis of</w:t>
      </w:r>
      <w:proofErr w:type="gramEnd"/>
      <w:r w:rsidRPr="00B75985">
        <w:rPr>
          <w:rFonts w:ascii="Times New Roman" w:hAnsi="Times New Roman" w:cs="Times New Roman"/>
        </w:rPr>
        <w:t xml:space="preserve"> future prospects. (Best, 2013; Neneh, 2020)</w:t>
      </w:r>
    </w:p>
    <w:p w14:paraId="7BFF34A2" w14:textId="77777777" w:rsidR="00B75985" w:rsidRPr="00B75985" w:rsidRDefault="00B75985" w:rsidP="00B75985">
      <w:pPr>
        <w:pStyle w:val="Heading3"/>
      </w:pPr>
      <w:bookmarkStart w:id="31" w:name="_Toc219020662"/>
      <w:r w:rsidRPr="00B75985">
        <w:t>Investor Performance Summary</w:t>
      </w:r>
      <w:bookmarkEnd w:id="31"/>
    </w:p>
    <w:p w14:paraId="0E41285B" w14:textId="5FC70C30"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On the whole, the performance of Unilever as an investor seems to have been weakened in 2024 in terms of earnings per share and dividend coverage but, on the other hand, seems to have been steady in terms of dividend growth and increased market valuation, as evident in the rise in the P/E ratio, which assumes that investor sentiment is still confident and positive about the Company's future performance. (H. Kent Baker and Ricciardi, 2014; Palepu and Healy, 2020)</w:t>
      </w:r>
    </w:p>
    <w:p w14:paraId="74B5F28A" w14:textId="77777777" w:rsidR="00B75985" w:rsidRPr="00B75985" w:rsidRDefault="00B75985" w:rsidP="00B75985">
      <w:pPr>
        <w:pStyle w:val="Heading1"/>
      </w:pPr>
      <w:bookmarkStart w:id="32" w:name="_Toc219020663"/>
      <w:r w:rsidRPr="00B75985">
        <w:t>Part 2 – Investment Appraisal for Westward Plc</w:t>
      </w:r>
      <w:bookmarkEnd w:id="32"/>
    </w:p>
    <w:p w14:paraId="03267CEA"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Westward Plc is contemplating a large investment program that would help develop and enlarge their business. They have shortlisted three possible investment options that would be executed over a period of four years: enhancing their current retail outlet to deal in all their products, doing business on the web, and manufacturing wooden and Roman blinds. Each of them has a distinct initial investment cost and a total annual return. (</w:t>
      </w:r>
      <w:proofErr w:type="spellStart"/>
      <w:r w:rsidRPr="00B75985">
        <w:rPr>
          <w:rFonts w:ascii="Times New Roman" w:hAnsi="Times New Roman" w:cs="Times New Roman"/>
        </w:rPr>
        <w:t>Clayman</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Fridson</w:t>
      </w:r>
      <w:proofErr w:type="spellEnd"/>
      <w:r w:rsidRPr="00B75985">
        <w:rPr>
          <w:rFonts w:ascii="Times New Roman" w:hAnsi="Times New Roman" w:cs="Times New Roman"/>
        </w:rPr>
        <w:t xml:space="preserve"> and Troughton, 2012; Madura, 2018)</w:t>
      </w:r>
    </w:p>
    <w:p w14:paraId="7692DC52"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Because of the scale of the proposed investment in relation to the long-term nature of the potential return on that investment, it is important that the directors of the company adopt the correct framework of investment appraisal. (</w:t>
      </w:r>
      <w:proofErr w:type="spellStart"/>
      <w:r w:rsidRPr="00B75985">
        <w:rPr>
          <w:rFonts w:ascii="Times New Roman" w:hAnsi="Times New Roman" w:cs="Times New Roman"/>
        </w:rPr>
        <w:t>Oakshott</w:t>
      </w:r>
      <w:proofErr w:type="spellEnd"/>
      <w:r w:rsidRPr="00B75985">
        <w:rPr>
          <w:rFonts w:ascii="Times New Roman" w:hAnsi="Times New Roman" w:cs="Times New Roman"/>
        </w:rPr>
        <w:t>, 2020; Allen, 2021) Methods of investment appraisal assist in the process of determination by management of whether the potential for future return of the proposed investment warrants the capital requirement. (CFI, 2022; Spring, 2018)</w:t>
      </w:r>
    </w:p>
    <w:p w14:paraId="7B1B2249"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lastRenderedPageBreak/>
        <w:t>This report compares the three investment options using both discounted and undiscounted investment appraisal methods in accordance with the directors' requirement. (</w:t>
      </w:r>
      <w:proofErr w:type="spellStart"/>
      <w:r w:rsidRPr="00B75985">
        <w:rPr>
          <w:rFonts w:ascii="Times New Roman" w:hAnsi="Times New Roman" w:cs="Times New Roman"/>
        </w:rPr>
        <w:t>Imarticus</w:t>
      </w:r>
      <w:proofErr w:type="spellEnd"/>
      <w:r w:rsidRPr="00B75985">
        <w:rPr>
          <w:rFonts w:ascii="Times New Roman" w:hAnsi="Times New Roman" w:cs="Times New Roman"/>
        </w:rPr>
        <w:t>, 2024; Kagan, 2025; Gordon, 2020) The analysis captures the impact of corporation tax at 25% and capital allowances at 20% on a straight-line basis, as directed in the case. (</w:t>
      </w:r>
      <w:proofErr w:type="spellStart"/>
      <w:r w:rsidRPr="00B75985">
        <w:rPr>
          <w:rFonts w:ascii="Times New Roman" w:hAnsi="Times New Roman" w:cs="Times New Roman"/>
        </w:rPr>
        <w:t>Oakshott</w:t>
      </w:r>
      <w:proofErr w:type="spellEnd"/>
      <w:r w:rsidRPr="00B75985">
        <w:rPr>
          <w:rFonts w:ascii="Times New Roman" w:hAnsi="Times New Roman" w:cs="Times New Roman"/>
        </w:rPr>
        <w:t>, 2020; Thomas, 2022) A cost of capital of 6% is used when using discounted cash flow techniques. (CFI, 2022; Allen, 2021)</w:t>
      </w:r>
    </w:p>
    <w:p w14:paraId="0CAF064E" w14:textId="32596705"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It aims to make a focused and well-ordered recommendation to the Board of Westward Plc on which option provides the highest value, explaining the outcomes of the applied appraisal techniques; after that, the implications for decisions when investment funds are limited are discussed. The final section also advises on appropriate methods of financing the proposed investment </w:t>
      </w:r>
      <w:proofErr w:type="spellStart"/>
      <w:r w:rsidRPr="00B75985">
        <w:rPr>
          <w:rFonts w:ascii="Times New Roman" w:hAnsi="Times New Roman" w:cs="Times New Roman"/>
        </w:rPr>
        <w:t>programme</w:t>
      </w:r>
      <w:proofErr w:type="spellEnd"/>
      <w:r w:rsidRPr="00B75985">
        <w:rPr>
          <w:rFonts w:ascii="Times New Roman" w:hAnsi="Times New Roman" w:cs="Times New Roman"/>
        </w:rPr>
        <w:t xml:space="preserve">. (Spring, 2018; Almeida and Campello, 2005; Kersten, Harms, </w:t>
      </w:r>
      <w:proofErr w:type="spellStart"/>
      <w:r w:rsidRPr="00B75985">
        <w:rPr>
          <w:rFonts w:ascii="Times New Roman" w:hAnsi="Times New Roman" w:cs="Times New Roman"/>
        </w:rPr>
        <w:t>Liket</w:t>
      </w:r>
      <w:proofErr w:type="spellEnd"/>
      <w:r w:rsidRPr="00B75985">
        <w:rPr>
          <w:rFonts w:ascii="Times New Roman" w:hAnsi="Times New Roman" w:cs="Times New Roman"/>
        </w:rPr>
        <w:t xml:space="preserve"> and Maas, 2017)</w:t>
      </w:r>
    </w:p>
    <w:p w14:paraId="31919A6E" w14:textId="2AD1E723" w:rsidR="00B75985" w:rsidRPr="00B75985" w:rsidRDefault="00B75985" w:rsidP="00B75985">
      <w:pPr>
        <w:pStyle w:val="Heading2"/>
      </w:pPr>
      <w:bookmarkStart w:id="33" w:name="_Toc219020664"/>
      <w:r w:rsidRPr="00B75985">
        <w:t>(a) Net Present Value (NPV)</w:t>
      </w:r>
      <w:bookmarkEnd w:id="33"/>
      <w:r w:rsidRPr="00B75985">
        <w:t xml:space="preserve"> </w:t>
      </w:r>
    </w:p>
    <w:p w14:paraId="39DE3B5D"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To assess the three alternative investment proposals, the Net Present Value approach has been employed with a cost of capital of 6%, as indicated by the company directors. (CFI, 2022; Spring, 2018) Net Present Value analysis is appropriate for undertaking the investment analysis, as it took into consideration the time value of money. (</w:t>
      </w:r>
      <w:proofErr w:type="spellStart"/>
      <w:r w:rsidRPr="00B75985">
        <w:rPr>
          <w:rFonts w:ascii="Times New Roman" w:hAnsi="Times New Roman" w:cs="Times New Roman"/>
        </w:rPr>
        <w:t>Oakshott</w:t>
      </w:r>
      <w:proofErr w:type="spellEnd"/>
      <w:r w:rsidRPr="00B75985">
        <w:rPr>
          <w:rFonts w:ascii="Times New Roman" w:hAnsi="Times New Roman" w:cs="Times New Roman"/>
        </w:rPr>
        <w:t>, 2020; Madura, 2018) Using the present value approach allows the financial manager to compare the present cash flows of each investment with its cost, as it discounted the future after-tax cash flows to its present values. (</w:t>
      </w:r>
      <w:proofErr w:type="spellStart"/>
      <w:r w:rsidRPr="00B75985">
        <w:rPr>
          <w:rFonts w:ascii="Times New Roman" w:hAnsi="Times New Roman" w:cs="Times New Roman"/>
        </w:rPr>
        <w:t>Clayman</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Fridson</w:t>
      </w:r>
      <w:proofErr w:type="spellEnd"/>
      <w:r w:rsidRPr="00B75985">
        <w:rPr>
          <w:rFonts w:ascii="Times New Roman" w:hAnsi="Times New Roman" w:cs="Times New Roman"/>
        </w:rPr>
        <w:t xml:space="preserve"> and Troughton, 2012; Palepu and Healy, 2020)</w:t>
      </w:r>
    </w:p>
    <w:p w14:paraId="71A79BFA" w14:textId="68B207F3"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The CF calculation </w:t>
      </w:r>
      <w:proofErr w:type="gramStart"/>
      <w:r w:rsidRPr="00B75985">
        <w:rPr>
          <w:rFonts w:ascii="Times New Roman" w:hAnsi="Times New Roman" w:cs="Times New Roman"/>
        </w:rPr>
        <w:t>takes into account</w:t>
      </w:r>
      <w:proofErr w:type="gramEnd"/>
      <w:r w:rsidRPr="00B75985">
        <w:rPr>
          <w:rFonts w:ascii="Times New Roman" w:hAnsi="Times New Roman" w:cs="Times New Roman"/>
        </w:rPr>
        <w:t xml:space="preserve"> a 25% rate of corporation tax and a 20% rate of capital allowances using a straight-line basis. (Thomas, 2022; </w:t>
      </w:r>
      <w:proofErr w:type="spellStart"/>
      <w:r w:rsidRPr="00B75985">
        <w:rPr>
          <w:rFonts w:ascii="Times New Roman" w:hAnsi="Times New Roman" w:cs="Times New Roman"/>
        </w:rPr>
        <w:t>Oakshott</w:t>
      </w:r>
      <w:proofErr w:type="spellEnd"/>
      <w:r w:rsidRPr="00B75985">
        <w:rPr>
          <w:rFonts w:ascii="Times New Roman" w:hAnsi="Times New Roman" w:cs="Times New Roman"/>
        </w:rPr>
        <w:t>, 2020) All CFs in this calculation are treated as if they occur at the end of the year in which they fall due. (</w:t>
      </w:r>
      <w:proofErr w:type="spellStart"/>
      <w:r w:rsidRPr="00B75985">
        <w:rPr>
          <w:rFonts w:ascii="Times New Roman" w:hAnsi="Times New Roman" w:cs="Times New Roman"/>
        </w:rPr>
        <w:t>Oakshott</w:t>
      </w:r>
      <w:proofErr w:type="spellEnd"/>
      <w:r w:rsidRPr="00B75985">
        <w:rPr>
          <w:rFonts w:ascii="Times New Roman" w:hAnsi="Times New Roman" w:cs="Times New Roman"/>
        </w:rPr>
        <w:t>, 2020)</w:t>
      </w:r>
    </w:p>
    <w:p w14:paraId="4617C8F2" w14:textId="77777777" w:rsidR="00B75985" w:rsidRPr="00B75985" w:rsidRDefault="00B75985" w:rsidP="00B75985">
      <w:pPr>
        <w:spacing w:before="100" w:beforeAutospacing="1" w:after="100" w:afterAutospacing="1" w:line="360" w:lineRule="auto"/>
        <w:jc w:val="both"/>
        <w:rPr>
          <w:rFonts w:ascii="Times New Roman" w:hAnsi="Times New Roman" w:cs="Times New Roman"/>
          <w:b/>
          <w:bCs/>
        </w:rPr>
      </w:pPr>
      <w:r w:rsidRPr="00B75985">
        <w:rPr>
          <w:rFonts w:ascii="Times New Roman" w:hAnsi="Times New Roman" w:cs="Times New Roman"/>
          <w:b/>
          <w:bCs/>
        </w:rPr>
        <w:t>NPV Results</w:t>
      </w:r>
    </w:p>
    <w:p w14:paraId="1984C0F6"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The NPVs for the options at a discount rate of 6% are as follows:</w:t>
      </w:r>
    </w:p>
    <w:p w14:paraId="14EB5711" w14:textId="2B825B39" w:rsidR="00B75985" w:rsidRPr="00B75985" w:rsidRDefault="00B75985" w:rsidP="00B75985">
      <w:pPr>
        <w:pStyle w:val="ListParagraph"/>
        <w:numPr>
          <w:ilvl w:val="0"/>
          <w:numId w:val="8"/>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Option A (Retail expansion): NPV = +£643.2k</w:t>
      </w:r>
    </w:p>
    <w:p w14:paraId="2377D569" w14:textId="673F7672" w:rsidR="00B75985" w:rsidRPr="00B75985" w:rsidRDefault="00B75985" w:rsidP="00B75985">
      <w:pPr>
        <w:pStyle w:val="ListParagraph"/>
        <w:numPr>
          <w:ilvl w:val="0"/>
          <w:numId w:val="8"/>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lastRenderedPageBreak/>
        <w:t>Option B (Develop internet sales): NPV = +£792.2k</w:t>
      </w:r>
    </w:p>
    <w:p w14:paraId="4742D364" w14:textId="61164696" w:rsidR="00B75985" w:rsidRPr="00B75985" w:rsidRDefault="00B75985" w:rsidP="00B75985">
      <w:pPr>
        <w:pStyle w:val="ListParagraph"/>
        <w:numPr>
          <w:ilvl w:val="0"/>
          <w:numId w:val="8"/>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Option C (Produce wooden and Roman blinds): NPV = +£742.5k</w:t>
      </w:r>
    </w:p>
    <w:p w14:paraId="4F1E0AAB" w14:textId="5DF8E82D"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All the three alternatives give a positive NPV. This implies that each alternative has a potential return higher than the cost of capital, which would be valuable to the firm. (CFI, 2022; Spring, 2018; Lichtenstein and Dade, 2007)</w:t>
      </w:r>
    </w:p>
    <w:p w14:paraId="4E8C1E35" w14:textId="77777777" w:rsidR="00B75985" w:rsidRPr="00B75985" w:rsidRDefault="00B75985" w:rsidP="00B75985">
      <w:pPr>
        <w:pStyle w:val="Heading3"/>
      </w:pPr>
      <w:bookmarkStart w:id="34" w:name="_Toc219020665"/>
      <w:r w:rsidRPr="00B75985">
        <w:t>Interpretation</w:t>
      </w:r>
      <w:bookmarkEnd w:id="34"/>
    </w:p>
    <w:p w14:paraId="706FBA28"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Even though all the options would be viable on financial grounds, when dealing with mutually exclusive investments, the criterion specified by the NPV method would be to go for the investment opportunity with the highest positive NPV. This can be attributed to the fact that NPV calculates the actual </w:t>
      </w:r>
      <w:proofErr w:type="spellStart"/>
      <w:r w:rsidRPr="00B75985">
        <w:rPr>
          <w:rFonts w:ascii="Times New Roman" w:hAnsi="Times New Roman" w:cs="Times New Roman"/>
        </w:rPr>
        <w:t>financialvalue</w:t>
      </w:r>
      <w:proofErr w:type="spellEnd"/>
      <w:r w:rsidRPr="00B75985">
        <w:rPr>
          <w:rFonts w:ascii="Times New Roman" w:hAnsi="Times New Roman" w:cs="Times New Roman"/>
        </w:rPr>
        <w:t xml:space="preserve"> added by an investment. (CFI, 2022; Spring, 2018)</w:t>
      </w:r>
    </w:p>
    <w:p w14:paraId="4B755D90" w14:textId="448E4323"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The option with the highest NPV is Option B, which implies that it adds the most value to its shareholders over this four-year horizon. (Lichtenstein and Dade, 2007; de Jongh, 2011) Even though option C adds a huge amount of value to its shareholders, its magnitude of investment costs more compared to option B. Although option A has the lowest investment costs, it adds less value compared to options B and C when discounted at the company’s cost of capital. (CFI, 2022; </w:t>
      </w:r>
      <w:proofErr w:type="spellStart"/>
      <w:r w:rsidRPr="00B75985">
        <w:rPr>
          <w:rFonts w:ascii="Times New Roman" w:hAnsi="Times New Roman" w:cs="Times New Roman"/>
        </w:rPr>
        <w:t>Clayman</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Fridson</w:t>
      </w:r>
      <w:proofErr w:type="spellEnd"/>
      <w:r w:rsidRPr="00B75985">
        <w:rPr>
          <w:rFonts w:ascii="Times New Roman" w:hAnsi="Times New Roman" w:cs="Times New Roman"/>
        </w:rPr>
        <w:t xml:space="preserve"> and Troughton, 2012)</w:t>
      </w:r>
    </w:p>
    <w:p w14:paraId="70933979" w14:textId="77777777" w:rsidR="00B75985" w:rsidRPr="00B75985" w:rsidRDefault="00B75985" w:rsidP="00B75985">
      <w:pPr>
        <w:pStyle w:val="Heading3"/>
      </w:pPr>
      <w:bookmarkStart w:id="35" w:name="_Toc219020666"/>
      <w:r w:rsidRPr="00B75985">
        <w:t>Recommendation Based on NPV</w:t>
      </w:r>
      <w:bookmarkEnd w:id="35"/>
    </w:p>
    <w:p w14:paraId="2CC2782F" w14:textId="6A9553AF"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For purely Net Present Value analysis purposes, taking into consideration the discount rate of 6%, it can be concluded that the course of action, which should be considered favorable to the directors of Westward Plc, is Option B: Develop into internet sales. The primary reason for this identification is the potential it holds of generating the highest possible financial benefits. (CFI, 2022; Spring, 2018)</w:t>
      </w:r>
    </w:p>
    <w:p w14:paraId="3B895D85" w14:textId="77777777" w:rsidR="00B75985" w:rsidRPr="00B75985" w:rsidRDefault="00B75985" w:rsidP="00B75985">
      <w:pPr>
        <w:pStyle w:val="Heading2"/>
      </w:pPr>
      <w:bookmarkStart w:id="36" w:name="_Toc219020667"/>
      <w:r w:rsidRPr="00B75985">
        <w:t>(b) Internal Rate of Return (IRR) Evaluation</w:t>
      </w:r>
      <w:bookmarkEnd w:id="36"/>
    </w:p>
    <w:p w14:paraId="1FD584DF"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Apart from the Net Present Value analysis, the Internal Rate of Return has also been determined for each of the three investment alternatives. The Internal Rate of Return is the discount rate at which the Net Present Value of a project will be zero. This discount rate can also be viewed as the </w:t>
      </w:r>
      <w:r w:rsidRPr="00B75985">
        <w:rPr>
          <w:rFonts w:ascii="Times New Roman" w:hAnsi="Times New Roman" w:cs="Times New Roman"/>
        </w:rPr>
        <w:lastRenderedPageBreak/>
        <w:t xml:space="preserve">expected annual rate of return on the project. (CFI, 2022; Arjunan, 2017; Azar and </w:t>
      </w:r>
      <w:proofErr w:type="spellStart"/>
      <w:r w:rsidRPr="00B75985">
        <w:rPr>
          <w:rFonts w:ascii="Times New Roman" w:hAnsi="Times New Roman" w:cs="Times New Roman"/>
        </w:rPr>
        <w:t>Noueihed</w:t>
      </w:r>
      <w:proofErr w:type="spellEnd"/>
      <w:r w:rsidRPr="00B75985">
        <w:rPr>
          <w:rFonts w:ascii="Times New Roman" w:hAnsi="Times New Roman" w:cs="Times New Roman"/>
        </w:rPr>
        <w:t>, 2014)</w:t>
      </w:r>
    </w:p>
    <w:p w14:paraId="706A3735" w14:textId="4C835D04"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IRR is a popular appraisal method since the performance results can be compared easily with the cost of capital due to its expression in percentage form. (CFI, 2022; </w:t>
      </w:r>
      <w:proofErr w:type="spellStart"/>
      <w:r w:rsidRPr="00B75985">
        <w:rPr>
          <w:rFonts w:ascii="Times New Roman" w:hAnsi="Times New Roman" w:cs="Times New Roman"/>
        </w:rPr>
        <w:t>Oakshott</w:t>
      </w:r>
      <w:proofErr w:type="spellEnd"/>
      <w:r w:rsidRPr="00B75985">
        <w:rPr>
          <w:rFonts w:ascii="Times New Roman" w:hAnsi="Times New Roman" w:cs="Times New Roman"/>
        </w:rPr>
        <w:t xml:space="preserve">, 2020) In this case, the IRRs have been calculated </w:t>
      </w:r>
      <w:proofErr w:type="gramStart"/>
      <w:r w:rsidRPr="00B75985">
        <w:rPr>
          <w:rFonts w:ascii="Times New Roman" w:hAnsi="Times New Roman" w:cs="Times New Roman"/>
        </w:rPr>
        <w:t>through the use of</w:t>
      </w:r>
      <w:proofErr w:type="gramEnd"/>
      <w:r w:rsidRPr="00B75985">
        <w:rPr>
          <w:rFonts w:ascii="Times New Roman" w:hAnsi="Times New Roman" w:cs="Times New Roman"/>
        </w:rPr>
        <w:t xml:space="preserve"> interpolation to derive the discount costs that give negative and positive NPVs. (</w:t>
      </w:r>
      <w:proofErr w:type="spellStart"/>
      <w:r w:rsidRPr="00B75985">
        <w:rPr>
          <w:rFonts w:ascii="Times New Roman" w:hAnsi="Times New Roman" w:cs="Times New Roman"/>
        </w:rPr>
        <w:t>Oakshott</w:t>
      </w:r>
      <w:proofErr w:type="spellEnd"/>
      <w:r w:rsidRPr="00B75985">
        <w:rPr>
          <w:rFonts w:ascii="Times New Roman" w:hAnsi="Times New Roman" w:cs="Times New Roman"/>
        </w:rPr>
        <w:t>, 2020)</w:t>
      </w:r>
    </w:p>
    <w:p w14:paraId="35D4F021" w14:textId="77777777" w:rsidR="00B75985" w:rsidRPr="00B75985" w:rsidRDefault="00B75985" w:rsidP="00B75985">
      <w:pPr>
        <w:spacing w:before="100" w:beforeAutospacing="1" w:after="100" w:afterAutospacing="1" w:line="360" w:lineRule="auto"/>
        <w:jc w:val="both"/>
        <w:rPr>
          <w:rFonts w:ascii="Times New Roman" w:hAnsi="Times New Roman" w:cs="Times New Roman"/>
          <w:b/>
          <w:bCs/>
        </w:rPr>
      </w:pPr>
      <w:r w:rsidRPr="00B75985">
        <w:rPr>
          <w:rFonts w:ascii="Times New Roman" w:hAnsi="Times New Roman" w:cs="Times New Roman"/>
          <w:b/>
          <w:bCs/>
        </w:rPr>
        <w:t>IRR Results</w:t>
      </w:r>
    </w:p>
    <w:p w14:paraId="450CEFD7"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The approximate internal rates of return for the three investment options are:</w:t>
      </w:r>
    </w:p>
    <w:p w14:paraId="18F8BC6F" w14:textId="77777777" w:rsidR="00B75985" w:rsidRPr="00B75985" w:rsidRDefault="00B75985" w:rsidP="00B75985">
      <w:pPr>
        <w:pStyle w:val="ListParagraph"/>
        <w:numPr>
          <w:ilvl w:val="0"/>
          <w:numId w:val="9"/>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Option A (Retail expansion): IRR ≈ 39.0%</w:t>
      </w:r>
    </w:p>
    <w:p w14:paraId="3E1B9BD2" w14:textId="1961BE93" w:rsidR="00B75985" w:rsidRPr="00B75985" w:rsidRDefault="00B75985" w:rsidP="00B75985">
      <w:pPr>
        <w:pStyle w:val="ListParagraph"/>
        <w:numPr>
          <w:ilvl w:val="0"/>
          <w:numId w:val="9"/>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Option B (Develop internet sales): IRR ≈ 32.1%</w:t>
      </w:r>
    </w:p>
    <w:p w14:paraId="4435A64C" w14:textId="7A82C5D8" w:rsidR="00B75985" w:rsidRPr="00B75985" w:rsidRDefault="00B75985" w:rsidP="00B75985">
      <w:pPr>
        <w:pStyle w:val="ListParagraph"/>
        <w:numPr>
          <w:ilvl w:val="0"/>
          <w:numId w:val="9"/>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Option C (Produce wooden and Roman blinds): IRR ≈ 22.2%</w:t>
      </w:r>
    </w:p>
    <w:p w14:paraId="117EF73E" w14:textId="5DC05783"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It should also be noted that the three IRRs obtained are considerably higher than the cost of capital for Westward Plc, which is 6%, thus acceptable financially </w:t>
      </w:r>
      <w:proofErr w:type="gramStart"/>
      <w:r w:rsidRPr="00B75985">
        <w:rPr>
          <w:rFonts w:ascii="Times New Roman" w:hAnsi="Times New Roman" w:cs="Times New Roman"/>
        </w:rPr>
        <w:t>on the basis of</w:t>
      </w:r>
      <w:proofErr w:type="gramEnd"/>
      <w:r w:rsidRPr="00B75985">
        <w:rPr>
          <w:rFonts w:ascii="Times New Roman" w:hAnsi="Times New Roman" w:cs="Times New Roman"/>
        </w:rPr>
        <w:t xml:space="preserve"> the IRR criteria. (CFI, 2022; Arjunan, 2017; Azar and </w:t>
      </w:r>
      <w:proofErr w:type="spellStart"/>
      <w:r w:rsidRPr="00B75985">
        <w:rPr>
          <w:rFonts w:ascii="Times New Roman" w:hAnsi="Times New Roman" w:cs="Times New Roman"/>
        </w:rPr>
        <w:t>Noueihed</w:t>
      </w:r>
      <w:proofErr w:type="spellEnd"/>
      <w:r w:rsidRPr="00B75985">
        <w:rPr>
          <w:rFonts w:ascii="Times New Roman" w:hAnsi="Times New Roman" w:cs="Times New Roman"/>
        </w:rPr>
        <w:t>, 2014)</w:t>
      </w:r>
    </w:p>
    <w:p w14:paraId="4EDFC73C" w14:textId="77777777" w:rsidR="00B75985" w:rsidRPr="00B75985" w:rsidRDefault="00B75985" w:rsidP="00B75985">
      <w:pPr>
        <w:pStyle w:val="Heading3"/>
      </w:pPr>
      <w:bookmarkStart w:id="37" w:name="_Toc219020668"/>
      <w:r w:rsidRPr="00B75985">
        <w:t>Interpretation</w:t>
      </w:r>
      <w:bookmarkEnd w:id="37"/>
    </w:p>
    <w:p w14:paraId="79EB2E19"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The option that realizes the highest IRR is Option A. This is because of the low investment made by the option compared to the magnitude of the cash flow. There is a high efficiency in return on investment for the option. The option, despite having the highest IRR, does not produce the highest value. (CFI, 2022; Arjunan, 2017; Azar and </w:t>
      </w:r>
      <w:proofErr w:type="spellStart"/>
      <w:r w:rsidRPr="00B75985">
        <w:rPr>
          <w:rFonts w:ascii="Times New Roman" w:hAnsi="Times New Roman" w:cs="Times New Roman"/>
        </w:rPr>
        <w:t>Noueihed</w:t>
      </w:r>
      <w:proofErr w:type="spellEnd"/>
      <w:r w:rsidRPr="00B75985">
        <w:rPr>
          <w:rFonts w:ascii="Times New Roman" w:hAnsi="Times New Roman" w:cs="Times New Roman"/>
        </w:rPr>
        <w:t>, 2014)</w:t>
      </w:r>
    </w:p>
    <w:p w14:paraId="4E546519"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Option B gives a higher IRR of nearly 32.1%, which is well above the cost of capital </w:t>
      </w:r>
      <w:proofErr w:type="gramStart"/>
      <w:r w:rsidRPr="00B75985">
        <w:rPr>
          <w:rFonts w:ascii="Times New Roman" w:hAnsi="Times New Roman" w:cs="Times New Roman"/>
        </w:rPr>
        <w:t>and also</w:t>
      </w:r>
      <w:proofErr w:type="gramEnd"/>
      <w:r w:rsidRPr="00B75985">
        <w:rPr>
          <w:rFonts w:ascii="Times New Roman" w:hAnsi="Times New Roman" w:cs="Times New Roman"/>
        </w:rPr>
        <w:t xml:space="preserve"> suggests a solid return on investment. Most notably, Option B, in the previous analysis, also yielded the highest NPV. It can be said, therefore, that both analyses point towards selecting Option B as the best alternative. (CFI, 2022; Spring, 2018)</w:t>
      </w:r>
    </w:p>
    <w:p w14:paraId="13CC0FAE" w14:textId="4CC9C4BD"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lastRenderedPageBreak/>
        <w:t>The lowest IRR among the three options would be that of option C, which would be around 22.2 percent, though still a massive premium over the cost of capital. The lesser IRR would be due to a larger investment size in relation to investment streams. (CFI, 2022; Arjunan, 2017)</w:t>
      </w:r>
    </w:p>
    <w:p w14:paraId="16824C1F" w14:textId="77777777" w:rsidR="00B75985" w:rsidRPr="00B75985" w:rsidRDefault="00B75985" w:rsidP="00B75985">
      <w:pPr>
        <w:pStyle w:val="Heading2"/>
      </w:pPr>
      <w:bookmarkStart w:id="38" w:name="_Toc219020669"/>
      <w:r w:rsidRPr="00B75985">
        <w:t>IRR versus NPV</w:t>
      </w:r>
      <w:bookmarkEnd w:id="38"/>
    </w:p>
    <w:p w14:paraId="18A4892B" w14:textId="01EE7C12"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Although IRR provides useful additional information, it has well-known limitations, especially in making comparisons among investments of unequal scale. In the given problem, the IRR analysis ranks Option A as the best investment, while the NPV analysis ranks Option B as the best investment. In situations where discrepancies in ranks appear, it's more desirable to apply the NPV test since it aims at obtaining the maximum absolute return. (CFI, 2022; Arjunan, 2017; Azar and </w:t>
      </w:r>
      <w:proofErr w:type="spellStart"/>
      <w:r w:rsidRPr="00B75985">
        <w:rPr>
          <w:rFonts w:ascii="Times New Roman" w:hAnsi="Times New Roman" w:cs="Times New Roman"/>
        </w:rPr>
        <w:t>Noueihed</w:t>
      </w:r>
      <w:proofErr w:type="spellEnd"/>
      <w:r w:rsidRPr="00B75985">
        <w:rPr>
          <w:rFonts w:ascii="Times New Roman" w:hAnsi="Times New Roman" w:cs="Times New Roman"/>
        </w:rPr>
        <w:t>, 2014; Spring, 2018)</w:t>
      </w:r>
    </w:p>
    <w:p w14:paraId="7B2EEDEA" w14:textId="77777777" w:rsidR="00B75985" w:rsidRPr="00B75985" w:rsidRDefault="00B75985" w:rsidP="00B75985">
      <w:pPr>
        <w:pStyle w:val="Heading2"/>
      </w:pPr>
      <w:bookmarkStart w:id="39" w:name="_Toc219020670"/>
      <w:r w:rsidRPr="00B75985">
        <w:t>Payback Period and Accounting Rate of Return (ARR)</w:t>
      </w:r>
      <w:bookmarkEnd w:id="39"/>
    </w:p>
    <w:p w14:paraId="4E2CE800" w14:textId="46619731"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Apart from the discounted cash flow approaches, management also examines alternative methods of investment appraisal that are not discounting methods per se, such as Payback Period and Accounting Rate of Return (ARR). (</w:t>
      </w:r>
      <w:proofErr w:type="spellStart"/>
      <w:r w:rsidRPr="00B75985">
        <w:rPr>
          <w:rFonts w:ascii="Times New Roman" w:hAnsi="Times New Roman" w:cs="Times New Roman"/>
        </w:rPr>
        <w:t>Imarticus</w:t>
      </w:r>
      <w:proofErr w:type="spellEnd"/>
      <w:r w:rsidRPr="00B75985">
        <w:rPr>
          <w:rFonts w:ascii="Times New Roman" w:hAnsi="Times New Roman" w:cs="Times New Roman"/>
        </w:rPr>
        <w:t xml:space="preserve">, 2024; Kagan, 2025; Gordon, 2020) Though these approaches have well-documented drawbacks, they remain favored in application because of their simplicity and attention to the risk, liquidity, and account performance </w:t>
      </w:r>
      <w:proofErr w:type="gramStart"/>
      <w:r w:rsidRPr="00B75985">
        <w:rPr>
          <w:rFonts w:ascii="Times New Roman" w:hAnsi="Times New Roman" w:cs="Times New Roman"/>
        </w:rPr>
        <w:t>aspects in particular</w:t>
      </w:r>
      <w:proofErr w:type="gramEnd"/>
      <w:r w:rsidRPr="00B75985">
        <w:rPr>
          <w:rFonts w:ascii="Times New Roman" w:hAnsi="Times New Roman" w:cs="Times New Roman"/>
        </w:rPr>
        <w:t xml:space="preserve">. (Lin, 2019; Georg </w:t>
      </w:r>
      <w:proofErr w:type="spellStart"/>
      <w:r w:rsidRPr="00B75985">
        <w:rPr>
          <w:rFonts w:ascii="Times New Roman" w:hAnsi="Times New Roman" w:cs="Times New Roman"/>
        </w:rPr>
        <w:t>Müller-Fürstenberger</w:t>
      </w:r>
      <w:proofErr w:type="spellEnd"/>
      <w:r w:rsidRPr="00B75985">
        <w:rPr>
          <w:rFonts w:ascii="Times New Roman" w:hAnsi="Times New Roman" w:cs="Times New Roman"/>
        </w:rPr>
        <w:t>, 2017) Addition of these approaches allows highlighting the characteristics of each of the respective investment alternatives being considered. (</w:t>
      </w:r>
      <w:proofErr w:type="spellStart"/>
      <w:r w:rsidRPr="00B75985">
        <w:rPr>
          <w:rFonts w:ascii="Times New Roman" w:hAnsi="Times New Roman" w:cs="Times New Roman"/>
        </w:rPr>
        <w:t>Imarticus</w:t>
      </w:r>
      <w:proofErr w:type="spellEnd"/>
      <w:r w:rsidRPr="00B75985">
        <w:rPr>
          <w:rFonts w:ascii="Times New Roman" w:hAnsi="Times New Roman" w:cs="Times New Roman"/>
        </w:rPr>
        <w:t>, 2024)</w:t>
      </w:r>
    </w:p>
    <w:p w14:paraId="2BCD304D" w14:textId="77777777" w:rsidR="00B75985" w:rsidRPr="00B75985" w:rsidRDefault="00B75985" w:rsidP="00B75985">
      <w:pPr>
        <w:pStyle w:val="Heading3"/>
      </w:pPr>
      <w:bookmarkStart w:id="40" w:name="_Toc219020671"/>
      <w:r w:rsidRPr="00B75985">
        <w:t>Payback Period</w:t>
      </w:r>
      <w:bookmarkEnd w:id="40"/>
    </w:p>
    <w:p w14:paraId="79C2CDD0"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The payback period indicates the time required for a given project to repay its initial investment in terms of net cash flow generated by it. (Kagan, 2025; Lin, 2019) It is essentially a liquidity and risk-focused measure since projects with a payback period result in shortening the risk exposure of investments to cash flow risks. (Georg </w:t>
      </w:r>
      <w:proofErr w:type="spellStart"/>
      <w:r w:rsidRPr="00B75985">
        <w:rPr>
          <w:rFonts w:ascii="Times New Roman" w:hAnsi="Times New Roman" w:cs="Times New Roman"/>
        </w:rPr>
        <w:t>Müller-Fürstenberger</w:t>
      </w:r>
      <w:proofErr w:type="spellEnd"/>
      <w:r w:rsidRPr="00B75985">
        <w:rPr>
          <w:rFonts w:ascii="Times New Roman" w:hAnsi="Times New Roman" w:cs="Times New Roman"/>
        </w:rPr>
        <w:t>, 2017; Allen, 2021)</w:t>
      </w:r>
    </w:p>
    <w:p w14:paraId="415EAE95"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With the same basis of after-tax cash flow as was used while evaluating the NPV and the IRR, the payback periods of the three options are as follows:</w:t>
      </w:r>
    </w:p>
    <w:p w14:paraId="685C5415" w14:textId="047BEC50" w:rsidR="00B75985" w:rsidRPr="00B75985" w:rsidRDefault="00B75985" w:rsidP="00B75985">
      <w:pPr>
        <w:pStyle w:val="ListParagraph"/>
        <w:numPr>
          <w:ilvl w:val="0"/>
          <w:numId w:val="10"/>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lastRenderedPageBreak/>
        <w:t>Option A (Retail expansion): Payback ≈ 2.22 years</w:t>
      </w:r>
    </w:p>
    <w:p w14:paraId="39128E2F" w14:textId="313DD8C6" w:rsidR="00B75985" w:rsidRPr="00B75985" w:rsidRDefault="00B75985" w:rsidP="00B75985">
      <w:pPr>
        <w:pStyle w:val="ListParagraph"/>
        <w:numPr>
          <w:ilvl w:val="0"/>
          <w:numId w:val="10"/>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Option B (Develop internet sales): Payback ≈ 2.44 years</w:t>
      </w:r>
    </w:p>
    <w:p w14:paraId="584A8475" w14:textId="0E551C0A" w:rsidR="00B75985" w:rsidRPr="00B75985" w:rsidRDefault="00B75985" w:rsidP="00B75985">
      <w:pPr>
        <w:pStyle w:val="ListParagraph"/>
        <w:numPr>
          <w:ilvl w:val="0"/>
          <w:numId w:val="10"/>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Option C (Produce wooden and Roman blinds): Payback ≈ 2.76 years</w:t>
      </w:r>
    </w:p>
    <w:p w14:paraId="3DC859F1" w14:textId="77777777" w:rsidR="00B75985" w:rsidRPr="00B75985" w:rsidRDefault="00B75985" w:rsidP="00B75985">
      <w:pPr>
        <w:pStyle w:val="Heading3"/>
      </w:pPr>
      <w:bookmarkStart w:id="41" w:name="_Toc219020672"/>
      <w:r w:rsidRPr="00B75985">
        <w:t>Interpretation of Payback Results</w:t>
      </w:r>
      <w:bookmarkEnd w:id="41"/>
    </w:p>
    <w:p w14:paraId="4A2F396F"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The payback period in option A is the shortest; hence, option A recovers its costs faster than either option B or option C. There is less risk in the short run, which could be appealing to the managers of the business running in uncertain market environments. (Kagan, 2025; Lin, 2019; Georg </w:t>
      </w:r>
      <w:proofErr w:type="spellStart"/>
      <w:r w:rsidRPr="00B75985">
        <w:rPr>
          <w:rFonts w:ascii="Times New Roman" w:hAnsi="Times New Roman" w:cs="Times New Roman"/>
        </w:rPr>
        <w:t>Müller-Fürstenberger</w:t>
      </w:r>
      <w:proofErr w:type="spellEnd"/>
      <w:r w:rsidRPr="00B75985">
        <w:rPr>
          <w:rFonts w:ascii="Times New Roman" w:hAnsi="Times New Roman" w:cs="Times New Roman"/>
        </w:rPr>
        <w:t>, 2017)</w:t>
      </w:r>
    </w:p>
    <w:p w14:paraId="10BB2AB9"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In option B, the cost of investment is recovered slightly later compared to option A but still within a short period, despite a larger amount being invested. In option C, it takes the longest time to recover investment costs, which indicates its high investment cost and exposure to risk for a considerable time. (Kagan, 2025; </w:t>
      </w:r>
      <w:proofErr w:type="spellStart"/>
      <w:r w:rsidRPr="00B75985">
        <w:rPr>
          <w:rFonts w:ascii="Times New Roman" w:hAnsi="Times New Roman" w:cs="Times New Roman"/>
        </w:rPr>
        <w:t>Imarticus</w:t>
      </w:r>
      <w:proofErr w:type="spellEnd"/>
      <w:r w:rsidRPr="00B75985">
        <w:rPr>
          <w:rFonts w:ascii="Times New Roman" w:hAnsi="Times New Roman" w:cs="Times New Roman"/>
        </w:rPr>
        <w:t>, 2024)</w:t>
      </w:r>
    </w:p>
    <w:p w14:paraId="20C89641" w14:textId="093817F5"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Though the Payback analysis gives valuable insights with respect to risk and flexibility, it does not </w:t>
      </w:r>
      <w:proofErr w:type="gramStart"/>
      <w:r w:rsidRPr="00B75985">
        <w:rPr>
          <w:rFonts w:ascii="Times New Roman" w:hAnsi="Times New Roman" w:cs="Times New Roman"/>
        </w:rPr>
        <w:t>take into account</w:t>
      </w:r>
      <w:proofErr w:type="gramEnd"/>
      <w:r w:rsidRPr="00B75985">
        <w:rPr>
          <w:rFonts w:ascii="Times New Roman" w:hAnsi="Times New Roman" w:cs="Times New Roman"/>
        </w:rPr>
        <w:t xml:space="preserve"> the cash flows occurring beyond the Payback period and the concept of time value of money. Therefore, it should never be the basic criterion for making decisions. In the present scenario, weighted on Payback alone, Option A would be preferred despite the latter giving the lowest resultant value. (</w:t>
      </w:r>
      <w:proofErr w:type="spellStart"/>
      <w:r w:rsidRPr="00B75985">
        <w:rPr>
          <w:rFonts w:ascii="Times New Roman" w:hAnsi="Times New Roman" w:cs="Times New Roman"/>
        </w:rPr>
        <w:t>Imarticus</w:t>
      </w:r>
      <w:proofErr w:type="spellEnd"/>
      <w:r w:rsidRPr="00B75985">
        <w:rPr>
          <w:rFonts w:ascii="Times New Roman" w:hAnsi="Times New Roman" w:cs="Times New Roman"/>
        </w:rPr>
        <w:t xml:space="preserve">, 2024; Lin, 2019; Georg </w:t>
      </w:r>
      <w:proofErr w:type="spellStart"/>
      <w:r w:rsidRPr="00B75985">
        <w:rPr>
          <w:rFonts w:ascii="Times New Roman" w:hAnsi="Times New Roman" w:cs="Times New Roman"/>
        </w:rPr>
        <w:t>Müller-Fürstenberger</w:t>
      </w:r>
      <w:proofErr w:type="spellEnd"/>
      <w:r w:rsidRPr="00B75985">
        <w:rPr>
          <w:rFonts w:ascii="Times New Roman" w:hAnsi="Times New Roman" w:cs="Times New Roman"/>
        </w:rPr>
        <w:t>, 2017)</w:t>
      </w:r>
    </w:p>
    <w:p w14:paraId="4A39100F" w14:textId="77777777" w:rsidR="00B75985" w:rsidRPr="00B75985" w:rsidRDefault="00B75985" w:rsidP="00B75985">
      <w:pPr>
        <w:pStyle w:val="Heading2"/>
      </w:pPr>
      <w:bookmarkStart w:id="42" w:name="_Toc219020673"/>
      <w:r w:rsidRPr="00B75985">
        <w:t>Accounting Rate of Return (ARR)</w:t>
      </w:r>
      <w:bookmarkEnd w:id="42"/>
    </w:p>
    <w:p w14:paraId="0A29DE21"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The Accounting Rate of Return calculates the annual accounting earnings of </w:t>
      </w:r>
      <w:proofErr w:type="spellStart"/>
      <w:proofErr w:type="gramStart"/>
      <w:r w:rsidRPr="00B75985">
        <w:rPr>
          <w:rFonts w:ascii="Times New Roman" w:hAnsi="Times New Roman" w:cs="Times New Roman"/>
        </w:rPr>
        <w:t>a</w:t>
      </w:r>
      <w:proofErr w:type="spellEnd"/>
      <w:proofErr w:type="gramEnd"/>
      <w:r w:rsidRPr="00B75985">
        <w:rPr>
          <w:rFonts w:ascii="Times New Roman" w:hAnsi="Times New Roman" w:cs="Times New Roman"/>
        </w:rPr>
        <w:t xml:space="preserve"> investment and expresses it as a percentage of the investment. (Gordon, 2020; </w:t>
      </w:r>
      <w:proofErr w:type="spellStart"/>
      <w:r w:rsidRPr="00B75985">
        <w:rPr>
          <w:rFonts w:ascii="Times New Roman" w:hAnsi="Times New Roman" w:cs="Times New Roman"/>
        </w:rPr>
        <w:t>Atrill</w:t>
      </w:r>
      <w:proofErr w:type="spellEnd"/>
      <w:r w:rsidRPr="00B75985">
        <w:rPr>
          <w:rFonts w:ascii="Times New Roman" w:hAnsi="Times New Roman" w:cs="Times New Roman"/>
        </w:rPr>
        <w:t xml:space="preserve"> and </w:t>
      </w:r>
      <w:proofErr w:type="spellStart"/>
      <w:r w:rsidRPr="00B75985">
        <w:rPr>
          <w:rFonts w:ascii="Times New Roman" w:hAnsi="Times New Roman" w:cs="Times New Roman"/>
        </w:rPr>
        <w:t>Mclaney</w:t>
      </w:r>
      <w:proofErr w:type="spellEnd"/>
      <w:r w:rsidRPr="00B75985">
        <w:rPr>
          <w:rFonts w:ascii="Times New Roman" w:hAnsi="Times New Roman" w:cs="Times New Roman"/>
        </w:rPr>
        <w:t>, 2019) ARR calculates earnings from accounting statements instead of cash flows, which makes it simple and more understandable for the manager because of its familiarity. (Hartley, Firer and Ford, 2006; Thomas, 2022)</w:t>
      </w:r>
    </w:p>
    <w:p w14:paraId="033B40D4"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proofErr w:type="gramStart"/>
      <w:r w:rsidRPr="00B75985">
        <w:rPr>
          <w:rFonts w:ascii="Times New Roman" w:hAnsi="Times New Roman" w:cs="Times New Roman"/>
        </w:rPr>
        <w:t>On the basis of</w:t>
      </w:r>
      <w:proofErr w:type="gramEnd"/>
      <w:r w:rsidRPr="00B75985">
        <w:rPr>
          <w:rFonts w:ascii="Times New Roman" w:hAnsi="Times New Roman" w:cs="Times New Roman"/>
        </w:rPr>
        <w:t xml:space="preserve"> after-tax accounting profit and straight-line depreciation over four years, the ARRs for the three options are:</w:t>
      </w:r>
    </w:p>
    <w:p w14:paraId="1332B845" w14:textId="2125A67C" w:rsidR="00B75985" w:rsidRPr="00B75985" w:rsidRDefault="00B75985" w:rsidP="00B75985">
      <w:pPr>
        <w:pStyle w:val="ListParagraph"/>
        <w:numPr>
          <w:ilvl w:val="0"/>
          <w:numId w:val="11"/>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Option A: ARR ≈ 37.5%</w:t>
      </w:r>
    </w:p>
    <w:p w14:paraId="1BD3EBD7" w14:textId="34659911" w:rsidR="00B75985" w:rsidRPr="00B75985" w:rsidRDefault="00B75985" w:rsidP="00B75985">
      <w:pPr>
        <w:pStyle w:val="ListParagraph"/>
        <w:numPr>
          <w:ilvl w:val="0"/>
          <w:numId w:val="11"/>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lastRenderedPageBreak/>
        <w:t>Option B: ARR ≈ 29.1%</w:t>
      </w:r>
    </w:p>
    <w:p w14:paraId="47B4CDC0" w14:textId="5F97E5E6" w:rsidR="00B75985" w:rsidRPr="00B75985" w:rsidRDefault="00B75985" w:rsidP="00B75985">
      <w:pPr>
        <w:pStyle w:val="ListParagraph"/>
        <w:numPr>
          <w:ilvl w:val="0"/>
          <w:numId w:val="11"/>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Option C: ARR ≈ 19.3%</w:t>
      </w:r>
    </w:p>
    <w:p w14:paraId="7E4615E3" w14:textId="77777777" w:rsidR="00B75985" w:rsidRPr="00B75985" w:rsidRDefault="00B75985" w:rsidP="00B75985">
      <w:pPr>
        <w:pStyle w:val="Heading3"/>
      </w:pPr>
      <w:bookmarkStart w:id="43" w:name="_Toc219020674"/>
      <w:r w:rsidRPr="00B75985">
        <w:t>Interpretation of ARR Results</w:t>
      </w:r>
      <w:bookmarkEnd w:id="43"/>
    </w:p>
    <w:p w14:paraId="61C2AF2E"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Arrangement A shows the highest ARR on account of its high average accounting profitability. Then comes Arrangement B, which is not that bad concerning ARR, while Arrangement C shows the lowest ARR on account of a higher investment outlaid and lower average profits. (Gordon, 2020; Hartley, Firer and Ford, 2006)</w:t>
      </w:r>
    </w:p>
    <w:p w14:paraId="728126FD" w14:textId="172AEFE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Despite being so intuitive a tool, ARR is </w:t>
      </w:r>
      <w:proofErr w:type="gramStart"/>
      <w:r w:rsidRPr="00B75985">
        <w:rPr>
          <w:rFonts w:ascii="Times New Roman" w:hAnsi="Times New Roman" w:cs="Times New Roman"/>
        </w:rPr>
        <w:t>actually a</w:t>
      </w:r>
      <w:proofErr w:type="gramEnd"/>
      <w:r w:rsidRPr="00B75985">
        <w:rPr>
          <w:rFonts w:ascii="Times New Roman" w:hAnsi="Times New Roman" w:cs="Times New Roman"/>
        </w:rPr>
        <w:t xml:space="preserve"> flawed tool. ARR does not consider the timing concept of profits, does not incorporate the concept of time value of money, or follow any accounting principles like depreciation. Therefore, ARR is a secondary tool that does not necessarily help in reaching a decision. (Gordon, 2020; </w:t>
      </w:r>
      <w:proofErr w:type="spellStart"/>
      <w:r w:rsidRPr="00B75985">
        <w:rPr>
          <w:rFonts w:ascii="Times New Roman" w:hAnsi="Times New Roman" w:cs="Times New Roman"/>
        </w:rPr>
        <w:t>Imarticus</w:t>
      </w:r>
      <w:proofErr w:type="spellEnd"/>
      <w:r w:rsidRPr="00B75985">
        <w:rPr>
          <w:rFonts w:ascii="Times New Roman" w:hAnsi="Times New Roman" w:cs="Times New Roman"/>
        </w:rPr>
        <w:t>, 2024)</w:t>
      </w:r>
    </w:p>
    <w:p w14:paraId="5FC1AD79" w14:textId="77777777" w:rsidR="00B75985" w:rsidRPr="00B75985" w:rsidRDefault="00B75985" w:rsidP="00B75985">
      <w:pPr>
        <w:pStyle w:val="Heading3"/>
      </w:pPr>
      <w:bookmarkStart w:id="44" w:name="_Toc219020675"/>
      <w:r w:rsidRPr="00B75985">
        <w:t>Summary of Non-Discounting Methods</w:t>
      </w:r>
      <w:bookmarkEnd w:id="44"/>
    </w:p>
    <w:p w14:paraId="2428D4A6"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Both Payback Period and ARR find Option A to be most preferable, primarily based on its smaller investment and payback period. This contradicts other methods of discounted cash flow, which state that the option with maximum value is Option B. (</w:t>
      </w:r>
      <w:proofErr w:type="spellStart"/>
      <w:r w:rsidRPr="00B75985">
        <w:rPr>
          <w:rFonts w:ascii="Times New Roman" w:hAnsi="Times New Roman" w:cs="Times New Roman"/>
        </w:rPr>
        <w:t>Imarticus</w:t>
      </w:r>
      <w:proofErr w:type="spellEnd"/>
      <w:r w:rsidRPr="00B75985">
        <w:rPr>
          <w:rFonts w:ascii="Times New Roman" w:hAnsi="Times New Roman" w:cs="Times New Roman"/>
        </w:rPr>
        <w:t>, 2024; CFI, 2022)</w:t>
      </w:r>
    </w:p>
    <w:p w14:paraId="42A56944" w14:textId="7156C174"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This disparity is why the non-discounting methods continue to be popular in the evaluation of risks and liquidity but cannot be given due importance regarding the evaluation of NPV and IRR for the purpose of maximizing value for the long term. (Lin, 2019; Georg </w:t>
      </w:r>
      <w:proofErr w:type="spellStart"/>
      <w:r w:rsidRPr="00B75985">
        <w:rPr>
          <w:rFonts w:ascii="Times New Roman" w:hAnsi="Times New Roman" w:cs="Times New Roman"/>
        </w:rPr>
        <w:t>Müller-Fürstenberger</w:t>
      </w:r>
      <w:proofErr w:type="spellEnd"/>
      <w:r w:rsidRPr="00B75985">
        <w:rPr>
          <w:rFonts w:ascii="Times New Roman" w:hAnsi="Times New Roman" w:cs="Times New Roman"/>
        </w:rPr>
        <w:t>, 2017; Spring, 2018)</w:t>
      </w:r>
    </w:p>
    <w:p w14:paraId="5EC4232D" w14:textId="77777777" w:rsidR="00B75985" w:rsidRPr="00B75985" w:rsidRDefault="00B75985" w:rsidP="00B75985">
      <w:pPr>
        <w:pStyle w:val="Heading3"/>
      </w:pPr>
      <w:bookmarkStart w:id="45" w:name="_Toc219020676"/>
      <w:r w:rsidRPr="00B75985">
        <w:t>(c) Interpretation of Results for Management</w:t>
      </w:r>
      <w:bookmarkEnd w:id="45"/>
    </w:p>
    <w:p w14:paraId="314A400D" w14:textId="3A7C4FA8"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Even though the outcomes of investment appraisal techniques are informative in making decisions in numerical terms, it is also essential that management is aware of the reasons for the preference of </w:t>
      </w:r>
      <w:proofErr w:type="gramStart"/>
      <w:r w:rsidRPr="00B75985">
        <w:rPr>
          <w:rFonts w:ascii="Times New Roman" w:hAnsi="Times New Roman" w:cs="Times New Roman"/>
        </w:rPr>
        <w:t>particular techniques</w:t>
      </w:r>
      <w:proofErr w:type="gramEnd"/>
      <w:r w:rsidRPr="00B75985">
        <w:rPr>
          <w:rFonts w:ascii="Times New Roman" w:hAnsi="Times New Roman" w:cs="Times New Roman"/>
        </w:rPr>
        <w:t xml:space="preserve"> over others, the reasons for continuing with particular techniques even though they are not preferred, and what else is involved in making an evaluation of the investment project in terms of investing significant resources on the investment. The next section interprets the result of investment appraisal. (Spring, 2018; Palepu and Healy, 2020; </w:t>
      </w:r>
      <w:proofErr w:type="spellStart"/>
      <w:r w:rsidRPr="00B75985">
        <w:rPr>
          <w:rFonts w:ascii="Times New Roman" w:hAnsi="Times New Roman" w:cs="Times New Roman"/>
        </w:rPr>
        <w:t>Chorafas</w:t>
      </w:r>
      <w:proofErr w:type="spellEnd"/>
      <w:r w:rsidRPr="00B75985">
        <w:rPr>
          <w:rFonts w:ascii="Times New Roman" w:hAnsi="Times New Roman" w:cs="Times New Roman"/>
        </w:rPr>
        <w:t>, 2015)</w:t>
      </w:r>
    </w:p>
    <w:p w14:paraId="08880FDD" w14:textId="77777777" w:rsidR="00B75985" w:rsidRPr="00B75985" w:rsidRDefault="00B75985" w:rsidP="00B75985">
      <w:pPr>
        <w:pStyle w:val="Heading2"/>
      </w:pPr>
      <w:bookmarkStart w:id="46" w:name="_Toc219020677"/>
      <w:r w:rsidRPr="00B75985">
        <w:lastRenderedPageBreak/>
        <w:t>(</w:t>
      </w:r>
      <w:proofErr w:type="spellStart"/>
      <w:r w:rsidRPr="00B75985">
        <w:t>c.i</w:t>
      </w:r>
      <w:proofErr w:type="spellEnd"/>
      <w:r w:rsidRPr="00B75985">
        <w:t>) Theoretical Arguments for Net Present Value as the Best Method of Investment Appraisal</w:t>
      </w:r>
      <w:bookmarkEnd w:id="46"/>
    </w:p>
    <w:p w14:paraId="66D53C4B"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Net Present Value is viewed as the </w:t>
      </w:r>
      <w:proofErr w:type="gramStart"/>
      <w:r w:rsidRPr="00B75985">
        <w:rPr>
          <w:rFonts w:ascii="Times New Roman" w:hAnsi="Times New Roman" w:cs="Times New Roman"/>
        </w:rPr>
        <w:t>most sound</w:t>
      </w:r>
      <w:proofErr w:type="gramEnd"/>
      <w:r w:rsidRPr="00B75985">
        <w:rPr>
          <w:rFonts w:ascii="Times New Roman" w:hAnsi="Times New Roman" w:cs="Times New Roman"/>
        </w:rPr>
        <w:t xml:space="preserve"> method of investment valuation in relation to its theoretical basis compared to other investment methods. (CFI, 2022; Spring, 2018) The principal advantage of using NPV in investment valuation is its recognition of the value of money over time. This implies that money in hand at present has a greater value to the enterprise in comparison to money in hand in the future due to risks and costs of inflation. NPV involves discounting each investment based on the cost of capital of a business enterprise. (</w:t>
      </w:r>
      <w:proofErr w:type="spellStart"/>
      <w:r w:rsidRPr="00B75985">
        <w:rPr>
          <w:rFonts w:ascii="Times New Roman" w:hAnsi="Times New Roman" w:cs="Times New Roman"/>
        </w:rPr>
        <w:t>Oakshott</w:t>
      </w:r>
      <w:proofErr w:type="spellEnd"/>
      <w:r w:rsidRPr="00B75985">
        <w:rPr>
          <w:rFonts w:ascii="Times New Roman" w:hAnsi="Times New Roman" w:cs="Times New Roman"/>
        </w:rPr>
        <w:t>, 2020; Madura, 2018)</w:t>
      </w:r>
    </w:p>
    <w:p w14:paraId="1D76ED21"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On the other hand, a major advantage of the NPV approach is that it presents actual values of returns on investment. This can be considered more valuable when contrasted with percentage differences in IRR and ARR; in NPV, the actual value of the return on investment holds greater importance, particularly when more than one investment opportunity exists with differences in scale requirements, such as in Westward Plc's case with the three different investment options. (Spring, 2018; </w:t>
      </w:r>
      <w:proofErr w:type="spellStart"/>
      <w:r w:rsidRPr="00B75985">
        <w:rPr>
          <w:rFonts w:ascii="Times New Roman" w:hAnsi="Times New Roman" w:cs="Times New Roman"/>
        </w:rPr>
        <w:t>Clayman</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Fridson</w:t>
      </w:r>
      <w:proofErr w:type="spellEnd"/>
      <w:r w:rsidRPr="00B75985">
        <w:rPr>
          <w:rFonts w:ascii="Times New Roman" w:hAnsi="Times New Roman" w:cs="Times New Roman"/>
        </w:rPr>
        <w:t xml:space="preserve"> and Troughton, 2012)</w:t>
      </w:r>
    </w:p>
    <w:p w14:paraId="7673C355"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NPV: This assumes that the investment in the interim cash flow is made at the cost of capital for the investment. This is quite reasonable and realistic when compared to the IRR approach. On the theoretical foundation and regarding the maximization of the value for shareholders, NPV is consistent with itself. Maximizing the shareholder value is the universal financial goal function. (CFI, 2022; Lichtenstein and Dade, 2007; de Jongh, 2011)</w:t>
      </w:r>
    </w:p>
    <w:p w14:paraId="37FCD647" w14:textId="63C83575"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This is why, NPV </w:t>
      </w:r>
      <w:proofErr w:type="gramStart"/>
      <w:r w:rsidRPr="00B75985">
        <w:rPr>
          <w:rFonts w:ascii="Times New Roman" w:hAnsi="Times New Roman" w:cs="Times New Roman"/>
        </w:rPr>
        <w:t>is considered to be</w:t>
      </w:r>
      <w:proofErr w:type="gramEnd"/>
      <w:r w:rsidRPr="00B75985">
        <w:rPr>
          <w:rFonts w:ascii="Times New Roman" w:hAnsi="Times New Roman" w:cs="Times New Roman"/>
        </w:rPr>
        <w:t xml:space="preserve"> the best appraisal method. (Spring, 2018; Palepu and Healy, 2020)</w:t>
      </w:r>
    </w:p>
    <w:p w14:paraId="79B528F9" w14:textId="77777777" w:rsidR="00B75985" w:rsidRPr="00B75985" w:rsidRDefault="00B75985" w:rsidP="00B75985">
      <w:pPr>
        <w:pStyle w:val="Heading2"/>
      </w:pPr>
      <w:bookmarkStart w:id="47" w:name="_Toc219020678"/>
      <w:r w:rsidRPr="00B75985">
        <w:t>(</w:t>
      </w:r>
      <w:proofErr w:type="spellStart"/>
      <w:r w:rsidRPr="00B75985">
        <w:t>c.ii</w:t>
      </w:r>
      <w:proofErr w:type="spellEnd"/>
      <w:r w:rsidRPr="00B75985">
        <w:t>) Reasons for the Continued Popularity of Non-Discounting Methods</w:t>
      </w:r>
      <w:bookmarkEnd w:id="47"/>
    </w:p>
    <w:p w14:paraId="35F1C7BA"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Yet, despite the theoretical advantage presented by NPV, techniques that do not exploit discounting, such as Payback Period and Accounting Rate of Return, have remained in common use among managers. (</w:t>
      </w:r>
      <w:proofErr w:type="spellStart"/>
      <w:r w:rsidRPr="00B75985">
        <w:rPr>
          <w:rFonts w:ascii="Times New Roman" w:hAnsi="Times New Roman" w:cs="Times New Roman"/>
        </w:rPr>
        <w:t>Imarticus</w:t>
      </w:r>
      <w:proofErr w:type="spellEnd"/>
      <w:r w:rsidRPr="00B75985">
        <w:rPr>
          <w:rFonts w:ascii="Times New Roman" w:hAnsi="Times New Roman" w:cs="Times New Roman"/>
        </w:rPr>
        <w:t>, 2024; Lin, 2019) The ease of use is, in my opinion, the principal reason for their popularity with managers. Calculations are simple, and results are easy to explain, especially to non-financial managers. (</w:t>
      </w:r>
      <w:proofErr w:type="spellStart"/>
      <w:r w:rsidRPr="00B75985">
        <w:rPr>
          <w:rFonts w:ascii="Times New Roman" w:hAnsi="Times New Roman" w:cs="Times New Roman"/>
        </w:rPr>
        <w:t>Atrill</w:t>
      </w:r>
      <w:proofErr w:type="spellEnd"/>
      <w:r w:rsidRPr="00B75985">
        <w:rPr>
          <w:rFonts w:ascii="Times New Roman" w:hAnsi="Times New Roman" w:cs="Times New Roman"/>
        </w:rPr>
        <w:t xml:space="preserve"> and </w:t>
      </w:r>
      <w:proofErr w:type="spellStart"/>
      <w:r w:rsidRPr="00B75985">
        <w:rPr>
          <w:rFonts w:ascii="Times New Roman" w:hAnsi="Times New Roman" w:cs="Times New Roman"/>
        </w:rPr>
        <w:t>Mclaney</w:t>
      </w:r>
      <w:proofErr w:type="spellEnd"/>
      <w:r w:rsidRPr="00B75985">
        <w:rPr>
          <w:rFonts w:ascii="Times New Roman" w:hAnsi="Times New Roman" w:cs="Times New Roman"/>
        </w:rPr>
        <w:t>, 2018; Hartley, Firer and Ford, 2006)</w:t>
      </w:r>
    </w:p>
    <w:p w14:paraId="1787FA5F"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lastRenderedPageBreak/>
        <w:t xml:space="preserve">The Payback Period is so attractive because it focuses on the problem of liquidity and risk. The payback method shows how soon the invested money can be recovered, and it draws attention to early moneys recovered that may be subject to long-term uncertainties, especially in areas with the problem of demand fluctuation, rapid technology, and short cycles. (Georg </w:t>
      </w:r>
      <w:proofErr w:type="spellStart"/>
      <w:r w:rsidRPr="00B75985">
        <w:rPr>
          <w:rFonts w:ascii="Times New Roman" w:hAnsi="Times New Roman" w:cs="Times New Roman"/>
        </w:rPr>
        <w:t>Müller-Fürstenberger</w:t>
      </w:r>
      <w:proofErr w:type="spellEnd"/>
      <w:r w:rsidRPr="00B75985">
        <w:rPr>
          <w:rFonts w:ascii="Times New Roman" w:hAnsi="Times New Roman" w:cs="Times New Roman"/>
        </w:rPr>
        <w:t>, 2017; Lin, 2019; Allen, 2021)</w:t>
      </w:r>
    </w:p>
    <w:p w14:paraId="569CD325"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ARR also enjoys popularity in view of its accounting-profit-based calculation, which lies in close affinity to the systems of financial reporting and evaluation of performance in </w:t>
      </w:r>
      <w:proofErr w:type="spellStart"/>
      <w:r w:rsidRPr="00B75985">
        <w:rPr>
          <w:rFonts w:ascii="Times New Roman" w:hAnsi="Times New Roman" w:cs="Times New Roman"/>
        </w:rPr>
        <w:t>organisations</w:t>
      </w:r>
      <w:proofErr w:type="spellEnd"/>
      <w:r w:rsidRPr="00B75985">
        <w:rPr>
          <w:rFonts w:ascii="Times New Roman" w:hAnsi="Times New Roman" w:cs="Times New Roman"/>
        </w:rPr>
        <w:t xml:space="preserve">. It will be easy for managers to relate to it, as it links investment evaluation to profitability targets in an </w:t>
      </w:r>
      <w:proofErr w:type="spellStart"/>
      <w:r w:rsidRPr="00B75985">
        <w:rPr>
          <w:rFonts w:ascii="Times New Roman" w:hAnsi="Times New Roman" w:cs="Times New Roman"/>
        </w:rPr>
        <w:t>organisation</w:t>
      </w:r>
      <w:proofErr w:type="spellEnd"/>
      <w:r w:rsidRPr="00B75985">
        <w:rPr>
          <w:rFonts w:ascii="Times New Roman" w:hAnsi="Times New Roman" w:cs="Times New Roman"/>
        </w:rPr>
        <w:t>. (Gordon, 2020; Adler, 2010; Elliott and Elliott, 2017)</w:t>
      </w:r>
    </w:p>
    <w:p w14:paraId="63E05E7A" w14:textId="5CC813DC"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However, these approaches have some limitations. They ignore the time value of money, while in the calculation of payback, the cash flows after the payback period are also ignored. It is clear from this appraisal that the use of non-discount approaches could produce results inconsistent with NPV, and in turn, suboptimal investment choices could emerge if these approaches alone are followed. (</w:t>
      </w:r>
      <w:proofErr w:type="spellStart"/>
      <w:r w:rsidRPr="00B75985">
        <w:rPr>
          <w:rFonts w:ascii="Times New Roman" w:hAnsi="Times New Roman" w:cs="Times New Roman"/>
        </w:rPr>
        <w:t>Imarticus</w:t>
      </w:r>
      <w:proofErr w:type="spellEnd"/>
      <w:r w:rsidRPr="00B75985">
        <w:rPr>
          <w:rFonts w:ascii="Times New Roman" w:hAnsi="Times New Roman" w:cs="Times New Roman"/>
        </w:rPr>
        <w:t>, 2024; Lin, 2019; Spring, 2018)</w:t>
      </w:r>
    </w:p>
    <w:p w14:paraId="31956BFA" w14:textId="77777777" w:rsidR="00B75985" w:rsidRPr="00B75985" w:rsidRDefault="00B75985" w:rsidP="00B75985">
      <w:pPr>
        <w:pStyle w:val="Heading2"/>
      </w:pPr>
      <w:bookmarkStart w:id="48" w:name="_Toc219020679"/>
      <w:r w:rsidRPr="00B75985">
        <w:t>(</w:t>
      </w:r>
      <w:proofErr w:type="spellStart"/>
      <w:r w:rsidRPr="00B75985">
        <w:t>c.iii</w:t>
      </w:r>
      <w:proofErr w:type="spellEnd"/>
      <w:r w:rsidRPr="00B75985">
        <w:t>) Other Factors to Consider Before Making an Investment Decision</w:t>
      </w:r>
      <w:bookmarkEnd w:id="48"/>
    </w:p>
    <w:p w14:paraId="4C5C20C0"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Along with the results of the quantifiable analysis of the project, there are other qualitative and strategic considerations that the management of Westward Plc should make before the final investment decision is arrived at. (Campbell, 2021; </w:t>
      </w:r>
      <w:proofErr w:type="spellStart"/>
      <w:r w:rsidRPr="00B75985">
        <w:rPr>
          <w:rFonts w:ascii="Times New Roman" w:hAnsi="Times New Roman" w:cs="Times New Roman"/>
        </w:rPr>
        <w:t>Chorafas</w:t>
      </w:r>
      <w:proofErr w:type="spellEnd"/>
      <w:r w:rsidRPr="00B75985">
        <w:rPr>
          <w:rFonts w:ascii="Times New Roman" w:hAnsi="Times New Roman" w:cs="Times New Roman"/>
        </w:rPr>
        <w:t>, 2015)</w:t>
      </w:r>
    </w:p>
    <w:p w14:paraId="056131CE"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The first criterion is strategic fit. The projects must match with the company's long-term strategy. As an example, development in sales through the internet could be more appropriate in respect to growth in markets and sales, including behaviors in purchases, compared with other options. (Best, 2013; Campbell, 2021; </w:t>
      </w:r>
      <w:proofErr w:type="spellStart"/>
      <w:r w:rsidRPr="00B75985">
        <w:rPr>
          <w:rFonts w:ascii="Times New Roman" w:hAnsi="Times New Roman" w:cs="Times New Roman"/>
        </w:rPr>
        <w:t>Aydiner</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Tatoglu</w:t>
      </w:r>
      <w:proofErr w:type="spellEnd"/>
      <w:r w:rsidRPr="00B75985">
        <w:rPr>
          <w:rFonts w:ascii="Times New Roman" w:hAnsi="Times New Roman" w:cs="Times New Roman"/>
        </w:rPr>
        <w:t>, Bayraktar, Zaim and Delen, 2019)</w:t>
      </w:r>
    </w:p>
    <w:p w14:paraId="7CC06D52"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Then comes risk and uncertainty. Cash flow forecasting always involves risk, some projects are more so than others. Management must consider how the projected return is sensitive to changes in key assumptions, for instance, demand, costs, competition. (Allen, 2021; </w:t>
      </w:r>
      <w:proofErr w:type="spellStart"/>
      <w:r w:rsidRPr="00B75985">
        <w:rPr>
          <w:rFonts w:ascii="Times New Roman" w:hAnsi="Times New Roman" w:cs="Times New Roman"/>
        </w:rPr>
        <w:t>Chorafas</w:t>
      </w:r>
      <w:proofErr w:type="spellEnd"/>
      <w:r w:rsidRPr="00B75985">
        <w:rPr>
          <w:rFonts w:ascii="Times New Roman" w:hAnsi="Times New Roman" w:cs="Times New Roman"/>
        </w:rPr>
        <w:t>, 2015)</w:t>
      </w:r>
    </w:p>
    <w:p w14:paraId="7D2ED98C"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lastRenderedPageBreak/>
        <w:t xml:space="preserve">Third, operational ability and resources. </w:t>
      </w:r>
      <w:proofErr w:type="gramStart"/>
      <w:r w:rsidRPr="00B75985">
        <w:rPr>
          <w:rFonts w:ascii="Times New Roman" w:hAnsi="Times New Roman" w:cs="Times New Roman"/>
        </w:rPr>
        <w:t>An</w:t>
      </w:r>
      <w:proofErr w:type="gramEnd"/>
      <w:r w:rsidRPr="00B75985">
        <w:rPr>
          <w:rFonts w:ascii="Times New Roman" w:hAnsi="Times New Roman" w:cs="Times New Roman"/>
        </w:rPr>
        <w:t xml:space="preserve"> project can be considered viable depending on the ability of the organization to execute it. It might be financially appealing but not viable because of the absence of operational skills and resources needed in its execution. (Chopra, 2021; Flynn, 2021)</w:t>
      </w:r>
    </w:p>
    <w:p w14:paraId="48170E07" w14:textId="0FC67A99"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Finally, the flexibility of finance must also be considered. Even in cases where there are positive NPV investments, they may still generate burdens on NWC. The importance of NWC is further amplified if multiple investments are pursued concurrently or if there are possible future investment alternatives. (Almeida and Campello, 2005; Kersten, Harms, </w:t>
      </w:r>
      <w:proofErr w:type="spellStart"/>
      <w:r w:rsidRPr="00B75985">
        <w:rPr>
          <w:rFonts w:ascii="Times New Roman" w:hAnsi="Times New Roman" w:cs="Times New Roman"/>
        </w:rPr>
        <w:t>Liket</w:t>
      </w:r>
      <w:proofErr w:type="spellEnd"/>
      <w:r w:rsidRPr="00B75985">
        <w:rPr>
          <w:rFonts w:ascii="Times New Roman" w:hAnsi="Times New Roman" w:cs="Times New Roman"/>
        </w:rPr>
        <w:t xml:space="preserve"> and Maas, 2017; Kotey, 2019)</w:t>
      </w:r>
    </w:p>
    <w:p w14:paraId="3781EAC6" w14:textId="77777777" w:rsidR="00B75985" w:rsidRPr="00B75985" w:rsidRDefault="00B75985" w:rsidP="00B75985">
      <w:pPr>
        <w:pStyle w:val="Heading3"/>
      </w:pPr>
      <w:bookmarkStart w:id="49" w:name="_Toc219020680"/>
      <w:r w:rsidRPr="00B75985">
        <w:t>Section (c) Summary</w:t>
      </w:r>
      <w:bookmarkEnd w:id="49"/>
    </w:p>
    <w:p w14:paraId="5EB2DB83" w14:textId="18382088"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NPV, in a nutshell, is the best method on which investment appraisal needs to be performed, as it </w:t>
      </w:r>
      <w:proofErr w:type="gramStart"/>
      <w:r w:rsidRPr="00B75985">
        <w:rPr>
          <w:rFonts w:ascii="Times New Roman" w:hAnsi="Times New Roman" w:cs="Times New Roman"/>
        </w:rPr>
        <w:t>takes into account</w:t>
      </w:r>
      <w:proofErr w:type="gramEnd"/>
      <w:r w:rsidRPr="00B75985">
        <w:rPr>
          <w:rFonts w:ascii="Times New Roman" w:hAnsi="Times New Roman" w:cs="Times New Roman"/>
        </w:rPr>
        <w:t xml:space="preserve"> both time value and risk and is involved in determining where value is being created. (CFI, 2022; Spring, 2018; Allen, 2021) The non-discounting methods have become popular due to their simplicity and the attraction towards liquidity, but these methods should only be considered supplementary methods and should not attain the same weightage as NPV methods in investment appraisal. (</w:t>
      </w:r>
      <w:proofErr w:type="spellStart"/>
      <w:r w:rsidRPr="00B75985">
        <w:rPr>
          <w:rFonts w:ascii="Times New Roman" w:hAnsi="Times New Roman" w:cs="Times New Roman"/>
        </w:rPr>
        <w:t>Imarticus</w:t>
      </w:r>
      <w:proofErr w:type="spellEnd"/>
      <w:r w:rsidRPr="00B75985">
        <w:rPr>
          <w:rFonts w:ascii="Times New Roman" w:hAnsi="Times New Roman" w:cs="Times New Roman"/>
        </w:rPr>
        <w:t xml:space="preserve">, 2024; Lin, 2019; Georg </w:t>
      </w:r>
      <w:proofErr w:type="spellStart"/>
      <w:r w:rsidRPr="00B75985">
        <w:rPr>
          <w:rFonts w:ascii="Times New Roman" w:hAnsi="Times New Roman" w:cs="Times New Roman"/>
        </w:rPr>
        <w:t>Müller-Fürstenberger</w:t>
      </w:r>
      <w:proofErr w:type="spellEnd"/>
      <w:r w:rsidRPr="00B75985">
        <w:rPr>
          <w:rFonts w:ascii="Times New Roman" w:hAnsi="Times New Roman" w:cs="Times New Roman"/>
        </w:rPr>
        <w:t>, 2017)</w:t>
      </w:r>
    </w:p>
    <w:p w14:paraId="0E9C19DE" w14:textId="77777777" w:rsidR="00B75985" w:rsidRPr="00B75985" w:rsidRDefault="00B75985" w:rsidP="00B75985">
      <w:pPr>
        <w:pStyle w:val="Heading2"/>
      </w:pPr>
      <w:bookmarkStart w:id="50" w:name="_Toc219020681"/>
      <w:r w:rsidRPr="00B75985">
        <w:t>(d) Capital Rationing</w:t>
      </w:r>
      <w:bookmarkEnd w:id="50"/>
    </w:p>
    <w:p w14:paraId="159914FF"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In practical terms, the constraint of limited investment capital available for investment purposes is normally faced by firms. (Almeida and Campello, 2005; Kersten, Harms, </w:t>
      </w:r>
      <w:proofErr w:type="spellStart"/>
      <w:r w:rsidRPr="00B75985">
        <w:rPr>
          <w:rFonts w:ascii="Times New Roman" w:hAnsi="Times New Roman" w:cs="Times New Roman"/>
        </w:rPr>
        <w:t>Liket</w:t>
      </w:r>
      <w:proofErr w:type="spellEnd"/>
      <w:r w:rsidRPr="00B75985">
        <w:rPr>
          <w:rFonts w:ascii="Times New Roman" w:hAnsi="Times New Roman" w:cs="Times New Roman"/>
        </w:rPr>
        <w:t xml:space="preserve"> and Maas, 2017) In our example, the company </w:t>
      </w:r>
      <w:proofErr w:type="gramStart"/>
      <w:r w:rsidRPr="00B75985">
        <w:rPr>
          <w:rFonts w:ascii="Times New Roman" w:hAnsi="Times New Roman" w:cs="Times New Roman"/>
        </w:rPr>
        <w:t>has the ability to</w:t>
      </w:r>
      <w:proofErr w:type="gramEnd"/>
      <w:r w:rsidRPr="00B75985">
        <w:rPr>
          <w:rFonts w:ascii="Times New Roman" w:hAnsi="Times New Roman" w:cs="Times New Roman"/>
        </w:rPr>
        <w:t xml:space="preserve"> raise finances for investment purposes up to a maximum of £2,500,000. Although all three investment proposals give positive NPV, it may not be possible for all three proposals to be considered for implementation within the financial constraint available. This condition is known as capital rationing. (Spring, 2018; </w:t>
      </w:r>
      <w:proofErr w:type="spellStart"/>
      <w:r w:rsidRPr="00B75985">
        <w:rPr>
          <w:rFonts w:ascii="Times New Roman" w:hAnsi="Times New Roman" w:cs="Times New Roman"/>
        </w:rPr>
        <w:t>Oakshott</w:t>
      </w:r>
      <w:proofErr w:type="spellEnd"/>
      <w:r w:rsidRPr="00B75985">
        <w:rPr>
          <w:rFonts w:ascii="Times New Roman" w:hAnsi="Times New Roman" w:cs="Times New Roman"/>
        </w:rPr>
        <w:t>, 2020)</w:t>
      </w:r>
    </w:p>
    <w:p w14:paraId="2CC728B8"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As the projects are divisible, in the case of Westward Plc, it may not be compelled to either accept or reject a project in its entirety. It may allocate capital to a part of a project if doing so leads to an optimal allocation of scarce </w:t>
      </w:r>
      <w:proofErr w:type="spellStart"/>
      <w:proofErr w:type="gramStart"/>
      <w:r w:rsidRPr="00B75985">
        <w:rPr>
          <w:rFonts w:ascii="Times New Roman" w:hAnsi="Times New Roman" w:cs="Times New Roman"/>
        </w:rPr>
        <w:t>capital.Management</w:t>
      </w:r>
      <w:proofErr w:type="spellEnd"/>
      <w:proofErr w:type="gramEnd"/>
      <w:r w:rsidRPr="00B75985">
        <w:rPr>
          <w:rFonts w:ascii="Times New Roman" w:hAnsi="Times New Roman" w:cs="Times New Roman"/>
        </w:rPr>
        <w:t xml:space="preserve"> would be inclined towards maximizing total net </w:t>
      </w:r>
      <w:r w:rsidRPr="00B75985">
        <w:rPr>
          <w:rFonts w:ascii="Times New Roman" w:hAnsi="Times New Roman" w:cs="Times New Roman"/>
        </w:rPr>
        <w:lastRenderedPageBreak/>
        <w:t xml:space="preserve">benefits, given the total available capital. It would not be purely selecting the projects </w:t>
      </w:r>
      <w:proofErr w:type="gramStart"/>
      <w:r w:rsidRPr="00B75985">
        <w:rPr>
          <w:rFonts w:ascii="Times New Roman" w:hAnsi="Times New Roman" w:cs="Times New Roman"/>
        </w:rPr>
        <w:t>on the basis of</w:t>
      </w:r>
      <w:proofErr w:type="gramEnd"/>
      <w:r w:rsidRPr="00B75985">
        <w:rPr>
          <w:rFonts w:ascii="Times New Roman" w:hAnsi="Times New Roman" w:cs="Times New Roman"/>
        </w:rPr>
        <w:t xml:space="preserve"> net benefits. (</w:t>
      </w:r>
      <w:proofErr w:type="spellStart"/>
      <w:r w:rsidRPr="00B75985">
        <w:rPr>
          <w:rFonts w:ascii="Times New Roman" w:hAnsi="Times New Roman" w:cs="Times New Roman"/>
        </w:rPr>
        <w:t>Oakshott</w:t>
      </w:r>
      <w:proofErr w:type="spellEnd"/>
      <w:r w:rsidRPr="00B75985">
        <w:rPr>
          <w:rFonts w:ascii="Times New Roman" w:hAnsi="Times New Roman" w:cs="Times New Roman"/>
        </w:rPr>
        <w:t xml:space="preserve">, 2020; </w:t>
      </w:r>
      <w:proofErr w:type="spellStart"/>
      <w:r w:rsidRPr="00B75985">
        <w:rPr>
          <w:rFonts w:ascii="Times New Roman" w:hAnsi="Times New Roman" w:cs="Times New Roman"/>
        </w:rPr>
        <w:t>Clayman</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Fridson</w:t>
      </w:r>
      <w:proofErr w:type="spellEnd"/>
      <w:r w:rsidRPr="00B75985">
        <w:rPr>
          <w:rFonts w:ascii="Times New Roman" w:hAnsi="Times New Roman" w:cs="Times New Roman"/>
        </w:rPr>
        <w:t xml:space="preserve"> and Troughton, 2012)</w:t>
      </w:r>
    </w:p>
    <w:p w14:paraId="00186285" w14:textId="4BCA4A05"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It accomplishes this by identifying projects </w:t>
      </w:r>
      <w:proofErr w:type="gramStart"/>
      <w:r w:rsidRPr="00B75985">
        <w:rPr>
          <w:rFonts w:ascii="Times New Roman" w:hAnsi="Times New Roman" w:cs="Times New Roman"/>
        </w:rPr>
        <w:t>on the basis of</w:t>
      </w:r>
      <w:proofErr w:type="gramEnd"/>
      <w:r w:rsidRPr="00B75985">
        <w:rPr>
          <w:rFonts w:ascii="Times New Roman" w:hAnsi="Times New Roman" w:cs="Times New Roman"/>
        </w:rPr>
        <w:t xml:space="preserve"> their Profitability Index, which is given by the NPV earned per unit of investment in pounds sterling. The PI is highly informative in cases where projects are divisible, as it points to where the maximum value per unit of investment has been obtained. (Spring, 2018; Palepu and Healy, 2020)</w:t>
      </w:r>
    </w:p>
    <w:p w14:paraId="42883BA4" w14:textId="77777777" w:rsidR="00B75985" w:rsidRPr="00B75985" w:rsidRDefault="00B75985" w:rsidP="00B75985">
      <w:pPr>
        <w:spacing w:before="100" w:beforeAutospacing="1" w:after="100" w:afterAutospacing="1" w:line="360" w:lineRule="auto"/>
        <w:jc w:val="both"/>
        <w:rPr>
          <w:rFonts w:ascii="Times New Roman" w:hAnsi="Times New Roman" w:cs="Times New Roman"/>
          <w:b/>
          <w:bCs/>
        </w:rPr>
      </w:pPr>
      <w:r w:rsidRPr="00B75985">
        <w:rPr>
          <w:rFonts w:ascii="Times New Roman" w:hAnsi="Times New Roman" w:cs="Times New Roman"/>
          <w:b/>
          <w:bCs/>
        </w:rPr>
        <w:t>Profitability Index Results</w:t>
      </w:r>
    </w:p>
    <w:p w14:paraId="7F64ECAD"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The profitability indices for the three options are:</w:t>
      </w:r>
    </w:p>
    <w:p w14:paraId="5DD8981D" w14:textId="065395E9" w:rsidR="00B75985" w:rsidRPr="00B75985" w:rsidRDefault="00B75985" w:rsidP="00B75985">
      <w:pPr>
        <w:pStyle w:val="ListParagraph"/>
        <w:numPr>
          <w:ilvl w:val="0"/>
          <w:numId w:val="12"/>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Option A (Retail expansion): PI ≈ 2.07</w:t>
      </w:r>
    </w:p>
    <w:p w14:paraId="595086B2" w14:textId="65BA8B30" w:rsidR="00B75985" w:rsidRPr="00B75985" w:rsidRDefault="00B75985" w:rsidP="00B75985">
      <w:pPr>
        <w:pStyle w:val="ListParagraph"/>
        <w:numPr>
          <w:ilvl w:val="0"/>
          <w:numId w:val="12"/>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Option B (Develop internet sales): PI ≈ 1.79</w:t>
      </w:r>
    </w:p>
    <w:p w14:paraId="66194CEB" w14:textId="1A262925" w:rsidR="00B75985" w:rsidRPr="00B75985" w:rsidRDefault="00B75985" w:rsidP="00B75985">
      <w:pPr>
        <w:pStyle w:val="ListParagraph"/>
        <w:numPr>
          <w:ilvl w:val="0"/>
          <w:numId w:val="12"/>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Option C (Produce wooden and Roman blinds): PI ≈ 1.46</w:t>
      </w:r>
    </w:p>
    <w:p w14:paraId="73A8BC1F" w14:textId="77777777" w:rsidR="00B75985" w:rsidRPr="00B75985" w:rsidRDefault="00B75985" w:rsidP="00B75985">
      <w:pPr>
        <w:pStyle w:val="Heading3"/>
      </w:pPr>
      <w:bookmarkStart w:id="51" w:name="_Toc219020682"/>
      <w:r w:rsidRPr="00B75985">
        <w:t>Optimal Investment Policy</w:t>
      </w:r>
      <w:bookmarkEnd w:id="51"/>
    </w:p>
    <w:p w14:paraId="2B45D405"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proofErr w:type="gramStart"/>
      <w:r w:rsidRPr="00B75985">
        <w:rPr>
          <w:rFonts w:ascii="Times New Roman" w:hAnsi="Times New Roman" w:cs="Times New Roman"/>
        </w:rPr>
        <w:t>In order to</w:t>
      </w:r>
      <w:proofErr w:type="gramEnd"/>
      <w:r w:rsidRPr="00B75985">
        <w:rPr>
          <w:rFonts w:ascii="Times New Roman" w:hAnsi="Times New Roman" w:cs="Times New Roman"/>
        </w:rPr>
        <w:t xml:space="preserve"> </w:t>
      </w:r>
      <w:proofErr w:type="spellStart"/>
      <w:r w:rsidRPr="00B75985">
        <w:rPr>
          <w:rFonts w:ascii="Times New Roman" w:hAnsi="Times New Roman" w:cs="Times New Roman"/>
        </w:rPr>
        <w:t>maximise</w:t>
      </w:r>
      <w:proofErr w:type="spellEnd"/>
      <w:r w:rsidRPr="00B75985">
        <w:rPr>
          <w:rFonts w:ascii="Times New Roman" w:hAnsi="Times New Roman" w:cs="Times New Roman"/>
        </w:rPr>
        <w:t xml:space="preserve"> Total NPV given the capital budget constraint of £2.5 million, it would be best for Westward Plc to invest in projects in order of descending order of Profitability Index values. (Spring, 2018; </w:t>
      </w:r>
      <w:proofErr w:type="spellStart"/>
      <w:r w:rsidRPr="00B75985">
        <w:rPr>
          <w:rFonts w:ascii="Times New Roman" w:hAnsi="Times New Roman" w:cs="Times New Roman"/>
        </w:rPr>
        <w:t>Oakshott</w:t>
      </w:r>
      <w:proofErr w:type="spellEnd"/>
      <w:r w:rsidRPr="00B75985">
        <w:rPr>
          <w:rFonts w:ascii="Times New Roman" w:hAnsi="Times New Roman" w:cs="Times New Roman"/>
        </w:rPr>
        <w:t>, 2020)</w:t>
      </w:r>
    </w:p>
    <w:p w14:paraId="23BA2F05" w14:textId="1DEBA5C4"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First, Option A must be implemented in its entirety, requiring an initial investment of £600,000. Second, option B must also be carried out in entirety, which would call for an additional investment of £1,000,000 On completing options A and B, the total capital utilized is £1,600,000, leaving an available amount of £900,000. In option C, the initial investment required is £1,600,000. This goes beyond the remaining budget, but since it is a divisible project, Westward Plc should invest in option C £900,000 ÷ £1,600,000 = 56.25%. (</w:t>
      </w:r>
      <w:proofErr w:type="spellStart"/>
      <w:r w:rsidRPr="00B75985">
        <w:rPr>
          <w:rFonts w:ascii="Times New Roman" w:hAnsi="Times New Roman" w:cs="Times New Roman"/>
        </w:rPr>
        <w:t>Oakshott</w:t>
      </w:r>
      <w:proofErr w:type="spellEnd"/>
      <w:r w:rsidRPr="00B75985">
        <w:rPr>
          <w:rFonts w:ascii="Times New Roman" w:hAnsi="Times New Roman" w:cs="Times New Roman"/>
        </w:rPr>
        <w:t>, 2020; Spring, 2018)</w:t>
      </w:r>
    </w:p>
    <w:p w14:paraId="38AA9F05" w14:textId="77777777" w:rsidR="00B75985" w:rsidRPr="00B75985" w:rsidRDefault="00B75985" w:rsidP="00B75985">
      <w:pPr>
        <w:spacing w:before="100" w:beforeAutospacing="1" w:after="100" w:afterAutospacing="1" w:line="360" w:lineRule="auto"/>
        <w:jc w:val="both"/>
        <w:rPr>
          <w:rFonts w:ascii="Times New Roman" w:hAnsi="Times New Roman" w:cs="Times New Roman"/>
          <w:b/>
          <w:bCs/>
        </w:rPr>
      </w:pPr>
      <w:r w:rsidRPr="00B75985">
        <w:rPr>
          <w:rFonts w:ascii="Times New Roman" w:hAnsi="Times New Roman" w:cs="Times New Roman"/>
          <w:b/>
          <w:bCs/>
        </w:rPr>
        <w:t>Resulting Total NPV</w:t>
      </w:r>
    </w:p>
    <w:p w14:paraId="04A3523F"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Thus, Westward Plc would undertake:</w:t>
      </w:r>
    </w:p>
    <w:p w14:paraId="0896DCAF" w14:textId="4D2716E5" w:rsidR="00B75985" w:rsidRPr="00B75985" w:rsidRDefault="00B75985" w:rsidP="00B75985">
      <w:pPr>
        <w:pStyle w:val="ListParagraph"/>
        <w:numPr>
          <w:ilvl w:val="0"/>
          <w:numId w:val="13"/>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100% of Option A</w:t>
      </w:r>
    </w:p>
    <w:p w14:paraId="1E9CD5FB" w14:textId="5607D7FD" w:rsidR="00B75985" w:rsidRPr="00B75985" w:rsidRDefault="00B75985" w:rsidP="00B75985">
      <w:pPr>
        <w:pStyle w:val="ListParagraph"/>
        <w:numPr>
          <w:ilvl w:val="0"/>
          <w:numId w:val="13"/>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lastRenderedPageBreak/>
        <w:t>100% of Option B</w:t>
      </w:r>
    </w:p>
    <w:p w14:paraId="01C9BEB3" w14:textId="46A2A413" w:rsidR="00B75985" w:rsidRPr="00B75985" w:rsidRDefault="00B75985" w:rsidP="00B75985">
      <w:pPr>
        <w:pStyle w:val="ListParagraph"/>
        <w:numPr>
          <w:ilvl w:val="0"/>
          <w:numId w:val="13"/>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56.25% of Option C</w:t>
      </w:r>
    </w:p>
    <w:p w14:paraId="734DC88A" w14:textId="65504398"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The resulting total NPV is approximately £1.85 million. (Spring, 2018; </w:t>
      </w:r>
      <w:proofErr w:type="spellStart"/>
      <w:r w:rsidRPr="00B75985">
        <w:rPr>
          <w:rFonts w:ascii="Times New Roman" w:hAnsi="Times New Roman" w:cs="Times New Roman"/>
        </w:rPr>
        <w:t>Clayman</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Fridson</w:t>
      </w:r>
      <w:proofErr w:type="spellEnd"/>
      <w:r w:rsidRPr="00B75985">
        <w:rPr>
          <w:rFonts w:ascii="Times New Roman" w:hAnsi="Times New Roman" w:cs="Times New Roman"/>
        </w:rPr>
        <w:t xml:space="preserve"> and Troughton, 2012)</w:t>
      </w:r>
    </w:p>
    <w:p w14:paraId="0A135630" w14:textId="77777777" w:rsidR="00B75985" w:rsidRPr="00B75985" w:rsidRDefault="00B75985" w:rsidP="00B75985">
      <w:pPr>
        <w:pStyle w:val="Heading3"/>
      </w:pPr>
      <w:bookmarkStart w:id="52" w:name="_Toc219020683"/>
      <w:r w:rsidRPr="00B75985">
        <w:t>Interpretation for Management</w:t>
      </w:r>
      <w:bookmarkEnd w:id="52"/>
    </w:p>
    <w:p w14:paraId="22DE3340"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The capital rationing analysis here below shows that, under a </w:t>
      </w:r>
      <w:proofErr w:type="gramStart"/>
      <w:r w:rsidRPr="00B75985">
        <w:rPr>
          <w:rFonts w:ascii="Times New Roman" w:hAnsi="Times New Roman" w:cs="Times New Roman"/>
        </w:rPr>
        <w:t>funds</w:t>
      </w:r>
      <w:proofErr w:type="gramEnd"/>
      <w:r w:rsidRPr="00B75985">
        <w:rPr>
          <w:rFonts w:ascii="Times New Roman" w:hAnsi="Times New Roman" w:cs="Times New Roman"/>
        </w:rPr>
        <w:t xml:space="preserve"> constraint, the project having the highest standalone NPV is not necessarily the only to be taken into consideration. In other words, what management needs to do now is to bring in the concept of capital efficiency, where any pound invested demonstrates the highest possible return. (Almeida and Campello, 2005; Kersten, Harms, </w:t>
      </w:r>
      <w:proofErr w:type="spellStart"/>
      <w:r w:rsidRPr="00B75985">
        <w:rPr>
          <w:rFonts w:ascii="Times New Roman" w:hAnsi="Times New Roman" w:cs="Times New Roman"/>
        </w:rPr>
        <w:t>Liket</w:t>
      </w:r>
      <w:proofErr w:type="spellEnd"/>
      <w:r w:rsidRPr="00B75985">
        <w:rPr>
          <w:rFonts w:ascii="Times New Roman" w:hAnsi="Times New Roman" w:cs="Times New Roman"/>
        </w:rPr>
        <w:t xml:space="preserve"> and Maas, 2017)</w:t>
      </w:r>
    </w:p>
    <w:p w14:paraId="3C90E4C4" w14:textId="1BD400BC"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Even though the individual NPV of Option B is higher, Option A's higher profitability index justifies it to be accorded priority under capital rationing. Projects divisible enable Westward Plc to increase total value still further by partially investing in Option C, rather than an all or nothing decision. (Spring, 2018; </w:t>
      </w:r>
      <w:proofErr w:type="spellStart"/>
      <w:r w:rsidRPr="00B75985">
        <w:rPr>
          <w:rFonts w:ascii="Times New Roman" w:hAnsi="Times New Roman" w:cs="Times New Roman"/>
        </w:rPr>
        <w:t>Oakshott</w:t>
      </w:r>
      <w:proofErr w:type="spellEnd"/>
      <w:r w:rsidRPr="00B75985">
        <w:rPr>
          <w:rFonts w:ascii="Times New Roman" w:hAnsi="Times New Roman" w:cs="Times New Roman"/>
        </w:rPr>
        <w:t>, 2020)</w:t>
      </w:r>
    </w:p>
    <w:p w14:paraId="1DA50660" w14:textId="77777777" w:rsidR="00B75985" w:rsidRPr="00B75985" w:rsidRDefault="00B75985" w:rsidP="001E2764">
      <w:pPr>
        <w:pStyle w:val="Heading2"/>
      </w:pPr>
      <w:bookmarkStart w:id="53" w:name="_Toc219020684"/>
      <w:r w:rsidRPr="00B75985">
        <w:t xml:space="preserve">Financing the Investment </w:t>
      </w:r>
      <w:proofErr w:type="spellStart"/>
      <w:r w:rsidRPr="00B75985">
        <w:t>Programme</w:t>
      </w:r>
      <w:bookmarkEnd w:id="53"/>
      <w:proofErr w:type="spellEnd"/>
    </w:p>
    <w:p w14:paraId="12C7193F" w14:textId="6DB1EB05"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Having identified the best investment approach, the next area of consideration for the Board is how the program would be financed. Financial options will determine the company's risk, cash flow situation, as well as their future financial prospects. (Allen, 2021; </w:t>
      </w:r>
      <w:proofErr w:type="spellStart"/>
      <w:r w:rsidRPr="00B75985">
        <w:rPr>
          <w:rFonts w:ascii="Times New Roman" w:hAnsi="Times New Roman" w:cs="Times New Roman"/>
        </w:rPr>
        <w:t>Clayman</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Fridson</w:t>
      </w:r>
      <w:proofErr w:type="spellEnd"/>
      <w:r w:rsidRPr="00B75985">
        <w:rPr>
          <w:rFonts w:ascii="Times New Roman" w:hAnsi="Times New Roman" w:cs="Times New Roman"/>
        </w:rPr>
        <w:t xml:space="preserve"> and Troughton, 2012) Finance options that the company, Westward Plc, can take are highlighted as follows: (Connolly, 2007; Madura, 2018)</w:t>
      </w:r>
    </w:p>
    <w:p w14:paraId="7B2032C4" w14:textId="77777777" w:rsidR="00B75985" w:rsidRPr="001E2764" w:rsidRDefault="00B75985" w:rsidP="00B75985">
      <w:pPr>
        <w:spacing w:before="100" w:beforeAutospacing="1" w:after="100" w:afterAutospacing="1" w:line="360" w:lineRule="auto"/>
        <w:jc w:val="both"/>
        <w:rPr>
          <w:rFonts w:ascii="Times New Roman" w:hAnsi="Times New Roman" w:cs="Times New Roman"/>
          <w:b/>
          <w:bCs/>
        </w:rPr>
      </w:pPr>
      <w:r w:rsidRPr="001E2764">
        <w:rPr>
          <w:rFonts w:ascii="Times New Roman" w:hAnsi="Times New Roman" w:cs="Times New Roman"/>
          <w:b/>
          <w:bCs/>
        </w:rPr>
        <w:t>Retained Earnings</w:t>
      </w:r>
    </w:p>
    <w:p w14:paraId="01A9D9AB" w14:textId="280AF02D"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Retained earnings are an internal source of finance that is achieved by reinvesting past profits. (Palepu and Healy, 2020; Lichtenstein and Dade, 2007) The use of retained earnings does not require external funding. Retained earnings are not associated with any risk of interest or repayment. Retained earnings do not dilute the ownership interests of the current stockholders. (de Jongh, 2011; </w:t>
      </w:r>
      <w:proofErr w:type="spellStart"/>
      <w:r w:rsidRPr="00B75985">
        <w:rPr>
          <w:rFonts w:ascii="Times New Roman" w:hAnsi="Times New Roman" w:cs="Times New Roman"/>
        </w:rPr>
        <w:t>Clayman</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Fridson</w:t>
      </w:r>
      <w:proofErr w:type="spellEnd"/>
      <w:r w:rsidRPr="00B75985">
        <w:rPr>
          <w:rFonts w:ascii="Times New Roman" w:hAnsi="Times New Roman" w:cs="Times New Roman"/>
        </w:rPr>
        <w:t xml:space="preserve"> and Troughton, 2012)</w:t>
      </w:r>
    </w:p>
    <w:p w14:paraId="6C103050" w14:textId="77777777" w:rsidR="00B75985" w:rsidRPr="001E2764" w:rsidRDefault="00B75985" w:rsidP="00B75985">
      <w:pPr>
        <w:spacing w:before="100" w:beforeAutospacing="1" w:after="100" w:afterAutospacing="1" w:line="360" w:lineRule="auto"/>
        <w:jc w:val="both"/>
        <w:rPr>
          <w:rFonts w:ascii="Times New Roman" w:hAnsi="Times New Roman" w:cs="Times New Roman"/>
          <w:b/>
          <w:bCs/>
        </w:rPr>
      </w:pPr>
      <w:r w:rsidRPr="001E2764">
        <w:rPr>
          <w:rFonts w:ascii="Times New Roman" w:hAnsi="Times New Roman" w:cs="Times New Roman"/>
          <w:b/>
          <w:bCs/>
        </w:rPr>
        <w:lastRenderedPageBreak/>
        <w:t>Debt Finance</w:t>
      </w:r>
    </w:p>
    <w:p w14:paraId="41F9085B" w14:textId="4909E276"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Debt financing, like loans from banks or other long-term borrowings, is another important funding mechanism available to the firm. (Kotey, 2019; Almeida and Campello, 2005) Interest paid on borrowings is tax deductible, thus decreasing the economic cost of capital and increasing shareholder earnings through financial leverage. Moreover, debt helps the firm make an investment with no dilution of ownership. (Allen, 2021; Kotey, 2019)</w:t>
      </w:r>
    </w:p>
    <w:p w14:paraId="09C25F6E" w14:textId="77777777" w:rsidR="00B75985" w:rsidRPr="001E2764" w:rsidRDefault="00B75985" w:rsidP="00B75985">
      <w:pPr>
        <w:spacing w:before="100" w:beforeAutospacing="1" w:after="100" w:afterAutospacing="1" w:line="360" w:lineRule="auto"/>
        <w:jc w:val="both"/>
        <w:rPr>
          <w:rFonts w:ascii="Times New Roman" w:hAnsi="Times New Roman" w:cs="Times New Roman"/>
          <w:b/>
          <w:bCs/>
        </w:rPr>
      </w:pPr>
      <w:r w:rsidRPr="001E2764">
        <w:rPr>
          <w:rFonts w:ascii="Times New Roman" w:hAnsi="Times New Roman" w:cs="Times New Roman"/>
          <w:b/>
          <w:bCs/>
        </w:rPr>
        <w:t>Equity Finance</w:t>
      </w:r>
    </w:p>
    <w:p w14:paraId="57796171" w14:textId="07D1FB2C"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Equity finance requires the issue of new shares to investors. There are no fixed repayments, as with debt, so the risk of liquidity difficulties is reduced. It can strengthen the company's balance sheet and improve borrowing capacity. (</w:t>
      </w:r>
      <w:proofErr w:type="spellStart"/>
      <w:r w:rsidRPr="00B75985">
        <w:rPr>
          <w:rFonts w:ascii="Times New Roman" w:hAnsi="Times New Roman" w:cs="Times New Roman"/>
        </w:rPr>
        <w:t>Clayman</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Fridson</w:t>
      </w:r>
      <w:proofErr w:type="spellEnd"/>
      <w:r w:rsidRPr="00B75985">
        <w:rPr>
          <w:rFonts w:ascii="Times New Roman" w:hAnsi="Times New Roman" w:cs="Times New Roman"/>
        </w:rPr>
        <w:t xml:space="preserve"> and Troughton, 2012; Chen, Chung, Hsu and Wu, 2010)</w:t>
      </w:r>
    </w:p>
    <w:p w14:paraId="669C054A" w14:textId="77777777" w:rsidR="00B75985" w:rsidRPr="00B75985" w:rsidRDefault="00B75985" w:rsidP="001E2764">
      <w:pPr>
        <w:pStyle w:val="Heading3"/>
      </w:pPr>
      <w:bookmarkStart w:id="54" w:name="_Toc219020685"/>
      <w:r w:rsidRPr="00B75985">
        <w:t>Recommended Financing Approach</w:t>
      </w:r>
      <w:bookmarkEnd w:id="54"/>
    </w:p>
    <w:p w14:paraId="0A83DA01"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Owing to the positive cash flows that the company stands to derive from the investment program, it is advisable that the company adopts a balanced structure in terms of financing. Westward Plc should resort to a combination of the company's retained earnings and long-term borrowing to finance the program </w:t>
      </w:r>
      <w:proofErr w:type="gramStart"/>
      <w:r w:rsidRPr="00B75985">
        <w:rPr>
          <w:rFonts w:ascii="Times New Roman" w:hAnsi="Times New Roman" w:cs="Times New Roman"/>
        </w:rPr>
        <w:t>in order to</w:t>
      </w:r>
      <w:proofErr w:type="gramEnd"/>
      <w:r w:rsidRPr="00B75985">
        <w:rPr>
          <w:rFonts w:ascii="Times New Roman" w:hAnsi="Times New Roman" w:cs="Times New Roman"/>
        </w:rPr>
        <w:t xml:space="preserve"> reduce dilution effects while gaining the tax advantage that comes with the latter. (Allen, 2021; Kotey, 2019; Lichtenstein and Dade, 2007)</w:t>
      </w:r>
    </w:p>
    <w:p w14:paraId="3B36AC25" w14:textId="77777777" w:rsidR="001E2764"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Equity financing should be resorting to only if internal generated funds and borrowing capacity are exhausted or if the directors feel that the risk profile could be more conservative. (Kersten, Harms, </w:t>
      </w:r>
      <w:proofErr w:type="spellStart"/>
      <w:r w:rsidRPr="00B75985">
        <w:rPr>
          <w:rFonts w:ascii="Times New Roman" w:hAnsi="Times New Roman" w:cs="Times New Roman"/>
        </w:rPr>
        <w:t>Liket</w:t>
      </w:r>
      <w:proofErr w:type="spellEnd"/>
      <w:r w:rsidRPr="00B75985">
        <w:rPr>
          <w:rFonts w:ascii="Times New Roman" w:hAnsi="Times New Roman" w:cs="Times New Roman"/>
        </w:rPr>
        <w:t xml:space="preserve"> and Maas, 2017; </w:t>
      </w:r>
      <w:proofErr w:type="spellStart"/>
      <w:r w:rsidRPr="00B75985">
        <w:rPr>
          <w:rFonts w:ascii="Times New Roman" w:hAnsi="Times New Roman" w:cs="Times New Roman"/>
        </w:rPr>
        <w:t>Chorafas</w:t>
      </w:r>
      <w:proofErr w:type="spellEnd"/>
      <w:r w:rsidRPr="00B75985">
        <w:rPr>
          <w:rFonts w:ascii="Times New Roman" w:hAnsi="Times New Roman" w:cs="Times New Roman"/>
        </w:rPr>
        <w:t>, 2015)</w:t>
      </w:r>
    </w:p>
    <w:p w14:paraId="270D641B" w14:textId="1D9D6BA0" w:rsidR="000D5E34" w:rsidRPr="000D5E34" w:rsidRDefault="000D5E34" w:rsidP="001E2764">
      <w:pPr>
        <w:pStyle w:val="Heading1"/>
        <w:rPr>
          <w:rFonts w:eastAsia="Times New Roman"/>
        </w:rPr>
      </w:pPr>
      <w:bookmarkStart w:id="55" w:name="_Toc219020686"/>
      <w:r w:rsidRPr="000D5E34">
        <w:rPr>
          <w:rFonts w:eastAsia="Times New Roman"/>
        </w:rPr>
        <w:t>Conclusion</w:t>
      </w:r>
      <w:bookmarkEnd w:id="55"/>
    </w:p>
    <w:p w14:paraId="4750A18D" w14:textId="77777777" w:rsidR="00E85766" w:rsidRDefault="00E85766" w:rsidP="000D5E34">
      <w:pPr>
        <w:spacing w:before="100" w:beforeAutospacing="1" w:after="100" w:afterAutospacing="1" w:line="360" w:lineRule="auto"/>
        <w:jc w:val="both"/>
        <w:rPr>
          <w:rFonts w:ascii="Times New Roman" w:eastAsia="Times New Roman" w:hAnsi="Times New Roman" w:cs="Times New Roman"/>
          <w:kern w:val="0"/>
          <w14:ligatures w14:val="none"/>
        </w:rPr>
      </w:pPr>
      <w:r w:rsidRPr="00E85766">
        <w:rPr>
          <w:rFonts w:ascii="Times New Roman" w:eastAsia="Times New Roman" w:hAnsi="Times New Roman" w:cs="Times New Roman"/>
          <w:kern w:val="0"/>
          <w14:ligatures w14:val="none"/>
        </w:rPr>
        <w:t xml:space="preserve">The financial analysis carried out in Part 1 reveals that Unilever PLC continues to be a financially robust company despite challenges related to short-term profitability. Additionally, financial statements show an improvement in financial performances related to revenue, which indicates a robust pricing model and cost management. Furthermore, the financials also indicate improved </w:t>
      </w:r>
      <w:r w:rsidRPr="00E85766">
        <w:rPr>
          <w:rFonts w:ascii="Times New Roman" w:eastAsia="Times New Roman" w:hAnsi="Times New Roman" w:cs="Times New Roman"/>
          <w:kern w:val="0"/>
          <w14:ligatures w14:val="none"/>
        </w:rPr>
        <w:lastRenderedPageBreak/>
        <w:t>operational efficiencies. Even though the financials show a deterioration in financial returns due to restructuring, liquidity and solvability indicators remained unchanged and succeeded in boosting shareholder confidence with high market valuations and dividend payouts. In conclusion, based on a financial analysis, the financials of Unilever's key operations continue to be efficient with short-term challenges associated with profitability.</w:t>
      </w:r>
    </w:p>
    <w:p w14:paraId="466B2084" w14:textId="59866A9C" w:rsidR="0064316B" w:rsidRDefault="00AA0A4A" w:rsidP="0064316B">
      <w:pPr>
        <w:spacing w:before="100" w:beforeAutospacing="1" w:after="100" w:afterAutospacing="1" w:line="360" w:lineRule="auto"/>
        <w:jc w:val="both"/>
        <w:rPr>
          <w:rFonts w:ascii="Times New Roman" w:eastAsia="Times New Roman" w:hAnsi="Times New Roman" w:cs="Times New Roman"/>
          <w:kern w:val="0"/>
          <w14:ligatures w14:val="none"/>
        </w:rPr>
      </w:pPr>
      <w:r w:rsidRPr="00AA0A4A">
        <w:rPr>
          <w:rFonts w:ascii="Times New Roman" w:eastAsia="Times New Roman" w:hAnsi="Times New Roman" w:cs="Times New Roman"/>
          <w:kern w:val="0"/>
          <w14:ligatures w14:val="none"/>
        </w:rPr>
        <w:t>Part 2 continues to develop the financial context of such capital investment decisions, appraising those decisions via the comparison of alternative investments for Westward Plc. Investment appraisal illustrates the relevance of the Net Present Value as the key decision-making tool, which continues to highlight the investment alternative with the highest financial benefits. Though the other analytical tools, such as the IRR, Payback, and ARR, continue to be valid complementary analysis, their relevance continues to substantiate the supremacy of investment decisions informed via the Net Present Value. The analysis of capital rationing continues to aptly address the relevance of optimal resource allocation, and the analysis of funding continues to aptly address the relevance of prudent alignment of investment decisions with the funding model. Both Parts 1 and 2 continue to aptly address the relevance of optimal financial analysis and investment appraisal of capital investment decisions for the realization of optimal sustained value addition.</w:t>
      </w:r>
    </w:p>
    <w:p w14:paraId="07C7D02E" w14:textId="77777777" w:rsidR="00DE7A1A" w:rsidRDefault="00DE7A1A" w:rsidP="0064316B">
      <w:pPr>
        <w:spacing w:before="100" w:beforeAutospacing="1" w:after="100" w:afterAutospacing="1" w:line="360" w:lineRule="auto"/>
        <w:jc w:val="both"/>
        <w:rPr>
          <w:rFonts w:ascii="Times New Roman" w:eastAsia="Times New Roman" w:hAnsi="Times New Roman" w:cs="Times New Roman"/>
          <w:kern w:val="0"/>
          <w14:ligatures w14:val="none"/>
        </w:rPr>
      </w:pPr>
    </w:p>
    <w:p w14:paraId="278B49C3" w14:textId="77777777" w:rsidR="00DE7A1A" w:rsidRDefault="00DE7A1A" w:rsidP="0064316B">
      <w:pPr>
        <w:spacing w:before="100" w:beforeAutospacing="1" w:after="100" w:afterAutospacing="1" w:line="360" w:lineRule="auto"/>
        <w:jc w:val="both"/>
        <w:rPr>
          <w:rFonts w:ascii="Times New Roman" w:eastAsia="Times New Roman" w:hAnsi="Times New Roman" w:cs="Times New Roman"/>
          <w:kern w:val="0"/>
          <w14:ligatures w14:val="none"/>
        </w:rPr>
      </w:pPr>
    </w:p>
    <w:p w14:paraId="0D2F447C" w14:textId="77777777" w:rsidR="00DE7A1A" w:rsidRDefault="00DE7A1A" w:rsidP="0064316B">
      <w:pPr>
        <w:spacing w:before="100" w:beforeAutospacing="1" w:after="100" w:afterAutospacing="1" w:line="360" w:lineRule="auto"/>
        <w:jc w:val="both"/>
        <w:rPr>
          <w:rFonts w:ascii="Times New Roman" w:eastAsia="Times New Roman" w:hAnsi="Times New Roman" w:cs="Times New Roman"/>
          <w:kern w:val="0"/>
          <w14:ligatures w14:val="none"/>
        </w:rPr>
      </w:pPr>
    </w:p>
    <w:p w14:paraId="17BA789E" w14:textId="77777777" w:rsidR="00DE7A1A" w:rsidRDefault="00DE7A1A" w:rsidP="0064316B">
      <w:pPr>
        <w:spacing w:before="100" w:beforeAutospacing="1" w:after="100" w:afterAutospacing="1" w:line="360" w:lineRule="auto"/>
        <w:jc w:val="both"/>
        <w:rPr>
          <w:rFonts w:ascii="Times New Roman" w:eastAsia="Times New Roman" w:hAnsi="Times New Roman" w:cs="Times New Roman"/>
          <w:kern w:val="0"/>
          <w14:ligatures w14:val="none"/>
        </w:rPr>
      </w:pPr>
    </w:p>
    <w:p w14:paraId="35293292" w14:textId="77777777" w:rsidR="00DE7A1A" w:rsidRDefault="00DE7A1A" w:rsidP="0064316B">
      <w:pPr>
        <w:spacing w:before="100" w:beforeAutospacing="1" w:after="100" w:afterAutospacing="1" w:line="360" w:lineRule="auto"/>
        <w:jc w:val="both"/>
        <w:rPr>
          <w:rFonts w:ascii="Times New Roman" w:eastAsia="Times New Roman" w:hAnsi="Times New Roman" w:cs="Times New Roman"/>
          <w:kern w:val="0"/>
          <w14:ligatures w14:val="none"/>
        </w:rPr>
      </w:pPr>
    </w:p>
    <w:p w14:paraId="10042772" w14:textId="77777777" w:rsidR="00DE7A1A" w:rsidRDefault="00DE7A1A" w:rsidP="0064316B">
      <w:pPr>
        <w:spacing w:before="100" w:beforeAutospacing="1" w:after="100" w:afterAutospacing="1" w:line="360" w:lineRule="auto"/>
        <w:jc w:val="both"/>
        <w:rPr>
          <w:rFonts w:ascii="Times New Roman" w:eastAsia="Times New Roman" w:hAnsi="Times New Roman" w:cs="Times New Roman"/>
          <w:kern w:val="0"/>
          <w14:ligatures w14:val="none"/>
        </w:rPr>
      </w:pPr>
    </w:p>
    <w:p w14:paraId="1D2BAA19" w14:textId="77777777" w:rsidR="00DE7A1A" w:rsidRDefault="00DE7A1A" w:rsidP="0064316B">
      <w:pPr>
        <w:spacing w:before="100" w:beforeAutospacing="1" w:after="100" w:afterAutospacing="1" w:line="360" w:lineRule="auto"/>
        <w:jc w:val="both"/>
        <w:rPr>
          <w:rFonts w:ascii="Times New Roman" w:eastAsia="Times New Roman" w:hAnsi="Times New Roman" w:cs="Times New Roman"/>
          <w:kern w:val="0"/>
          <w14:ligatures w14:val="none"/>
        </w:rPr>
      </w:pPr>
    </w:p>
    <w:p w14:paraId="0D26DADC" w14:textId="77777777" w:rsidR="00DE7A1A" w:rsidRPr="0021744F" w:rsidRDefault="00DE7A1A" w:rsidP="0064316B">
      <w:pPr>
        <w:spacing w:before="100" w:beforeAutospacing="1" w:after="100" w:afterAutospacing="1" w:line="360" w:lineRule="auto"/>
        <w:jc w:val="both"/>
        <w:rPr>
          <w:rFonts w:ascii="Times New Roman" w:eastAsia="Times New Roman" w:hAnsi="Times New Roman" w:cs="Times New Roman"/>
          <w:kern w:val="0"/>
          <w14:ligatures w14:val="none"/>
        </w:rPr>
      </w:pPr>
    </w:p>
    <w:p w14:paraId="1DEFBF25" w14:textId="77777777" w:rsidR="00DE7A1A" w:rsidRPr="00DE7A1A" w:rsidRDefault="00DE7A1A" w:rsidP="00DE7A1A">
      <w:pPr>
        <w:pStyle w:val="Heading1"/>
        <w:rPr>
          <w:rFonts w:eastAsia="Times New Roman"/>
        </w:rPr>
      </w:pPr>
      <w:bookmarkStart w:id="56" w:name="_Toc219020687"/>
      <w:r w:rsidRPr="00DE7A1A">
        <w:rPr>
          <w:rFonts w:eastAsia="Times New Roman"/>
        </w:rPr>
        <w:lastRenderedPageBreak/>
        <w:t>Reference list</w:t>
      </w:r>
      <w:bookmarkEnd w:id="56"/>
    </w:p>
    <w:p w14:paraId="1184A225"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Adler, R. (2010). Enhancing business success: The role of performance management. </w:t>
      </w:r>
      <w:r w:rsidRPr="00DE7A1A">
        <w:rPr>
          <w:rFonts w:ascii="Times New Roman" w:eastAsia="Times New Roman" w:hAnsi="Times New Roman" w:cs="Times New Roman"/>
          <w:i/>
          <w:iCs/>
          <w:kern w:val="0"/>
        </w:rPr>
        <w:t>Business Horizons</w:t>
      </w:r>
      <w:r w:rsidRPr="00DE7A1A">
        <w:rPr>
          <w:rFonts w:ascii="Times New Roman" w:eastAsia="Times New Roman" w:hAnsi="Times New Roman" w:cs="Times New Roman"/>
          <w:kern w:val="0"/>
        </w:rPr>
        <w:t>, 53(4), pp.331–333.</w:t>
      </w:r>
    </w:p>
    <w:p w14:paraId="284D25A8"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Alexander, D. and Britton, A. (2017). </w:t>
      </w:r>
      <w:r w:rsidRPr="00DE7A1A">
        <w:rPr>
          <w:rFonts w:ascii="Times New Roman" w:eastAsia="Times New Roman" w:hAnsi="Times New Roman" w:cs="Times New Roman"/>
          <w:i/>
          <w:iCs/>
          <w:kern w:val="0"/>
        </w:rPr>
        <w:t>International financial reporting and analysis</w:t>
      </w:r>
      <w:r w:rsidRPr="00DE7A1A">
        <w:rPr>
          <w:rFonts w:ascii="Times New Roman" w:eastAsia="Times New Roman" w:hAnsi="Times New Roman" w:cs="Times New Roman"/>
          <w:kern w:val="0"/>
        </w:rPr>
        <w:t>. 7th ed. London: Cengage Learning.</w:t>
      </w:r>
    </w:p>
    <w:p w14:paraId="32AA6B0F"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Allen, D.E. (2021). Risk and Managerial Finance. </w:t>
      </w:r>
      <w:r w:rsidRPr="00DE7A1A">
        <w:rPr>
          <w:rFonts w:ascii="Times New Roman" w:eastAsia="Times New Roman" w:hAnsi="Times New Roman" w:cs="Times New Roman"/>
          <w:i/>
          <w:iCs/>
          <w:kern w:val="0"/>
        </w:rPr>
        <w:t>Managerial Finance</w:t>
      </w:r>
      <w:r w:rsidRPr="00DE7A1A">
        <w:rPr>
          <w:rFonts w:ascii="Times New Roman" w:eastAsia="Times New Roman" w:hAnsi="Times New Roman" w:cs="Times New Roman"/>
          <w:kern w:val="0"/>
        </w:rPr>
        <w:t>, 21(1), pp.3–14.</w:t>
      </w:r>
    </w:p>
    <w:p w14:paraId="4ED9EDCC"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Almeida, H. by and Campello, M. (2005). External Financing and Financing Constraints. </w:t>
      </w:r>
      <w:r w:rsidRPr="00DE7A1A">
        <w:rPr>
          <w:rFonts w:ascii="Times New Roman" w:eastAsia="Times New Roman" w:hAnsi="Times New Roman" w:cs="Times New Roman"/>
          <w:i/>
          <w:iCs/>
          <w:kern w:val="0"/>
        </w:rPr>
        <w:t>SSRN Electronic Journal</w:t>
      </w:r>
      <w:r w:rsidRPr="00DE7A1A">
        <w:rPr>
          <w:rFonts w:ascii="Times New Roman" w:eastAsia="Times New Roman" w:hAnsi="Times New Roman" w:cs="Times New Roman"/>
          <w:kern w:val="0"/>
        </w:rPr>
        <w:t>.</w:t>
      </w:r>
    </w:p>
    <w:p w14:paraId="198492AA"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Arjunan, K.C. (2017). IRR Performs Better than NPV: A Critical Analysis of Cases of Multiple IRR and Mutually Exclusive and Independent Investment Projects. </w:t>
      </w:r>
      <w:r w:rsidRPr="00DE7A1A">
        <w:rPr>
          <w:rFonts w:ascii="Times New Roman" w:eastAsia="Times New Roman" w:hAnsi="Times New Roman" w:cs="Times New Roman"/>
          <w:i/>
          <w:iCs/>
          <w:kern w:val="0"/>
        </w:rPr>
        <w:t>SSRN Electronic Journal</w:t>
      </w:r>
      <w:r w:rsidRPr="00DE7A1A">
        <w:rPr>
          <w:rFonts w:ascii="Times New Roman" w:eastAsia="Times New Roman" w:hAnsi="Times New Roman" w:cs="Times New Roman"/>
          <w:kern w:val="0"/>
        </w:rPr>
        <w:t>, 1(1).</w:t>
      </w:r>
    </w:p>
    <w:p w14:paraId="0DFB3849"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proofErr w:type="spellStart"/>
      <w:r w:rsidRPr="00DE7A1A">
        <w:rPr>
          <w:rFonts w:ascii="Times New Roman" w:eastAsia="Times New Roman" w:hAnsi="Times New Roman" w:cs="Times New Roman"/>
          <w:kern w:val="0"/>
        </w:rPr>
        <w:t>Atrill</w:t>
      </w:r>
      <w:proofErr w:type="spellEnd"/>
      <w:r w:rsidRPr="00DE7A1A">
        <w:rPr>
          <w:rFonts w:ascii="Times New Roman" w:eastAsia="Times New Roman" w:hAnsi="Times New Roman" w:cs="Times New Roman"/>
          <w:kern w:val="0"/>
        </w:rPr>
        <w:t xml:space="preserve">, P. and </w:t>
      </w:r>
      <w:proofErr w:type="spellStart"/>
      <w:r w:rsidRPr="00DE7A1A">
        <w:rPr>
          <w:rFonts w:ascii="Times New Roman" w:eastAsia="Times New Roman" w:hAnsi="Times New Roman" w:cs="Times New Roman"/>
          <w:kern w:val="0"/>
        </w:rPr>
        <w:t>Mclaney</w:t>
      </w:r>
      <w:proofErr w:type="spellEnd"/>
      <w:r w:rsidRPr="00DE7A1A">
        <w:rPr>
          <w:rFonts w:ascii="Times New Roman" w:eastAsia="Times New Roman" w:hAnsi="Times New Roman" w:cs="Times New Roman"/>
          <w:kern w:val="0"/>
        </w:rPr>
        <w:t xml:space="preserve">, E. (2018). </w:t>
      </w:r>
      <w:r w:rsidRPr="00DE7A1A">
        <w:rPr>
          <w:rFonts w:ascii="Times New Roman" w:eastAsia="Times New Roman" w:hAnsi="Times New Roman" w:cs="Times New Roman"/>
          <w:i/>
          <w:iCs/>
          <w:kern w:val="0"/>
        </w:rPr>
        <w:t>Accounting and Finance for Non-Specialists</w:t>
      </w:r>
      <w:r w:rsidRPr="00DE7A1A">
        <w:rPr>
          <w:rFonts w:ascii="Times New Roman" w:eastAsia="Times New Roman" w:hAnsi="Times New Roman" w:cs="Times New Roman"/>
          <w:kern w:val="0"/>
        </w:rPr>
        <w:t>. 11th ed. Harlow: Pearson.</w:t>
      </w:r>
    </w:p>
    <w:p w14:paraId="79AB08A8"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proofErr w:type="spellStart"/>
      <w:r w:rsidRPr="00DE7A1A">
        <w:rPr>
          <w:rFonts w:ascii="Times New Roman" w:eastAsia="Times New Roman" w:hAnsi="Times New Roman" w:cs="Times New Roman"/>
          <w:kern w:val="0"/>
        </w:rPr>
        <w:t>Atrill</w:t>
      </w:r>
      <w:proofErr w:type="spellEnd"/>
      <w:r w:rsidRPr="00DE7A1A">
        <w:rPr>
          <w:rFonts w:ascii="Times New Roman" w:eastAsia="Times New Roman" w:hAnsi="Times New Roman" w:cs="Times New Roman"/>
          <w:kern w:val="0"/>
        </w:rPr>
        <w:t xml:space="preserve">, P. and </w:t>
      </w:r>
      <w:proofErr w:type="spellStart"/>
      <w:r w:rsidRPr="00DE7A1A">
        <w:rPr>
          <w:rFonts w:ascii="Times New Roman" w:eastAsia="Times New Roman" w:hAnsi="Times New Roman" w:cs="Times New Roman"/>
          <w:kern w:val="0"/>
        </w:rPr>
        <w:t>Mclaney</w:t>
      </w:r>
      <w:proofErr w:type="spellEnd"/>
      <w:r w:rsidRPr="00DE7A1A">
        <w:rPr>
          <w:rFonts w:ascii="Times New Roman" w:eastAsia="Times New Roman" w:hAnsi="Times New Roman" w:cs="Times New Roman"/>
          <w:kern w:val="0"/>
        </w:rPr>
        <w:t xml:space="preserve">, E.J. (2019). </w:t>
      </w:r>
      <w:r w:rsidRPr="00DE7A1A">
        <w:rPr>
          <w:rFonts w:ascii="Times New Roman" w:eastAsia="Times New Roman" w:hAnsi="Times New Roman" w:cs="Times New Roman"/>
          <w:i/>
          <w:iCs/>
          <w:kern w:val="0"/>
        </w:rPr>
        <w:t>Financial accounting for decision makers</w:t>
      </w:r>
      <w:r w:rsidRPr="00DE7A1A">
        <w:rPr>
          <w:rFonts w:ascii="Times New Roman" w:eastAsia="Times New Roman" w:hAnsi="Times New Roman" w:cs="Times New Roman"/>
          <w:kern w:val="0"/>
        </w:rPr>
        <w:t>. New York: Prentice Hall/Financial Times.</w:t>
      </w:r>
    </w:p>
    <w:p w14:paraId="31780174"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proofErr w:type="spellStart"/>
      <w:r w:rsidRPr="00DE7A1A">
        <w:rPr>
          <w:rFonts w:ascii="Times New Roman" w:eastAsia="Times New Roman" w:hAnsi="Times New Roman" w:cs="Times New Roman"/>
          <w:kern w:val="0"/>
        </w:rPr>
        <w:t>Aydiner</w:t>
      </w:r>
      <w:proofErr w:type="spellEnd"/>
      <w:r w:rsidRPr="00DE7A1A">
        <w:rPr>
          <w:rFonts w:ascii="Times New Roman" w:eastAsia="Times New Roman" w:hAnsi="Times New Roman" w:cs="Times New Roman"/>
          <w:kern w:val="0"/>
        </w:rPr>
        <w:t xml:space="preserve">, A.S., </w:t>
      </w:r>
      <w:proofErr w:type="spellStart"/>
      <w:r w:rsidRPr="00DE7A1A">
        <w:rPr>
          <w:rFonts w:ascii="Times New Roman" w:eastAsia="Times New Roman" w:hAnsi="Times New Roman" w:cs="Times New Roman"/>
          <w:kern w:val="0"/>
        </w:rPr>
        <w:t>Tatoglu</w:t>
      </w:r>
      <w:proofErr w:type="spellEnd"/>
      <w:r w:rsidRPr="00DE7A1A">
        <w:rPr>
          <w:rFonts w:ascii="Times New Roman" w:eastAsia="Times New Roman" w:hAnsi="Times New Roman" w:cs="Times New Roman"/>
          <w:kern w:val="0"/>
        </w:rPr>
        <w:t xml:space="preserve">, E., Bayraktar, E., Zaim, S. and Delen, D. (2019). Business analytics and firm performance: The mediating role of business process performance. </w:t>
      </w:r>
      <w:r w:rsidRPr="00DE7A1A">
        <w:rPr>
          <w:rFonts w:ascii="Times New Roman" w:eastAsia="Times New Roman" w:hAnsi="Times New Roman" w:cs="Times New Roman"/>
          <w:i/>
          <w:iCs/>
          <w:kern w:val="0"/>
        </w:rPr>
        <w:t>Journal of Business Research</w:t>
      </w:r>
      <w:r w:rsidRPr="00DE7A1A">
        <w:rPr>
          <w:rFonts w:ascii="Times New Roman" w:eastAsia="Times New Roman" w:hAnsi="Times New Roman" w:cs="Times New Roman"/>
          <w:kern w:val="0"/>
        </w:rPr>
        <w:t>, 96(1), pp.228–237.</w:t>
      </w:r>
    </w:p>
    <w:p w14:paraId="63DC92AF"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Azar, S.A. and </w:t>
      </w:r>
      <w:proofErr w:type="spellStart"/>
      <w:r w:rsidRPr="00DE7A1A">
        <w:rPr>
          <w:rFonts w:ascii="Times New Roman" w:eastAsia="Times New Roman" w:hAnsi="Times New Roman" w:cs="Times New Roman"/>
          <w:kern w:val="0"/>
        </w:rPr>
        <w:t>Noueihed</w:t>
      </w:r>
      <w:proofErr w:type="spellEnd"/>
      <w:r w:rsidRPr="00DE7A1A">
        <w:rPr>
          <w:rFonts w:ascii="Times New Roman" w:eastAsia="Times New Roman" w:hAnsi="Times New Roman" w:cs="Times New Roman"/>
          <w:kern w:val="0"/>
        </w:rPr>
        <w:t xml:space="preserve">, N. (2014). A Probabilistic Internal Rate of Return: Theory and Illustration. </w:t>
      </w:r>
      <w:r w:rsidRPr="00DE7A1A">
        <w:rPr>
          <w:rFonts w:ascii="Times New Roman" w:eastAsia="Times New Roman" w:hAnsi="Times New Roman" w:cs="Times New Roman"/>
          <w:i/>
          <w:iCs/>
          <w:kern w:val="0"/>
        </w:rPr>
        <w:t>International Journal of Business and Management</w:t>
      </w:r>
      <w:r w:rsidRPr="00DE7A1A">
        <w:rPr>
          <w:rFonts w:ascii="Times New Roman" w:eastAsia="Times New Roman" w:hAnsi="Times New Roman" w:cs="Times New Roman"/>
          <w:kern w:val="0"/>
        </w:rPr>
        <w:t>, 9(3).</w:t>
      </w:r>
    </w:p>
    <w:p w14:paraId="1FF431B9"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Best, R. (2013). </w:t>
      </w:r>
      <w:r w:rsidRPr="00DE7A1A">
        <w:rPr>
          <w:rFonts w:ascii="Times New Roman" w:eastAsia="Times New Roman" w:hAnsi="Times New Roman" w:cs="Times New Roman"/>
          <w:i/>
          <w:iCs/>
          <w:kern w:val="0"/>
        </w:rPr>
        <w:t xml:space="preserve">Market-based </w:t>
      </w:r>
      <w:proofErr w:type="gramStart"/>
      <w:r w:rsidRPr="00DE7A1A">
        <w:rPr>
          <w:rFonts w:ascii="Times New Roman" w:eastAsia="Times New Roman" w:hAnsi="Times New Roman" w:cs="Times New Roman"/>
          <w:i/>
          <w:iCs/>
          <w:kern w:val="0"/>
        </w:rPr>
        <w:t>management :</w:t>
      </w:r>
      <w:proofErr w:type="gramEnd"/>
      <w:r w:rsidRPr="00DE7A1A">
        <w:rPr>
          <w:rFonts w:ascii="Times New Roman" w:eastAsia="Times New Roman" w:hAnsi="Times New Roman" w:cs="Times New Roman"/>
          <w:i/>
          <w:iCs/>
          <w:kern w:val="0"/>
        </w:rPr>
        <w:t xml:space="preserve"> strategies for growing customer value and profitability</w:t>
      </w:r>
      <w:r w:rsidRPr="00DE7A1A">
        <w:rPr>
          <w:rFonts w:ascii="Times New Roman" w:eastAsia="Times New Roman" w:hAnsi="Times New Roman" w:cs="Times New Roman"/>
          <w:kern w:val="0"/>
        </w:rPr>
        <w:t>. Upper Saddle River, N.J.: Pearson Education.</w:t>
      </w:r>
    </w:p>
    <w:p w14:paraId="76243A21"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proofErr w:type="spellStart"/>
      <w:r w:rsidRPr="00DE7A1A">
        <w:rPr>
          <w:rFonts w:ascii="Times New Roman" w:eastAsia="Times New Roman" w:hAnsi="Times New Roman" w:cs="Times New Roman"/>
          <w:kern w:val="0"/>
        </w:rPr>
        <w:t>Bloomenthal</w:t>
      </w:r>
      <w:proofErr w:type="spellEnd"/>
      <w:r w:rsidRPr="00DE7A1A">
        <w:rPr>
          <w:rFonts w:ascii="Times New Roman" w:eastAsia="Times New Roman" w:hAnsi="Times New Roman" w:cs="Times New Roman"/>
          <w:kern w:val="0"/>
        </w:rPr>
        <w:t xml:space="preserve">, A. (2025). </w:t>
      </w:r>
      <w:r w:rsidRPr="00DE7A1A">
        <w:rPr>
          <w:rFonts w:ascii="Times New Roman" w:eastAsia="Times New Roman" w:hAnsi="Times New Roman" w:cs="Times New Roman"/>
          <w:i/>
          <w:iCs/>
          <w:kern w:val="0"/>
        </w:rPr>
        <w:t>Gross Profit Margin: Formula and What It Tells You</w:t>
      </w:r>
      <w:r w:rsidRPr="00DE7A1A">
        <w:rPr>
          <w:rFonts w:ascii="Times New Roman" w:eastAsia="Times New Roman" w:hAnsi="Times New Roman" w:cs="Times New Roman"/>
          <w:kern w:val="0"/>
        </w:rPr>
        <w:t xml:space="preserve">. [online] Investopedia. Available at: </w:t>
      </w:r>
      <w:hyperlink r:id="rId9" w:history="1">
        <w:r w:rsidRPr="00DE7A1A">
          <w:rPr>
            <w:rFonts w:ascii="Times New Roman" w:eastAsia="Times New Roman" w:hAnsi="Times New Roman" w:cs="Times New Roman"/>
            <w:kern w:val="0"/>
          </w:rPr>
          <w:t>https://www.investopedia.com/terms/g/gross_profit_margin.asp</w:t>
        </w:r>
      </w:hyperlink>
      <w:r w:rsidRPr="00DE7A1A">
        <w:rPr>
          <w:rFonts w:ascii="Times New Roman" w:eastAsia="Times New Roman" w:hAnsi="Times New Roman" w:cs="Times New Roman"/>
          <w:kern w:val="0"/>
        </w:rPr>
        <w:t>.</w:t>
      </w:r>
    </w:p>
    <w:p w14:paraId="66D6FF78"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lastRenderedPageBreak/>
        <w:t xml:space="preserve">Bragg, S.M. (2018). </w:t>
      </w:r>
      <w:r w:rsidRPr="00DE7A1A">
        <w:rPr>
          <w:rFonts w:ascii="Times New Roman" w:eastAsia="Times New Roman" w:hAnsi="Times New Roman" w:cs="Times New Roman"/>
          <w:i/>
          <w:iCs/>
          <w:kern w:val="0"/>
        </w:rPr>
        <w:t xml:space="preserve">Business ratios and </w:t>
      </w:r>
      <w:proofErr w:type="gramStart"/>
      <w:r w:rsidRPr="00DE7A1A">
        <w:rPr>
          <w:rFonts w:ascii="Times New Roman" w:eastAsia="Times New Roman" w:hAnsi="Times New Roman" w:cs="Times New Roman"/>
          <w:i/>
          <w:iCs/>
          <w:kern w:val="0"/>
        </w:rPr>
        <w:t>formulas :</w:t>
      </w:r>
      <w:proofErr w:type="gramEnd"/>
      <w:r w:rsidRPr="00DE7A1A">
        <w:rPr>
          <w:rFonts w:ascii="Times New Roman" w:eastAsia="Times New Roman" w:hAnsi="Times New Roman" w:cs="Times New Roman"/>
          <w:i/>
          <w:iCs/>
          <w:kern w:val="0"/>
        </w:rPr>
        <w:t xml:space="preserve"> a comprehensive guide</w:t>
      </w:r>
      <w:r w:rsidRPr="00DE7A1A">
        <w:rPr>
          <w:rFonts w:ascii="Times New Roman" w:eastAsia="Times New Roman" w:hAnsi="Times New Roman" w:cs="Times New Roman"/>
          <w:kern w:val="0"/>
        </w:rPr>
        <w:t>. Hoboken, N.J.: Wiley.</w:t>
      </w:r>
    </w:p>
    <w:p w14:paraId="6113859E"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Campbell, D. (2021). </w:t>
      </w:r>
      <w:r w:rsidRPr="00DE7A1A">
        <w:rPr>
          <w:rFonts w:ascii="Times New Roman" w:eastAsia="Times New Roman" w:hAnsi="Times New Roman" w:cs="Times New Roman"/>
          <w:i/>
          <w:iCs/>
          <w:kern w:val="0"/>
        </w:rPr>
        <w:t>Business Strategy</w:t>
      </w:r>
      <w:r w:rsidRPr="00DE7A1A">
        <w:rPr>
          <w:rFonts w:ascii="Times New Roman" w:eastAsia="Times New Roman" w:hAnsi="Times New Roman" w:cs="Times New Roman"/>
          <w:kern w:val="0"/>
        </w:rPr>
        <w:t>. 5th ed. London: Pearson.</w:t>
      </w:r>
    </w:p>
    <w:p w14:paraId="44F9F53C"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CFI (2020). </w:t>
      </w:r>
      <w:r w:rsidRPr="00DE7A1A">
        <w:rPr>
          <w:rFonts w:ascii="Times New Roman" w:eastAsia="Times New Roman" w:hAnsi="Times New Roman" w:cs="Times New Roman"/>
          <w:i/>
          <w:iCs/>
          <w:kern w:val="0"/>
        </w:rPr>
        <w:t>Liquidity Ratio</w:t>
      </w:r>
      <w:r w:rsidRPr="00DE7A1A">
        <w:rPr>
          <w:rFonts w:ascii="Times New Roman" w:eastAsia="Times New Roman" w:hAnsi="Times New Roman" w:cs="Times New Roman"/>
          <w:kern w:val="0"/>
        </w:rPr>
        <w:t xml:space="preserve">. [online] Corporate Finance Institute. Available at: </w:t>
      </w:r>
      <w:hyperlink r:id="rId10" w:history="1">
        <w:r w:rsidRPr="00DE7A1A">
          <w:rPr>
            <w:rFonts w:ascii="Times New Roman" w:eastAsia="Times New Roman" w:hAnsi="Times New Roman" w:cs="Times New Roman"/>
            <w:kern w:val="0"/>
          </w:rPr>
          <w:t>https://corporatefinanceinstitute.com/resources/accounting/liquidity-ratio/</w:t>
        </w:r>
      </w:hyperlink>
      <w:r w:rsidRPr="00DE7A1A">
        <w:rPr>
          <w:rFonts w:ascii="Times New Roman" w:eastAsia="Times New Roman" w:hAnsi="Times New Roman" w:cs="Times New Roman"/>
          <w:kern w:val="0"/>
        </w:rPr>
        <w:t>.</w:t>
      </w:r>
    </w:p>
    <w:p w14:paraId="4441DBC8"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CFI (2022). </w:t>
      </w:r>
      <w:r w:rsidRPr="00DE7A1A">
        <w:rPr>
          <w:rFonts w:ascii="Times New Roman" w:eastAsia="Times New Roman" w:hAnsi="Times New Roman" w:cs="Times New Roman"/>
          <w:i/>
          <w:iCs/>
          <w:kern w:val="0"/>
        </w:rPr>
        <w:t>NPV vs IRR</w:t>
      </w:r>
      <w:r w:rsidRPr="00DE7A1A">
        <w:rPr>
          <w:rFonts w:ascii="Times New Roman" w:eastAsia="Times New Roman" w:hAnsi="Times New Roman" w:cs="Times New Roman"/>
          <w:kern w:val="0"/>
        </w:rPr>
        <w:t xml:space="preserve">. [online] Corporate Finance Institute. Available at: </w:t>
      </w:r>
      <w:hyperlink r:id="rId11" w:history="1">
        <w:r w:rsidRPr="00DE7A1A">
          <w:rPr>
            <w:rFonts w:ascii="Times New Roman" w:eastAsia="Times New Roman" w:hAnsi="Times New Roman" w:cs="Times New Roman"/>
            <w:kern w:val="0"/>
          </w:rPr>
          <w:t>https://corporatefinanceinstitute.com/resources/valuation/npv-vs-irr/</w:t>
        </w:r>
      </w:hyperlink>
      <w:r w:rsidRPr="00DE7A1A">
        <w:rPr>
          <w:rFonts w:ascii="Times New Roman" w:eastAsia="Times New Roman" w:hAnsi="Times New Roman" w:cs="Times New Roman"/>
          <w:kern w:val="0"/>
        </w:rPr>
        <w:t>.</w:t>
      </w:r>
    </w:p>
    <w:p w14:paraId="2D997175"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CFI TEAM (n.d.). </w:t>
      </w:r>
      <w:r w:rsidRPr="00DE7A1A">
        <w:rPr>
          <w:rFonts w:ascii="Times New Roman" w:eastAsia="Times New Roman" w:hAnsi="Times New Roman" w:cs="Times New Roman"/>
          <w:i/>
          <w:iCs/>
          <w:kern w:val="0"/>
        </w:rPr>
        <w:t>Annual Recurring Revenue (ARR)</w:t>
      </w:r>
      <w:r w:rsidRPr="00DE7A1A">
        <w:rPr>
          <w:rFonts w:ascii="Times New Roman" w:eastAsia="Times New Roman" w:hAnsi="Times New Roman" w:cs="Times New Roman"/>
          <w:kern w:val="0"/>
        </w:rPr>
        <w:t xml:space="preserve">. [online] Corporate Finance Institute. Available at: </w:t>
      </w:r>
      <w:hyperlink r:id="rId12" w:history="1">
        <w:r w:rsidRPr="00DE7A1A">
          <w:rPr>
            <w:rFonts w:ascii="Times New Roman" w:eastAsia="Times New Roman" w:hAnsi="Times New Roman" w:cs="Times New Roman"/>
            <w:kern w:val="0"/>
          </w:rPr>
          <w:t>https://corporatefinanceinstitute.com/resources/valuation/annual-recurring-revenue-arr/</w:t>
        </w:r>
      </w:hyperlink>
      <w:r w:rsidRPr="00DE7A1A">
        <w:rPr>
          <w:rFonts w:ascii="Times New Roman" w:eastAsia="Times New Roman" w:hAnsi="Times New Roman" w:cs="Times New Roman"/>
          <w:kern w:val="0"/>
        </w:rPr>
        <w:t>.</w:t>
      </w:r>
    </w:p>
    <w:p w14:paraId="72A25B42"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CFI Team (2022). </w:t>
      </w:r>
      <w:r w:rsidRPr="00DE7A1A">
        <w:rPr>
          <w:rFonts w:ascii="Times New Roman" w:eastAsia="Times New Roman" w:hAnsi="Times New Roman" w:cs="Times New Roman"/>
          <w:i/>
          <w:iCs/>
          <w:kern w:val="0"/>
        </w:rPr>
        <w:t>Days Payable Outstanding</w:t>
      </w:r>
      <w:r w:rsidRPr="00DE7A1A">
        <w:rPr>
          <w:rFonts w:ascii="Times New Roman" w:eastAsia="Times New Roman" w:hAnsi="Times New Roman" w:cs="Times New Roman"/>
          <w:kern w:val="0"/>
        </w:rPr>
        <w:t xml:space="preserve">. [online] Corporate Finance Institute. Available at: </w:t>
      </w:r>
      <w:hyperlink r:id="rId13" w:history="1">
        <w:r w:rsidRPr="00DE7A1A">
          <w:rPr>
            <w:rFonts w:ascii="Times New Roman" w:eastAsia="Times New Roman" w:hAnsi="Times New Roman" w:cs="Times New Roman"/>
            <w:kern w:val="0"/>
          </w:rPr>
          <w:t>https://corporatefinanceinstitute.com/resources/accounting/days-payable-outstanding/</w:t>
        </w:r>
      </w:hyperlink>
      <w:r w:rsidRPr="00DE7A1A">
        <w:rPr>
          <w:rFonts w:ascii="Times New Roman" w:eastAsia="Times New Roman" w:hAnsi="Times New Roman" w:cs="Times New Roman"/>
          <w:kern w:val="0"/>
        </w:rPr>
        <w:t>.</w:t>
      </w:r>
    </w:p>
    <w:p w14:paraId="5993F74C"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Chen, W.-P., Chung, H., Hsu, T.-L. and Wu, S. (2010). External Financing Needs, Corporate Governance, and Firm Value. </w:t>
      </w:r>
      <w:r w:rsidRPr="00DE7A1A">
        <w:rPr>
          <w:rFonts w:ascii="Times New Roman" w:eastAsia="Times New Roman" w:hAnsi="Times New Roman" w:cs="Times New Roman"/>
          <w:i/>
          <w:iCs/>
          <w:kern w:val="0"/>
        </w:rPr>
        <w:t>Corporate Governance: An International Review</w:t>
      </w:r>
      <w:r w:rsidRPr="00DE7A1A">
        <w:rPr>
          <w:rFonts w:ascii="Times New Roman" w:eastAsia="Times New Roman" w:hAnsi="Times New Roman" w:cs="Times New Roman"/>
          <w:kern w:val="0"/>
        </w:rPr>
        <w:t xml:space="preserve">, 18(3), pp.234–249. </w:t>
      </w:r>
      <w:proofErr w:type="spellStart"/>
      <w:r w:rsidRPr="00DE7A1A">
        <w:rPr>
          <w:rFonts w:ascii="Times New Roman" w:eastAsia="Times New Roman" w:hAnsi="Times New Roman" w:cs="Times New Roman"/>
          <w:kern w:val="0"/>
        </w:rPr>
        <w:t>doi:</w:t>
      </w:r>
      <w:hyperlink r:id="rId14" w:history="1">
        <w:r w:rsidRPr="00DE7A1A">
          <w:rPr>
            <w:rFonts w:ascii="Times New Roman" w:eastAsia="Times New Roman" w:hAnsi="Times New Roman" w:cs="Times New Roman"/>
            <w:kern w:val="0"/>
          </w:rPr>
          <w:t>https</w:t>
        </w:r>
        <w:proofErr w:type="spellEnd"/>
        <w:r w:rsidRPr="00DE7A1A">
          <w:rPr>
            <w:rFonts w:ascii="Times New Roman" w:eastAsia="Times New Roman" w:hAnsi="Times New Roman" w:cs="Times New Roman"/>
            <w:kern w:val="0"/>
          </w:rPr>
          <w:t>://doi.org/10.1111/j.1467-8683.2010.00801.x</w:t>
        </w:r>
      </w:hyperlink>
      <w:r w:rsidRPr="00DE7A1A">
        <w:rPr>
          <w:rFonts w:ascii="Times New Roman" w:eastAsia="Times New Roman" w:hAnsi="Times New Roman" w:cs="Times New Roman"/>
          <w:kern w:val="0"/>
        </w:rPr>
        <w:t>.</w:t>
      </w:r>
    </w:p>
    <w:p w14:paraId="1C83166C"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Chopra, S. (2021). </w:t>
      </w:r>
      <w:r w:rsidRPr="00DE7A1A">
        <w:rPr>
          <w:rFonts w:ascii="Times New Roman" w:eastAsia="Times New Roman" w:hAnsi="Times New Roman" w:cs="Times New Roman"/>
          <w:i/>
          <w:iCs/>
          <w:kern w:val="0"/>
        </w:rPr>
        <w:t xml:space="preserve">Supply Chain </w:t>
      </w:r>
      <w:proofErr w:type="gramStart"/>
      <w:r w:rsidRPr="00DE7A1A">
        <w:rPr>
          <w:rFonts w:ascii="Times New Roman" w:eastAsia="Times New Roman" w:hAnsi="Times New Roman" w:cs="Times New Roman"/>
          <w:i/>
          <w:iCs/>
          <w:kern w:val="0"/>
        </w:rPr>
        <w:t>Management :</w:t>
      </w:r>
      <w:proofErr w:type="gramEnd"/>
      <w:r w:rsidRPr="00DE7A1A">
        <w:rPr>
          <w:rFonts w:ascii="Times New Roman" w:eastAsia="Times New Roman" w:hAnsi="Times New Roman" w:cs="Times New Roman"/>
          <w:i/>
          <w:iCs/>
          <w:kern w:val="0"/>
        </w:rPr>
        <w:t xml:space="preserve"> Strategy, Planning and Operation</w:t>
      </w:r>
      <w:r w:rsidRPr="00DE7A1A">
        <w:rPr>
          <w:rFonts w:ascii="Times New Roman" w:eastAsia="Times New Roman" w:hAnsi="Times New Roman" w:cs="Times New Roman"/>
          <w:kern w:val="0"/>
        </w:rPr>
        <w:t>. 7th ed. New York, NY: Pearson Education.</w:t>
      </w:r>
    </w:p>
    <w:p w14:paraId="6BFFF1B7"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proofErr w:type="spellStart"/>
      <w:r w:rsidRPr="00DE7A1A">
        <w:rPr>
          <w:rFonts w:ascii="Times New Roman" w:eastAsia="Times New Roman" w:hAnsi="Times New Roman" w:cs="Times New Roman"/>
          <w:kern w:val="0"/>
        </w:rPr>
        <w:t>Chorafas</w:t>
      </w:r>
      <w:proofErr w:type="spellEnd"/>
      <w:r w:rsidRPr="00DE7A1A">
        <w:rPr>
          <w:rFonts w:ascii="Times New Roman" w:eastAsia="Times New Roman" w:hAnsi="Times New Roman" w:cs="Times New Roman"/>
          <w:kern w:val="0"/>
        </w:rPr>
        <w:t xml:space="preserve">, D.N. (2015). </w:t>
      </w:r>
      <w:r w:rsidRPr="00DE7A1A">
        <w:rPr>
          <w:rFonts w:ascii="Times New Roman" w:eastAsia="Times New Roman" w:hAnsi="Times New Roman" w:cs="Times New Roman"/>
          <w:i/>
          <w:iCs/>
          <w:kern w:val="0"/>
        </w:rPr>
        <w:t xml:space="preserve">Business efficiency and </w:t>
      </w:r>
      <w:proofErr w:type="gramStart"/>
      <w:r w:rsidRPr="00DE7A1A">
        <w:rPr>
          <w:rFonts w:ascii="Times New Roman" w:eastAsia="Times New Roman" w:hAnsi="Times New Roman" w:cs="Times New Roman"/>
          <w:i/>
          <w:iCs/>
          <w:kern w:val="0"/>
        </w:rPr>
        <w:t>ethics :</w:t>
      </w:r>
      <w:proofErr w:type="gramEnd"/>
      <w:r w:rsidRPr="00DE7A1A">
        <w:rPr>
          <w:rFonts w:ascii="Times New Roman" w:eastAsia="Times New Roman" w:hAnsi="Times New Roman" w:cs="Times New Roman"/>
          <w:i/>
          <w:iCs/>
          <w:kern w:val="0"/>
        </w:rPr>
        <w:t xml:space="preserve"> values and strategic decision-making</w:t>
      </w:r>
      <w:r w:rsidRPr="00DE7A1A">
        <w:rPr>
          <w:rFonts w:ascii="Times New Roman" w:eastAsia="Times New Roman" w:hAnsi="Times New Roman" w:cs="Times New Roman"/>
          <w:kern w:val="0"/>
        </w:rPr>
        <w:t>. New York, Ny: Palgrave Macmillan.</w:t>
      </w:r>
    </w:p>
    <w:p w14:paraId="54E8FA6E"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Clayman, M.R., Fridson, M.S. and Troughton, G.H. (2012). </w:t>
      </w:r>
      <w:r w:rsidRPr="00DE7A1A">
        <w:rPr>
          <w:rFonts w:ascii="Times New Roman" w:eastAsia="Times New Roman" w:hAnsi="Times New Roman" w:cs="Times New Roman"/>
          <w:i/>
          <w:iCs/>
          <w:kern w:val="0"/>
        </w:rPr>
        <w:t>Corporate Finance</w:t>
      </w:r>
      <w:r w:rsidRPr="00DE7A1A">
        <w:rPr>
          <w:rFonts w:ascii="Times New Roman" w:eastAsia="Times New Roman" w:hAnsi="Times New Roman" w:cs="Times New Roman"/>
          <w:kern w:val="0"/>
        </w:rPr>
        <w:t>. John Wiley &amp; Sons.</w:t>
      </w:r>
    </w:p>
    <w:p w14:paraId="08DC3F08"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Connolly, M.B. (2007). </w:t>
      </w:r>
      <w:r w:rsidRPr="00DE7A1A">
        <w:rPr>
          <w:rFonts w:ascii="Times New Roman" w:eastAsia="Times New Roman" w:hAnsi="Times New Roman" w:cs="Times New Roman"/>
          <w:i/>
          <w:iCs/>
          <w:kern w:val="0"/>
        </w:rPr>
        <w:t>International business finance</w:t>
      </w:r>
      <w:r w:rsidRPr="00DE7A1A">
        <w:rPr>
          <w:rFonts w:ascii="Times New Roman" w:eastAsia="Times New Roman" w:hAnsi="Times New Roman" w:cs="Times New Roman"/>
          <w:kern w:val="0"/>
        </w:rPr>
        <w:t xml:space="preserve">. New </w:t>
      </w:r>
      <w:proofErr w:type="gramStart"/>
      <w:r w:rsidRPr="00DE7A1A">
        <w:rPr>
          <w:rFonts w:ascii="Times New Roman" w:eastAsia="Times New Roman" w:hAnsi="Times New Roman" w:cs="Times New Roman"/>
          <w:kern w:val="0"/>
        </w:rPr>
        <w:t>York ;</w:t>
      </w:r>
      <w:proofErr w:type="gramEnd"/>
      <w:r w:rsidRPr="00DE7A1A">
        <w:rPr>
          <w:rFonts w:ascii="Times New Roman" w:eastAsia="Times New Roman" w:hAnsi="Times New Roman" w:cs="Times New Roman"/>
          <w:kern w:val="0"/>
        </w:rPr>
        <w:t xml:space="preserve"> London: Routledge.</w:t>
      </w:r>
    </w:p>
    <w:p w14:paraId="046ACD0F"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de Jongh, M. (2011). Shareholders’ Duties to the Company and Fellow Shareholders. </w:t>
      </w:r>
      <w:r w:rsidRPr="00DE7A1A">
        <w:rPr>
          <w:rFonts w:ascii="Times New Roman" w:eastAsia="Times New Roman" w:hAnsi="Times New Roman" w:cs="Times New Roman"/>
          <w:i/>
          <w:iCs/>
          <w:kern w:val="0"/>
        </w:rPr>
        <w:t>SSRN Electronic Journal</w:t>
      </w:r>
      <w:r w:rsidRPr="00DE7A1A">
        <w:rPr>
          <w:rFonts w:ascii="Times New Roman" w:eastAsia="Times New Roman" w:hAnsi="Times New Roman" w:cs="Times New Roman"/>
          <w:kern w:val="0"/>
        </w:rPr>
        <w:t>.</w:t>
      </w:r>
    </w:p>
    <w:p w14:paraId="10495FF1"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lastRenderedPageBreak/>
        <w:t xml:space="preserve">Elliott, B. and Elliott, J. (2017). </w:t>
      </w:r>
      <w:r w:rsidRPr="00DE7A1A">
        <w:rPr>
          <w:rFonts w:ascii="Times New Roman" w:eastAsia="Times New Roman" w:hAnsi="Times New Roman" w:cs="Times New Roman"/>
          <w:i/>
          <w:iCs/>
          <w:kern w:val="0"/>
        </w:rPr>
        <w:t xml:space="preserve">Financial Accounting </w:t>
      </w:r>
      <w:proofErr w:type="gramStart"/>
      <w:r w:rsidRPr="00DE7A1A">
        <w:rPr>
          <w:rFonts w:ascii="Times New Roman" w:eastAsia="Times New Roman" w:hAnsi="Times New Roman" w:cs="Times New Roman"/>
          <w:i/>
          <w:iCs/>
          <w:kern w:val="0"/>
        </w:rPr>
        <w:t>And</w:t>
      </w:r>
      <w:proofErr w:type="gramEnd"/>
      <w:r w:rsidRPr="00DE7A1A">
        <w:rPr>
          <w:rFonts w:ascii="Times New Roman" w:eastAsia="Times New Roman" w:hAnsi="Times New Roman" w:cs="Times New Roman"/>
          <w:i/>
          <w:iCs/>
          <w:kern w:val="0"/>
        </w:rPr>
        <w:t xml:space="preserve"> Reporting.</w:t>
      </w:r>
      <w:r w:rsidRPr="00DE7A1A">
        <w:rPr>
          <w:rFonts w:ascii="Times New Roman" w:eastAsia="Times New Roman" w:hAnsi="Times New Roman" w:cs="Times New Roman"/>
          <w:kern w:val="0"/>
        </w:rPr>
        <w:t xml:space="preserve"> 18th ed. Pearson.</w:t>
      </w:r>
    </w:p>
    <w:p w14:paraId="69F24976"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Fernando, J. (2025). </w:t>
      </w:r>
      <w:r w:rsidRPr="00DE7A1A">
        <w:rPr>
          <w:rFonts w:ascii="Times New Roman" w:eastAsia="Times New Roman" w:hAnsi="Times New Roman" w:cs="Times New Roman"/>
          <w:i/>
          <w:iCs/>
          <w:kern w:val="0"/>
        </w:rPr>
        <w:t>Return on Equity (ROE) Calculation and What It Means</w:t>
      </w:r>
      <w:r w:rsidRPr="00DE7A1A">
        <w:rPr>
          <w:rFonts w:ascii="Times New Roman" w:eastAsia="Times New Roman" w:hAnsi="Times New Roman" w:cs="Times New Roman"/>
          <w:kern w:val="0"/>
        </w:rPr>
        <w:t xml:space="preserve">. [online] Investopedia. Available at: </w:t>
      </w:r>
      <w:hyperlink r:id="rId15" w:history="1">
        <w:r w:rsidRPr="00DE7A1A">
          <w:rPr>
            <w:rFonts w:ascii="Times New Roman" w:eastAsia="Times New Roman" w:hAnsi="Times New Roman" w:cs="Times New Roman"/>
            <w:kern w:val="0"/>
          </w:rPr>
          <w:t>https://www.investopedia.com/terms/r/returnonequity.asp</w:t>
        </w:r>
      </w:hyperlink>
      <w:r w:rsidRPr="00DE7A1A">
        <w:rPr>
          <w:rFonts w:ascii="Times New Roman" w:eastAsia="Times New Roman" w:hAnsi="Times New Roman" w:cs="Times New Roman"/>
          <w:kern w:val="0"/>
        </w:rPr>
        <w:t>.</w:t>
      </w:r>
    </w:p>
    <w:p w14:paraId="0EF91474"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Flynn, B.B. (2021). On Theory in Supply Chain Uncertainty and its Implications for Supply Chain Integration. </w:t>
      </w:r>
      <w:r w:rsidRPr="00DE7A1A">
        <w:rPr>
          <w:rFonts w:ascii="Times New Roman" w:eastAsia="Times New Roman" w:hAnsi="Times New Roman" w:cs="Times New Roman"/>
          <w:i/>
          <w:iCs/>
          <w:kern w:val="0"/>
        </w:rPr>
        <w:t>Journal of Supply Chain Management</w:t>
      </w:r>
      <w:r w:rsidRPr="00DE7A1A">
        <w:rPr>
          <w:rFonts w:ascii="Times New Roman" w:eastAsia="Times New Roman" w:hAnsi="Times New Roman" w:cs="Times New Roman"/>
          <w:kern w:val="0"/>
        </w:rPr>
        <w:t>, 52(3), pp.3–27.</w:t>
      </w:r>
    </w:p>
    <w:p w14:paraId="04925ECA"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Geoff Relph (2015). </w:t>
      </w:r>
      <w:r w:rsidRPr="00DE7A1A">
        <w:rPr>
          <w:rFonts w:ascii="Times New Roman" w:eastAsia="Times New Roman" w:hAnsi="Times New Roman" w:cs="Times New Roman"/>
          <w:i/>
          <w:iCs/>
          <w:kern w:val="0"/>
        </w:rPr>
        <w:t xml:space="preserve">Inventory </w:t>
      </w:r>
      <w:proofErr w:type="gramStart"/>
      <w:r w:rsidRPr="00DE7A1A">
        <w:rPr>
          <w:rFonts w:ascii="Times New Roman" w:eastAsia="Times New Roman" w:hAnsi="Times New Roman" w:cs="Times New Roman"/>
          <w:i/>
          <w:iCs/>
          <w:kern w:val="0"/>
        </w:rPr>
        <w:t>management :</w:t>
      </w:r>
      <w:proofErr w:type="gramEnd"/>
      <w:r w:rsidRPr="00DE7A1A">
        <w:rPr>
          <w:rFonts w:ascii="Times New Roman" w:eastAsia="Times New Roman" w:hAnsi="Times New Roman" w:cs="Times New Roman"/>
          <w:i/>
          <w:iCs/>
          <w:kern w:val="0"/>
        </w:rPr>
        <w:t xml:space="preserve"> advanced methods for managing inventory within business systems.</w:t>
      </w:r>
      <w:r w:rsidRPr="00DE7A1A">
        <w:rPr>
          <w:rFonts w:ascii="Times New Roman" w:eastAsia="Times New Roman" w:hAnsi="Times New Roman" w:cs="Times New Roman"/>
          <w:kern w:val="0"/>
        </w:rPr>
        <w:t xml:space="preserve"> Kogan Page Stylus.</w:t>
      </w:r>
    </w:p>
    <w:p w14:paraId="7E4B2B25"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Georg </w:t>
      </w:r>
      <w:proofErr w:type="spellStart"/>
      <w:r w:rsidRPr="00DE7A1A">
        <w:rPr>
          <w:rFonts w:ascii="Times New Roman" w:eastAsia="Times New Roman" w:hAnsi="Times New Roman" w:cs="Times New Roman"/>
          <w:kern w:val="0"/>
        </w:rPr>
        <w:t>Müller-Fürstenberger</w:t>
      </w:r>
      <w:proofErr w:type="spellEnd"/>
      <w:r w:rsidRPr="00DE7A1A">
        <w:rPr>
          <w:rFonts w:ascii="Times New Roman" w:eastAsia="Times New Roman" w:hAnsi="Times New Roman" w:cs="Times New Roman"/>
          <w:kern w:val="0"/>
        </w:rPr>
        <w:t xml:space="preserve"> (2017). </w:t>
      </w:r>
      <w:r w:rsidRPr="00DE7A1A">
        <w:rPr>
          <w:rFonts w:ascii="Times New Roman" w:eastAsia="Times New Roman" w:hAnsi="Times New Roman" w:cs="Times New Roman"/>
          <w:i/>
          <w:iCs/>
          <w:kern w:val="0"/>
        </w:rPr>
        <w:t xml:space="preserve">The payback period </w:t>
      </w:r>
      <w:proofErr w:type="gramStart"/>
      <w:r w:rsidRPr="00DE7A1A">
        <w:rPr>
          <w:rFonts w:ascii="Times New Roman" w:eastAsia="Times New Roman" w:hAnsi="Times New Roman" w:cs="Times New Roman"/>
          <w:i/>
          <w:iCs/>
          <w:kern w:val="0"/>
        </w:rPr>
        <w:t>rule :</w:t>
      </w:r>
      <w:proofErr w:type="gramEnd"/>
      <w:r w:rsidRPr="00DE7A1A">
        <w:rPr>
          <w:rFonts w:ascii="Times New Roman" w:eastAsia="Times New Roman" w:hAnsi="Times New Roman" w:cs="Times New Roman"/>
          <w:i/>
          <w:iCs/>
          <w:kern w:val="0"/>
        </w:rPr>
        <w:t xml:space="preserve"> its impact on innovation and economic growth</w:t>
      </w:r>
      <w:r w:rsidRPr="00DE7A1A">
        <w:rPr>
          <w:rFonts w:ascii="Times New Roman" w:eastAsia="Times New Roman" w:hAnsi="Times New Roman" w:cs="Times New Roman"/>
          <w:kern w:val="0"/>
        </w:rPr>
        <w:t xml:space="preserve">. Bern: </w:t>
      </w:r>
      <w:proofErr w:type="spellStart"/>
      <w:r w:rsidRPr="00DE7A1A">
        <w:rPr>
          <w:rFonts w:ascii="Times New Roman" w:eastAsia="Times New Roman" w:hAnsi="Times New Roman" w:cs="Times New Roman"/>
          <w:kern w:val="0"/>
        </w:rPr>
        <w:t>Universität</w:t>
      </w:r>
      <w:proofErr w:type="spellEnd"/>
      <w:r w:rsidRPr="00DE7A1A">
        <w:rPr>
          <w:rFonts w:ascii="Times New Roman" w:eastAsia="Times New Roman" w:hAnsi="Times New Roman" w:cs="Times New Roman"/>
          <w:kern w:val="0"/>
        </w:rPr>
        <w:t xml:space="preserve"> Bern </w:t>
      </w:r>
      <w:proofErr w:type="spellStart"/>
      <w:r w:rsidRPr="00DE7A1A">
        <w:rPr>
          <w:rFonts w:ascii="Times New Roman" w:eastAsia="Times New Roman" w:hAnsi="Times New Roman" w:cs="Times New Roman"/>
          <w:kern w:val="0"/>
        </w:rPr>
        <w:t>Abteilung</w:t>
      </w:r>
      <w:proofErr w:type="spellEnd"/>
      <w:r w:rsidRPr="00DE7A1A">
        <w:rPr>
          <w:rFonts w:ascii="Times New Roman" w:eastAsia="Times New Roman" w:hAnsi="Times New Roman" w:cs="Times New Roman"/>
          <w:kern w:val="0"/>
        </w:rPr>
        <w:t xml:space="preserve"> </w:t>
      </w:r>
      <w:proofErr w:type="spellStart"/>
      <w:r w:rsidRPr="00DE7A1A">
        <w:rPr>
          <w:rFonts w:ascii="Times New Roman" w:eastAsia="Times New Roman" w:hAnsi="Times New Roman" w:cs="Times New Roman"/>
          <w:kern w:val="0"/>
        </w:rPr>
        <w:t>Für</w:t>
      </w:r>
      <w:proofErr w:type="spellEnd"/>
      <w:r w:rsidRPr="00DE7A1A">
        <w:rPr>
          <w:rFonts w:ascii="Times New Roman" w:eastAsia="Times New Roman" w:hAnsi="Times New Roman" w:cs="Times New Roman"/>
          <w:kern w:val="0"/>
        </w:rPr>
        <w:t xml:space="preserve"> </w:t>
      </w:r>
      <w:proofErr w:type="spellStart"/>
      <w:r w:rsidRPr="00DE7A1A">
        <w:rPr>
          <w:rFonts w:ascii="Times New Roman" w:eastAsia="Times New Roman" w:hAnsi="Times New Roman" w:cs="Times New Roman"/>
          <w:kern w:val="0"/>
        </w:rPr>
        <w:t>Angewandte</w:t>
      </w:r>
      <w:proofErr w:type="spellEnd"/>
      <w:r w:rsidRPr="00DE7A1A">
        <w:rPr>
          <w:rFonts w:ascii="Times New Roman" w:eastAsia="Times New Roman" w:hAnsi="Times New Roman" w:cs="Times New Roman"/>
          <w:kern w:val="0"/>
        </w:rPr>
        <w:t xml:space="preserve"> </w:t>
      </w:r>
      <w:proofErr w:type="spellStart"/>
      <w:r w:rsidRPr="00DE7A1A">
        <w:rPr>
          <w:rFonts w:ascii="Times New Roman" w:eastAsia="Times New Roman" w:hAnsi="Times New Roman" w:cs="Times New Roman"/>
          <w:kern w:val="0"/>
        </w:rPr>
        <w:t>Mikroökonomie</w:t>
      </w:r>
      <w:proofErr w:type="spellEnd"/>
      <w:r w:rsidRPr="00DE7A1A">
        <w:rPr>
          <w:rFonts w:ascii="Times New Roman" w:eastAsia="Times New Roman" w:hAnsi="Times New Roman" w:cs="Times New Roman"/>
          <w:kern w:val="0"/>
        </w:rPr>
        <w:t>.</w:t>
      </w:r>
    </w:p>
    <w:p w14:paraId="24C31A63"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proofErr w:type="spellStart"/>
      <w:r w:rsidRPr="00DE7A1A">
        <w:rPr>
          <w:rFonts w:ascii="Times New Roman" w:eastAsia="Times New Roman" w:hAnsi="Times New Roman" w:cs="Times New Roman"/>
          <w:kern w:val="0"/>
        </w:rPr>
        <w:t>Gianfrate</w:t>
      </w:r>
      <w:proofErr w:type="spellEnd"/>
      <w:r w:rsidRPr="00DE7A1A">
        <w:rPr>
          <w:rFonts w:ascii="Times New Roman" w:eastAsia="Times New Roman" w:hAnsi="Times New Roman" w:cs="Times New Roman"/>
          <w:kern w:val="0"/>
        </w:rPr>
        <w:t xml:space="preserve">, G. and Loewenthal, S. (2015). Private Equity throughout the Financial Crisis. </w:t>
      </w:r>
      <w:r w:rsidRPr="00DE7A1A">
        <w:rPr>
          <w:rFonts w:ascii="Times New Roman" w:eastAsia="Times New Roman" w:hAnsi="Times New Roman" w:cs="Times New Roman"/>
          <w:i/>
          <w:iCs/>
          <w:kern w:val="0"/>
        </w:rPr>
        <w:t>The Journal of Private Equity</w:t>
      </w:r>
      <w:r w:rsidRPr="00DE7A1A">
        <w:rPr>
          <w:rFonts w:ascii="Times New Roman" w:eastAsia="Times New Roman" w:hAnsi="Times New Roman" w:cs="Times New Roman"/>
          <w:kern w:val="0"/>
        </w:rPr>
        <w:t>.</w:t>
      </w:r>
    </w:p>
    <w:p w14:paraId="6BD809D3"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Gligor, D.M. (2020). The Role of Supply Chain Agility in Achieving Supply Chain Fit. </w:t>
      </w:r>
      <w:r w:rsidRPr="00DE7A1A">
        <w:rPr>
          <w:rFonts w:ascii="Times New Roman" w:eastAsia="Times New Roman" w:hAnsi="Times New Roman" w:cs="Times New Roman"/>
          <w:i/>
          <w:iCs/>
          <w:kern w:val="0"/>
        </w:rPr>
        <w:t>Decision Sciences</w:t>
      </w:r>
      <w:r w:rsidRPr="00DE7A1A">
        <w:rPr>
          <w:rFonts w:ascii="Times New Roman" w:eastAsia="Times New Roman" w:hAnsi="Times New Roman" w:cs="Times New Roman"/>
          <w:kern w:val="0"/>
        </w:rPr>
        <w:t>, 47(3), pp.524–553.</w:t>
      </w:r>
    </w:p>
    <w:p w14:paraId="59FDD6E4"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Gordon, L.A. (2020). Accounting Rate of Return vs. Economic Rate of Return. </w:t>
      </w:r>
      <w:r w:rsidRPr="00DE7A1A">
        <w:rPr>
          <w:rFonts w:ascii="Times New Roman" w:eastAsia="Times New Roman" w:hAnsi="Times New Roman" w:cs="Times New Roman"/>
          <w:i/>
          <w:iCs/>
          <w:kern w:val="0"/>
        </w:rPr>
        <w:t>Journal of Business Finance &amp; Accounting</w:t>
      </w:r>
      <w:r w:rsidRPr="00DE7A1A">
        <w:rPr>
          <w:rFonts w:ascii="Times New Roman" w:eastAsia="Times New Roman" w:hAnsi="Times New Roman" w:cs="Times New Roman"/>
          <w:kern w:val="0"/>
        </w:rPr>
        <w:t>, 1(3), pp.343–356.</w:t>
      </w:r>
    </w:p>
    <w:p w14:paraId="7A29D0C0"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H. Kent Baker and Ricciardi, V. (2014). </w:t>
      </w:r>
      <w:r w:rsidRPr="00DE7A1A">
        <w:rPr>
          <w:rFonts w:ascii="Times New Roman" w:eastAsia="Times New Roman" w:hAnsi="Times New Roman" w:cs="Times New Roman"/>
          <w:i/>
          <w:iCs/>
          <w:kern w:val="0"/>
        </w:rPr>
        <w:t>Investor Behavior</w:t>
      </w:r>
      <w:r w:rsidRPr="00DE7A1A">
        <w:rPr>
          <w:rFonts w:ascii="Times New Roman" w:eastAsia="Times New Roman" w:hAnsi="Times New Roman" w:cs="Times New Roman"/>
          <w:kern w:val="0"/>
        </w:rPr>
        <w:t>. John Wiley &amp; Sons.</w:t>
      </w:r>
    </w:p>
    <w:p w14:paraId="313A537B"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Hartley, C., Firer, C. and Ford, J.C. (2006). </w:t>
      </w:r>
      <w:r w:rsidRPr="00DE7A1A">
        <w:rPr>
          <w:rFonts w:ascii="Times New Roman" w:eastAsia="Times New Roman" w:hAnsi="Times New Roman" w:cs="Times New Roman"/>
          <w:i/>
          <w:iCs/>
          <w:kern w:val="0"/>
        </w:rPr>
        <w:t xml:space="preserve">Business accounting and finance for </w:t>
      </w:r>
      <w:proofErr w:type="gramStart"/>
      <w:r w:rsidRPr="00DE7A1A">
        <w:rPr>
          <w:rFonts w:ascii="Times New Roman" w:eastAsia="Times New Roman" w:hAnsi="Times New Roman" w:cs="Times New Roman"/>
          <w:i/>
          <w:iCs/>
          <w:kern w:val="0"/>
        </w:rPr>
        <w:t>managers :</w:t>
      </w:r>
      <w:proofErr w:type="gramEnd"/>
      <w:r w:rsidRPr="00DE7A1A">
        <w:rPr>
          <w:rFonts w:ascii="Times New Roman" w:eastAsia="Times New Roman" w:hAnsi="Times New Roman" w:cs="Times New Roman"/>
          <w:i/>
          <w:iCs/>
          <w:kern w:val="0"/>
        </w:rPr>
        <w:t xml:space="preserve"> an introduction</w:t>
      </w:r>
      <w:r w:rsidRPr="00DE7A1A">
        <w:rPr>
          <w:rFonts w:ascii="Times New Roman" w:eastAsia="Times New Roman" w:hAnsi="Times New Roman" w:cs="Times New Roman"/>
          <w:kern w:val="0"/>
        </w:rPr>
        <w:t>. Johannesburg: Witwatersrand University Press.</w:t>
      </w:r>
    </w:p>
    <w:p w14:paraId="25A167BB"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Hayes, A. (2025). </w:t>
      </w:r>
      <w:r w:rsidRPr="00DE7A1A">
        <w:rPr>
          <w:rFonts w:ascii="Times New Roman" w:eastAsia="Times New Roman" w:hAnsi="Times New Roman" w:cs="Times New Roman"/>
          <w:i/>
          <w:iCs/>
          <w:kern w:val="0"/>
        </w:rPr>
        <w:t>Operating Margin: What It Is and the Formula for Calculating It, With Examples</w:t>
      </w:r>
      <w:r w:rsidRPr="00DE7A1A">
        <w:rPr>
          <w:rFonts w:ascii="Times New Roman" w:eastAsia="Times New Roman" w:hAnsi="Times New Roman" w:cs="Times New Roman"/>
          <w:kern w:val="0"/>
        </w:rPr>
        <w:t xml:space="preserve">. [online] Investopedia. Available at: </w:t>
      </w:r>
      <w:hyperlink r:id="rId16" w:history="1">
        <w:r w:rsidRPr="00DE7A1A">
          <w:rPr>
            <w:rFonts w:ascii="Times New Roman" w:eastAsia="Times New Roman" w:hAnsi="Times New Roman" w:cs="Times New Roman"/>
            <w:kern w:val="0"/>
          </w:rPr>
          <w:t>https://www.investopedia.com/terms/o/operatingmargin.asp</w:t>
        </w:r>
      </w:hyperlink>
      <w:r w:rsidRPr="00DE7A1A">
        <w:rPr>
          <w:rFonts w:ascii="Times New Roman" w:eastAsia="Times New Roman" w:hAnsi="Times New Roman" w:cs="Times New Roman"/>
          <w:kern w:val="0"/>
        </w:rPr>
        <w:t>.</w:t>
      </w:r>
    </w:p>
    <w:p w14:paraId="3C1546CD"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Hennie Van </w:t>
      </w:r>
      <w:proofErr w:type="spellStart"/>
      <w:r w:rsidRPr="00DE7A1A">
        <w:rPr>
          <w:rFonts w:ascii="Times New Roman" w:eastAsia="Times New Roman" w:hAnsi="Times New Roman" w:cs="Times New Roman"/>
          <w:kern w:val="0"/>
        </w:rPr>
        <w:t>Greuning</w:t>
      </w:r>
      <w:proofErr w:type="spellEnd"/>
      <w:r w:rsidRPr="00DE7A1A">
        <w:rPr>
          <w:rFonts w:ascii="Times New Roman" w:eastAsia="Times New Roman" w:hAnsi="Times New Roman" w:cs="Times New Roman"/>
          <w:kern w:val="0"/>
        </w:rPr>
        <w:t xml:space="preserve"> (2006). </w:t>
      </w:r>
      <w:r w:rsidRPr="00DE7A1A">
        <w:rPr>
          <w:rFonts w:ascii="Times New Roman" w:eastAsia="Times New Roman" w:hAnsi="Times New Roman" w:cs="Times New Roman"/>
          <w:i/>
          <w:iCs/>
          <w:kern w:val="0"/>
        </w:rPr>
        <w:t>International Financial Reporting Standards (Fourth Edition) A Practical Guide</w:t>
      </w:r>
      <w:r w:rsidRPr="00DE7A1A">
        <w:rPr>
          <w:rFonts w:ascii="Times New Roman" w:eastAsia="Times New Roman" w:hAnsi="Times New Roman" w:cs="Times New Roman"/>
          <w:kern w:val="0"/>
        </w:rPr>
        <w:t>. Washington, D.C.: The World Bank.</w:t>
      </w:r>
    </w:p>
    <w:p w14:paraId="174A0675"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proofErr w:type="spellStart"/>
      <w:r w:rsidRPr="00DE7A1A">
        <w:rPr>
          <w:rFonts w:ascii="Times New Roman" w:eastAsia="Times New Roman" w:hAnsi="Times New Roman" w:cs="Times New Roman"/>
          <w:kern w:val="0"/>
        </w:rPr>
        <w:t>Imarticus</w:t>
      </w:r>
      <w:proofErr w:type="spellEnd"/>
      <w:r w:rsidRPr="00DE7A1A">
        <w:rPr>
          <w:rFonts w:ascii="Times New Roman" w:eastAsia="Times New Roman" w:hAnsi="Times New Roman" w:cs="Times New Roman"/>
          <w:kern w:val="0"/>
        </w:rPr>
        <w:t xml:space="preserve"> (2024). </w:t>
      </w:r>
      <w:r w:rsidRPr="00DE7A1A">
        <w:rPr>
          <w:rFonts w:ascii="Times New Roman" w:eastAsia="Times New Roman" w:hAnsi="Times New Roman" w:cs="Times New Roman"/>
          <w:i/>
          <w:iCs/>
          <w:kern w:val="0"/>
        </w:rPr>
        <w:t xml:space="preserve">Discounting vs. Non-Discounting Methods: Which is Better for Capital </w:t>
      </w:r>
      <w:r w:rsidRPr="00DE7A1A">
        <w:rPr>
          <w:rFonts w:ascii="Times New Roman" w:eastAsia="Times New Roman" w:hAnsi="Times New Roman" w:cs="Times New Roman"/>
          <w:i/>
          <w:iCs/>
          <w:kern w:val="0"/>
        </w:rPr>
        <w:lastRenderedPageBreak/>
        <w:t>Budgeting?</w:t>
      </w:r>
      <w:r w:rsidRPr="00DE7A1A">
        <w:rPr>
          <w:rFonts w:ascii="Times New Roman" w:eastAsia="Times New Roman" w:hAnsi="Times New Roman" w:cs="Times New Roman"/>
          <w:kern w:val="0"/>
        </w:rPr>
        <w:t xml:space="preserve"> [online] Finance, Tech &amp; Analytics Career Resources | </w:t>
      </w:r>
      <w:proofErr w:type="spellStart"/>
      <w:r w:rsidRPr="00DE7A1A">
        <w:rPr>
          <w:rFonts w:ascii="Times New Roman" w:eastAsia="Times New Roman" w:hAnsi="Times New Roman" w:cs="Times New Roman"/>
          <w:kern w:val="0"/>
        </w:rPr>
        <w:t>Imarticus</w:t>
      </w:r>
      <w:proofErr w:type="spellEnd"/>
      <w:r w:rsidRPr="00DE7A1A">
        <w:rPr>
          <w:rFonts w:ascii="Times New Roman" w:eastAsia="Times New Roman" w:hAnsi="Times New Roman" w:cs="Times New Roman"/>
          <w:kern w:val="0"/>
        </w:rPr>
        <w:t xml:space="preserve"> Blog. Available at: </w:t>
      </w:r>
      <w:hyperlink r:id="rId17" w:history="1">
        <w:r w:rsidRPr="00DE7A1A">
          <w:rPr>
            <w:rFonts w:ascii="Times New Roman" w:eastAsia="Times New Roman" w:hAnsi="Times New Roman" w:cs="Times New Roman"/>
            <w:kern w:val="0"/>
          </w:rPr>
          <w:t>https://imarticus.org/blog/capital-budgeting-methods/</w:t>
        </w:r>
      </w:hyperlink>
      <w:r w:rsidRPr="00DE7A1A">
        <w:rPr>
          <w:rFonts w:ascii="Times New Roman" w:eastAsia="Times New Roman" w:hAnsi="Times New Roman" w:cs="Times New Roman"/>
          <w:kern w:val="0"/>
        </w:rPr>
        <w:t>.</w:t>
      </w:r>
    </w:p>
    <w:p w14:paraId="0DE68422"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Johannesson, J. (2021). Business growth in a tough economy. </w:t>
      </w:r>
      <w:r w:rsidRPr="00DE7A1A">
        <w:rPr>
          <w:rFonts w:ascii="Times New Roman" w:eastAsia="Times New Roman" w:hAnsi="Times New Roman" w:cs="Times New Roman"/>
          <w:i/>
          <w:iCs/>
          <w:kern w:val="0"/>
        </w:rPr>
        <w:t>International Journal of Business Competition and Growth</w:t>
      </w:r>
      <w:r w:rsidRPr="00DE7A1A">
        <w:rPr>
          <w:rFonts w:ascii="Times New Roman" w:eastAsia="Times New Roman" w:hAnsi="Times New Roman" w:cs="Times New Roman"/>
          <w:kern w:val="0"/>
        </w:rPr>
        <w:t>, 1(3), p.231.</w:t>
      </w:r>
    </w:p>
    <w:p w14:paraId="5F67C6B8"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Jones, M. (2014). </w:t>
      </w:r>
      <w:r w:rsidRPr="00DE7A1A">
        <w:rPr>
          <w:rFonts w:ascii="Times New Roman" w:eastAsia="Times New Roman" w:hAnsi="Times New Roman" w:cs="Times New Roman"/>
          <w:i/>
          <w:iCs/>
          <w:kern w:val="0"/>
        </w:rPr>
        <w:t>Accounting and finance</w:t>
      </w:r>
      <w:r w:rsidRPr="00DE7A1A">
        <w:rPr>
          <w:rFonts w:ascii="Times New Roman" w:eastAsia="Times New Roman" w:hAnsi="Times New Roman" w:cs="Times New Roman"/>
          <w:kern w:val="0"/>
        </w:rPr>
        <w:t>. Chichester, West Sussex: John Wiley &amp; Sons.</w:t>
      </w:r>
    </w:p>
    <w:p w14:paraId="2B3F6DCB"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Kagan, J. (2025). </w:t>
      </w:r>
      <w:r w:rsidRPr="00DE7A1A">
        <w:rPr>
          <w:rFonts w:ascii="Times New Roman" w:eastAsia="Times New Roman" w:hAnsi="Times New Roman" w:cs="Times New Roman"/>
          <w:i/>
          <w:iCs/>
          <w:kern w:val="0"/>
        </w:rPr>
        <w:t>Payback period: Definition, formula, and calculation</w:t>
      </w:r>
      <w:r w:rsidRPr="00DE7A1A">
        <w:rPr>
          <w:rFonts w:ascii="Times New Roman" w:eastAsia="Times New Roman" w:hAnsi="Times New Roman" w:cs="Times New Roman"/>
          <w:kern w:val="0"/>
        </w:rPr>
        <w:t xml:space="preserve">. [online] Investopedia. Available at: </w:t>
      </w:r>
      <w:hyperlink r:id="rId18" w:history="1">
        <w:r w:rsidRPr="00DE7A1A">
          <w:rPr>
            <w:rFonts w:ascii="Times New Roman" w:eastAsia="Times New Roman" w:hAnsi="Times New Roman" w:cs="Times New Roman"/>
            <w:kern w:val="0"/>
          </w:rPr>
          <w:t>https://www.investopedia.com/terms/p/paybackperiod.asp</w:t>
        </w:r>
      </w:hyperlink>
      <w:r w:rsidRPr="00DE7A1A">
        <w:rPr>
          <w:rFonts w:ascii="Times New Roman" w:eastAsia="Times New Roman" w:hAnsi="Times New Roman" w:cs="Times New Roman"/>
          <w:kern w:val="0"/>
        </w:rPr>
        <w:t>.</w:t>
      </w:r>
    </w:p>
    <w:p w14:paraId="3B63BC45"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Kenton, W. (2024). </w:t>
      </w:r>
      <w:r w:rsidRPr="00DE7A1A">
        <w:rPr>
          <w:rFonts w:ascii="Times New Roman" w:eastAsia="Times New Roman" w:hAnsi="Times New Roman" w:cs="Times New Roman"/>
          <w:i/>
          <w:iCs/>
          <w:kern w:val="0"/>
        </w:rPr>
        <w:t>How the Gearing Ratio Works</w:t>
      </w:r>
      <w:r w:rsidRPr="00DE7A1A">
        <w:rPr>
          <w:rFonts w:ascii="Times New Roman" w:eastAsia="Times New Roman" w:hAnsi="Times New Roman" w:cs="Times New Roman"/>
          <w:kern w:val="0"/>
        </w:rPr>
        <w:t xml:space="preserve">. [online] Investopedia. Available at: </w:t>
      </w:r>
      <w:hyperlink r:id="rId19" w:history="1">
        <w:r w:rsidRPr="00DE7A1A">
          <w:rPr>
            <w:rFonts w:ascii="Times New Roman" w:eastAsia="Times New Roman" w:hAnsi="Times New Roman" w:cs="Times New Roman"/>
            <w:kern w:val="0"/>
          </w:rPr>
          <w:t>https://www.investopedia.com/terms/g/gearingratio.asp</w:t>
        </w:r>
      </w:hyperlink>
      <w:r w:rsidRPr="00DE7A1A">
        <w:rPr>
          <w:rFonts w:ascii="Times New Roman" w:eastAsia="Times New Roman" w:hAnsi="Times New Roman" w:cs="Times New Roman"/>
          <w:kern w:val="0"/>
        </w:rPr>
        <w:t>.</w:t>
      </w:r>
    </w:p>
    <w:p w14:paraId="7C3A6D64"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Kersten, R., Harms, J., </w:t>
      </w:r>
      <w:proofErr w:type="spellStart"/>
      <w:r w:rsidRPr="00DE7A1A">
        <w:rPr>
          <w:rFonts w:ascii="Times New Roman" w:eastAsia="Times New Roman" w:hAnsi="Times New Roman" w:cs="Times New Roman"/>
          <w:kern w:val="0"/>
        </w:rPr>
        <w:t>Liket</w:t>
      </w:r>
      <w:proofErr w:type="spellEnd"/>
      <w:r w:rsidRPr="00DE7A1A">
        <w:rPr>
          <w:rFonts w:ascii="Times New Roman" w:eastAsia="Times New Roman" w:hAnsi="Times New Roman" w:cs="Times New Roman"/>
          <w:kern w:val="0"/>
        </w:rPr>
        <w:t xml:space="preserve">, K. and Maas, K. (2017). Small Firms, large Impact? A systematic review of the SME Finance Literature. </w:t>
      </w:r>
      <w:r w:rsidRPr="00DE7A1A">
        <w:rPr>
          <w:rFonts w:ascii="Times New Roman" w:eastAsia="Times New Roman" w:hAnsi="Times New Roman" w:cs="Times New Roman"/>
          <w:i/>
          <w:iCs/>
          <w:kern w:val="0"/>
        </w:rPr>
        <w:t>World Development</w:t>
      </w:r>
      <w:r w:rsidRPr="00DE7A1A">
        <w:rPr>
          <w:rFonts w:ascii="Times New Roman" w:eastAsia="Times New Roman" w:hAnsi="Times New Roman" w:cs="Times New Roman"/>
          <w:kern w:val="0"/>
        </w:rPr>
        <w:t xml:space="preserve">, [online] 97, pp.330–348. </w:t>
      </w:r>
      <w:proofErr w:type="spellStart"/>
      <w:r w:rsidRPr="00DE7A1A">
        <w:rPr>
          <w:rFonts w:ascii="Times New Roman" w:eastAsia="Times New Roman" w:hAnsi="Times New Roman" w:cs="Times New Roman"/>
          <w:kern w:val="0"/>
        </w:rPr>
        <w:t>doi:</w:t>
      </w:r>
      <w:hyperlink r:id="rId20" w:history="1">
        <w:r w:rsidRPr="00DE7A1A">
          <w:rPr>
            <w:rFonts w:ascii="Times New Roman" w:eastAsia="Times New Roman" w:hAnsi="Times New Roman" w:cs="Times New Roman"/>
            <w:kern w:val="0"/>
          </w:rPr>
          <w:t>https</w:t>
        </w:r>
        <w:proofErr w:type="spellEnd"/>
        <w:r w:rsidRPr="00DE7A1A">
          <w:rPr>
            <w:rFonts w:ascii="Times New Roman" w:eastAsia="Times New Roman" w:hAnsi="Times New Roman" w:cs="Times New Roman"/>
            <w:kern w:val="0"/>
          </w:rPr>
          <w:t>://doi.org/10.1016/j.worlddev.2017.04.012</w:t>
        </w:r>
      </w:hyperlink>
      <w:r w:rsidRPr="00DE7A1A">
        <w:rPr>
          <w:rFonts w:ascii="Times New Roman" w:eastAsia="Times New Roman" w:hAnsi="Times New Roman" w:cs="Times New Roman"/>
          <w:kern w:val="0"/>
        </w:rPr>
        <w:t>.</w:t>
      </w:r>
    </w:p>
    <w:p w14:paraId="68839CB9"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Kimmel, P.D., Weygandt, J.J. and </w:t>
      </w:r>
      <w:proofErr w:type="spellStart"/>
      <w:r w:rsidRPr="00DE7A1A">
        <w:rPr>
          <w:rFonts w:ascii="Times New Roman" w:eastAsia="Times New Roman" w:hAnsi="Times New Roman" w:cs="Times New Roman"/>
          <w:kern w:val="0"/>
        </w:rPr>
        <w:t>Kieso</w:t>
      </w:r>
      <w:proofErr w:type="spellEnd"/>
      <w:r w:rsidRPr="00DE7A1A">
        <w:rPr>
          <w:rFonts w:ascii="Times New Roman" w:eastAsia="Times New Roman" w:hAnsi="Times New Roman" w:cs="Times New Roman"/>
          <w:kern w:val="0"/>
        </w:rPr>
        <w:t xml:space="preserve">, D.E. (2016). </w:t>
      </w:r>
      <w:r w:rsidRPr="00DE7A1A">
        <w:rPr>
          <w:rFonts w:ascii="Times New Roman" w:eastAsia="Times New Roman" w:hAnsi="Times New Roman" w:cs="Times New Roman"/>
          <w:i/>
          <w:iCs/>
          <w:kern w:val="0"/>
        </w:rPr>
        <w:t>Financial Accounting: Tools for Business Decision Making, 8th Edition</w:t>
      </w:r>
      <w:r w:rsidRPr="00DE7A1A">
        <w:rPr>
          <w:rFonts w:ascii="Times New Roman" w:eastAsia="Times New Roman" w:hAnsi="Times New Roman" w:cs="Times New Roman"/>
          <w:kern w:val="0"/>
        </w:rPr>
        <w:t>. Wiley Global Education.</w:t>
      </w:r>
    </w:p>
    <w:p w14:paraId="1C2047BE"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Kotey, B. (2019). Debt Financing and Factors Internal to the Business. </w:t>
      </w:r>
      <w:r w:rsidRPr="00DE7A1A">
        <w:rPr>
          <w:rFonts w:ascii="Times New Roman" w:eastAsia="Times New Roman" w:hAnsi="Times New Roman" w:cs="Times New Roman"/>
          <w:i/>
          <w:iCs/>
          <w:kern w:val="0"/>
        </w:rPr>
        <w:t>International Small Business Journal: Researching Entrepreneurship</w:t>
      </w:r>
      <w:r w:rsidRPr="00DE7A1A">
        <w:rPr>
          <w:rFonts w:ascii="Times New Roman" w:eastAsia="Times New Roman" w:hAnsi="Times New Roman" w:cs="Times New Roman"/>
          <w:kern w:val="0"/>
        </w:rPr>
        <w:t>, 17(3), pp.11–29.</w:t>
      </w:r>
    </w:p>
    <w:p w14:paraId="1D6CF208"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Lichtenstein, S. and Dade, P. (2007). The Shareholder Value Chain: Values, Vision and Shareholder Value Creation. </w:t>
      </w:r>
      <w:r w:rsidRPr="00DE7A1A">
        <w:rPr>
          <w:rFonts w:ascii="Times New Roman" w:eastAsia="Times New Roman" w:hAnsi="Times New Roman" w:cs="Times New Roman"/>
          <w:i/>
          <w:iCs/>
          <w:kern w:val="0"/>
        </w:rPr>
        <w:t>Journal of General Management</w:t>
      </w:r>
      <w:r w:rsidRPr="00DE7A1A">
        <w:rPr>
          <w:rFonts w:ascii="Times New Roman" w:eastAsia="Times New Roman" w:hAnsi="Times New Roman" w:cs="Times New Roman"/>
          <w:kern w:val="0"/>
        </w:rPr>
        <w:t>, 33(1), pp.15–31.</w:t>
      </w:r>
    </w:p>
    <w:p w14:paraId="778DE49C"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Lin, H.-J. (2019). Why Should Managers Like Payback Period? </w:t>
      </w:r>
      <w:r w:rsidRPr="00DE7A1A">
        <w:rPr>
          <w:rFonts w:ascii="Times New Roman" w:eastAsia="Times New Roman" w:hAnsi="Times New Roman" w:cs="Times New Roman"/>
          <w:i/>
          <w:iCs/>
          <w:kern w:val="0"/>
        </w:rPr>
        <w:t>SSRN Electronic Journal</w:t>
      </w:r>
      <w:r w:rsidRPr="00DE7A1A">
        <w:rPr>
          <w:rFonts w:ascii="Times New Roman" w:eastAsia="Times New Roman" w:hAnsi="Times New Roman" w:cs="Times New Roman"/>
          <w:kern w:val="0"/>
        </w:rPr>
        <w:t>, 1(1).</w:t>
      </w:r>
    </w:p>
    <w:p w14:paraId="19882E5C"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M Djoko Hanantijo, G. (2023). Capital Structures Mediating Role in Profitability, Liquidity, and Firm Value. </w:t>
      </w:r>
      <w:r w:rsidRPr="00DE7A1A">
        <w:rPr>
          <w:rFonts w:ascii="Times New Roman" w:eastAsia="Times New Roman" w:hAnsi="Times New Roman" w:cs="Times New Roman"/>
          <w:i/>
          <w:iCs/>
          <w:kern w:val="0"/>
        </w:rPr>
        <w:t>International Journal of Science and Research (IJSR)</w:t>
      </w:r>
      <w:r w:rsidRPr="00DE7A1A">
        <w:rPr>
          <w:rFonts w:ascii="Times New Roman" w:eastAsia="Times New Roman" w:hAnsi="Times New Roman" w:cs="Times New Roman"/>
          <w:kern w:val="0"/>
        </w:rPr>
        <w:t>, 12(7), pp.1163–1166.</w:t>
      </w:r>
    </w:p>
    <w:p w14:paraId="1867324D"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Madura, J. (2018). </w:t>
      </w:r>
      <w:r w:rsidRPr="00DE7A1A">
        <w:rPr>
          <w:rFonts w:ascii="Times New Roman" w:eastAsia="Times New Roman" w:hAnsi="Times New Roman" w:cs="Times New Roman"/>
          <w:i/>
          <w:iCs/>
          <w:kern w:val="0"/>
        </w:rPr>
        <w:t>International financial management</w:t>
      </w:r>
      <w:r w:rsidRPr="00DE7A1A">
        <w:rPr>
          <w:rFonts w:ascii="Times New Roman" w:eastAsia="Times New Roman" w:hAnsi="Times New Roman" w:cs="Times New Roman"/>
          <w:kern w:val="0"/>
        </w:rPr>
        <w:t>. 13th ed. Boston, Ma: Cengage Learning.</w:t>
      </w:r>
    </w:p>
    <w:p w14:paraId="4A017443"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Maverick, J.B. (2022). </w:t>
      </w:r>
      <w:r w:rsidRPr="00DE7A1A">
        <w:rPr>
          <w:rFonts w:ascii="Times New Roman" w:eastAsia="Times New Roman" w:hAnsi="Times New Roman" w:cs="Times New Roman"/>
          <w:i/>
          <w:iCs/>
          <w:kern w:val="0"/>
        </w:rPr>
        <w:t>ROE Vs ROCE: the Difference</w:t>
      </w:r>
      <w:r w:rsidRPr="00DE7A1A">
        <w:rPr>
          <w:rFonts w:ascii="Times New Roman" w:eastAsia="Times New Roman" w:hAnsi="Times New Roman" w:cs="Times New Roman"/>
          <w:kern w:val="0"/>
        </w:rPr>
        <w:t xml:space="preserve">. [online] Investopedia. Available at: </w:t>
      </w:r>
      <w:hyperlink r:id="rId21" w:history="1">
        <w:r w:rsidRPr="00DE7A1A">
          <w:rPr>
            <w:rFonts w:ascii="Times New Roman" w:eastAsia="Times New Roman" w:hAnsi="Times New Roman" w:cs="Times New Roman"/>
            <w:kern w:val="0"/>
          </w:rPr>
          <w:t>https://www.investopedia.com/ask/answers/011215/what-difference-between-roce-and-roe.asp</w:t>
        </w:r>
      </w:hyperlink>
      <w:r w:rsidRPr="00DE7A1A">
        <w:rPr>
          <w:rFonts w:ascii="Times New Roman" w:eastAsia="Times New Roman" w:hAnsi="Times New Roman" w:cs="Times New Roman"/>
          <w:kern w:val="0"/>
        </w:rPr>
        <w:t>.</w:t>
      </w:r>
    </w:p>
    <w:p w14:paraId="34D60256"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lastRenderedPageBreak/>
        <w:t xml:space="preserve">Ngek Neneh, B. (2020). Market orientation and performance: the contingency role of external environment. </w:t>
      </w:r>
      <w:r w:rsidRPr="00DE7A1A">
        <w:rPr>
          <w:rFonts w:ascii="Times New Roman" w:eastAsia="Times New Roman" w:hAnsi="Times New Roman" w:cs="Times New Roman"/>
          <w:i/>
          <w:iCs/>
          <w:kern w:val="0"/>
        </w:rPr>
        <w:t>Environmental Economics</w:t>
      </w:r>
      <w:r w:rsidRPr="00DE7A1A">
        <w:rPr>
          <w:rFonts w:ascii="Times New Roman" w:eastAsia="Times New Roman" w:hAnsi="Times New Roman" w:cs="Times New Roman"/>
          <w:kern w:val="0"/>
        </w:rPr>
        <w:t>, 7(2), pp.130–137.</w:t>
      </w:r>
    </w:p>
    <w:p w14:paraId="11246879"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proofErr w:type="spellStart"/>
      <w:r w:rsidRPr="00DE7A1A">
        <w:rPr>
          <w:rFonts w:ascii="Times New Roman" w:eastAsia="Times New Roman" w:hAnsi="Times New Roman" w:cs="Times New Roman"/>
          <w:kern w:val="0"/>
        </w:rPr>
        <w:t>Oakshott</w:t>
      </w:r>
      <w:proofErr w:type="spellEnd"/>
      <w:r w:rsidRPr="00DE7A1A">
        <w:rPr>
          <w:rFonts w:ascii="Times New Roman" w:eastAsia="Times New Roman" w:hAnsi="Times New Roman" w:cs="Times New Roman"/>
          <w:kern w:val="0"/>
        </w:rPr>
        <w:t xml:space="preserve">, L. (2020). </w:t>
      </w:r>
      <w:r w:rsidRPr="00DE7A1A">
        <w:rPr>
          <w:rFonts w:ascii="Times New Roman" w:eastAsia="Times New Roman" w:hAnsi="Times New Roman" w:cs="Times New Roman"/>
          <w:i/>
          <w:iCs/>
          <w:kern w:val="0"/>
        </w:rPr>
        <w:t xml:space="preserve">Essential Quantitative </w:t>
      </w:r>
      <w:proofErr w:type="gramStart"/>
      <w:r w:rsidRPr="00DE7A1A">
        <w:rPr>
          <w:rFonts w:ascii="Times New Roman" w:eastAsia="Times New Roman" w:hAnsi="Times New Roman" w:cs="Times New Roman"/>
          <w:i/>
          <w:iCs/>
          <w:kern w:val="0"/>
        </w:rPr>
        <w:t>Methods :</w:t>
      </w:r>
      <w:proofErr w:type="gramEnd"/>
      <w:r w:rsidRPr="00DE7A1A">
        <w:rPr>
          <w:rFonts w:ascii="Times New Roman" w:eastAsia="Times New Roman" w:hAnsi="Times New Roman" w:cs="Times New Roman"/>
          <w:i/>
          <w:iCs/>
          <w:kern w:val="0"/>
        </w:rPr>
        <w:t xml:space="preserve"> for business, Management and Finance</w:t>
      </w:r>
      <w:r w:rsidRPr="00DE7A1A">
        <w:rPr>
          <w:rFonts w:ascii="Times New Roman" w:eastAsia="Times New Roman" w:hAnsi="Times New Roman" w:cs="Times New Roman"/>
          <w:kern w:val="0"/>
        </w:rPr>
        <w:t xml:space="preserve">. London Macmillan </w:t>
      </w:r>
      <w:proofErr w:type="gramStart"/>
      <w:r w:rsidRPr="00DE7A1A">
        <w:rPr>
          <w:rFonts w:ascii="Times New Roman" w:eastAsia="Times New Roman" w:hAnsi="Times New Roman" w:cs="Times New Roman"/>
          <w:kern w:val="0"/>
        </w:rPr>
        <w:t>International ;</w:t>
      </w:r>
      <w:proofErr w:type="gramEnd"/>
      <w:r w:rsidRPr="00DE7A1A">
        <w:rPr>
          <w:rFonts w:ascii="Times New Roman" w:eastAsia="Times New Roman" w:hAnsi="Times New Roman" w:cs="Times New Roman"/>
          <w:kern w:val="0"/>
        </w:rPr>
        <w:t xml:space="preserve"> Red Globe Press.</w:t>
      </w:r>
    </w:p>
    <w:p w14:paraId="3CC8AB85"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proofErr w:type="spellStart"/>
      <w:r w:rsidRPr="00DE7A1A">
        <w:rPr>
          <w:rFonts w:ascii="Times New Roman" w:eastAsia="Times New Roman" w:hAnsi="Times New Roman" w:cs="Times New Roman"/>
          <w:kern w:val="0"/>
        </w:rPr>
        <w:t>Orobia</w:t>
      </w:r>
      <w:proofErr w:type="spellEnd"/>
      <w:r w:rsidRPr="00DE7A1A">
        <w:rPr>
          <w:rFonts w:ascii="Times New Roman" w:eastAsia="Times New Roman" w:hAnsi="Times New Roman" w:cs="Times New Roman"/>
          <w:kern w:val="0"/>
        </w:rPr>
        <w:t xml:space="preserve">, L.A., </w:t>
      </w:r>
      <w:proofErr w:type="spellStart"/>
      <w:r w:rsidRPr="00DE7A1A">
        <w:rPr>
          <w:rFonts w:ascii="Times New Roman" w:eastAsia="Times New Roman" w:hAnsi="Times New Roman" w:cs="Times New Roman"/>
          <w:kern w:val="0"/>
        </w:rPr>
        <w:t>Nakibuuka</w:t>
      </w:r>
      <w:proofErr w:type="spellEnd"/>
      <w:r w:rsidRPr="00DE7A1A">
        <w:rPr>
          <w:rFonts w:ascii="Times New Roman" w:eastAsia="Times New Roman" w:hAnsi="Times New Roman" w:cs="Times New Roman"/>
          <w:kern w:val="0"/>
        </w:rPr>
        <w:t xml:space="preserve">, J., </w:t>
      </w:r>
      <w:proofErr w:type="spellStart"/>
      <w:r w:rsidRPr="00DE7A1A">
        <w:rPr>
          <w:rFonts w:ascii="Times New Roman" w:eastAsia="Times New Roman" w:hAnsi="Times New Roman" w:cs="Times New Roman"/>
          <w:kern w:val="0"/>
        </w:rPr>
        <w:t>Bananuka</w:t>
      </w:r>
      <w:proofErr w:type="spellEnd"/>
      <w:r w:rsidRPr="00DE7A1A">
        <w:rPr>
          <w:rFonts w:ascii="Times New Roman" w:eastAsia="Times New Roman" w:hAnsi="Times New Roman" w:cs="Times New Roman"/>
          <w:kern w:val="0"/>
        </w:rPr>
        <w:t xml:space="preserve">, J. and </w:t>
      </w:r>
      <w:proofErr w:type="spellStart"/>
      <w:r w:rsidRPr="00DE7A1A">
        <w:rPr>
          <w:rFonts w:ascii="Times New Roman" w:eastAsia="Times New Roman" w:hAnsi="Times New Roman" w:cs="Times New Roman"/>
          <w:kern w:val="0"/>
        </w:rPr>
        <w:t>Akisimire</w:t>
      </w:r>
      <w:proofErr w:type="spellEnd"/>
      <w:r w:rsidRPr="00DE7A1A">
        <w:rPr>
          <w:rFonts w:ascii="Times New Roman" w:eastAsia="Times New Roman" w:hAnsi="Times New Roman" w:cs="Times New Roman"/>
          <w:kern w:val="0"/>
        </w:rPr>
        <w:t xml:space="preserve">, R. (2020). Inventory Management, Managerial Competence and Financial Performance of Small Businesses. </w:t>
      </w:r>
      <w:r w:rsidRPr="00DE7A1A">
        <w:rPr>
          <w:rFonts w:ascii="Times New Roman" w:eastAsia="Times New Roman" w:hAnsi="Times New Roman" w:cs="Times New Roman"/>
          <w:i/>
          <w:iCs/>
          <w:kern w:val="0"/>
        </w:rPr>
        <w:t>Journal of Accounting in Emerging Economies</w:t>
      </w:r>
      <w:r w:rsidRPr="00DE7A1A">
        <w:rPr>
          <w:rFonts w:ascii="Times New Roman" w:eastAsia="Times New Roman" w:hAnsi="Times New Roman" w:cs="Times New Roman"/>
          <w:kern w:val="0"/>
        </w:rPr>
        <w:t>, 10(3), pp.379–398.</w:t>
      </w:r>
    </w:p>
    <w:p w14:paraId="7968E4AE"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proofErr w:type="spellStart"/>
      <w:r w:rsidRPr="00DE7A1A">
        <w:rPr>
          <w:rFonts w:ascii="Times New Roman" w:eastAsia="Times New Roman" w:hAnsi="Times New Roman" w:cs="Times New Roman"/>
          <w:kern w:val="0"/>
        </w:rPr>
        <w:t>Palasciano</w:t>
      </w:r>
      <w:proofErr w:type="spellEnd"/>
      <w:r w:rsidRPr="00DE7A1A">
        <w:rPr>
          <w:rFonts w:ascii="Times New Roman" w:eastAsia="Times New Roman" w:hAnsi="Times New Roman" w:cs="Times New Roman"/>
          <w:kern w:val="0"/>
        </w:rPr>
        <w:t xml:space="preserve">, A. (2025). </w:t>
      </w:r>
      <w:r w:rsidRPr="00DE7A1A">
        <w:rPr>
          <w:rFonts w:ascii="Times New Roman" w:eastAsia="Times New Roman" w:hAnsi="Times New Roman" w:cs="Times New Roman"/>
          <w:i/>
          <w:iCs/>
          <w:kern w:val="0"/>
        </w:rPr>
        <w:t>What is net profit margin? Formula for calculation and examples</w:t>
      </w:r>
      <w:r w:rsidRPr="00DE7A1A">
        <w:rPr>
          <w:rFonts w:ascii="Times New Roman" w:eastAsia="Times New Roman" w:hAnsi="Times New Roman" w:cs="Times New Roman"/>
          <w:kern w:val="0"/>
        </w:rPr>
        <w:t xml:space="preserve">. [online] Investopedia. Available at: </w:t>
      </w:r>
      <w:hyperlink r:id="rId22" w:history="1">
        <w:r w:rsidRPr="00DE7A1A">
          <w:rPr>
            <w:rFonts w:ascii="Times New Roman" w:eastAsia="Times New Roman" w:hAnsi="Times New Roman" w:cs="Times New Roman"/>
            <w:kern w:val="0"/>
          </w:rPr>
          <w:t>https://www.investopedia.com/terms/n/net_margin.asp</w:t>
        </w:r>
      </w:hyperlink>
      <w:r w:rsidRPr="00DE7A1A">
        <w:rPr>
          <w:rFonts w:ascii="Times New Roman" w:eastAsia="Times New Roman" w:hAnsi="Times New Roman" w:cs="Times New Roman"/>
          <w:kern w:val="0"/>
        </w:rPr>
        <w:t>.</w:t>
      </w:r>
    </w:p>
    <w:p w14:paraId="31A25831" w14:textId="77777777" w:rsid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Palepu, K.G. and Healy, P.M. (2020). </w:t>
      </w:r>
      <w:r w:rsidRPr="00DE7A1A">
        <w:rPr>
          <w:rFonts w:ascii="Times New Roman" w:eastAsia="Times New Roman" w:hAnsi="Times New Roman" w:cs="Times New Roman"/>
          <w:i/>
          <w:iCs/>
          <w:kern w:val="0"/>
        </w:rPr>
        <w:t xml:space="preserve">Business Analysis &amp; </w:t>
      </w:r>
      <w:proofErr w:type="gramStart"/>
      <w:r w:rsidRPr="00DE7A1A">
        <w:rPr>
          <w:rFonts w:ascii="Times New Roman" w:eastAsia="Times New Roman" w:hAnsi="Times New Roman" w:cs="Times New Roman"/>
          <w:i/>
          <w:iCs/>
          <w:kern w:val="0"/>
        </w:rPr>
        <w:t>Valuation :</w:t>
      </w:r>
      <w:proofErr w:type="gramEnd"/>
      <w:r w:rsidRPr="00DE7A1A">
        <w:rPr>
          <w:rFonts w:ascii="Times New Roman" w:eastAsia="Times New Roman" w:hAnsi="Times New Roman" w:cs="Times New Roman"/>
          <w:i/>
          <w:iCs/>
          <w:kern w:val="0"/>
        </w:rPr>
        <w:t xml:space="preserve"> Using Financial Statements</w:t>
      </w:r>
      <w:r w:rsidRPr="00DE7A1A">
        <w:rPr>
          <w:rFonts w:ascii="Times New Roman" w:eastAsia="Times New Roman" w:hAnsi="Times New Roman" w:cs="Times New Roman"/>
          <w:kern w:val="0"/>
        </w:rPr>
        <w:t>. Mason, Ohio: South-Western.</w:t>
      </w:r>
    </w:p>
    <w:p w14:paraId="239EECF7" w14:textId="14E5094C"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Palmer, J.E. (2018). </w:t>
      </w:r>
      <w:r w:rsidRPr="00DE7A1A">
        <w:rPr>
          <w:rFonts w:ascii="Times New Roman" w:eastAsia="Times New Roman" w:hAnsi="Times New Roman" w:cs="Times New Roman"/>
          <w:i/>
          <w:iCs/>
          <w:kern w:val="0"/>
        </w:rPr>
        <w:t>Financial ratio analysis</w:t>
      </w:r>
      <w:r w:rsidRPr="00DE7A1A">
        <w:rPr>
          <w:rFonts w:ascii="Times New Roman" w:eastAsia="Times New Roman" w:hAnsi="Times New Roman" w:cs="Times New Roman"/>
          <w:kern w:val="0"/>
        </w:rPr>
        <w:t xml:space="preserve">. New York, N.Y.: American Institute </w:t>
      </w:r>
      <w:proofErr w:type="gramStart"/>
      <w:r w:rsidRPr="00DE7A1A">
        <w:rPr>
          <w:rFonts w:ascii="Times New Roman" w:eastAsia="Times New Roman" w:hAnsi="Times New Roman" w:cs="Times New Roman"/>
          <w:kern w:val="0"/>
        </w:rPr>
        <w:t>Of</w:t>
      </w:r>
      <w:proofErr w:type="gramEnd"/>
      <w:r w:rsidRPr="00DE7A1A">
        <w:rPr>
          <w:rFonts w:ascii="Times New Roman" w:eastAsia="Times New Roman" w:hAnsi="Times New Roman" w:cs="Times New Roman"/>
          <w:kern w:val="0"/>
        </w:rPr>
        <w:t xml:space="preserve"> Certified Public Accountants.</w:t>
      </w:r>
    </w:p>
    <w:p w14:paraId="22F58890"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Sanzo, R. (2005). </w:t>
      </w:r>
      <w:r w:rsidRPr="00DE7A1A">
        <w:rPr>
          <w:rFonts w:ascii="Times New Roman" w:eastAsia="Times New Roman" w:hAnsi="Times New Roman" w:cs="Times New Roman"/>
          <w:i/>
          <w:iCs/>
          <w:kern w:val="0"/>
        </w:rPr>
        <w:t>Ratio analysis for small business.</w:t>
      </w:r>
      <w:r w:rsidRPr="00DE7A1A">
        <w:rPr>
          <w:rFonts w:ascii="Times New Roman" w:eastAsia="Times New Roman" w:hAnsi="Times New Roman" w:cs="Times New Roman"/>
          <w:kern w:val="0"/>
        </w:rPr>
        <w:t xml:space="preserve"> New York: Books For Business.</w:t>
      </w:r>
    </w:p>
    <w:p w14:paraId="4084C511"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Schmidt, J. (2022). </w:t>
      </w:r>
      <w:r w:rsidRPr="00DE7A1A">
        <w:rPr>
          <w:rFonts w:ascii="Times New Roman" w:eastAsia="Times New Roman" w:hAnsi="Times New Roman" w:cs="Times New Roman"/>
          <w:i/>
          <w:iCs/>
          <w:kern w:val="0"/>
        </w:rPr>
        <w:t>Earnings Per Share Formula (EPS)</w:t>
      </w:r>
      <w:r w:rsidRPr="00DE7A1A">
        <w:rPr>
          <w:rFonts w:ascii="Times New Roman" w:eastAsia="Times New Roman" w:hAnsi="Times New Roman" w:cs="Times New Roman"/>
          <w:kern w:val="0"/>
        </w:rPr>
        <w:t xml:space="preserve">. [online] Corporate Finance Institute. Available at: </w:t>
      </w:r>
      <w:hyperlink r:id="rId23" w:history="1">
        <w:r w:rsidRPr="00DE7A1A">
          <w:rPr>
            <w:rFonts w:ascii="Times New Roman" w:eastAsia="Times New Roman" w:hAnsi="Times New Roman" w:cs="Times New Roman"/>
            <w:kern w:val="0"/>
          </w:rPr>
          <w:t>https://corporatefinanceinstitute.com/resources/valuation/earnings-per-share-eps-formula/</w:t>
        </w:r>
      </w:hyperlink>
      <w:r w:rsidRPr="00DE7A1A">
        <w:rPr>
          <w:rFonts w:ascii="Times New Roman" w:eastAsia="Times New Roman" w:hAnsi="Times New Roman" w:cs="Times New Roman"/>
          <w:kern w:val="0"/>
        </w:rPr>
        <w:t>.</w:t>
      </w:r>
    </w:p>
    <w:p w14:paraId="40890554"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Spring, D. (2018). </w:t>
      </w:r>
      <w:r w:rsidRPr="00DE7A1A">
        <w:rPr>
          <w:rFonts w:ascii="Times New Roman" w:eastAsia="Times New Roman" w:hAnsi="Times New Roman" w:cs="Times New Roman"/>
          <w:i/>
          <w:iCs/>
          <w:kern w:val="0"/>
        </w:rPr>
        <w:t>An examination of NPV regulation</w:t>
      </w:r>
      <w:r w:rsidRPr="00DE7A1A">
        <w:rPr>
          <w:rFonts w:ascii="Times New Roman" w:eastAsia="Times New Roman" w:hAnsi="Times New Roman" w:cs="Times New Roman"/>
          <w:kern w:val="0"/>
        </w:rPr>
        <w:t xml:space="preserve">. London: Chartered Institute </w:t>
      </w:r>
      <w:proofErr w:type="gramStart"/>
      <w:r w:rsidRPr="00DE7A1A">
        <w:rPr>
          <w:rFonts w:ascii="Times New Roman" w:eastAsia="Times New Roman" w:hAnsi="Times New Roman" w:cs="Times New Roman"/>
          <w:kern w:val="0"/>
        </w:rPr>
        <w:t>Of</w:t>
      </w:r>
      <w:proofErr w:type="gramEnd"/>
      <w:r w:rsidRPr="00DE7A1A">
        <w:rPr>
          <w:rFonts w:ascii="Times New Roman" w:eastAsia="Times New Roman" w:hAnsi="Times New Roman" w:cs="Times New Roman"/>
          <w:kern w:val="0"/>
        </w:rPr>
        <w:t xml:space="preserve"> Public Finance &amp; Accountancy.</w:t>
      </w:r>
    </w:p>
    <w:p w14:paraId="639E2D6C"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Surridge, M. (2022). </w:t>
      </w:r>
      <w:r w:rsidRPr="00DE7A1A">
        <w:rPr>
          <w:rFonts w:ascii="Times New Roman" w:eastAsia="Times New Roman" w:hAnsi="Times New Roman" w:cs="Times New Roman"/>
          <w:i/>
          <w:iCs/>
          <w:kern w:val="0"/>
        </w:rPr>
        <w:t>The business environment</w:t>
      </w:r>
      <w:r w:rsidRPr="00DE7A1A">
        <w:rPr>
          <w:rFonts w:ascii="Times New Roman" w:eastAsia="Times New Roman" w:hAnsi="Times New Roman" w:cs="Times New Roman"/>
          <w:kern w:val="0"/>
        </w:rPr>
        <w:t xml:space="preserve">. 4th ed. London: </w:t>
      </w:r>
      <w:proofErr w:type="spellStart"/>
      <w:r w:rsidRPr="00DE7A1A">
        <w:rPr>
          <w:rFonts w:ascii="Times New Roman" w:eastAsia="Times New Roman" w:hAnsi="Times New Roman" w:cs="Times New Roman"/>
          <w:kern w:val="0"/>
        </w:rPr>
        <w:t>Collinseducational</w:t>
      </w:r>
      <w:proofErr w:type="spellEnd"/>
      <w:r w:rsidRPr="00DE7A1A">
        <w:rPr>
          <w:rFonts w:ascii="Times New Roman" w:eastAsia="Times New Roman" w:hAnsi="Times New Roman" w:cs="Times New Roman"/>
          <w:kern w:val="0"/>
        </w:rPr>
        <w:t>.</w:t>
      </w:r>
    </w:p>
    <w:p w14:paraId="46417422"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Thomas, C.W. (2022). </w:t>
      </w:r>
      <w:r w:rsidRPr="00DE7A1A">
        <w:rPr>
          <w:rFonts w:ascii="Times New Roman" w:eastAsia="Times New Roman" w:hAnsi="Times New Roman" w:cs="Times New Roman"/>
          <w:i/>
          <w:iCs/>
          <w:kern w:val="0"/>
        </w:rPr>
        <w:t>Financial Accounting</w:t>
      </w:r>
      <w:r w:rsidRPr="00DE7A1A">
        <w:rPr>
          <w:rFonts w:ascii="Times New Roman" w:eastAsia="Times New Roman" w:hAnsi="Times New Roman" w:cs="Times New Roman"/>
          <w:kern w:val="0"/>
        </w:rPr>
        <w:t>. New York: Pearson.</w:t>
      </w:r>
    </w:p>
    <w:p w14:paraId="58110568"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Wright, D. and Slaybaugh, C.J. (2020). </w:t>
      </w:r>
      <w:r w:rsidRPr="00DE7A1A">
        <w:rPr>
          <w:rFonts w:ascii="Times New Roman" w:eastAsia="Times New Roman" w:hAnsi="Times New Roman" w:cs="Times New Roman"/>
          <w:i/>
          <w:iCs/>
          <w:kern w:val="0"/>
        </w:rPr>
        <w:t>Inventory management.</w:t>
      </w:r>
      <w:r w:rsidRPr="00DE7A1A">
        <w:rPr>
          <w:rFonts w:ascii="Times New Roman" w:eastAsia="Times New Roman" w:hAnsi="Times New Roman" w:cs="Times New Roman"/>
          <w:kern w:val="0"/>
        </w:rPr>
        <w:t xml:space="preserve"> Wellington, N.Z.: Cost </w:t>
      </w:r>
      <w:proofErr w:type="gramStart"/>
      <w:r w:rsidRPr="00DE7A1A">
        <w:rPr>
          <w:rFonts w:ascii="Times New Roman" w:eastAsia="Times New Roman" w:hAnsi="Times New Roman" w:cs="Times New Roman"/>
          <w:kern w:val="0"/>
        </w:rPr>
        <w:t>And</w:t>
      </w:r>
      <w:proofErr w:type="gramEnd"/>
      <w:r w:rsidRPr="00DE7A1A">
        <w:rPr>
          <w:rFonts w:ascii="Times New Roman" w:eastAsia="Times New Roman" w:hAnsi="Times New Roman" w:cs="Times New Roman"/>
          <w:kern w:val="0"/>
        </w:rPr>
        <w:t xml:space="preserve"> Management Accounting Division, New Zealand Society Of Accountants.</w:t>
      </w:r>
    </w:p>
    <w:p w14:paraId="1455157D" w14:textId="77777777" w:rsidR="0021744F" w:rsidRPr="00F2256F" w:rsidRDefault="0021744F" w:rsidP="00F2256F">
      <w:pPr>
        <w:spacing w:before="100" w:beforeAutospacing="1" w:after="100" w:afterAutospacing="1" w:line="360" w:lineRule="auto"/>
        <w:jc w:val="both"/>
        <w:rPr>
          <w:rFonts w:ascii="Times New Roman" w:eastAsia="Times New Roman" w:hAnsi="Times New Roman" w:cs="Times New Roman"/>
          <w:kern w:val="0"/>
          <w14:ligatures w14:val="none"/>
        </w:rPr>
      </w:pPr>
    </w:p>
    <w:p w14:paraId="6E84EF5D" w14:textId="2EF71C7F" w:rsidR="000F178B" w:rsidRPr="000F178B" w:rsidRDefault="000F178B" w:rsidP="000F178B">
      <w:pPr>
        <w:spacing w:before="100" w:beforeAutospacing="1" w:after="100" w:afterAutospacing="1" w:line="360" w:lineRule="auto"/>
        <w:jc w:val="both"/>
        <w:rPr>
          <w:rFonts w:ascii="Times New Roman" w:eastAsia="Times New Roman" w:hAnsi="Times New Roman" w:cs="Times New Roman"/>
          <w:kern w:val="0"/>
          <w14:ligatures w14:val="none"/>
        </w:rPr>
      </w:pPr>
    </w:p>
    <w:p w14:paraId="2BB44B99" w14:textId="0451744E" w:rsidR="003C5B80" w:rsidRPr="003C5B80" w:rsidRDefault="003C5B80" w:rsidP="003C5B80">
      <w:pPr>
        <w:pStyle w:val="Heading1"/>
        <w:rPr>
          <w:rFonts w:eastAsia="Times New Roman"/>
        </w:rPr>
      </w:pPr>
      <w:bookmarkStart w:id="57" w:name="_Toc219020688"/>
      <w:r w:rsidRPr="003C5B80">
        <w:rPr>
          <w:rFonts w:eastAsia="Times New Roman"/>
        </w:rPr>
        <w:t>Appendix</w:t>
      </w:r>
      <w:r>
        <w:rPr>
          <w:rFonts w:eastAsia="Times New Roman"/>
        </w:rPr>
        <w:t xml:space="preserve"> </w:t>
      </w:r>
      <w:r w:rsidR="009D7F96">
        <w:rPr>
          <w:rFonts w:eastAsia="Times New Roman"/>
        </w:rPr>
        <w:t>1</w:t>
      </w:r>
      <w:bookmarkEnd w:id="57"/>
    </w:p>
    <w:p w14:paraId="2363FF26" w14:textId="6D136D6F"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sz w:val="28"/>
          <w:szCs w:val="28"/>
          <w14:ligatures w14:val="none"/>
        </w:rPr>
      </w:pPr>
      <w:r w:rsidRPr="003C5B80">
        <w:rPr>
          <w:rFonts w:ascii="Times New Roman" w:eastAsia="Times New Roman" w:hAnsi="Times New Roman" w:cs="Times New Roman"/>
          <w:b/>
          <w:bCs/>
          <w:kern w:val="0"/>
          <w:sz w:val="28"/>
          <w:szCs w:val="28"/>
          <w14:ligatures w14:val="none"/>
        </w:rPr>
        <w:t>Appendix A: Profitability Ratios</w:t>
      </w:r>
    </w:p>
    <w:p w14:paraId="4E400A74"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14:ligatures w14:val="none"/>
        </w:rPr>
      </w:pPr>
      <w:r w:rsidRPr="003C5B80">
        <w:rPr>
          <w:rFonts w:ascii="Times New Roman" w:eastAsia="Times New Roman" w:hAnsi="Times New Roman" w:cs="Times New Roman"/>
          <w:b/>
          <w:bCs/>
          <w:kern w:val="0"/>
          <w14:ligatures w14:val="none"/>
        </w:rPr>
        <w:t>Gross Profit Margin</w:t>
      </w:r>
    </w:p>
    <w:p w14:paraId="09DDE015"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Formula: Gross Profit ÷ Revenue × 100</w:t>
      </w:r>
    </w:p>
    <w:p w14:paraId="1FEA343D"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2023: 42.2%</w:t>
      </w:r>
    </w:p>
    <w:p w14:paraId="73286F2D" w14:textId="2D310071"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2024: 45.0%</w:t>
      </w:r>
    </w:p>
    <w:p w14:paraId="713E13F2"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14:ligatures w14:val="none"/>
        </w:rPr>
      </w:pPr>
      <w:r w:rsidRPr="003C5B80">
        <w:rPr>
          <w:rFonts w:ascii="Times New Roman" w:eastAsia="Times New Roman" w:hAnsi="Times New Roman" w:cs="Times New Roman"/>
          <w:b/>
          <w:bCs/>
          <w:kern w:val="0"/>
          <w14:ligatures w14:val="none"/>
        </w:rPr>
        <w:t>Operating Profit Margin (Reported)</w:t>
      </w:r>
    </w:p>
    <w:p w14:paraId="75901BD4"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Formula: Operating Profit ÷ Revenue × 100</w:t>
      </w:r>
    </w:p>
    <w:p w14:paraId="34888A07"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2023: 16.4%</w:t>
      </w:r>
    </w:p>
    <w:p w14:paraId="02E0E396" w14:textId="60DB5099"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2024: 15.5%</w:t>
      </w:r>
    </w:p>
    <w:p w14:paraId="0887AF29"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14:ligatures w14:val="none"/>
        </w:rPr>
      </w:pPr>
      <w:r w:rsidRPr="003C5B80">
        <w:rPr>
          <w:rFonts w:ascii="Times New Roman" w:eastAsia="Times New Roman" w:hAnsi="Times New Roman" w:cs="Times New Roman"/>
          <w:b/>
          <w:bCs/>
          <w:kern w:val="0"/>
          <w14:ligatures w14:val="none"/>
        </w:rPr>
        <w:t>Net Profit Margin</w:t>
      </w:r>
    </w:p>
    <w:p w14:paraId="58577E2E"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Formula: Net Profit ÷ Revenue × 100</w:t>
      </w:r>
    </w:p>
    <w:p w14:paraId="2F9083B8"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2023: 12.0%</w:t>
      </w:r>
    </w:p>
    <w:p w14:paraId="3B8B4A99" w14:textId="531E84DF"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2024: 10.5%</w:t>
      </w:r>
    </w:p>
    <w:p w14:paraId="0FCB46C2" w14:textId="28F7D092"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14:ligatures w14:val="none"/>
        </w:rPr>
      </w:pPr>
      <w:r w:rsidRPr="003C5B80">
        <w:rPr>
          <w:rFonts w:ascii="Times New Roman" w:eastAsia="Times New Roman" w:hAnsi="Times New Roman" w:cs="Times New Roman"/>
          <w:b/>
          <w:bCs/>
          <w:kern w:val="0"/>
          <w14:ligatures w14:val="none"/>
        </w:rPr>
        <w:t>Appendix B: Return Measures</w:t>
      </w:r>
    </w:p>
    <w:p w14:paraId="04663E72"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14:ligatures w14:val="none"/>
        </w:rPr>
      </w:pPr>
      <w:r w:rsidRPr="003C5B80">
        <w:rPr>
          <w:rFonts w:ascii="Times New Roman" w:eastAsia="Times New Roman" w:hAnsi="Times New Roman" w:cs="Times New Roman"/>
          <w:b/>
          <w:bCs/>
          <w:kern w:val="0"/>
          <w14:ligatures w14:val="none"/>
        </w:rPr>
        <w:t>Return on Capital Employed (ROCE)</w:t>
      </w:r>
    </w:p>
    <w:p w14:paraId="61765735"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Formula: Operating Profit ÷ Capital Employed × 100</w:t>
      </w:r>
    </w:p>
    <w:p w14:paraId="13FC6426"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lastRenderedPageBreak/>
        <w:t>2023: 16.3%</w:t>
      </w:r>
    </w:p>
    <w:p w14:paraId="4F21AC8F" w14:textId="551B6C5C"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2024: 14.5%</w:t>
      </w:r>
    </w:p>
    <w:p w14:paraId="59E5D4CC"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14:ligatures w14:val="none"/>
        </w:rPr>
      </w:pPr>
      <w:r w:rsidRPr="003C5B80">
        <w:rPr>
          <w:rFonts w:ascii="Times New Roman" w:eastAsia="Times New Roman" w:hAnsi="Times New Roman" w:cs="Times New Roman"/>
          <w:b/>
          <w:bCs/>
          <w:kern w:val="0"/>
          <w14:ligatures w14:val="none"/>
        </w:rPr>
        <w:t>Return on Equity (ROE)</w:t>
      </w:r>
    </w:p>
    <w:p w14:paraId="612170B2"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Formula: Net Profit ÷ Shareholders’ Equity × 100</w:t>
      </w:r>
    </w:p>
    <w:p w14:paraId="5AED4DA8"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2023: 38.4%</w:t>
      </w:r>
    </w:p>
    <w:p w14:paraId="258E6560" w14:textId="273063D0"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2024: 32.7%</w:t>
      </w:r>
    </w:p>
    <w:p w14:paraId="75AFAA08" w14:textId="21FAF27B"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sz w:val="28"/>
          <w:szCs w:val="28"/>
          <w14:ligatures w14:val="none"/>
        </w:rPr>
      </w:pPr>
      <w:r w:rsidRPr="003C5B80">
        <w:rPr>
          <w:rFonts w:ascii="Times New Roman" w:eastAsia="Times New Roman" w:hAnsi="Times New Roman" w:cs="Times New Roman"/>
          <w:b/>
          <w:bCs/>
          <w:kern w:val="0"/>
          <w:sz w:val="28"/>
          <w:szCs w:val="28"/>
          <w14:ligatures w14:val="none"/>
        </w:rPr>
        <w:t>Appendix C: Liquidity Ratios</w:t>
      </w:r>
    </w:p>
    <w:p w14:paraId="6F1AE885"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14:ligatures w14:val="none"/>
        </w:rPr>
      </w:pPr>
      <w:r w:rsidRPr="003C5B80">
        <w:rPr>
          <w:rFonts w:ascii="Times New Roman" w:eastAsia="Times New Roman" w:hAnsi="Times New Roman" w:cs="Times New Roman"/>
          <w:b/>
          <w:bCs/>
          <w:kern w:val="0"/>
          <w14:ligatures w14:val="none"/>
        </w:rPr>
        <w:t>Current Ratio</w:t>
      </w:r>
    </w:p>
    <w:p w14:paraId="76571AA4"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Formula: Current Assets ÷ Current Liabilities</w:t>
      </w:r>
    </w:p>
    <w:p w14:paraId="06A60E2D"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2023: 0.97</w:t>
      </w:r>
    </w:p>
    <w:p w14:paraId="2B7A8CEC"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2024: 0.96</w:t>
      </w:r>
    </w:p>
    <w:p w14:paraId="177CF288"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p>
    <w:p w14:paraId="2F71191C"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14:ligatures w14:val="none"/>
        </w:rPr>
      </w:pPr>
      <w:r w:rsidRPr="003C5B80">
        <w:rPr>
          <w:rFonts w:ascii="Times New Roman" w:eastAsia="Times New Roman" w:hAnsi="Times New Roman" w:cs="Times New Roman"/>
          <w:b/>
          <w:bCs/>
          <w:kern w:val="0"/>
          <w14:ligatures w14:val="none"/>
        </w:rPr>
        <w:t>Quick Ratio</w:t>
      </w:r>
    </w:p>
    <w:p w14:paraId="20DD0883"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Formula: (Current Assets − Inventory) ÷ Current Liabilities</w:t>
      </w:r>
    </w:p>
    <w:p w14:paraId="5A9C4C0D"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2023: 0.69</w:t>
      </w:r>
    </w:p>
    <w:p w14:paraId="5F47C65A" w14:textId="3AE6FC8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2024: 0.68</w:t>
      </w:r>
    </w:p>
    <w:p w14:paraId="66BC4260" w14:textId="4939A7A4"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14:ligatures w14:val="none"/>
        </w:rPr>
      </w:pPr>
      <w:r w:rsidRPr="003C5B80">
        <w:rPr>
          <w:rFonts w:ascii="Times New Roman" w:eastAsia="Times New Roman" w:hAnsi="Times New Roman" w:cs="Times New Roman"/>
          <w:b/>
          <w:bCs/>
          <w:kern w:val="0"/>
          <w14:ligatures w14:val="none"/>
        </w:rPr>
        <w:t>Appendix D: Solvency Ratios</w:t>
      </w:r>
    </w:p>
    <w:p w14:paraId="5F4B3F08"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14:ligatures w14:val="none"/>
        </w:rPr>
      </w:pPr>
      <w:r w:rsidRPr="003C5B80">
        <w:rPr>
          <w:rFonts w:ascii="Times New Roman" w:eastAsia="Times New Roman" w:hAnsi="Times New Roman" w:cs="Times New Roman"/>
          <w:b/>
          <w:bCs/>
          <w:kern w:val="0"/>
          <w14:ligatures w14:val="none"/>
        </w:rPr>
        <w:t>Gearing Ratio</w:t>
      </w:r>
    </w:p>
    <w:p w14:paraId="64BDEDCC"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Formula: Long-term Debt ÷ (Long-term Debt + Equity) × 100</w:t>
      </w:r>
    </w:p>
    <w:p w14:paraId="6558876B"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lastRenderedPageBreak/>
        <w:t>2023: 55.8%</w:t>
      </w:r>
    </w:p>
    <w:p w14:paraId="69DCFD0E" w14:textId="74C34C3B"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2024: 56.4%</w:t>
      </w:r>
    </w:p>
    <w:p w14:paraId="5DE50309"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14:ligatures w14:val="none"/>
        </w:rPr>
      </w:pPr>
      <w:r w:rsidRPr="003C5B80">
        <w:rPr>
          <w:rFonts w:ascii="Times New Roman" w:eastAsia="Times New Roman" w:hAnsi="Times New Roman" w:cs="Times New Roman"/>
          <w:b/>
          <w:bCs/>
          <w:kern w:val="0"/>
          <w14:ligatures w14:val="none"/>
        </w:rPr>
        <w:t>Interest Cover</w:t>
      </w:r>
    </w:p>
    <w:p w14:paraId="35B26143"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Formula: Operating Profit ÷ Finance Costs</w:t>
      </w:r>
    </w:p>
    <w:p w14:paraId="174A1DE3"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2023: 10.6×</w:t>
      </w:r>
    </w:p>
    <w:p w14:paraId="0CBF5CCE" w14:textId="1FF686AB"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2024: 9.0×</w:t>
      </w:r>
    </w:p>
    <w:p w14:paraId="604DE304" w14:textId="6B665B4E"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sz w:val="28"/>
          <w:szCs w:val="28"/>
          <w14:ligatures w14:val="none"/>
        </w:rPr>
      </w:pPr>
      <w:r w:rsidRPr="003C5B80">
        <w:rPr>
          <w:rFonts w:ascii="Times New Roman" w:eastAsia="Times New Roman" w:hAnsi="Times New Roman" w:cs="Times New Roman"/>
          <w:b/>
          <w:bCs/>
          <w:kern w:val="0"/>
          <w:sz w:val="28"/>
          <w:szCs w:val="28"/>
          <w14:ligatures w14:val="none"/>
        </w:rPr>
        <w:t>Appendix E: Efficiency Ratios</w:t>
      </w:r>
    </w:p>
    <w:p w14:paraId="270AF4B6"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14:ligatures w14:val="none"/>
        </w:rPr>
      </w:pPr>
      <w:r w:rsidRPr="003C5B80">
        <w:rPr>
          <w:rFonts w:ascii="Times New Roman" w:eastAsia="Times New Roman" w:hAnsi="Times New Roman" w:cs="Times New Roman"/>
          <w:b/>
          <w:bCs/>
          <w:kern w:val="0"/>
          <w14:ligatures w14:val="none"/>
        </w:rPr>
        <w:t>Inventory Days</w:t>
      </w:r>
    </w:p>
    <w:p w14:paraId="6A5A9EF0"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Formula: Average Inventory ÷ Cost of Sales × 365</w:t>
      </w:r>
    </w:p>
    <w:p w14:paraId="31905F90"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2023: 89 days</w:t>
      </w:r>
    </w:p>
    <w:p w14:paraId="74B6B337" w14:textId="5AD7A7A0"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2024: 98 days</w:t>
      </w:r>
    </w:p>
    <w:p w14:paraId="20064470"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14:ligatures w14:val="none"/>
        </w:rPr>
      </w:pPr>
      <w:r w:rsidRPr="003C5B80">
        <w:rPr>
          <w:rFonts w:ascii="Times New Roman" w:eastAsia="Times New Roman" w:hAnsi="Times New Roman" w:cs="Times New Roman"/>
          <w:b/>
          <w:bCs/>
          <w:kern w:val="0"/>
          <w14:ligatures w14:val="none"/>
        </w:rPr>
        <w:t>Receivables Days</w:t>
      </w:r>
    </w:p>
    <w:p w14:paraId="2B7C2F1E"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Formula: Average Trade Receivables ÷ Revenue × 365</w:t>
      </w:r>
    </w:p>
    <w:p w14:paraId="56284EBD"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2023: 44 days</w:t>
      </w:r>
    </w:p>
    <w:p w14:paraId="31AC9995" w14:textId="0DF2E100"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2024: 47 days</w:t>
      </w:r>
    </w:p>
    <w:p w14:paraId="458CBFD2"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14:ligatures w14:val="none"/>
        </w:rPr>
      </w:pPr>
      <w:r w:rsidRPr="003C5B80">
        <w:rPr>
          <w:rFonts w:ascii="Times New Roman" w:eastAsia="Times New Roman" w:hAnsi="Times New Roman" w:cs="Times New Roman"/>
          <w:b/>
          <w:bCs/>
          <w:kern w:val="0"/>
          <w14:ligatures w14:val="none"/>
        </w:rPr>
        <w:t>Payables Days</w:t>
      </w:r>
    </w:p>
    <w:p w14:paraId="43A7BB33"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Formula: Average Trade Payables ÷ Cost of Sales × 365</w:t>
      </w:r>
    </w:p>
    <w:p w14:paraId="14C55A30"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2023: 129 days</w:t>
      </w:r>
    </w:p>
    <w:p w14:paraId="7221A1ED"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2024: 144 days</w:t>
      </w:r>
    </w:p>
    <w:p w14:paraId="0F4DEDAC"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p>
    <w:p w14:paraId="0E6EEBDA" w14:textId="676F56A9"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sz w:val="28"/>
          <w:szCs w:val="28"/>
          <w14:ligatures w14:val="none"/>
        </w:rPr>
      </w:pPr>
      <w:r w:rsidRPr="003C5B80">
        <w:rPr>
          <w:rFonts w:ascii="Times New Roman" w:eastAsia="Times New Roman" w:hAnsi="Times New Roman" w:cs="Times New Roman"/>
          <w:b/>
          <w:bCs/>
          <w:kern w:val="0"/>
          <w:sz w:val="28"/>
          <w:szCs w:val="28"/>
          <w14:ligatures w14:val="none"/>
        </w:rPr>
        <w:t>Appendix F: Investor Ratios</w:t>
      </w:r>
    </w:p>
    <w:p w14:paraId="505ABEDF"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14:ligatures w14:val="none"/>
        </w:rPr>
      </w:pPr>
      <w:r w:rsidRPr="003C5B80">
        <w:rPr>
          <w:rFonts w:ascii="Times New Roman" w:eastAsia="Times New Roman" w:hAnsi="Times New Roman" w:cs="Times New Roman"/>
          <w:b/>
          <w:bCs/>
          <w:kern w:val="0"/>
          <w14:ligatures w14:val="none"/>
        </w:rPr>
        <w:t>Earnings per Share (EPS)</w:t>
      </w:r>
    </w:p>
    <w:p w14:paraId="44593F16"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2023: €2.82</w:t>
      </w:r>
    </w:p>
    <w:p w14:paraId="65AA5334" w14:textId="1187A0E1"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2024: €2.51</w:t>
      </w:r>
    </w:p>
    <w:p w14:paraId="5246D206"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14:ligatures w14:val="none"/>
        </w:rPr>
      </w:pPr>
      <w:r w:rsidRPr="003C5B80">
        <w:rPr>
          <w:rFonts w:ascii="Times New Roman" w:eastAsia="Times New Roman" w:hAnsi="Times New Roman" w:cs="Times New Roman"/>
          <w:b/>
          <w:bCs/>
          <w:kern w:val="0"/>
          <w14:ligatures w14:val="none"/>
        </w:rPr>
        <w:t>Dividend Ratios</w:t>
      </w:r>
    </w:p>
    <w:p w14:paraId="01F40BBF"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2023: DPS €1.72 | Dividend Cover 1.6×</w:t>
      </w:r>
    </w:p>
    <w:p w14:paraId="04E49F4B" w14:textId="5F586188"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2024: DPS €1.76 | Dividend Cover 1.4×</w:t>
      </w:r>
    </w:p>
    <w:p w14:paraId="51BFA15B"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14:ligatures w14:val="none"/>
        </w:rPr>
      </w:pPr>
      <w:r w:rsidRPr="003C5B80">
        <w:rPr>
          <w:rFonts w:ascii="Times New Roman" w:eastAsia="Times New Roman" w:hAnsi="Times New Roman" w:cs="Times New Roman"/>
          <w:b/>
          <w:bCs/>
          <w:kern w:val="0"/>
          <w14:ligatures w14:val="none"/>
        </w:rPr>
        <w:t>Price/Earnings Ratio</w:t>
      </w:r>
    </w:p>
    <w:p w14:paraId="3F9DF595"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2023: 18.5×</w:t>
      </w:r>
    </w:p>
    <w:p w14:paraId="29E319B1"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2024: 20.1×</w:t>
      </w:r>
    </w:p>
    <w:p w14:paraId="085D567F" w14:textId="624BEC6C" w:rsidR="003C5B80" w:rsidRPr="003C5B80" w:rsidRDefault="009002E3" w:rsidP="009002E3">
      <w:pPr>
        <w:pStyle w:val="Heading1"/>
        <w:rPr>
          <w:rFonts w:eastAsia="Times New Roman"/>
        </w:rPr>
      </w:pPr>
      <w:bookmarkStart w:id="58" w:name="_Toc219020689"/>
      <w:r>
        <w:rPr>
          <w:rFonts w:eastAsia="Times New Roman"/>
        </w:rPr>
        <w:t>Appendix 2</w:t>
      </w:r>
      <w:bookmarkEnd w:id="58"/>
    </w:p>
    <w:p w14:paraId="60573860" w14:textId="38F19834" w:rsidR="00731ADE" w:rsidRPr="00731ADE" w:rsidRDefault="009002E3" w:rsidP="00731ADE">
      <w:pPr>
        <w:spacing w:before="100" w:beforeAutospacing="1" w:after="100" w:afterAutospacing="1" w:line="360" w:lineRule="auto"/>
        <w:jc w:val="both"/>
        <w:rPr>
          <w:rFonts w:ascii="Times New Roman" w:eastAsia="Times New Roman" w:hAnsi="Times New Roman" w:cs="Times New Roman"/>
          <w:kern w:val="0"/>
          <w14:ligatures w14:val="none"/>
        </w:rPr>
      </w:pPr>
      <w:r w:rsidRPr="009002E3">
        <w:rPr>
          <w:noProof/>
        </w:rPr>
        <w:drawing>
          <wp:inline distT="0" distB="0" distL="0" distR="0" wp14:anchorId="77F7818C" wp14:editId="5F25671C">
            <wp:extent cx="3876675" cy="962025"/>
            <wp:effectExtent l="0" t="0" r="9525" b="9525"/>
            <wp:docPr id="783547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876675" cy="962025"/>
                    </a:xfrm>
                    <a:prstGeom prst="rect">
                      <a:avLst/>
                    </a:prstGeom>
                    <a:noFill/>
                    <a:ln>
                      <a:noFill/>
                    </a:ln>
                  </pic:spPr>
                </pic:pic>
              </a:graphicData>
            </a:graphic>
          </wp:inline>
        </w:drawing>
      </w:r>
    </w:p>
    <w:p w14:paraId="30C88980" w14:textId="77777777" w:rsidR="00851D84" w:rsidRPr="00851D84" w:rsidRDefault="00851D84" w:rsidP="00851D84">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bookmarkStart w:id="59" w:name="_Toc219020690"/>
      <w:r w:rsidRPr="00851D84">
        <w:rPr>
          <w:rFonts w:ascii="Times New Roman" w:eastAsia="Times New Roman" w:hAnsi="Times New Roman" w:cs="Times New Roman"/>
          <w:b/>
          <w:bCs/>
          <w:kern w:val="0"/>
          <w:sz w:val="27"/>
          <w:szCs w:val="27"/>
          <w14:ligatures w14:val="none"/>
        </w:rPr>
        <w:t>1. After-tax cash flows (all options)</w:t>
      </w:r>
      <w:bookmarkEnd w:id="59"/>
    </w:p>
    <w:p w14:paraId="184FB4B1" w14:textId="77777777" w:rsidR="00851D84" w:rsidRPr="00851D84" w:rsidRDefault="00851D84" w:rsidP="00851D84">
      <w:p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t>Corporation tax rate = 25%</w:t>
      </w:r>
      <w:r w:rsidRPr="00851D84">
        <w:rPr>
          <w:rFonts w:ascii="Times New Roman" w:eastAsia="Times New Roman" w:hAnsi="Times New Roman" w:cs="Times New Roman"/>
          <w:kern w:val="0"/>
          <w14:ligatures w14:val="none"/>
        </w:rPr>
        <w:br/>
        <w:t>Capital allowances = 20% straight-line per year</w:t>
      </w:r>
    </w:p>
    <w:p w14:paraId="44D39ED3" w14:textId="77777777" w:rsidR="00851D84" w:rsidRPr="00851D84" w:rsidRDefault="00851D84" w:rsidP="00851D84">
      <w:p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t>Annual capital allowance:</w:t>
      </w:r>
    </w:p>
    <w:p w14:paraId="0580EB28" w14:textId="77777777" w:rsidR="00851D84" w:rsidRPr="00851D84" w:rsidRDefault="00851D84" w:rsidP="00851D84">
      <w:pPr>
        <w:pStyle w:val="ListParagraph"/>
        <w:numPr>
          <w:ilvl w:val="0"/>
          <w:numId w:val="27"/>
        </w:num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t>Option A: 20% × £600,000 = £120,000</w:t>
      </w:r>
    </w:p>
    <w:p w14:paraId="3DCA2397" w14:textId="77777777" w:rsidR="00851D84" w:rsidRPr="00851D84" w:rsidRDefault="00851D84" w:rsidP="00851D84">
      <w:pPr>
        <w:pStyle w:val="ListParagraph"/>
        <w:numPr>
          <w:ilvl w:val="0"/>
          <w:numId w:val="27"/>
        </w:num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lastRenderedPageBreak/>
        <w:t>Option B: 20% × £1,000,000 = £200,000</w:t>
      </w:r>
    </w:p>
    <w:p w14:paraId="0EC42B54" w14:textId="77777777" w:rsidR="00851D84" w:rsidRPr="00851D84" w:rsidRDefault="00851D84" w:rsidP="00851D84">
      <w:pPr>
        <w:pStyle w:val="ListParagraph"/>
        <w:numPr>
          <w:ilvl w:val="0"/>
          <w:numId w:val="27"/>
        </w:num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t>Option C: 20% × £1,600,000 = £320,000</w:t>
      </w:r>
    </w:p>
    <w:p w14:paraId="36FCD2ED" w14:textId="1BB362D5" w:rsidR="00851D84" w:rsidRPr="00851D84" w:rsidRDefault="00851D84" w:rsidP="00851D84">
      <w:pPr>
        <w:spacing w:before="100" w:beforeAutospacing="1" w:after="100" w:afterAutospacing="1" w:line="240" w:lineRule="auto"/>
        <w:rPr>
          <w:rFonts w:ascii="Times New Roman" w:eastAsia="Times New Roman" w:hAnsi="Times New Roman" w:cs="Times New Roman"/>
          <w:b/>
          <w:bCs/>
          <w:kern w:val="0"/>
          <w14:ligatures w14:val="none"/>
        </w:rPr>
      </w:pPr>
      <w:r w:rsidRPr="00851D84">
        <w:rPr>
          <w:rFonts w:ascii="Times New Roman" w:eastAsia="Times New Roman" w:hAnsi="Times New Roman" w:cs="Times New Roman"/>
          <w:b/>
          <w:bCs/>
          <w:kern w:val="0"/>
          <w14:ligatures w14:val="none"/>
        </w:rPr>
        <w:t>After-tax cash flow formula:</w:t>
      </w:r>
    </w:p>
    <w:p w14:paraId="2A57FCA8" w14:textId="26EC397A" w:rsidR="00851D84" w:rsidRPr="00851D84" w:rsidRDefault="00851D84" w:rsidP="00851D84">
      <w:pPr>
        <w:spacing w:after="0" w:line="240" w:lineRule="auto"/>
        <w:rPr>
          <w:rFonts w:ascii="Times New Roman" w:eastAsia="Times New Roman" w:hAnsi="Times New Roman" w:cs="Times New Roman"/>
          <w:kern w:val="0"/>
          <w14:ligatures w14:val="none"/>
        </w:rPr>
      </w:pPr>
      <m:oMathPara>
        <m:oMath>
          <m:r>
            <m:rPr>
              <m:nor/>
            </m:rPr>
            <w:rPr>
              <w:rFonts w:ascii="Times New Roman" w:eastAsia="Times New Roman" w:hAnsi="Times New Roman" w:cs="Times New Roman"/>
              <w:kern w:val="0"/>
              <w14:ligatures w14:val="none"/>
            </w:rPr>
            <m:t>After-tax cash flow</m:t>
          </m:r>
          <m:r>
            <w:rPr>
              <w:rFonts w:ascii="Cambria Math" w:eastAsia="Times New Roman" w:hAnsi="Cambria Math" w:cs="Times New Roman"/>
              <w:kern w:val="0"/>
              <w14:ligatures w14:val="none"/>
            </w:rPr>
            <m:t>=(</m:t>
          </m:r>
          <m:r>
            <m:rPr>
              <m:nor/>
            </m:rPr>
            <w:rPr>
              <w:rFonts w:ascii="Times New Roman" w:eastAsia="Times New Roman" w:hAnsi="Times New Roman" w:cs="Times New Roman"/>
              <w:kern w:val="0"/>
              <w14:ligatures w14:val="none"/>
            </w:rPr>
            <m:t>Cash flow</m:t>
          </m:r>
          <m:r>
            <w:rPr>
              <w:rFonts w:ascii="Cambria Math" w:eastAsia="Times New Roman" w:hAnsi="Cambria Math" w:cs="Times New Roman"/>
              <w:kern w:val="0"/>
              <w14:ligatures w14:val="none"/>
            </w:rPr>
            <m:t>×(1-0.25))+(</m:t>
          </m:r>
          <m:r>
            <m:rPr>
              <m:nor/>
            </m:rPr>
            <w:rPr>
              <w:rFonts w:ascii="Times New Roman" w:eastAsia="Times New Roman" w:hAnsi="Times New Roman" w:cs="Times New Roman"/>
              <w:kern w:val="0"/>
              <w14:ligatures w14:val="none"/>
            </w:rPr>
            <m:t>Capital allowance</m:t>
          </m:r>
          <m:r>
            <w:rPr>
              <w:rFonts w:ascii="Cambria Math" w:eastAsia="Times New Roman" w:hAnsi="Cambria Math" w:cs="Times New Roman"/>
              <w:kern w:val="0"/>
              <w14:ligatures w14:val="none"/>
            </w:rPr>
            <m:t>×0.25)</m:t>
          </m:r>
          <m:r>
            <m:rPr>
              <m:sty m:val="p"/>
            </m:rPr>
            <w:rPr>
              <w:rFonts w:ascii="Times New Roman" w:eastAsia="Times New Roman" w:hAnsi="Times New Roman" w:cs="Times New Roman"/>
              <w:kern w:val="0"/>
              <w14:ligatures w14:val="none"/>
            </w:rPr>
            <w:br/>
          </m:r>
        </m:oMath>
      </m:oMathPara>
    </w:p>
    <w:p w14:paraId="0C8477C0" w14:textId="77777777" w:rsidR="00851D84" w:rsidRPr="00851D84" w:rsidRDefault="00851D84" w:rsidP="00851D84">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bookmarkStart w:id="60" w:name="_Toc219020691"/>
      <w:r w:rsidRPr="00851D84">
        <w:rPr>
          <w:rFonts w:ascii="Times New Roman" w:eastAsia="Times New Roman" w:hAnsi="Times New Roman" w:cs="Times New Roman"/>
          <w:b/>
          <w:bCs/>
          <w:kern w:val="0"/>
          <w:sz w:val="27"/>
          <w:szCs w:val="27"/>
          <w14:ligatures w14:val="none"/>
        </w:rPr>
        <w:t>2. Net Present Value (NPV)</w:t>
      </w:r>
      <w:bookmarkEnd w:id="60"/>
    </w:p>
    <w:p w14:paraId="50F2B580" w14:textId="77777777" w:rsidR="00851D84" w:rsidRPr="00851D84" w:rsidRDefault="00851D84" w:rsidP="00851D84">
      <w:p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t>Discount rate = 6%</w:t>
      </w:r>
    </w:p>
    <w:p w14:paraId="0A29C48C" w14:textId="77777777" w:rsidR="00851D84" w:rsidRPr="00851D84" w:rsidRDefault="00851D84" w:rsidP="00851D84">
      <w:pPr>
        <w:spacing w:after="0" w:line="240" w:lineRule="auto"/>
        <w:rPr>
          <w:rFonts w:ascii="Times New Roman" w:eastAsia="Times New Roman" w:hAnsi="Times New Roman" w:cs="Times New Roman"/>
          <w:kern w:val="0"/>
          <w14:ligatures w14:val="none"/>
        </w:rPr>
      </w:pPr>
      <m:oMathPara>
        <m:oMath>
          <m:r>
            <m:rPr>
              <m:nor/>
            </m:rPr>
            <w:rPr>
              <w:rFonts w:ascii="Times New Roman" w:eastAsia="Times New Roman" w:hAnsi="Times New Roman" w:cs="Times New Roman"/>
              <w:kern w:val="0"/>
              <w14:ligatures w14:val="none"/>
            </w:rPr>
            <m:t>NPV</m:t>
          </m:r>
          <m:r>
            <w:rPr>
              <w:rFonts w:ascii="Cambria Math" w:eastAsia="Times New Roman" w:hAnsi="Cambria Math" w:cs="Times New Roman"/>
              <w:kern w:val="0"/>
              <w14:ligatures w14:val="none"/>
            </w:rPr>
            <m:t>=∑</m:t>
          </m:r>
          <m:f>
            <m:fPr>
              <m:ctrlPr>
                <w:rPr>
                  <w:rFonts w:ascii="Cambria Math" w:eastAsia="Times New Roman" w:hAnsi="Cambria Math" w:cs="Times New Roman"/>
                  <w:kern w:val="0"/>
                  <w14:ligatures w14:val="none"/>
                </w:rPr>
              </m:ctrlPr>
            </m:fPr>
            <m:num>
              <m:r>
                <m:rPr>
                  <m:nor/>
                </m:rPr>
                <w:rPr>
                  <w:rFonts w:ascii="Times New Roman" w:eastAsia="Times New Roman" w:hAnsi="Times New Roman" w:cs="Times New Roman"/>
                  <w:kern w:val="0"/>
                  <w14:ligatures w14:val="none"/>
                </w:rPr>
                <m:t>After-tax cash flow</m:t>
              </m:r>
            </m:num>
            <m:den>
              <m:d>
                <m:dPr>
                  <m:sepChr m:val="+"/>
                  <m:endChr m:val=""/>
                  <m:ctrlPr>
                    <w:rPr>
                      <w:rFonts w:ascii="Cambria Math" w:eastAsia="Times New Roman" w:hAnsi="Cambria Math" w:cs="Times New Roman"/>
                      <w:kern w:val="0"/>
                      <w14:ligatures w14:val="none"/>
                    </w:rPr>
                  </m:ctrlPr>
                </m:dPr>
                <m:e>
                  <m:r>
                    <w:rPr>
                      <w:rFonts w:ascii="Cambria Math" w:eastAsia="Times New Roman" w:hAnsi="Cambria Math" w:cs="Times New Roman"/>
                      <w:kern w:val="0"/>
                      <w14:ligatures w14:val="none"/>
                    </w:rPr>
                    <m:t>1</m:t>
                  </m:r>
                </m:e>
                <m:e>
                  <m:r>
                    <w:rPr>
                      <w:rFonts w:ascii="Cambria Math" w:eastAsia="Times New Roman" w:hAnsi="Cambria Math" w:cs="Times New Roman"/>
                      <w:kern w:val="0"/>
                      <w14:ligatures w14:val="none"/>
                    </w:rPr>
                    <m:t>0.06</m:t>
                  </m:r>
                  <m:sSup>
                    <m:sSupPr>
                      <m:ctrlPr>
                        <w:rPr>
                          <w:rFonts w:ascii="Cambria Math" w:eastAsia="Times New Roman" w:hAnsi="Cambria Math" w:cs="Times New Roman"/>
                          <w:kern w:val="0"/>
                          <w14:ligatures w14:val="none"/>
                        </w:rPr>
                      </m:ctrlPr>
                    </m:sSupPr>
                    <m:e>
                      <m:r>
                        <w:rPr>
                          <w:rFonts w:ascii="Cambria Math" w:eastAsia="Times New Roman" w:hAnsi="Cambria Math" w:cs="Times New Roman"/>
                          <w:kern w:val="0"/>
                          <w14:ligatures w14:val="none"/>
                        </w:rPr>
                        <m:t>)</m:t>
                      </m:r>
                    </m:e>
                    <m:sup>
                      <m:r>
                        <w:rPr>
                          <w:rFonts w:ascii="Cambria Math" w:eastAsia="Times New Roman" w:hAnsi="Cambria Math" w:cs="Times New Roman"/>
                          <w:kern w:val="0"/>
                          <w14:ligatures w14:val="none"/>
                        </w:rPr>
                        <m:t>t</m:t>
                      </m:r>
                    </m:sup>
                  </m:sSup>
                </m:e>
              </m:d>
            </m:den>
          </m:f>
          <m:r>
            <w:rPr>
              <w:rFonts w:ascii="Cambria Math" w:eastAsia="Times New Roman" w:hAnsi="Cambria Math" w:cs="Times New Roman"/>
              <w:kern w:val="0"/>
              <w14:ligatures w14:val="none"/>
            </w:rPr>
            <m:t>-</m:t>
          </m:r>
          <m:r>
            <m:rPr>
              <m:nor/>
            </m:rPr>
            <w:rPr>
              <w:rFonts w:ascii="Times New Roman" w:eastAsia="Times New Roman" w:hAnsi="Times New Roman" w:cs="Times New Roman"/>
              <w:kern w:val="0"/>
              <w14:ligatures w14:val="none"/>
            </w:rPr>
            <m:t>Initial investment</m:t>
          </m:r>
          <m:r>
            <m:rPr>
              <m:sty m:val="p"/>
            </m:rPr>
            <w:rPr>
              <w:rFonts w:ascii="Times New Roman" w:eastAsia="Times New Roman" w:hAnsi="Times New Roman" w:cs="Times New Roman"/>
              <w:kern w:val="0"/>
              <w14:ligatures w14:val="none"/>
            </w:rPr>
            <w:br/>
          </m:r>
        </m:oMath>
      </m:oMathPara>
    </w:p>
    <w:p w14:paraId="7F65E88D" w14:textId="77777777" w:rsidR="00851D84" w:rsidRPr="00851D84" w:rsidRDefault="00851D84" w:rsidP="00851D84">
      <w:p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t>Final NPVs:</w:t>
      </w:r>
    </w:p>
    <w:p w14:paraId="0397642F" w14:textId="77777777" w:rsidR="00851D84" w:rsidRPr="00851D84" w:rsidRDefault="00851D84" w:rsidP="00851D84">
      <w:pPr>
        <w:pStyle w:val="ListParagraph"/>
        <w:numPr>
          <w:ilvl w:val="0"/>
          <w:numId w:val="26"/>
        </w:num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t>Option A = +£643.2k</w:t>
      </w:r>
    </w:p>
    <w:p w14:paraId="61EB1565" w14:textId="77777777" w:rsidR="00851D84" w:rsidRPr="00851D84" w:rsidRDefault="00851D84" w:rsidP="00851D84">
      <w:pPr>
        <w:pStyle w:val="ListParagraph"/>
        <w:numPr>
          <w:ilvl w:val="0"/>
          <w:numId w:val="26"/>
        </w:num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t>Option B = +£792.2k</w:t>
      </w:r>
    </w:p>
    <w:p w14:paraId="12A0B7FC" w14:textId="77777777" w:rsidR="00851D84" w:rsidRPr="00851D84" w:rsidRDefault="00851D84" w:rsidP="00851D84">
      <w:pPr>
        <w:pStyle w:val="ListParagraph"/>
        <w:numPr>
          <w:ilvl w:val="0"/>
          <w:numId w:val="26"/>
        </w:num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t>Option C = +£742.5k</w:t>
      </w:r>
    </w:p>
    <w:p w14:paraId="3ABEEE6D" w14:textId="4BE33901" w:rsidR="00851D84" w:rsidRPr="00851D84" w:rsidRDefault="00851D84" w:rsidP="00851D84">
      <w:pPr>
        <w:spacing w:after="0" w:line="240" w:lineRule="auto"/>
        <w:rPr>
          <w:rFonts w:ascii="Times New Roman" w:eastAsia="Times New Roman" w:hAnsi="Times New Roman" w:cs="Times New Roman"/>
          <w:kern w:val="0"/>
          <w14:ligatures w14:val="none"/>
        </w:rPr>
      </w:pPr>
    </w:p>
    <w:p w14:paraId="49CDA80F" w14:textId="77777777" w:rsidR="00851D84" w:rsidRPr="00851D84" w:rsidRDefault="00851D84" w:rsidP="00851D84">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bookmarkStart w:id="61" w:name="_Toc219020692"/>
      <w:r w:rsidRPr="00851D84">
        <w:rPr>
          <w:rFonts w:ascii="Times New Roman" w:eastAsia="Times New Roman" w:hAnsi="Times New Roman" w:cs="Times New Roman"/>
          <w:b/>
          <w:bCs/>
          <w:kern w:val="0"/>
          <w:sz w:val="27"/>
          <w:szCs w:val="27"/>
          <w14:ligatures w14:val="none"/>
        </w:rPr>
        <w:t>3. Internal Rate of Return (IRR)</w:t>
      </w:r>
      <w:bookmarkEnd w:id="61"/>
    </w:p>
    <w:p w14:paraId="71B526D5" w14:textId="3B27B39B" w:rsidR="00851D84" w:rsidRPr="00851D84" w:rsidRDefault="00851D84" w:rsidP="00851D84">
      <w:pPr>
        <w:spacing w:before="100" w:beforeAutospacing="1" w:after="100" w:afterAutospacing="1" w:line="240" w:lineRule="auto"/>
        <w:rPr>
          <w:rFonts w:ascii="Times New Roman" w:eastAsia="Times New Roman" w:hAnsi="Times New Roman" w:cs="Times New Roman"/>
          <w:kern w:val="0"/>
          <w14:ligatures w14:val="none"/>
        </w:rPr>
      </w:pPr>
    </w:p>
    <w:p w14:paraId="4D9F9BFC" w14:textId="77777777" w:rsidR="00851D84" w:rsidRPr="00851D84" w:rsidRDefault="00851D84" w:rsidP="00851D84">
      <w:pPr>
        <w:spacing w:after="0" w:line="240" w:lineRule="auto"/>
        <w:rPr>
          <w:rFonts w:ascii="Times New Roman" w:eastAsia="Times New Roman" w:hAnsi="Times New Roman" w:cs="Times New Roman"/>
          <w:kern w:val="0"/>
          <w14:ligatures w14:val="none"/>
        </w:rPr>
      </w:pPr>
      <m:oMathPara>
        <m:oMath>
          <m:r>
            <m:rPr>
              <m:nor/>
            </m:rPr>
            <w:rPr>
              <w:rFonts w:ascii="Times New Roman" w:eastAsia="Times New Roman" w:hAnsi="Times New Roman" w:cs="Times New Roman"/>
              <w:kern w:val="0"/>
              <w14:ligatures w14:val="none"/>
            </w:rPr>
            <m:t>IRR</m:t>
          </m:r>
          <m:r>
            <w:rPr>
              <w:rFonts w:ascii="Cambria Math" w:eastAsia="Times New Roman" w:hAnsi="Cambria Math" w:cs="Times New Roman"/>
              <w:kern w:val="0"/>
              <w14:ligatures w14:val="none"/>
            </w:rPr>
            <m:t>=</m:t>
          </m:r>
          <m:sSub>
            <m:sSubPr>
              <m:ctrlPr>
                <w:rPr>
                  <w:rFonts w:ascii="Cambria Math" w:eastAsia="Times New Roman" w:hAnsi="Cambria Math" w:cs="Times New Roman"/>
                  <w:kern w:val="0"/>
                  <w14:ligatures w14:val="none"/>
                </w:rPr>
              </m:ctrlPr>
            </m:sSubPr>
            <m:e>
              <m:r>
                <w:rPr>
                  <w:rFonts w:ascii="Cambria Math" w:eastAsia="Times New Roman" w:hAnsi="Cambria Math" w:cs="Times New Roman"/>
                  <w:kern w:val="0"/>
                  <w14:ligatures w14:val="none"/>
                </w:rPr>
                <m:t>r</m:t>
              </m:r>
            </m:e>
            <m:sub>
              <m:r>
                <w:rPr>
                  <w:rFonts w:ascii="Cambria Math" w:eastAsia="Times New Roman" w:hAnsi="Cambria Math" w:cs="Times New Roman"/>
                  <w:kern w:val="0"/>
                  <w14:ligatures w14:val="none"/>
                </w:rPr>
                <m:t>1</m:t>
              </m:r>
            </m:sub>
          </m:sSub>
          <m:r>
            <w:rPr>
              <w:rFonts w:ascii="Cambria Math" w:eastAsia="Times New Roman" w:hAnsi="Cambria Math" w:cs="Times New Roman"/>
              <w:kern w:val="0"/>
              <w14:ligatures w14:val="none"/>
            </w:rPr>
            <m:t>+</m:t>
          </m:r>
          <m:d>
            <m:dPr>
              <m:ctrlPr>
                <w:rPr>
                  <w:rFonts w:ascii="Cambria Math" w:eastAsia="Times New Roman" w:hAnsi="Cambria Math" w:cs="Times New Roman"/>
                  <w:kern w:val="0"/>
                  <w14:ligatures w14:val="none"/>
                </w:rPr>
              </m:ctrlPr>
            </m:dPr>
            <m:e>
              <m:f>
                <m:fPr>
                  <m:ctrlPr>
                    <w:rPr>
                      <w:rFonts w:ascii="Cambria Math" w:eastAsia="Times New Roman" w:hAnsi="Cambria Math" w:cs="Times New Roman"/>
                      <w:kern w:val="0"/>
                      <w14:ligatures w14:val="none"/>
                    </w:rPr>
                  </m:ctrlPr>
                </m:fPr>
                <m:num>
                  <m:sSub>
                    <m:sSubPr>
                      <m:ctrlPr>
                        <w:rPr>
                          <w:rFonts w:ascii="Cambria Math" w:eastAsia="Times New Roman" w:hAnsi="Cambria Math" w:cs="Times New Roman"/>
                          <w:kern w:val="0"/>
                          <w14:ligatures w14:val="none"/>
                        </w:rPr>
                      </m:ctrlPr>
                    </m:sSubPr>
                    <m:e>
                      <m:r>
                        <m:rPr>
                          <m:nor/>
                        </m:rPr>
                        <w:rPr>
                          <w:rFonts w:ascii="Times New Roman" w:eastAsia="Times New Roman" w:hAnsi="Times New Roman" w:cs="Times New Roman"/>
                          <w:kern w:val="0"/>
                          <w14:ligatures w14:val="none"/>
                        </w:rPr>
                        <m:t>NPV</m:t>
                      </m:r>
                    </m:e>
                    <m:sub>
                      <m:r>
                        <w:rPr>
                          <w:rFonts w:ascii="Cambria Math" w:eastAsia="Times New Roman" w:hAnsi="Cambria Math" w:cs="Times New Roman"/>
                          <w:kern w:val="0"/>
                          <w14:ligatures w14:val="none"/>
                        </w:rPr>
                        <m:t>1</m:t>
                      </m:r>
                    </m:sub>
                  </m:sSub>
                </m:num>
                <m:den>
                  <m:sSub>
                    <m:sSubPr>
                      <m:ctrlPr>
                        <w:rPr>
                          <w:rFonts w:ascii="Cambria Math" w:eastAsia="Times New Roman" w:hAnsi="Cambria Math" w:cs="Times New Roman"/>
                          <w:kern w:val="0"/>
                          <w14:ligatures w14:val="none"/>
                        </w:rPr>
                      </m:ctrlPr>
                    </m:sSubPr>
                    <m:e>
                      <m:r>
                        <m:rPr>
                          <m:nor/>
                        </m:rPr>
                        <w:rPr>
                          <w:rFonts w:ascii="Times New Roman" w:eastAsia="Times New Roman" w:hAnsi="Times New Roman" w:cs="Times New Roman"/>
                          <w:kern w:val="0"/>
                          <w14:ligatures w14:val="none"/>
                        </w:rPr>
                        <m:t>NPV</m:t>
                      </m:r>
                    </m:e>
                    <m:sub>
                      <m:r>
                        <w:rPr>
                          <w:rFonts w:ascii="Cambria Math" w:eastAsia="Times New Roman" w:hAnsi="Cambria Math" w:cs="Times New Roman"/>
                          <w:kern w:val="0"/>
                          <w14:ligatures w14:val="none"/>
                        </w:rPr>
                        <m:t>1</m:t>
                      </m:r>
                    </m:sub>
                  </m:sSub>
                  <m:r>
                    <w:rPr>
                      <w:rFonts w:ascii="Cambria Math" w:eastAsia="Times New Roman" w:hAnsi="Cambria Math" w:cs="Times New Roman"/>
                      <w:kern w:val="0"/>
                      <w14:ligatures w14:val="none"/>
                    </w:rPr>
                    <m:t>-</m:t>
                  </m:r>
                  <m:sSub>
                    <m:sSubPr>
                      <m:ctrlPr>
                        <w:rPr>
                          <w:rFonts w:ascii="Cambria Math" w:eastAsia="Times New Roman" w:hAnsi="Cambria Math" w:cs="Times New Roman"/>
                          <w:kern w:val="0"/>
                          <w14:ligatures w14:val="none"/>
                        </w:rPr>
                      </m:ctrlPr>
                    </m:sSubPr>
                    <m:e>
                      <m:r>
                        <m:rPr>
                          <m:nor/>
                        </m:rPr>
                        <w:rPr>
                          <w:rFonts w:ascii="Times New Roman" w:eastAsia="Times New Roman" w:hAnsi="Times New Roman" w:cs="Times New Roman"/>
                          <w:kern w:val="0"/>
                          <w14:ligatures w14:val="none"/>
                        </w:rPr>
                        <m:t>NPV</m:t>
                      </m:r>
                    </m:e>
                    <m:sub>
                      <m:r>
                        <w:rPr>
                          <w:rFonts w:ascii="Cambria Math" w:eastAsia="Times New Roman" w:hAnsi="Cambria Math" w:cs="Times New Roman"/>
                          <w:kern w:val="0"/>
                          <w14:ligatures w14:val="none"/>
                        </w:rPr>
                        <m:t>2</m:t>
                      </m:r>
                    </m:sub>
                  </m:sSub>
                </m:den>
              </m:f>
            </m:e>
          </m:d>
          <m:r>
            <w:rPr>
              <w:rFonts w:ascii="Cambria Math" w:eastAsia="Times New Roman" w:hAnsi="Cambria Math" w:cs="Times New Roman"/>
              <w:kern w:val="0"/>
              <w14:ligatures w14:val="none"/>
            </w:rPr>
            <m:t>(</m:t>
          </m:r>
          <m:sSub>
            <m:sSubPr>
              <m:ctrlPr>
                <w:rPr>
                  <w:rFonts w:ascii="Cambria Math" w:eastAsia="Times New Roman" w:hAnsi="Cambria Math" w:cs="Times New Roman"/>
                  <w:kern w:val="0"/>
                  <w14:ligatures w14:val="none"/>
                </w:rPr>
              </m:ctrlPr>
            </m:sSubPr>
            <m:e>
              <m:r>
                <w:rPr>
                  <w:rFonts w:ascii="Cambria Math" w:eastAsia="Times New Roman" w:hAnsi="Cambria Math" w:cs="Times New Roman"/>
                  <w:kern w:val="0"/>
                  <w14:ligatures w14:val="none"/>
                </w:rPr>
                <m:t>r</m:t>
              </m:r>
            </m:e>
            <m:sub>
              <m:r>
                <w:rPr>
                  <w:rFonts w:ascii="Cambria Math" w:eastAsia="Times New Roman" w:hAnsi="Cambria Math" w:cs="Times New Roman"/>
                  <w:kern w:val="0"/>
                  <w14:ligatures w14:val="none"/>
                </w:rPr>
                <m:t>2</m:t>
              </m:r>
            </m:sub>
          </m:sSub>
          <m:r>
            <w:rPr>
              <w:rFonts w:ascii="Cambria Math" w:eastAsia="Times New Roman" w:hAnsi="Cambria Math" w:cs="Times New Roman"/>
              <w:kern w:val="0"/>
              <w14:ligatures w14:val="none"/>
            </w:rPr>
            <m:t>-</m:t>
          </m:r>
          <m:sSub>
            <m:sSubPr>
              <m:ctrlPr>
                <w:rPr>
                  <w:rFonts w:ascii="Cambria Math" w:eastAsia="Times New Roman" w:hAnsi="Cambria Math" w:cs="Times New Roman"/>
                  <w:kern w:val="0"/>
                  <w14:ligatures w14:val="none"/>
                </w:rPr>
              </m:ctrlPr>
            </m:sSubPr>
            <m:e>
              <m:r>
                <w:rPr>
                  <w:rFonts w:ascii="Cambria Math" w:eastAsia="Times New Roman" w:hAnsi="Cambria Math" w:cs="Times New Roman"/>
                  <w:kern w:val="0"/>
                  <w14:ligatures w14:val="none"/>
                </w:rPr>
                <m:t>r</m:t>
              </m:r>
            </m:e>
            <m:sub>
              <m:r>
                <w:rPr>
                  <w:rFonts w:ascii="Cambria Math" w:eastAsia="Times New Roman" w:hAnsi="Cambria Math" w:cs="Times New Roman"/>
                  <w:kern w:val="0"/>
                  <w14:ligatures w14:val="none"/>
                </w:rPr>
                <m:t>1</m:t>
              </m:r>
            </m:sub>
          </m:sSub>
          <m:r>
            <w:rPr>
              <w:rFonts w:ascii="Cambria Math" w:eastAsia="Times New Roman" w:hAnsi="Cambria Math" w:cs="Times New Roman"/>
              <w:kern w:val="0"/>
              <w14:ligatures w14:val="none"/>
            </w:rPr>
            <m:t>)</m:t>
          </m:r>
          <m:r>
            <m:rPr>
              <m:sty m:val="p"/>
            </m:rPr>
            <w:rPr>
              <w:rFonts w:ascii="Times New Roman" w:eastAsia="Times New Roman" w:hAnsi="Times New Roman" w:cs="Times New Roman"/>
              <w:kern w:val="0"/>
              <w14:ligatures w14:val="none"/>
            </w:rPr>
            <w:br/>
          </m:r>
        </m:oMath>
      </m:oMathPara>
    </w:p>
    <w:p w14:paraId="7F2FEDE2" w14:textId="77777777" w:rsidR="00851D84" w:rsidRPr="00851D84" w:rsidRDefault="00851D84" w:rsidP="00851D84">
      <w:p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t>Final IRRs:</w:t>
      </w:r>
    </w:p>
    <w:p w14:paraId="6CC5E10C" w14:textId="77777777" w:rsidR="00851D84" w:rsidRPr="00785722" w:rsidRDefault="00851D84" w:rsidP="00851D84">
      <w:pPr>
        <w:pStyle w:val="ListParagraph"/>
        <w:numPr>
          <w:ilvl w:val="0"/>
          <w:numId w:val="25"/>
        </w:num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t>Option A ≈ 39.0%</w:t>
      </w:r>
    </w:p>
    <w:p w14:paraId="7E578390" w14:textId="77777777" w:rsidR="00851D84" w:rsidRPr="00785722" w:rsidRDefault="00851D84" w:rsidP="00851D84">
      <w:pPr>
        <w:pStyle w:val="ListParagraph"/>
        <w:numPr>
          <w:ilvl w:val="0"/>
          <w:numId w:val="25"/>
        </w:num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t>Option B ≈ 32.1%</w:t>
      </w:r>
    </w:p>
    <w:p w14:paraId="7E5F3567" w14:textId="77777777" w:rsidR="00851D84" w:rsidRPr="00785722" w:rsidRDefault="00851D84" w:rsidP="00851D84">
      <w:pPr>
        <w:pStyle w:val="ListParagraph"/>
        <w:numPr>
          <w:ilvl w:val="0"/>
          <w:numId w:val="25"/>
        </w:num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t>Option C ≈ 22.2%</w:t>
      </w:r>
    </w:p>
    <w:p w14:paraId="2590A7A1" w14:textId="670EBAF8" w:rsidR="00851D84" w:rsidRPr="00851D84" w:rsidRDefault="00851D84" w:rsidP="00851D84">
      <w:pPr>
        <w:spacing w:after="0" w:line="240" w:lineRule="auto"/>
        <w:rPr>
          <w:rFonts w:ascii="Times New Roman" w:eastAsia="Times New Roman" w:hAnsi="Times New Roman" w:cs="Times New Roman"/>
          <w:kern w:val="0"/>
          <w14:ligatures w14:val="none"/>
        </w:rPr>
      </w:pPr>
    </w:p>
    <w:p w14:paraId="397BA507" w14:textId="77777777" w:rsidR="00851D84" w:rsidRPr="00851D84" w:rsidRDefault="00851D84" w:rsidP="00851D84">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bookmarkStart w:id="62" w:name="_Toc219020693"/>
      <w:r w:rsidRPr="00851D84">
        <w:rPr>
          <w:rFonts w:ascii="Times New Roman" w:eastAsia="Times New Roman" w:hAnsi="Times New Roman" w:cs="Times New Roman"/>
          <w:b/>
          <w:bCs/>
          <w:kern w:val="0"/>
          <w:sz w:val="27"/>
          <w:szCs w:val="27"/>
          <w14:ligatures w14:val="none"/>
        </w:rPr>
        <w:t>4. Payback Period</w:t>
      </w:r>
      <w:bookmarkEnd w:id="62"/>
    </w:p>
    <w:p w14:paraId="058AB845" w14:textId="77777777" w:rsidR="00851D84" w:rsidRPr="00851D84" w:rsidRDefault="00851D84" w:rsidP="00851D84">
      <w:pPr>
        <w:spacing w:after="0" w:line="240" w:lineRule="auto"/>
        <w:rPr>
          <w:rFonts w:ascii="Times New Roman" w:eastAsia="Times New Roman" w:hAnsi="Times New Roman" w:cs="Times New Roman"/>
          <w:kern w:val="0"/>
          <w14:ligatures w14:val="none"/>
        </w:rPr>
      </w:pPr>
      <m:oMathPara>
        <m:oMath>
          <m:r>
            <m:rPr>
              <m:nor/>
            </m:rPr>
            <w:rPr>
              <w:rFonts w:ascii="Times New Roman" w:eastAsia="Times New Roman" w:hAnsi="Times New Roman" w:cs="Times New Roman"/>
              <w:kern w:val="0"/>
              <w14:ligatures w14:val="none"/>
            </w:rPr>
            <m:t>Payback</m:t>
          </m:r>
          <m:r>
            <w:rPr>
              <w:rFonts w:ascii="Cambria Math" w:eastAsia="Times New Roman" w:hAnsi="Cambria Math" w:cs="Times New Roman"/>
              <w:kern w:val="0"/>
              <w14:ligatures w14:val="none"/>
            </w:rPr>
            <m:t>=</m:t>
          </m:r>
          <m:r>
            <m:rPr>
              <m:nor/>
            </m:rPr>
            <w:rPr>
              <w:rFonts w:ascii="Times New Roman" w:eastAsia="Times New Roman" w:hAnsi="Times New Roman" w:cs="Times New Roman"/>
              <w:kern w:val="0"/>
              <w14:ligatures w14:val="none"/>
            </w:rPr>
            <m:t>Years before recovery</m:t>
          </m:r>
          <m:r>
            <w:rPr>
              <w:rFonts w:ascii="Cambria Math" w:eastAsia="Times New Roman" w:hAnsi="Cambria Math" w:cs="Times New Roman"/>
              <w:kern w:val="0"/>
              <w14:ligatures w14:val="none"/>
            </w:rPr>
            <m:t>+</m:t>
          </m:r>
          <m:f>
            <m:fPr>
              <m:ctrlPr>
                <w:rPr>
                  <w:rFonts w:ascii="Cambria Math" w:eastAsia="Times New Roman" w:hAnsi="Cambria Math" w:cs="Times New Roman"/>
                  <w:kern w:val="0"/>
                  <w14:ligatures w14:val="none"/>
                </w:rPr>
              </m:ctrlPr>
            </m:fPr>
            <m:num>
              <m:r>
                <m:rPr>
                  <m:nor/>
                </m:rPr>
                <w:rPr>
                  <w:rFonts w:ascii="Times New Roman" w:eastAsia="Times New Roman" w:hAnsi="Times New Roman" w:cs="Times New Roman"/>
                  <w:kern w:val="0"/>
                  <w14:ligatures w14:val="none"/>
                </w:rPr>
                <m:t>Unrecovered balance</m:t>
              </m:r>
            </m:num>
            <m:den>
              <m:r>
                <m:rPr>
                  <m:nor/>
                </m:rPr>
                <w:rPr>
                  <w:rFonts w:ascii="Times New Roman" w:eastAsia="Times New Roman" w:hAnsi="Times New Roman" w:cs="Times New Roman"/>
                  <w:kern w:val="0"/>
                  <w14:ligatures w14:val="none"/>
                </w:rPr>
                <m:t>Cash flow in recovery year</m:t>
              </m:r>
            </m:den>
          </m:f>
          <m:r>
            <m:rPr>
              <m:sty m:val="p"/>
            </m:rPr>
            <w:rPr>
              <w:rFonts w:ascii="Times New Roman" w:eastAsia="Times New Roman" w:hAnsi="Times New Roman" w:cs="Times New Roman"/>
              <w:kern w:val="0"/>
              <w14:ligatures w14:val="none"/>
            </w:rPr>
            <w:br/>
          </m:r>
        </m:oMath>
      </m:oMathPara>
    </w:p>
    <w:p w14:paraId="35CBD56E" w14:textId="77777777" w:rsidR="00851D84" w:rsidRPr="00851D84" w:rsidRDefault="00851D84" w:rsidP="00851D84">
      <w:p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lastRenderedPageBreak/>
        <w:t>Payback periods:</w:t>
      </w:r>
    </w:p>
    <w:p w14:paraId="67C7B6CC" w14:textId="77777777" w:rsidR="00851D84" w:rsidRPr="00785722" w:rsidRDefault="00851D84" w:rsidP="00851D84">
      <w:pPr>
        <w:pStyle w:val="ListParagraph"/>
        <w:numPr>
          <w:ilvl w:val="0"/>
          <w:numId w:val="24"/>
        </w:num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t>Option A ≈ 2.22 years</w:t>
      </w:r>
    </w:p>
    <w:p w14:paraId="73BCA824" w14:textId="77777777" w:rsidR="00851D84" w:rsidRPr="00785722" w:rsidRDefault="00851D84" w:rsidP="00851D84">
      <w:pPr>
        <w:pStyle w:val="ListParagraph"/>
        <w:numPr>
          <w:ilvl w:val="0"/>
          <w:numId w:val="24"/>
        </w:num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t>Option B ≈ 2.44 years</w:t>
      </w:r>
    </w:p>
    <w:p w14:paraId="278B6CD5" w14:textId="77777777" w:rsidR="00851D84" w:rsidRPr="00785722" w:rsidRDefault="00851D84" w:rsidP="00851D84">
      <w:pPr>
        <w:pStyle w:val="ListParagraph"/>
        <w:numPr>
          <w:ilvl w:val="0"/>
          <w:numId w:val="24"/>
        </w:num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t>Option C ≈ 2.76 years</w:t>
      </w:r>
    </w:p>
    <w:p w14:paraId="2ADAF5AE" w14:textId="7D221048" w:rsidR="00851D84" w:rsidRPr="00851D84" w:rsidRDefault="00851D84" w:rsidP="00851D84">
      <w:pPr>
        <w:spacing w:after="0" w:line="240" w:lineRule="auto"/>
        <w:rPr>
          <w:rFonts w:ascii="Times New Roman" w:eastAsia="Times New Roman" w:hAnsi="Times New Roman" w:cs="Times New Roman"/>
          <w:kern w:val="0"/>
          <w14:ligatures w14:val="none"/>
        </w:rPr>
      </w:pPr>
    </w:p>
    <w:p w14:paraId="2D0FE6EF" w14:textId="77777777" w:rsidR="00851D84" w:rsidRPr="00851D84" w:rsidRDefault="00851D84" w:rsidP="00851D84">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bookmarkStart w:id="63" w:name="_Toc219020694"/>
      <w:r w:rsidRPr="00851D84">
        <w:rPr>
          <w:rFonts w:ascii="Times New Roman" w:eastAsia="Times New Roman" w:hAnsi="Times New Roman" w:cs="Times New Roman"/>
          <w:b/>
          <w:bCs/>
          <w:kern w:val="0"/>
          <w:sz w:val="27"/>
          <w:szCs w:val="27"/>
          <w14:ligatures w14:val="none"/>
        </w:rPr>
        <w:t>5. Accounting Rate of Return (ARR)</w:t>
      </w:r>
      <w:bookmarkEnd w:id="63"/>
    </w:p>
    <w:p w14:paraId="561B26AE" w14:textId="77777777" w:rsidR="00851D84" w:rsidRPr="00851D84" w:rsidRDefault="00851D84" w:rsidP="00851D84">
      <w:p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t>Straight-line depreciation over 4 years:</w:t>
      </w:r>
    </w:p>
    <w:p w14:paraId="6AA7C277" w14:textId="77777777" w:rsidR="00851D84" w:rsidRPr="00851D84" w:rsidRDefault="00851D84" w:rsidP="00851D84">
      <w:pPr>
        <w:spacing w:after="0" w:line="240" w:lineRule="auto"/>
        <w:rPr>
          <w:rFonts w:ascii="Times New Roman" w:eastAsia="Times New Roman" w:hAnsi="Times New Roman" w:cs="Times New Roman"/>
          <w:kern w:val="0"/>
          <w14:ligatures w14:val="none"/>
        </w:rPr>
      </w:pPr>
      <m:oMathPara>
        <m:oMath>
          <m:r>
            <m:rPr>
              <m:nor/>
            </m:rPr>
            <w:rPr>
              <w:rFonts w:ascii="Times New Roman" w:eastAsia="Times New Roman" w:hAnsi="Times New Roman" w:cs="Times New Roman"/>
              <w:kern w:val="0"/>
              <w14:ligatures w14:val="none"/>
            </w:rPr>
            <m:t>ARR</m:t>
          </m:r>
          <m:r>
            <w:rPr>
              <w:rFonts w:ascii="Cambria Math" w:eastAsia="Times New Roman" w:hAnsi="Cambria Math" w:cs="Times New Roman"/>
              <w:kern w:val="0"/>
              <w14:ligatures w14:val="none"/>
            </w:rPr>
            <m:t>=</m:t>
          </m:r>
          <m:f>
            <m:fPr>
              <m:ctrlPr>
                <w:rPr>
                  <w:rFonts w:ascii="Cambria Math" w:eastAsia="Times New Roman" w:hAnsi="Cambria Math" w:cs="Times New Roman"/>
                  <w:kern w:val="0"/>
                  <w14:ligatures w14:val="none"/>
                </w:rPr>
              </m:ctrlPr>
            </m:fPr>
            <m:num>
              <m:r>
                <m:rPr>
                  <m:nor/>
                </m:rPr>
                <w:rPr>
                  <w:rFonts w:ascii="Times New Roman" w:eastAsia="Times New Roman" w:hAnsi="Times New Roman" w:cs="Times New Roman"/>
                  <w:kern w:val="0"/>
                  <w14:ligatures w14:val="none"/>
                </w:rPr>
                <m:t>Average annual accounting profit after tax</m:t>
              </m:r>
            </m:num>
            <m:den>
              <m:r>
                <m:rPr>
                  <m:nor/>
                </m:rPr>
                <w:rPr>
                  <w:rFonts w:ascii="Times New Roman" w:eastAsia="Times New Roman" w:hAnsi="Times New Roman" w:cs="Times New Roman"/>
                  <w:kern w:val="0"/>
                  <w14:ligatures w14:val="none"/>
                </w:rPr>
                <m:t>Initial investment</m:t>
              </m:r>
            </m:den>
          </m:f>
          <m:r>
            <w:rPr>
              <w:rFonts w:ascii="Cambria Math" w:eastAsia="Times New Roman" w:hAnsi="Cambria Math" w:cs="Times New Roman"/>
              <w:kern w:val="0"/>
              <w14:ligatures w14:val="none"/>
            </w:rPr>
            <m:t>×100</m:t>
          </m:r>
          <m:r>
            <m:rPr>
              <m:sty m:val="p"/>
            </m:rPr>
            <w:rPr>
              <w:rFonts w:ascii="Times New Roman" w:eastAsia="Times New Roman" w:hAnsi="Times New Roman" w:cs="Times New Roman"/>
              <w:kern w:val="0"/>
              <w14:ligatures w14:val="none"/>
            </w:rPr>
            <w:br/>
          </m:r>
        </m:oMath>
      </m:oMathPara>
    </w:p>
    <w:p w14:paraId="40DC4697" w14:textId="77777777" w:rsidR="00851D84" w:rsidRPr="00851D84" w:rsidRDefault="00851D84" w:rsidP="00851D84">
      <w:p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t>ARRs:</w:t>
      </w:r>
    </w:p>
    <w:p w14:paraId="5D8CF641" w14:textId="77777777" w:rsidR="00851D84" w:rsidRPr="00785722" w:rsidRDefault="00851D84" w:rsidP="00851D84">
      <w:pPr>
        <w:pStyle w:val="ListParagraph"/>
        <w:numPr>
          <w:ilvl w:val="0"/>
          <w:numId w:val="23"/>
        </w:num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t>Option A ≈ 37.5%</w:t>
      </w:r>
    </w:p>
    <w:p w14:paraId="03D00EEF" w14:textId="77777777" w:rsidR="00851D84" w:rsidRPr="00785722" w:rsidRDefault="00851D84" w:rsidP="00851D84">
      <w:pPr>
        <w:pStyle w:val="ListParagraph"/>
        <w:numPr>
          <w:ilvl w:val="0"/>
          <w:numId w:val="23"/>
        </w:num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t>Option B ≈ 29.1%</w:t>
      </w:r>
    </w:p>
    <w:p w14:paraId="5FD988D7" w14:textId="77777777" w:rsidR="00851D84" w:rsidRPr="00785722" w:rsidRDefault="00851D84" w:rsidP="00851D84">
      <w:pPr>
        <w:pStyle w:val="ListParagraph"/>
        <w:numPr>
          <w:ilvl w:val="0"/>
          <w:numId w:val="23"/>
        </w:num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t>Option C ≈ 19.3%</w:t>
      </w:r>
    </w:p>
    <w:p w14:paraId="37638BC7" w14:textId="1ED7853B" w:rsidR="00851D84" w:rsidRPr="00851D84" w:rsidRDefault="00851D84" w:rsidP="00851D84">
      <w:pPr>
        <w:spacing w:after="0" w:line="240" w:lineRule="auto"/>
        <w:rPr>
          <w:rFonts w:ascii="Times New Roman" w:eastAsia="Times New Roman" w:hAnsi="Times New Roman" w:cs="Times New Roman"/>
          <w:kern w:val="0"/>
          <w14:ligatures w14:val="none"/>
        </w:rPr>
      </w:pPr>
    </w:p>
    <w:p w14:paraId="00F62BCF" w14:textId="77777777" w:rsidR="00851D84" w:rsidRPr="00851D84" w:rsidRDefault="00851D84" w:rsidP="00851D84">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bookmarkStart w:id="64" w:name="_Toc219020695"/>
      <w:r w:rsidRPr="00851D84">
        <w:rPr>
          <w:rFonts w:ascii="Times New Roman" w:eastAsia="Times New Roman" w:hAnsi="Times New Roman" w:cs="Times New Roman"/>
          <w:b/>
          <w:bCs/>
          <w:kern w:val="0"/>
          <w:sz w:val="27"/>
          <w:szCs w:val="27"/>
          <w14:ligatures w14:val="none"/>
        </w:rPr>
        <w:t>6. Profitability Index (Capital Rationing)</w:t>
      </w:r>
      <w:bookmarkEnd w:id="64"/>
    </w:p>
    <w:p w14:paraId="7EFB67DB" w14:textId="77777777" w:rsidR="00851D84" w:rsidRPr="00851D84" w:rsidRDefault="00851D84" w:rsidP="00851D84">
      <w:pPr>
        <w:spacing w:after="0" w:line="240" w:lineRule="auto"/>
        <w:rPr>
          <w:rFonts w:ascii="Times New Roman" w:eastAsia="Times New Roman" w:hAnsi="Times New Roman" w:cs="Times New Roman"/>
          <w:kern w:val="0"/>
          <w14:ligatures w14:val="none"/>
        </w:rPr>
      </w:pPr>
      <m:oMathPara>
        <m:oMath>
          <m:r>
            <m:rPr>
              <m:nor/>
            </m:rPr>
            <w:rPr>
              <w:rFonts w:ascii="Times New Roman" w:eastAsia="Times New Roman" w:hAnsi="Times New Roman" w:cs="Times New Roman"/>
              <w:kern w:val="0"/>
              <w14:ligatures w14:val="none"/>
            </w:rPr>
            <m:t>PI</m:t>
          </m:r>
          <m:r>
            <w:rPr>
              <w:rFonts w:ascii="Cambria Math" w:eastAsia="Times New Roman" w:hAnsi="Cambria Math" w:cs="Times New Roman"/>
              <w:kern w:val="0"/>
              <w14:ligatures w14:val="none"/>
            </w:rPr>
            <m:t>=</m:t>
          </m:r>
          <m:f>
            <m:fPr>
              <m:ctrlPr>
                <w:rPr>
                  <w:rFonts w:ascii="Cambria Math" w:eastAsia="Times New Roman" w:hAnsi="Cambria Math" w:cs="Times New Roman"/>
                  <w:kern w:val="0"/>
                  <w14:ligatures w14:val="none"/>
                </w:rPr>
              </m:ctrlPr>
            </m:fPr>
            <m:num>
              <m:r>
                <m:rPr>
                  <m:nor/>
                </m:rPr>
                <w:rPr>
                  <w:rFonts w:ascii="Times New Roman" w:eastAsia="Times New Roman" w:hAnsi="Times New Roman" w:cs="Times New Roman"/>
                  <w:kern w:val="0"/>
                  <w14:ligatures w14:val="none"/>
                </w:rPr>
                <m:t>Present value of inflows</m:t>
              </m:r>
            </m:num>
            <m:den>
              <m:r>
                <m:rPr>
                  <m:nor/>
                </m:rPr>
                <w:rPr>
                  <w:rFonts w:ascii="Times New Roman" w:eastAsia="Times New Roman" w:hAnsi="Times New Roman" w:cs="Times New Roman"/>
                  <w:kern w:val="0"/>
                  <w14:ligatures w14:val="none"/>
                </w:rPr>
                <m:t>Initial investment</m:t>
              </m:r>
            </m:den>
          </m:f>
          <m:r>
            <m:rPr>
              <m:sty m:val="p"/>
            </m:rPr>
            <w:rPr>
              <w:rFonts w:ascii="Times New Roman" w:eastAsia="Times New Roman" w:hAnsi="Times New Roman" w:cs="Times New Roman"/>
              <w:kern w:val="0"/>
              <w14:ligatures w14:val="none"/>
            </w:rPr>
            <w:br/>
          </m:r>
        </m:oMath>
      </m:oMathPara>
    </w:p>
    <w:p w14:paraId="0DCC3D97" w14:textId="77777777" w:rsidR="00851D84" w:rsidRPr="00851D84" w:rsidRDefault="00851D84" w:rsidP="00851D84">
      <w:p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t>PIs:</w:t>
      </w:r>
    </w:p>
    <w:p w14:paraId="6F6380A0" w14:textId="77777777" w:rsidR="00851D84" w:rsidRPr="00785722" w:rsidRDefault="00851D84" w:rsidP="00851D84">
      <w:pPr>
        <w:pStyle w:val="ListParagraph"/>
        <w:numPr>
          <w:ilvl w:val="0"/>
          <w:numId w:val="22"/>
        </w:num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t>Option A ≈ 2.07</w:t>
      </w:r>
    </w:p>
    <w:p w14:paraId="574A71DC" w14:textId="77777777" w:rsidR="00851D84" w:rsidRPr="00785722" w:rsidRDefault="00851D84" w:rsidP="00851D84">
      <w:pPr>
        <w:pStyle w:val="ListParagraph"/>
        <w:numPr>
          <w:ilvl w:val="0"/>
          <w:numId w:val="22"/>
        </w:num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t>Option B ≈ 1.79</w:t>
      </w:r>
    </w:p>
    <w:p w14:paraId="5DFEE8F3" w14:textId="77777777" w:rsidR="00851D84" w:rsidRPr="00785722" w:rsidRDefault="00851D84" w:rsidP="00851D84">
      <w:pPr>
        <w:pStyle w:val="ListParagraph"/>
        <w:numPr>
          <w:ilvl w:val="0"/>
          <w:numId w:val="22"/>
        </w:num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t>Option C ≈ 1.46</w:t>
      </w:r>
    </w:p>
    <w:p w14:paraId="173B9EED" w14:textId="77777777" w:rsidR="00851D84" w:rsidRPr="00851D84" w:rsidRDefault="00851D84" w:rsidP="00851D84">
      <w:p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t>With £2.5m available:</w:t>
      </w:r>
    </w:p>
    <w:p w14:paraId="654CAC1C" w14:textId="77777777" w:rsidR="00851D84" w:rsidRPr="00851D84" w:rsidRDefault="00851D84" w:rsidP="00851D84">
      <w:pPr>
        <w:pStyle w:val="ListParagraph"/>
        <w:numPr>
          <w:ilvl w:val="0"/>
          <w:numId w:val="21"/>
        </w:num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t>A and B undertaken in full</w:t>
      </w:r>
    </w:p>
    <w:p w14:paraId="497388FC" w14:textId="5BB12DE9" w:rsidR="00851D84" w:rsidRPr="00785722" w:rsidRDefault="00851D84" w:rsidP="00785722">
      <w:p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t>Option C undertaken</w:t>
      </w:r>
      <w:r w:rsidR="00785722" w:rsidRPr="00785722">
        <w:rPr>
          <w:rFonts w:ascii="Times New Roman" w:eastAsia="Times New Roman" w:hAnsi="Times New Roman" w:cs="Times New Roman"/>
          <w:kern w:val="0"/>
          <w14:ligatures w14:val="none"/>
        </w:rPr>
        <w:t xml:space="preserve">: </w:t>
      </w:r>
    </w:p>
    <w:p w14:paraId="294F9ADA" w14:textId="77777777" w:rsidR="00785722" w:rsidRPr="00785722" w:rsidRDefault="00785722" w:rsidP="00785722">
      <w:p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t>Total capital available = £2,500,000</w:t>
      </w:r>
    </w:p>
    <w:p w14:paraId="6DF464AD" w14:textId="77777777" w:rsidR="00785722" w:rsidRPr="00785722" w:rsidRDefault="00785722" w:rsidP="00785722">
      <w:p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lastRenderedPageBreak/>
        <w:t>Capital committed to Option A = £600,000</w:t>
      </w:r>
      <w:r w:rsidRPr="00785722">
        <w:rPr>
          <w:rFonts w:ascii="Times New Roman" w:eastAsia="Times New Roman" w:hAnsi="Times New Roman" w:cs="Times New Roman"/>
          <w:kern w:val="0"/>
          <w14:ligatures w14:val="none"/>
        </w:rPr>
        <w:br/>
        <w:t>Capital committed to Option B = £1,000,000</w:t>
      </w:r>
    </w:p>
    <w:p w14:paraId="53C725A0" w14:textId="77777777" w:rsidR="00785722" w:rsidRPr="00785722" w:rsidRDefault="00785722" w:rsidP="00785722">
      <w:p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t>Remaining capital available:</w:t>
      </w:r>
    </w:p>
    <w:p w14:paraId="19FB50CE" w14:textId="77777777" w:rsidR="00785722" w:rsidRPr="00785722" w:rsidRDefault="00785722" w:rsidP="00785722">
      <w:pPr>
        <w:spacing w:after="0" w:line="240" w:lineRule="auto"/>
        <w:rPr>
          <w:rFonts w:ascii="Times New Roman" w:eastAsia="Times New Roman" w:hAnsi="Times New Roman" w:cs="Times New Roman"/>
          <w:kern w:val="0"/>
          <w14:ligatures w14:val="none"/>
        </w:rPr>
      </w:pPr>
      <m:oMathPara>
        <m:oMath>
          <m:r>
            <m:rPr>
              <m:sty m:val="p"/>
            </m:rPr>
            <w:rPr>
              <w:rFonts w:ascii="Cambria Math" w:eastAsia="Times New Roman" w:hAnsi="Cambria Math" w:cs="Times New Roman"/>
              <w:kern w:val="0"/>
              <w14:ligatures w14:val="none"/>
            </w:rPr>
            <m:t>£</m:t>
          </m:r>
          <m:r>
            <w:rPr>
              <w:rFonts w:ascii="Cambria Math" w:eastAsia="Times New Roman" w:hAnsi="Cambria Math" w:cs="Times New Roman"/>
              <w:kern w:val="0"/>
              <w14:ligatures w14:val="none"/>
            </w:rPr>
            <m:t>2,500,000-(</m:t>
          </m:r>
          <m:r>
            <m:rPr>
              <m:sty m:val="p"/>
            </m:rPr>
            <w:rPr>
              <w:rFonts w:ascii="Cambria Math" w:eastAsia="Times New Roman" w:hAnsi="Cambria Math" w:cs="Times New Roman"/>
              <w:kern w:val="0"/>
              <w14:ligatures w14:val="none"/>
            </w:rPr>
            <m:t>£</m:t>
          </m:r>
          <m:r>
            <w:rPr>
              <w:rFonts w:ascii="Cambria Math" w:eastAsia="Times New Roman" w:hAnsi="Cambria Math" w:cs="Times New Roman"/>
              <w:kern w:val="0"/>
              <w14:ligatures w14:val="none"/>
            </w:rPr>
            <m:t>600,000+</m:t>
          </m:r>
          <m:r>
            <m:rPr>
              <m:sty m:val="p"/>
            </m:rPr>
            <w:rPr>
              <w:rFonts w:ascii="Cambria Math" w:eastAsia="Times New Roman" w:hAnsi="Cambria Math" w:cs="Times New Roman"/>
              <w:kern w:val="0"/>
              <w14:ligatures w14:val="none"/>
            </w:rPr>
            <m:t>£</m:t>
          </m:r>
          <m:r>
            <w:rPr>
              <w:rFonts w:ascii="Cambria Math" w:eastAsia="Times New Roman" w:hAnsi="Cambria Math" w:cs="Times New Roman"/>
              <w:kern w:val="0"/>
              <w14:ligatures w14:val="none"/>
            </w:rPr>
            <m:t>1,000,000)=</m:t>
          </m:r>
          <m:r>
            <m:rPr>
              <m:sty m:val="p"/>
            </m:rPr>
            <w:rPr>
              <w:rFonts w:ascii="Cambria Math" w:eastAsia="Times New Roman" w:hAnsi="Cambria Math" w:cs="Times New Roman"/>
              <w:kern w:val="0"/>
              <w14:ligatures w14:val="none"/>
            </w:rPr>
            <m:t>£</m:t>
          </m:r>
          <m:r>
            <w:rPr>
              <w:rFonts w:ascii="Cambria Math" w:eastAsia="Times New Roman" w:hAnsi="Cambria Math" w:cs="Times New Roman"/>
              <w:kern w:val="0"/>
              <w14:ligatures w14:val="none"/>
            </w:rPr>
            <m:t>900,000</m:t>
          </m:r>
          <m:r>
            <m:rPr>
              <m:sty m:val="p"/>
            </m:rPr>
            <w:rPr>
              <w:rFonts w:ascii="Times New Roman" w:eastAsia="Times New Roman" w:hAnsi="Times New Roman" w:cs="Times New Roman"/>
              <w:kern w:val="0"/>
              <w14:ligatures w14:val="none"/>
            </w:rPr>
            <w:br/>
          </m:r>
        </m:oMath>
      </m:oMathPara>
    </w:p>
    <w:p w14:paraId="5957B4F8" w14:textId="77777777" w:rsidR="00785722" w:rsidRPr="00785722" w:rsidRDefault="00785722" w:rsidP="00785722">
      <w:p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t>Initial investment required for Option C = £1,600,000</w:t>
      </w:r>
    </w:p>
    <w:p w14:paraId="14C66889" w14:textId="77777777" w:rsidR="00785722" w:rsidRPr="00785722" w:rsidRDefault="00785722" w:rsidP="00785722">
      <w:p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t>Fraction of Option C that can be undertaken:</w:t>
      </w:r>
    </w:p>
    <w:p w14:paraId="7137979B" w14:textId="7866A258" w:rsidR="00785722" w:rsidRPr="00785722" w:rsidRDefault="00000000" w:rsidP="00785722">
      <w:pPr>
        <w:spacing w:before="100" w:beforeAutospacing="1" w:after="100" w:afterAutospacing="1" w:line="240" w:lineRule="auto"/>
        <w:rPr>
          <w:rFonts w:ascii="Times New Roman" w:eastAsia="Times New Roman" w:hAnsi="Times New Roman" w:cs="Times New Roman"/>
          <w:kern w:val="0"/>
          <w14:ligatures w14:val="none"/>
        </w:rPr>
      </w:pPr>
      <m:oMathPara>
        <m:oMath>
          <m:f>
            <m:fPr>
              <m:ctrlPr>
                <w:rPr>
                  <w:rFonts w:ascii="Cambria Math" w:eastAsia="Times New Roman" w:hAnsi="Cambria Math" w:cs="Times New Roman"/>
                  <w:kern w:val="0"/>
                  <w14:ligatures w14:val="none"/>
                </w:rPr>
              </m:ctrlPr>
            </m:fPr>
            <m:num>
              <m:r>
                <m:rPr>
                  <m:sty m:val="p"/>
                </m:rPr>
                <w:rPr>
                  <w:rFonts w:ascii="Cambria Math" w:eastAsia="Times New Roman" w:hAnsi="Cambria Math" w:cs="Times New Roman"/>
                  <w:kern w:val="0"/>
                  <w14:ligatures w14:val="none"/>
                </w:rPr>
                <m:t>£</m:t>
              </m:r>
              <m:r>
                <w:rPr>
                  <w:rFonts w:ascii="Cambria Math" w:eastAsia="Times New Roman" w:hAnsi="Cambria Math" w:cs="Times New Roman"/>
                  <w:kern w:val="0"/>
                  <w14:ligatures w14:val="none"/>
                </w:rPr>
                <m:t>900,000</m:t>
              </m:r>
            </m:num>
            <m:den>
              <m:r>
                <m:rPr>
                  <m:sty m:val="p"/>
                </m:rPr>
                <w:rPr>
                  <w:rFonts w:ascii="Cambria Math" w:eastAsia="Times New Roman" w:hAnsi="Cambria Math" w:cs="Times New Roman"/>
                  <w:kern w:val="0"/>
                  <w14:ligatures w14:val="none"/>
                </w:rPr>
                <m:t>£</m:t>
              </m:r>
              <m:r>
                <w:rPr>
                  <w:rFonts w:ascii="Cambria Math" w:eastAsia="Times New Roman" w:hAnsi="Cambria Math" w:cs="Times New Roman"/>
                  <w:kern w:val="0"/>
                  <w14:ligatures w14:val="none"/>
                </w:rPr>
                <m:t>1,600,000</m:t>
              </m:r>
            </m:den>
          </m:f>
          <m:r>
            <w:rPr>
              <w:rFonts w:ascii="Cambria Math" w:eastAsia="Times New Roman" w:hAnsi="Cambria Math" w:cs="Times New Roman"/>
              <w:kern w:val="0"/>
              <w14:ligatures w14:val="none"/>
            </w:rPr>
            <m:t>=0.5625</m:t>
          </m:r>
          <m:r>
            <m:rPr>
              <m:sty m:val="p"/>
            </m:rPr>
            <w:rPr>
              <w:rFonts w:ascii="Times New Roman" w:eastAsia="Times New Roman" w:hAnsi="Times New Roman" w:cs="Times New Roman"/>
              <w:kern w:val="0"/>
              <w14:ligatures w14:val="none"/>
            </w:rPr>
            <w:br/>
          </m:r>
        </m:oMath>
        <m:oMath>
          <m:r>
            <w:rPr>
              <w:rFonts w:ascii="Cambria Math" w:eastAsia="Times New Roman" w:hAnsi="Cambria Math" w:cs="Times New Roman"/>
              <w:kern w:val="0"/>
              <w14:ligatures w14:val="none"/>
            </w:rPr>
            <m:t>0.5625×100=</m:t>
          </m:r>
          <m:r>
            <m:rPr>
              <m:sty m:val="p"/>
            </m:rPr>
            <w:rPr>
              <w:rFonts w:ascii="Cambria Math" w:eastAsia="Times New Roman" w:hAnsi="Cambria Math" w:cs="Times New Roman"/>
              <w:kern w:val="0"/>
              <w14:ligatures w14:val="none"/>
            </w:rPr>
            <m:t>56.25%</m:t>
          </m:r>
          <m:r>
            <m:rPr>
              <m:sty m:val="p"/>
            </m:rPr>
            <w:rPr>
              <w:rFonts w:ascii="Times New Roman" w:eastAsia="Times New Roman" w:hAnsi="Times New Roman" w:cs="Times New Roman"/>
              <w:kern w:val="0"/>
              <w14:ligatures w14:val="none"/>
            </w:rPr>
            <w:br/>
          </m:r>
        </m:oMath>
      </m:oMathPara>
    </w:p>
    <w:p w14:paraId="705B0B14" w14:textId="77777777" w:rsidR="00851D84" w:rsidRPr="00851D84" w:rsidRDefault="00851D84" w:rsidP="00851D84">
      <w:p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t>Total NPV ≈ £1.85m</w:t>
      </w:r>
    </w:p>
    <w:p w14:paraId="3C526F7A" w14:textId="77777777" w:rsidR="00165A3A" w:rsidRPr="00165A3A" w:rsidRDefault="00165A3A" w:rsidP="00165A3A">
      <w:pPr>
        <w:spacing w:before="100" w:beforeAutospacing="1" w:after="100" w:afterAutospacing="1" w:line="360" w:lineRule="auto"/>
        <w:jc w:val="both"/>
        <w:rPr>
          <w:rFonts w:ascii="Times New Roman" w:eastAsia="Times New Roman" w:hAnsi="Times New Roman" w:cs="Times New Roman"/>
          <w:kern w:val="0"/>
          <w14:ligatures w14:val="none"/>
        </w:rPr>
      </w:pPr>
    </w:p>
    <w:p w14:paraId="2E06B0AB" w14:textId="77777777" w:rsidR="00165A3A" w:rsidRPr="00165A3A" w:rsidRDefault="00165A3A" w:rsidP="00165A3A">
      <w:pPr>
        <w:spacing w:before="100" w:beforeAutospacing="1" w:after="100" w:afterAutospacing="1" w:line="360" w:lineRule="auto"/>
        <w:jc w:val="both"/>
        <w:rPr>
          <w:rFonts w:ascii="Times New Roman" w:eastAsia="Times New Roman" w:hAnsi="Times New Roman" w:cs="Times New Roman"/>
          <w:kern w:val="0"/>
          <w14:ligatures w14:val="none"/>
        </w:rPr>
      </w:pPr>
    </w:p>
    <w:p w14:paraId="4C8B935D" w14:textId="77777777" w:rsidR="00165A3A" w:rsidRPr="00165A3A" w:rsidRDefault="00165A3A" w:rsidP="00165A3A">
      <w:pPr>
        <w:spacing w:before="100" w:beforeAutospacing="1" w:after="100" w:afterAutospacing="1" w:line="360" w:lineRule="auto"/>
        <w:jc w:val="both"/>
        <w:rPr>
          <w:rFonts w:ascii="Times New Roman" w:eastAsia="Times New Roman" w:hAnsi="Times New Roman" w:cs="Times New Roman"/>
          <w:kern w:val="0"/>
          <w14:ligatures w14:val="none"/>
        </w:rPr>
      </w:pPr>
    </w:p>
    <w:p w14:paraId="7998F018" w14:textId="77777777" w:rsidR="00165A3A" w:rsidRDefault="00165A3A"/>
    <w:sectPr w:rsidR="00165A3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782598"/>
    <w:multiLevelType w:val="hybridMultilevel"/>
    <w:tmpl w:val="E45A13D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189165F"/>
    <w:multiLevelType w:val="hybridMultilevel"/>
    <w:tmpl w:val="C53416B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751635D"/>
    <w:multiLevelType w:val="hybridMultilevel"/>
    <w:tmpl w:val="42D8AC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BE50206"/>
    <w:multiLevelType w:val="hybridMultilevel"/>
    <w:tmpl w:val="97ECCD3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0ECF51E0"/>
    <w:multiLevelType w:val="multilevel"/>
    <w:tmpl w:val="8E166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63317E"/>
    <w:multiLevelType w:val="multilevel"/>
    <w:tmpl w:val="E72C2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4D1E0F"/>
    <w:multiLevelType w:val="multilevel"/>
    <w:tmpl w:val="CD6AF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006B3"/>
    <w:multiLevelType w:val="multilevel"/>
    <w:tmpl w:val="5BE4D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B60C8E"/>
    <w:multiLevelType w:val="multilevel"/>
    <w:tmpl w:val="A948C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EC08DE"/>
    <w:multiLevelType w:val="multilevel"/>
    <w:tmpl w:val="9E720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9724BE"/>
    <w:multiLevelType w:val="hybridMultilevel"/>
    <w:tmpl w:val="9224DA5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2E5478E5"/>
    <w:multiLevelType w:val="multilevel"/>
    <w:tmpl w:val="60065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BF7386"/>
    <w:multiLevelType w:val="hybridMultilevel"/>
    <w:tmpl w:val="78CEFB7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15:restartNumberingAfterBreak="0">
    <w:nsid w:val="47ED084E"/>
    <w:multiLevelType w:val="multilevel"/>
    <w:tmpl w:val="82128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945BDC"/>
    <w:multiLevelType w:val="multilevel"/>
    <w:tmpl w:val="86981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FC164B6"/>
    <w:multiLevelType w:val="hybridMultilevel"/>
    <w:tmpl w:val="C7A6D2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543291B"/>
    <w:multiLevelType w:val="hybridMultilevel"/>
    <w:tmpl w:val="7200C94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5554314D"/>
    <w:multiLevelType w:val="multilevel"/>
    <w:tmpl w:val="38DEE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5C2488D"/>
    <w:multiLevelType w:val="hybridMultilevel"/>
    <w:tmpl w:val="33EAE24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15:restartNumberingAfterBreak="0">
    <w:nsid w:val="582C64B3"/>
    <w:multiLevelType w:val="hybridMultilevel"/>
    <w:tmpl w:val="EC66A4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B2F59AB"/>
    <w:multiLevelType w:val="hybridMultilevel"/>
    <w:tmpl w:val="5EC28D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DF41A30"/>
    <w:multiLevelType w:val="hybridMultilevel"/>
    <w:tmpl w:val="D70A3A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0CB0ECA"/>
    <w:multiLevelType w:val="multilevel"/>
    <w:tmpl w:val="1CD0D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D051DE1"/>
    <w:multiLevelType w:val="multilevel"/>
    <w:tmpl w:val="0882B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44B3048"/>
    <w:multiLevelType w:val="multilevel"/>
    <w:tmpl w:val="10A4B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61E227A"/>
    <w:multiLevelType w:val="hybridMultilevel"/>
    <w:tmpl w:val="C1380D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EF6761F"/>
    <w:multiLevelType w:val="multilevel"/>
    <w:tmpl w:val="A04C0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40099556">
    <w:abstractNumId w:val="24"/>
  </w:num>
  <w:num w:numId="2" w16cid:durableId="519852720">
    <w:abstractNumId w:val="26"/>
  </w:num>
  <w:num w:numId="3" w16cid:durableId="845944980">
    <w:abstractNumId w:val="11"/>
  </w:num>
  <w:num w:numId="4" w16cid:durableId="154689541">
    <w:abstractNumId w:val="9"/>
  </w:num>
  <w:num w:numId="5" w16cid:durableId="801120714">
    <w:abstractNumId w:val="22"/>
  </w:num>
  <w:num w:numId="6" w16cid:durableId="1826509013">
    <w:abstractNumId w:val="17"/>
  </w:num>
  <w:num w:numId="7" w16cid:durableId="1889802134">
    <w:abstractNumId w:val="14"/>
  </w:num>
  <w:num w:numId="8" w16cid:durableId="1619608572">
    <w:abstractNumId w:val="19"/>
  </w:num>
  <w:num w:numId="9" w16cid:durableId="1306549487">
    <w:abstractNumId w:val="25"/>
  </w:num>
  <w:num w:numId="10" w16cid:durableId="962464136">
    <w:abstractNumId w:val="20"/>
  </w:num>
  <w:num w:numId="11" w16cid:durableId="1811289077">
    <w:abstractNumId w:val="21"/>
  </w:num>
  <w:num w:numId="12" w16cid:durableId="1297760807">
    <w:abstractNumId w:val="2"/>
  </w:num>
  <w:num w:numId="13" w16cid:durableId="1877044002">
    <w:abstractNumId w:val="15"/>
  </w:num>
  <w:num w:numId="14" w16cid:durableId="985474086">
    <w:abstractNumId w:val="6"/>
  </w:num>
  <w:num w:numId="15" w16cid:durableId="1682967546">
    <w:abstractNumId w:val="5"/>
  </w:num>
  <w:num w:numId="16" w16cid:durableId="44256586">
    <w:abstractNumId w:val="23"/>
  </w:num>
  <w:num w:numId="17" w16cid:durableId="295378454">
    <w:abstractNumId w:val="13"/>
  </w:num>
  <w:num w:numId="18" w16cid:durableId="1966497084">
    <w:abstractNumId w:val="8"/>
  </w:num>
  <w:num w:numId="19" w16cid:durableId="853686082">
    <w:abstractNumId w:val="4"/>
  </w:num>
  <w:num w:numId="20" w16cid:durableId="1293704828">
    <w:abstractNumId w:val="7"/>
  </w:num>
  <w:num w:numId="21" w16cid:durableId="244657217">
    <w:abstractNumId w:val="1"/>
  </w:num>
  <w:num w:numId="22" w16cid:durableId="1501582698">
    <w:abstractNumId w:val="3"/>
  </w:num>
  <w:num w:numId="23" w16cid:durableId="1655139189">
    <w:abstractNumId w:val="10"/>
  </w:num>
  <w:num w:numId="24" w16cid:durableId="1287353640">
    <w:abstractNumId w:val="18"/>
  </w:num>
  <w:num w:numId="25" w16cid:durableId="1506364178">
    <w:abstractNumId w:val="12"/>
  </w:num>
  <w:num w:numId="26" w16cid:durableId="1420903099">
    <w:abstractNumId w:val="16"/>
  </w:num>
  <w:num w:numId="27" w16cid:durableId="9777994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EFD"/>
    <w:rsid w:val="00022744"/>
    <w:rsid w:val="00040711"/>
    <w:rsid w:val="000545FE"/>
    <w:rsid w:val="00060F9F"/>
    <w:rsid w:val="0007348E"/>
    <w:rsid w:val="000B646A"/>
    <w:rsid w:val="000D5E34"/>
    <w:rsid w:val="000E2795"/>
    <w:rsid w:val="000F178B"/>
    <w:rsid w:val="001433BB"/>
    <w:rsid w:val="00161F10"/>
    <w:rsid w:val="00165A3A"/>
    <w:rsid w:val="00171F96"/>
    <w:rsid w:val="001B15A6"/>
    <w:rsid w:val="001E2764"/>
    <w:rsid w:val="0021744F"/>
    <w:rsid w:val="002321A3"/>
    <w:rsid w:val="00253A8E"/>
    <w:rsid w:val="00260397"/>
    <w:rsid w:val="00261D52"/>
    <w:rsid w:val="00273D95"/>
    <w:rsid w:val="002909D6"/>
    <w:rsid w:val="002916BC"/>
    <w:rsid w:val="00317305"/>
    <w:rsid w:val="003275F1"/>
    <w:rsid w:val="0035599E"/>
    <w:rsid w:val="00366C62"/>
    <w:rsid w:val="0038004B"/>
    <w:rsid w:val="003B2C64"/>
    <w:rsid w:val="003C5B80"/>
    <w:rsid w:val="003E622B"/>
    <w:rsid w:val="004440D1"/>
    <w:rsid w:val="004E0183"/>
    <w:rsid w:val="004F5675"/>
    <w:rsid w:val="005137E3"/>
    <w:rsid w:val="00513F02"/>
    <w:rsid w:val="005274A3"/>
    <w:rsid w:val="00552573"/>
    <w:rsid w:val="00584ACF"/>
    <w:rsid w:val="005B78AA"/>
    <w:rsid w:val="005C2DAA"/>
    <w:rsid w:val="005C5CD7"/>
    <w:rsid w:val="005C793D"/>
    <w:rsid w:val="005D0D24"/>
    <w:rsid w:val="005D7E96"/>
    <w:rsid w:val="00624829"/>
    <w:rsid w:val="0064316B"/>
    <w:rsid w:val="006466CC"/>
    <w:rsid w:val="00675F44"/>
    <w:rsid w:val="006903A3"/>
    <w:rsid w:val="0069145B"/>
    <w:rsid w:val="006F4D9E"/>
    <w:rsid w:val="00731ADE"/>
    <w:rsid w:val="00746D71"/>
    <w:rsid w:val="00750F68"/>
    <w:rsid w:val="00762F3E"/>
    <w:rsid w:val="007750EE"/>
    <w:rsid w:val="007767A9"/>
    <w:rsid w:val="00780B42"/>
    <w:rsid w:val="00785722"/>
    <w:rsid w:val="007B255E"/>
    <w:rsid w:val="007C6D6E"/>
    <w:rsid w:val="007F0626"/>
    <w:rsid w:val="00851D84"/>
    <w:rsid w:val="00884ECD"/>
    <w:rsid w:val="008B64E6"/>
    <w:rsid w:val="008C051F"/>
    <w:rsid w:val="008E5000"/>
    <w:rsid w:val="009002E3"/>
    <w:rsid w:val="009235DA"/>
    <w:rsid w:val="009A08F0"/>
    <w:rsid w:val="009B4EFD"/>
    <w:rsid w:val="009D16AE"/>
    <w:rsid w:val="009D2DCF"/>
    <w:rsid w:val="009D7F96"/>
    <w:rsid w:val="00A27749"/>
    <w:rsid w:val="00A36691"/>
    <w:rsid w:val="00A40AD5"/>
    <w:rsid w:val="00A45B1E"/>
    <w:rsid w:val="00A66D05"/>
    <w:rsid w:val="00A97888"/>
    <w:rsid w:val="00AA0A4A"/>
    <w:rsid w:val="00B1595E"/>
    <w:rsid w:val="00B2086C"/>
    <w:rsid w:val="00B42C1C"/>
    <w:rsid w:val="00B75985"/>
    <w:rsid w:val="00B8369B"/>
    <w:rsid w:val="00BF2F91"/>
    <w:rsid w:val="00C57A15"/>
    <w:rsid w:val="00C64FEC"/>
    <w:rsid w:val="00D061B1"/>
    <w:rsid w:val="00D47937"/>
    <w:rsid w:val="00D9394C"/>
    <w:rsid w:val="00DB573F"/>
    <w:rsid w:val="00DD1AC4"/>
    <w:rsid w:val="00DE38CF"/>
    <w:rsid w:val="00DE7A1A"/>
    <w:rsid w:val="00E22CE3"/>
    <w:rsid w:val="00E24503"/>
    <w:rsid w:val="00E25CF1"/>
    <w:rsid w:val="00E57AEC"/>
    <w:rsid w:val="00E66B06"/>
    <w:rsid w:val="00E85766"/>
    <w:rsid w:val="00ED6361"/>
    <w:rsid w:val="00F15093"/>
    <w:rsid w:val="00F2256F"/>
    <w:rsid w:val="00F3233F"/>
    <w:rsid w:val="00F76157"/>
    <w:rsid w:val="00F819CA"/>
    <w:rsid w:val="00FA2034"/>
    <w:rsid w:val="00FB341C"/>
    <w:rsid w:val="00FF240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6E1DD"/>
  <w15:chartTrackingRefBased/>
  <w15:docId w15:val="{A7D8D55A-6EA7-466D-B4EF-A29493CCB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5985"/>
    <w:pPr>
      <w:keepNext/>
      <w:keepLines/>
      <w:spacing w:before="360" w:after="80"/>
      <w:outlineLvl w:val="0"/>
    </w:pPr>
    <w:rPr>
      <w:rFonts w:ascii="Times New Roman" w:eastAsiaTheme="majorEastAsia" w:hAnsi="Times New Roman"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75985"/>
    <w:pPr>
      <w:keepNext/>
      <w:keepLines/>
      <w:spacing w:before="160" w:after="80"/>
      <w:outlineLvl w:val="1"/>
    </w:pPr>
    <w:rPr>
      <w:rFonts w:ascii="Times New Roman" w:eastAsiaTheme="majorEastAsia" w:hAnsi="Times New Roman"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75985"/>
    <w:pPr>
      <w:keepNext/>
      <w:keepLines/>
      <w:spacing w:before="160" w:after="80"/>
      <w:outlineLvl w:val="2"/>
    </w:pPr>
    <w:rPr>
      <w:rFonts w:ascii="Times New Roman" w:eastAsiaTheme="majorEastAsia" w:hAnsi="Times New Roman"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4E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4E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4E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4E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4E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4E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5985"/>
    <w:rPr>
      <w:rFonts w:ascii="Times New Roman" w:eastAsiaTheme="majorEastAsia" w:hAnsi="Times New Roman" w:cstheme="majorBidi"/>
      <w:color w:val="0F4761" w:themeColor="accent1" w:themeShade="BF"/>
      <w:sz w:val="40"/>
      <w:szCs w:val="40"/>
    </w:rPr>
  </w:style>
  <w:style w:type="character" w:customStyle="1" w:styleId="Heading2Char">
    <w:name w:val="Heading 2 Char"/>
    <w:basedOn w:val="DefaultParagraphFont"/>
    <w:link w:val="Heading2"/>
    <w:uiPriority w:val="9"/>
    <w:rsid w:val="00B75985"/>
    <w:rPr>
      <w:rFonts w:ascii="Times New Roman" w:eastAsiaTheme="majorEastAsia" w:hAnsi="Times New Roman" w:cstheme="majorBidi"/>
      <w:color w:val="0F4761" w:themeColor="accent1" w:themeShade="BF"/>
      <w:sz w:val="32"/>
      <w:szCs w:val="32"/>
    </w:rPr>
  </w:style>
  <w:style w:type="character" w:customStyle="1" w:styleId="Heading3Char">
    <w:name w:val="Heading 3 Char"/>
    <w:basedOn w:val="DefaultParagraphFont"/>
    <w:link w:val="Heading3"/>
    <w:uiPriority w:val="9"/>
    <w:rsid w:val="00B75985"/>
    <w:rPr>
      <w:rFonts w:ascii="Times New Roman" w:eastAsiaTheme="majorEastAsia" w:hAnsi="Times New Roman"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4E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4E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4E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4E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4E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4EFD"/>
    <w:rPr>
      <w:rFonts w:eastAsiaTheme="majorEastAsia" w:cstheme="majorBidi"/>
      <w:color w:val="272727" w:themeColor="text1" w:themeTint="D8"/>
    </w:rPr>
  </w:style>
  <w:style w:type="paragraph" w:styleId="Title">
    <w:name w:val="Title"/>
    <w:basedOn w:val="Normal"/>
    <w:next w:val="Normal"/>
    <w:link w:val="TitleChar"/>
    <w:uiPriority w:val="10"/>
    <w:qFormat/>
    <w:rsid w:val="009B4E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4E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4E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4E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4EFD"/>
    <w:pPr>
      <w:spacing w:before="160"/>
      <w:jc w:val="center"/>
    </w:pPr>
    <w:rPr>
      <w:i/>
      <w:iCs/>
      <w:color w:val="404040" w:themeColor="text1" w:themeTint="BF"/>
    </w:rPr>
  </w:style>
  <w:style w:type="character" w:customStyle="1" w:styleId="QuoteChar">
    <w:name w:val="Quote Char"/>
    <w:basedOn w:val="DefaultParagraphFont"/>
    <w:link w:val="Quote"/>
    <w:uiPriority w:val="29"/>
    <w:rsid w:val="009B4EFD"/>
    <w:rPr>
      <w:i/>
      <w:iCs/>
      <w:color w:val="404040" w:themeColor="text1" w:themeTint="BF"/>
    </w:rPr>
  </w:style>
  <w:style w:type="paragraph" w:styleId="ListParagraph">
    <w:name w:val="List Paragraph"/>
    <w:basedOn w:val="Normal"/>
    <w:uiPriority w:val="34"/>
    <w:qFormat/>
    <w:rsid w:val="009B4EFD"/>
    <w:pPr>
      <w:ind w:left="720"/>
      <w:contextualSpacing/>
    </w:pPr>
  </w:style>
  <w:style w:type="character" w:styleId="IntenseEmphasis">
    <w:name w:val="Intense Emphasis"/>
    <w:basedOn w:val="DefaultParagraphFont"/>
    <w:uiPriority w:val="21"/>
    <w:qFormat/>
    <w:rsid w:val="009B4EFD"/>
    <w:rPr>
      <w:i/>
      <w:iCs/>
      <w:color w:val="0F4761" w:themeColor="accent1" w:themeShade="BF"/>
    </w:rPr>
  </w:style>
  <w:style w:type="paragraph" w:styleId="IntenseQuote">
    <w:name w:val="Intense Quote"/>
    <w:basedOn w:val="Normal"/>
    <w:next w:val="Normal"/>
    <w:link w:val="IntenseQuoteChar"/>
    <w:uiPriority w:val="30"/>
    <w:qFormat/>
    <w:rsid w:val="009B4E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4EFD"/>
    <w:rPr>
      <w:i/>
      <w:iCs/>
      <w:color w:val="0F4761" w:themeColor="accent1" w:themeShade="BF"/>
    </w:rPr>
  </w:style>
  <w:style w:type="character" w:styleId="IntenseReference">
    <w:name w:val="Intense Reference"/>
    <w:basedOn w:val="DefaultParagraphFont"/>
    <w:uiPriority w:val="32"/>
    <w:qFormat/>
    <w:rsid w:val="009B4EFD"/>
    <w:rPr>
      <w:b/>
      <w:bCs/>
      <w:smallCaps/>
      <w:color w:val="0F4761" w:themeColor="accent1" w:themeShade="BF"/>
      <w:spacing w:val="5"/>
    </w:rPr>
  </w:style>
  <w:style w:type="paragraph" w:styleId="TOCHeading">
    <w:name w:val="TOC Heading"/>
    <w:basedOn w:val="Heading1"/>
    <w:next w:val="Normal"/>
    <w:uiPriority w:val="39"/>
    <w:unhideWhenUsed/>
    <w:qFormat/>
    <w:rsid w:val="005D7E96"/>
    <w:pPr>
      <w:spacing w:before="240" w:after="0" w:line="259" w:lineRule="auto"/>
      <w:outlineLvl w:val="9"/>
    </w:pPr>
    <w:rPr>
      <w:rFonts w:asciiTheme="majorHAnsi" w:hAnsiTheme="majorHAnsi"/>
      <w:kern w:val="0"/>
      <w:sz w:val="32"/>
      <w:szCs w:val="32"/>
      <w14:ligatures w14:val="none"/>
    </w:rPr>
  </w:style>
  <w:style w:type="paragraph" w:styleId="TOC1">
    <w:name w:val="toc 1"/>
    <w:basedOn w:val="Normal"/>
    <w:next w:val="Normal"/>
    <w:autoRedefine/>
    <w:uiPriority w:val="39"/>
    <w:unhideWhenUsed/>
    <w:rsid w:val="005D7E96"/>
    <w:pPr>
      <w:spacing w:after="100"/>
    </w:pPr>
  </w:style>
  <w:style w:type="paragraph" w:styleId="TOC2">
    <w:name w:val="toc 2"/>
    <w:basedOn w:val="Normal"/>
    <w:next w:val="Normal"/>
    <w:autoRedefine/>
    <w:uiPriority w:val="39"/>
    <w:unhideWhenUsed/>
    <w:rsid w:val="005D7E96"/>
    <w:pPr>
      <w:spacing w:after="100"/>
      <w:ind w:left="240"/>
    </w:pPr>
  </w:style>
  <w:style w:type="paragraph" w:styleId="TOC3">
    <w:name w:val="toc 3"/>
    <w:basedOn w:val="Normal"/>
    <w:next w:val="Normal"/>
    <w:autoRedefine/>
    <w:uiPriority w:val="39"/>
    <w:unhideWhenUsed/>
    <w:rsid w:val="005D7E96"/>
    <w:pPr>
      <w:spacing w:after="100"/>
      <w:ind w:left="480"/>
    </w:pPr>
  </w:style>
  <w:style w:type="character" w:styleId="Hyperlink">
    <w:name w:val="Hyperlink"/>
    <w:basedOn w:val="DefaultParagraphFont"/>
    <w:uiPriority w:val="99"/>
    <w:unhideWhenUsed/>
    <w:rsid w:val="005D7E9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orporatefinanceinstitute.com/resources/accounting/days-payable-outstanding/" TargetMode="External"/><Relationship Id="rId18" Type="http://schemas.openxmlformats.org/officeDocument/2006/relationships/hyperlink" Target="https://www.investopedia.com/terms/p/paybackperiod.asp"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investopedia.com/ask/answers/011215/what-difference-between-roce-and-roe.asp" TargetMode="External"/><Relationship Id="rId7" Type="http://schemas.openxmlformats.org/officeDocument/2006/relationships/settings" Target="settings.xml"/><Relationship Id="rId12" Type="http://schemas.openxmlformats.org/officeDocument/2006/relationships/hyperlink" Target="https://corporatefinanceinstitute.com/resources/valuation/annual-recurring-revenue-arr/" TargetMode="External"/><Relationship Id="rId17" Type="http://schemas.openxmlformats.org/officeDocument/2006/relationships/hyperlink" Target="https://imarticus.org/blog/capital-budgeting-method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investopedia.com/terms/o/operatingmargin.asp" TargetMode="External"/><Relationship Id="rId20" Type="http://schemas.openxmlformats.org/officeDocument/2006/relationships/hyperlink" Target="https://doi.org/10.1016/j.worlddev.2017.04.01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corporatefinanceinstitute.com/resources/valuation/npv-vs-irr/" TargetMode="External"/><Relationship Id="rId24"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hyperlink" Target="https://www.investopedia.com/terms/r/returnonequity.asp" TargetMode="External"/><Relationship Id="rId23" Type="http://schemas.openxmlformats.org/officeDocument/2006/relationships/hyperlink" Target="https://corporatefinanceinstitute.com/resources/valuation/earnings-per-share-eps-formula/" TargetMode="External"/><Relationship Id="rId10" Type="http://schemas.openxmlformats.org/officeDocument/2006/relationships/hyperlink" Target="https://corporatefinanceinstitute.com/resources/accounting/liquidity-ratio/" TargetMode="External"/><Relationship Id="rId19" Type="http://schemas.openxmlformats.org/officeDocument/2006/relationships/hyperlink" Target="https://www.investopedia.com/terms/g/gearingratio.asp" TargetMode="External"/><Relationship Id="rId4" Type="http://schemas.openxmlformats.org/officeDocument/2006/relationships/customXml" Target="../customXml/item4.xml"/><Relationship Id="rId9" Type="http://schemas.openxmlformats.org/officeDocument/2006/relationships/hyperlink" Target="https://www.investopedia.com/terms/g/gross_profit_margin.asp" TargetMode="External"/><Relationship Id="rId14" Type="http://schemas.openxmlformats.org/officeDocument/2006/relationships/hyperlink" Target="https://doi.org/10.1111/j.1467-8683.2010.00801.x" TargetMode="External"/><Relationship Id="rId22" Type="http://schemas.openxmlformats.org/officeDocument/2006/relationships/hyperlink" Target="https://www.investopedia.com/terms/n/net_margin.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B6606FBCDF8B64C9AFCE91C6DA3B14F" ma:contentTypeVersion="4" ma:contentTypeDescription="Create a new document." ma:contentTypeScope="" ma:versionID="1f54f60904cbb65c31d83079c0b36c43">
  <xsd:schema xmlns:xsd="http://www.w3.org/2001/XMLSchema" xmlns:xs="http://www.w3.org/2001/XMLSchema" xmlns:p="http://schemas.microsoft.com/office/2006/metadata/properties" xmlns:ns3="e9e5a896-d793-4bb8-8f2d-bbf01f995aa8" targetNamespace="http://schemas.microsoft.com/office/2006/metadata/properties" ma:root="true" ma:fieldsID="0f5997c6c2f41bfdbd14df5d08c31368" ns3:_="">
    <xsd:import namespace="e9e5a896-d793-4bb8-8f2d-bbf01f995aa8"/>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e5a896-d793-4bb8-8f2d-bbf01f995a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E50FE74-DA77-4342-977C-2B66709E21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e5a896-d793-4bb8-8f2d-bbf01f995aa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FC06E98-D840-4FD3-8AD1-D5878B715E9A}">
  <ds:schemaRefs>
    <ds:schemaRef ds:uri="http://schemas.microsoft.com/sharepoint/v3/contenttype/forms"/>
  </ds:schemaRefs>
</ds:datastoreItem>
</file>

<file path=customXml/itemProps3.xml><?xml version="1.0" encoding="utf-8"?>
<ds:datastoreItem xmlns:ds="http://schemas.openxmlformats.org/officeDocument/2006/customXml" ds:itemID="{8356D853-6990-45D0-AEDB-5C88F3EF90A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12FB7D3-D4D5-4AA0-BBEA-7AE6CF38EB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46</Pages>
  <Words>11896</Words>
  <Characters>67809</Characters>
  <Application>Microsoft Office Word</Application>
  <DocSecurity>0</DocSecurity>
  <Lines>565</Lines>
  <Paragraphs>159</Paragraphs>
  <ScaleCrop>false</ScaleCrop>
  <Company/>
  <LinksUpToDate>false</LinksUpToDate>
  <CharactersWithSpaces>79546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Lutfor Rahman</dc:creator>
  <cp:keywords/>
  <dc:description/>
  <cp:lastModifiedBy>Progga Teresa Gomes</cp:lastModifiedBy>
  <cp:revision>3</cp:revision>
  <dcterms:created xsi:type="dcterms:W3CDTF">2026-01-11T19:04:00Z</dcterms:created>
  <dcterms:modified xsi:type="dcterms:W3CDTF">2026-01-11T19:05:00Z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0x010100BB6606FBCDF8B64C9AFCE91C6DA3B14F</vt:lpwstr>
  </property>
</Properties>
</file>