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CA7A6" w14:textId="77777777" w:rsidR="00996690" w:rsidRDefault="002F4971">
      <w:pPr>
        <w:spacing w:after="160"/>
        <w:jc w:val="center"/>
      </w:pPr>
      <w:r>
        <w:rPr>
          <w:b/>
          <w:bCs/>
          <w:color w:val="1F3864"/>
          <w:sz w:val="30"/>
          <w:szCs w:val="30"/>
        </w:rPr>
        <w:t>Task 3 – LCLM4001 Academic Skills</w:t>
      </w:r>
    </w:p>
    <w:p w14:paraId="58A87088" w14:textId="77777777" w:rsidR="00996690" w:rsidRDefault="002F4971">
      <w:pPr>
        <w:spacing w:after="300"/>
        <w:jc w:val="center"/>
      </w:pPr>
      <w:r>
        <w:rPr>
          <w:b/>
          <w:bCs/>
          <w:color w:val="2E75B6"/>
          <w:sz w:val="26"/>
          <w:szCs w:val="26"/>
        </w:rPr>
        <w:t>Reflective Report Using the Gibbs Reflective Cycle</w:t>
      </w:r>
    </w:p>
    <w:tbl>
      <w:tblPr>
        <w:tblW w:w="936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560"/>
      </w:tblGrid>
      <w:tr w:rsidR="00996690" w14:paraId="1D912609" w14:textId="77777777" w:rsidTr="00A1585B">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80" w:type="dxa"/>
              <w:left w:w="160" w:type="dxa"/>
              <w:bottom w:w="80" w:type="dxa"/>
              <w:right w:w="160" w:type="dxa"/>
            </w:tcMar>
          </w:tcPr>
          <w:p w14:paraId="6A0E35C8" w14:textId="77777777" w:rsidR="007228D9" w:rsidRDefault="007228D9">
            <w:pPr>
              <w:rPr>
                <w:b/>
                <w:bCs/>
              </w:rPr>
            </w:pPr>
          </w:p>
          <w:p w14:paraId="50F1FA88" w14:textId="5A4D7F01" w:rsidR="00996690" w:rsidRDefault="002F4971">
            <w:r>
              <w:rPr>
                <w:b/>
                <w:bCs/>
              </w:rPr>
              <w:t>Module code and title</w:t>
            </w:r>
          </w:p>
        </w:tc>
        <w:tc>
          <w:tcPr>
            <w:tcW w:w="6560" w:type="dxa"/>
            <w:tcBorders>
              <w:top w:val="single" w:sz="4" w:space="0" w:color="2E75B6"/>
              <w:left w:val="single" w:sz="4" w:space="0" w:color="2E75B6"/>
              <w:bottom w:val="single" w:sz="4" w:space="0" w:color="2E75B6"/>
              <w:right w:val="single" w:sz="4" w:space="0" w:color="2E75B6"/>
            </w:tcBorders>
            <w:tcMar>
              <w:top w:w="80" w:type="dxa"/>
              <w:left w:w="160" w:type="dxa"/>
              <w:bottom w:w="80" w:type="dxa"/>
              <w:right w:w="160" w:type="dxa"/>
            </w:tcMar>
          </w:tcPr>
          <w:p w14:paraId="26EE2997" w14:textId="77777777" w:rsidR="007228D9" w:rsidRDefault="007228D9"/>
          <w:p w14:paraId="6E25072C" w14:textId="3E32337D" w:rsidR="00996690" w:rsidRDefault="002F4971">
            <w:r>
              <w:t>LCLM4001 – Academic Skills</w:t>
            </w:r>
          </w:p>
        </w:tc>
      </w:tr>
      <w:tr w:rsidR="00165477" w14:paraId="3B5ABBD1" w14:textId="77777777" w:rsidTr="00A1585B">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80" w:type="dxa"/>
              <w:left w:w="160" w:type="dxa"/>
              <w:bottom w:w="80" w:type="dxa"/>
              <w:right w:w="160" w:type="dxa"/>
            </w:tcMar>
          </w:tcPr>
          <w:p w14:paraId="20C8B314" w14:textId="5E467FA1" w:rsidR="00165477" w:rsidRDefault="00165477">
            <w:pPr>
              <w:rPr>
                <w:b/>
                <w:bCs/>
              </w:rPr>
            </w:pPr>
            <w:r>
              <w:rPr>
                <w:b/>
                <w:bCs/>
              </w:rPr>
              <w:t xml:space="preserve">Name </w:t>
            </w:r>
          </w:p>
        </w:tc>
        <w:tc>
          <w:tcPr>
            <w:tcW w:w="6560" w:type="dxa"/>
            <w:tcBorders>
              <w:top w:val="single" w:sz="4" w:space="0" w:color="2E75B6"/>
              <w:left w:val="single" w:sz="4" w:space="0" w:color="2E75B6"/>
              <w:bottom w:val="single" w:sz="4" w:space="0" w:color="2E75B6"/>
              <w:right w:val="single" w:sz="4" w:space="0" w:color="2E75B6"/>
            </w:tcBorders>
            <w:tcMar>
              <w:top w:w="80" w:type="dxa"/>
              <w:left w:w="160" w:type="dxa"/>
              <w:bottom w:w="80" w:type="dxa"/>
              <w:right w:w="160" w:type="dxa"/>
            </w:tcMar>
          </w:tcPr>
          <w:p w14:paraId="4E8ABBFD" w14:textId="72A7B89A" w:rsidR="00165477" w:rsidRDefault="00165477">
            <w:r>
              <w:t xml:space="preserve">Mohammad Yusuf </w:t>
            </w:r>
          </w:p>
        </w:tc>
      </w:tr>
      <w:tr w:rsidR="008110A1" w14:paraId="186FB502" w14:textId="77777777" w:rsidTr="00A1585B">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80" w:type="dxa"/>
              <w:left w:w="160" w:type="dxa"/>
              <w:bottom w:w="80" w:type="dxa"/>
              <w:right w:w="160" w:type="dxa"/>
            </w:tcMar>
          </w:tcPr>
          <w:p w14:paraId="7CE6CD7E" w14:textId="09A4C37E" w:rsidR="008110A1" w:rsidRDefault="008110A1">
            <w:pPr>
              <w:rPr>
                <w:b/>
                <w:bCs/>
              </w:rPr>
            </w:pPr>
            <w:r>
              <w:rPr>
                <w:b/>
                <w:bCs/>
              </w:rPr>
              <w:t xml:space="preserve">Student number </w:t>
            </w:r>
          </w:p>
        </w:tc>
        <w:tc>
          <w:tcPr>
            <w:tcW w:w="6560" w:type="dxa"/>
            <w:tcBorders>
              <w:top w:val="single" w:sz="4" w:space="0" w:color="2E75B6"/>
              <w:left w:val="single" w:sz="4" w:space="0" w:color="2E75B6"/>
              <w:bottom w:val="single" w:sz="4" w:space="0" w:color="2E75B6"/>
              <w:right w:val="single" w:sz="4" w:space="0" w:color="2E75B6"/>
            </w:tcBorders>
            <w:tcMar>
              <w:top w:w="80" w:type="dxa"/>
              <w:left w:w="160" w:type="dxa"/>
              <w:bottom w:w="80" w:type="dxa"/>
              <w:right w:w="160" w:type="dxa"/>
            </w:tcMar>
          </w:tcPr>
          <w:p w14:paraId="3D664B9E" w14:textId="018437D9" w:rsidR="008110A1" w:rsidRDefault="008110A1">
            <w:r>
              <w:t>1807324</w:t>
            </w:r>
          </w:p>
        </w:tc>
      </w:tr>
      <w:tr w:rsidR="00A1585B" w14:paraId="1EC1D4A7" w14:textId="77777777" w:rsidTr="00A1585B">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80" w:type="dxa"/>
              <w:left w:w="160" w:type="dxa"/>
              <w:bottom w:w="80" w:type="dxa"/>
              <w:right w:w="160" w:type="dxa"/>
            </w:tcMar>
          </w:tcPr>
          <w:p w14:paraId="4E502038" w14:textId="53BE4FDC" w:rsidR="00A1585B" w:rsidRDefault="006D55C5">
            <w:pPr>
              <w:rPr>
                <w:b/>
                <w:bCs/>
              </w:rPr>
            </w:pPr>
            <w:r>
              <w:rPr>
                <w:b/>
                <w:bCs/>
              </w:rPr>
              <w:t>Lecturers</w:t>
            </w:r>
            <w:r w:rsidR="00A1585B">
              <w:rPr>
                <w:b/>
                <w:bCs/>
              </w:rPr>
              <w:t xml:space="preserve"> Name</w:t>
            </w:r>
          </w:p>
        </w:tc>
        <w:tc>
          <w:tcPr>
            <w:tcW w:w="6560" w:type="dxa"/>
            <w:tcBorders>
              <w:top w:val="single" w:sz="4" w:space="0" w:color="2E75B6"/>
              <w:left w:val="single" w:sz="4" w:space="0" w:color="2E75B6"/>
              <w:bottom w:val="single" w:sz="4" w:space="0" w:color="2E75B6"/>
              <w:right w:val="single" w:sz="4" w:space="0" w:color="2E75B6"/>
            </w:tcBorders>
            <w:tcMar>
              <w:top w:w="80" w:type="dxa"/>
              <w:left w:w="160" w:type="dxa"/>
              <w:bottom w:w="80" w:type="dxa"/>
              <w:right w:w="160" w:type="dxa"/>
            </w:tcMar>
          </w:tcPr>
          <w:p w14:paraId="72F0E659" w14:textId="681AEDCC" w:rsidR="00A1585B" w:rsidRDefault="003E50BF">
            <w:r>
              <w:t>Vicky Giannaka</w:t>
            </w:r>
          </w:p>
        </w:tc>
      </w:tr>
      <w:tr w:rsidR="00996690" w14:paraId="79AABD21" w14:textId="77777777" w:rsidTr="00A1585B">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80" w:type="dxa"/>
              <w:left w:w="160" w:type="dxa"/>
              <w:bottom w:w="80" w:type="dxa"/>
              <w:right w:w="160" w:type="dxa"/>
            </w:tcMar>
          </w:tcPr>
          <w:p w14:paraId="646CF545" w14:textId="77777777" w:rsidR="00996690" w:rsidRDefault="002F4971">
            <w:r>
              <w:rPr>
                <w:b/>
                <w:bCs/>
              </w:rPr>
              <w:t>Name of Task</w:t>
            </w:r>
          </w:p>
        </w:tc>
        <w:tc>
          <w:tcPr>
            <w:tcW w:w="6560" w:type="dxa"/>
            <w:tcBorders>
              <w:top w:val="single" w:sz="4" w:space="0" w:color="2E75B6"/>
              <w:left w:val="single" w:sz="4" w:space="0" w:color="2E75B6"/>
              <w:bottom w:val="single" w:sz="4" w:space="0" w:color="2E75B6"/>
              <w:right w:val="single" w:sz="4" w:space="0" w:color="2E75B6"/>
            </w:tcBorders>
            <w:tcMar>
              <w:top w:w="80" w:type="dxa"/>
              <w:left w:w="160" w:type="dxa"/>
              <w:bottom w:w="80" w:type="dxa"/>
              <w:right w:w="160" w:type="dxa"/>
            </w:tcMar>
          </w:tcPr>
          <w:p w14:paraId="430A3547" w14:textId="77777777" w:rsidR="00996690" w:rsidRDefault="002F4971">
            <w:r>
              <w:t>Task 3 – Reflective Report</w:t>
            </w:r>
          </w:p>
        </w:tc>
      </w:tr>
      <w:tr w:rsidR="00996690" w14:paraId="110140B6" w14:textId="77777777" w:rsidTr="00A1585B">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80" w:type="dxa"/>
              <w:left w:w="160" w:type="dxa"/>
              <w:bottom w:w="80" w:type="dxa"/>
              <w:right w:w="160" w:type="dxa"/>
            </w:tcMar>
          </w:tcPr>
          <w:p w14:paraId="2626A11D" w14:textId="77777777" w:rsidR="00996690" w:rsidRDefault="002F4971">
            <w:r>
              <w:rPr>
                <w:b/>
                <w:bCs/>
              </w:rPr>
              <w:t>Word Count</w:t>
            </w:r>
          </w:p>
        </w:tc>
        <w:tc>
          <w:tcPr>
            <w:tcW w:w="6560" w:type="dxa"/>
            <w:tcBorders>
              <w:top w:val="single" w:sz="4" w:space="0" w:color="2E75B6"/>
              <w:left w:val="single" w:sz="4" w:space="0" w:color="2E75B6"/>
              <w:bottom w:val="single" w:sz="4" w:space="0" w:color="2E75B6"/>
              <w:right w:val="single" w:sz="4" w:space="0" w:color="2E75B6"/>
            </w:tcBorders>
            <w:tcMar>
              <w:top w:w="80" w:type="dxa"/>
              <w:left w:w="160" w:type="dxa"/>
              <w:bottom w:w="80" w:type="dxa"/>
              <w:right w:w="160" w:type="dxa"/>
            </w:tcMar>
          </w:tcPr>
          <w:p w14:paraId="32FF8E42" w14:textId="77777777" w:rsidR="00996690" w:rsidRDefault="002F4971">
            <w:r>
              <w:t>900 words +/- 10%</w:t>
            </w:r>
          </w:p>
        </w:tc>
      </w:tr>
    </w:tbl>
    <w:p w14:paraId="781C4B93" w14:textId="77777777" w:rsidR="00996690" w:rsidRDefault="00996690"/>
    <w:tbl>
      <w:tblPr>
        <w:tblW w:w="936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6560"/>
      </w:tblGrid>
      <w:tr w:rsidR="00996690" w14:paraId="0058443A" w14:textId="77777777">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120" w:type="dxa"/>
              <w:left w:w="160" w:type="dxa"/>
              <w:bottom w:w="120" w:type="dxa"/>
              <w:right w:w="160" w:type="dxa"/>
            </w:tcMar>
          </w:tcPr>
          <w:p w14:paraId="708C2EDA" w14:textId="77777777" w:rsidR="00996690" w:rsidRDefault="002F4971">
            <w:r>
              <w:rPr>
                <w:b/>
                <w:bCs/>
                <w:color w:val="1F3864"/>
                <w:sz w:val="24"/>
                <w:szCs w:val="24"/>
              </w:rPr>
              <w:t>Description</w:t>
            </w:r>
          </w:p>
          <w:p w14:paraId="4CEE42FA" w14:textId="77777777" w:rsidR="00996690" w:rsidRDefault="002F4971">
            <w:r>
              <w:rPr>
                <w:i/>
                <w:iCs/>
                <w:color w:val="444444"/>
                <w:sz w:val="20"/>
                <w:szCs w:val="20"/>
              </w:rPr>
              <w:t>(What happened?)</w:t>
            </w:r>
          </w:p>
        </w:tc>
        <w:tc>
          <w:tcPr>
            <w:tcW w:w="6560" w:type="dxa"/>
            <w:tcBorders>
              <w:top w:val="single" w:sz="4" w:space="0" w:color="2E75B6"/>
              <w:left w:val="single" w:sz="4" w:space="0" w:color="2E75B6"/>
              <w:bottom w:val="single" w:sz="4" w:space="0" w:color="2E75B6"/>
              <w:right w:val="single" w:sz="4" w:space="0" w:color="2E75B6"/>
            </w:tcBorders>
            <w:tcMar>
              <w:top w:w="120" w:type="dxa"/>
              <w:left w:w="160" w:type="dxa"/>
              <w:bottom w:w="120" w:type="dxa"/>
              <w:right w:w="160" w:type="dxa"/>
            </w:tcMar>
          </w:tcPr>
          <w:p w14:paraId="6B8C4C4E" w14:textId="77777777" w:rsidR="00996690" w:rsidRPr="002F4971" w:rsidRDefault="000E2C1D" w:rsidP="002F4971">
            <w:pPr>
              <w:spacing w:after="120" w:line="276" w:lineRule="auto"/>
              <w:jc w:val="both"/>
              <w:rPr>
                <w:sz w:val="24"/>
                <w:szCs w:val="24"/>
              </w:rPr>
            </w:pPr>
            <w:r w:rsidRPr="002F4971">
              <w:rPr>
                <w:sz w:val="24"/>
                <w:szCs w:val="24"/>
              </w:rPr>
              <w:t>When studying the LCLM4001 Academic Skills module, there were two experiences that I consider to be especially important to my development, namely completing Task 1 (an academic reading and referencing exercise) and Task 2 (a written assignment that demands paraphrasing and evaluating the sources). Task 1 involved finding scholarly materials, using Harvard referencing, and showing the comprehension of reliable and unreliable information. This was rather difficult at first, because I did not have a lot of previous experience with the rules of citing sources in a formal way. Task 2 was based on these premises and thus asked me to paraphrase academic texts with accuracy and incorporate them into a structured argument. The two activities were done within prescribed time limits and served as a progressive structure towards the acquisition of fundamental academic literacy skills during the module.</w:t>
            </w:r>
          </w:p>
        </w:tc>
      </w:tr>
      <w:tr w:rsidR="00996690" w14:paraId="67949127" w14:textId="77777777">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120" w:type="dxa"/>
              <w:left w:w="160" w:type="dxa"/>
              <w:bottom w:w="120" w:type="dxa"/>
              <w:right w:w="160" w:type="dxa"/>
            </w:tcMar>
          </w:tcPr>
          <w:p w14:paraId="553E0A29" w14:textId="77777777" w:rsidR="00996690" w:rsidRDefault="002F4971">
            <w:r>
              <w:rPr>
                <w:b/>
                <w:bCs/>
                <w:color w:val="1F3864"/>
                <w:sz w:val="24"/>
                <w:szCs w:val="24"/>
              </w:rPr>
              <w:t>Feelings</w:t>
            </w:r>
          </w:p>
          <w:p w14:paraId="48189D5D" w14:textId="77777777" w:rsidR="00996690" w:rsidRDefault="002F4971">
            <w:r>
              <w:rPr>
                <w:i/>
                <w:iCs/>
                <w:color w:val="444444"/>
                <w:sz w:val="20"/>
                <w:szCs w:val="20"/>
              </w:rPr>
              <w:t>(What were you thinking and feeling?)</w:t>
            </w:r>
          </w:p>
        </w:tc>
        <w:tc>
          <w:tcPr>
            <w:tcW w:w="6560" w:type="dxa"/>
            <w:tcBorders>
              <w:top w:val="single" w:sz="4" w:space="0" w:color="2E75B6"/>
              <w:left w:val="single" w:sz="4" w:space="0" w:color="2E75B6"/>
              <w:bottom w:val="single" w:sz="4" w:space="0" w:color="2E75B6"/>
              <w:right w:val="single" w:sz="4" w:space="0" w:color="2E75B6"/>
            </w:tcBorders>
            <w:tcMar>
              <w:top w:w="120" w:type="dxa"/>
              <w:left w:w="160" w:type="dxa"/>
              <w:bottom w:w="120" w:type="dxa"/>
              <w:right w:w="160" w:type="dxa"/>
            </w:tcMar>
          </w:tcPr>
          <w:p w14:paraId="7359D22C" w14:textId="77777777" w:rsidR="000E2C1D" w:rsidRPr="002F4971" w:rsidRDefault="000E2C1D" w:rsidP="002F4971">
            <w:pPr>
              <w:spacing w:after="120" w:line="276" w:lineRule="auto"/>
              <w:jc w:val="both"/>
              <w:rPr>
                <w:sz w:val="24"/>
                <w:szCs w:val="24"/>
              </w:rPr>
            </w:pPr>
            <w:r w:rsidRPr="002F4971">
              <w:rPr>
                <w:sz w:val="24"/>
                <w:szCs w:val="24"/>
              </w:rPr>
              <w:t>I was anxious and uncertain before starting Task 1. The necessity to properly structure references in the Harvard system was overwhelming, especially since the slightest mistake can have an immense impact on the credibility of the work (Cottrell, 2019). I was also afraid that I did not have the background knowledge to do the job to an acceptable level. However, this was not the case during the task as I gained confidence in the task as I progressed through the guidelines given on referring and could use them in actual sources.</w:t>
            </w:r>
          </w:p>
          <w:p w14:paraId="57E0D692" w14:textId="77777777" w:rsidR="00996690" w:rsidRPr="002F4971" w:rsidRDefault="000E2C1D" w:rsidP="002F4971">
            <w:pPr>
              <w:spacing w:after="120" w:line="276" w:lineRule="auto"/>
              <w:jc w:val="both"/>
              <w:rPr>
                <w:sz w:val="24"/>
                <w:szCs w:val="24"/>
              </w:rPr>
            </w:pPr>
            <w:r w:rsidRPr="002F4971">
              <w:rPr>
                <w:sz w:val="24"/>
                <w:szCs w:val="24"/>
              </w:rPr>
              <w:t>My mood changed a little by the time I started working on Task 2. I felt more competent when sourcing material, but I was hesitant to paraphrase correctly without unintentionally misrepresenting the meaning of an author. According to Moon (2013), reflective learners tend to feel uncomfortable when faced with new academic conventions and this was the case with me. Having passed in both assignments, I experienced some relief and careful pride because I felt that I had taken the material seriously, though I was skeptical of myself.</w:t>
            </w:r>
          </w:p>
        </w:tc>
      </w:tr>
      <w:tr w:rsidR="00996690" w14:paraId="35EFC6FE" w14:textId="77777777">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120" w:type="dxa"/>
              <w:left w:w="160" w:type="dxa"/>
              <w:bottom w:w="120" w:type="dxa"/>
              <w:right w:w="160" w:type="dxa"/>
            </w:tcMar>
          </w:tcPr>
          <w:p w14:paraId="49917782" w14:textId="77777777" w:rsidR="00996690" w:rsidRDefault="002F4971">
            <w:r>
              <w:rPr>
                <w:b/>
                <w:bCs/>
                <w:color w:val="1F3864"/>
                <w:sz w:val="24"/>
                <w:szCs w:val="24"/>
              </w:rPr>
              <w:t>Evaluation</w:t>
            </w:r>
          </w:p>
          <w:p w14:paraId="6CA2971B" w14:textId="77777777" w:rsidR="00996690" w:rsidRDefault="002F4971">
            <w:r>
              <w:rPr>
                <w:i/>
                <w:iCs/>
                <w:color w:val="444444"/>
                <w:sz w:val="20"/>
                <w:szCs w:val="20"/>
              </w:rPr>
              <w:t>(What was good and bad?)</w:t>
            </w:r>
          </w:p>
        </w:tc>
        <w:tc>
          <w:tcPr>
            <w:tcW w:w="6560" w:type="dxa"/>
            <w:tcBorders>
              <w:top w:val="single" w:sz="4" w:space="0" w:color="2E75B6"/>
              <w:left w:val="single" w:sz="4" w:space="0" w:color="2E75B6"/>
              <w:bottom w:val="single" w:sz="4" w:space="0" w:color="2E75B6"/>
              <w:right w:val="single" w:sz="4" w:space="0" w:color="2E75B6"/>
            </w:tcBorders>
            <w:tcMar>
              <w:top w:w="120" w:type="dxa"/>
              <w:left w:w="160" w:type="dxa"/>
              <w:bottom w:w="120" w:type="dxa"/>
              <w:right w:w="160" w:type="dxa"/>
            </w:tcMar>
          </w:tcPr>
          <w:p w14:paraId="348BE1B1" w14:textId="77777777" w:rsidR="000E2C1D" w:rsidRPr="002F4971" w:rsidRDefault="000E2C1D" w:rsidP="002F4971">
            <w:pPr>
              <w:spacing w:after="120" w:line="276" w:lineRule="auto"/>
              <w:jc w:val="both"/>
              <w:rPr>
                <w:sz w:val="24"/>
                <w:szCs w:val="24"/>
              </w:rPr>
            </w:pPr>
            <w:r w:rsidRPr="002F4971">
              <w:rPr>
                <w:sz w:val="24"/>
                <w:szCs w:val="24"/>
              </w:rPr>
              <w:t>Both experiences had obvious positives. Task 1 introduced me the systematic approach to academic research which I had not hitherto applied in such a rigorous manner. The response I got was my appreciation of trying to find pertinent content, which was very positive. Task 2 allowed me to use the skill of paraphrasing in practice, and the actual rephrasing of the academic thoughts in my own words enhanced my understanding of the topic at hand.</w:t>
            </w:r>
          </w:p>
          <w:p w14:paraId="755E18F1" w14:textId="77777777" w:rsidR="00996690" w:rsidRPr="002F4971" w:rsidRDefault="000E2C1D" w:rsidP="002F4971">
            <w:pPr>
              <w:spacing w:after="120" w:line="276" w:lineRule="auto"/>
              <w:jc w:val="both"/>
              <w:rPr>
                <w:sz w:val="24"/>
                <w:szCs w:val="24"/>
              </w:rPr>
            </w:pPr>
            <w:r w:rsidRPr="002F4971">
              <w:rPr>
                <w:sz w:val="24"/>
                <w:szCs w:val="24"/>
              </w:rPr>
              <w:t xml:space="preserve">On the negative end, I had problems with time management in Task 2. I had not properly estimated the time to paraphrase with the correct meaning and that is what made me come to a hasty conclusion. Burns and </w:t>
            </w:r>
            <w:proofErr w:type="spellStart"/>
            <w:r w:rsidRPr="002F4971">
              <w:rPr>
                <w:sz w:val="24"/>
                <w:szCs w:val="24"/>
              </w:rPr>
              <w:t>Sinfield</w:t>
            </w:r>
            <w:proofErr w:type="spellEnd"/>
            <w:r w:rsidRPr="002F4971">
              <w:rPr>
                <w:sz w:val="24"/>
                <w:szCs w:val="24"/>
              </w:rPr>
              <w:t xml:space="preserve"> (2016) emphasize that one of the most frequent challenges that students face when entering higher education is poor time planning, which was also the case with me. Also, I was confused with the in-text citation placement, especially when I needed to use several sources in one paragraph.</w:t>
            </w:r>
          </w:p>
        </w:tc>
      </w:tr>
      <w:tr w:rsidR="00996690" w14:paraId="00DB181E" w14:textId="77777777">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120" w:type="dxa"/>
              <w:left w:w="160" w:type="dxa"/>
              <w:bottom w:w="120" w:type="dxa"/>
              <w:right w:w="160" w:type="dxa"/>
            </w:tcMar>
          </w:tcPr>
          <w:p w14:paraId="4AB1D843" w14:textId="77777777" w:rsidR="00996690" w:rsidRDefault="002F4971">
            <w:r>
              <w:rPr>
                <w:b/>
                <w:bCs/>
                <w:color w:val="1F3864"/>
                <w:sz w:val="24"/>
                <w:szCs w:val="24"/>
              </w:rPr>
              <w:t>Analysis</w:t>
            </w:r>
          </w:p>
          <w:p w14:paraId="23C261F3" w14:textId="77777777" w:rsidR="00996690" w:rsidRDefault="002F4971">
            <w:r>
              <w:rPr>
                <w:i/>
                <w:iCs/>
                <w:color w:val="444444"/>
                <w:sz w:val="20"/>
                <w:szCs w:val="20"/>
              </w:rPr>
              <w:t>(What sense can you make of it?)</w:t>
            </w:r>
          </w:p>
        </w:tc>
        <w:tc>
          <w:tcPr>
            <w:tcW w:w="6560" w:type="dxa"/>
            <w:tcBorders>
              <w:top w:val="single" w:sz="4" w:space="0" w:color="2E75B6"/>
              <w:left w:val="single" w:sz="4" w:space="0" w:color="2E75B6"/>
              <w:bottom w:val="single" w:sz="4" w:space="0" w:color="2E75B6"/>
              <w:right w:val="single" w:sz="4" w:space="0" w:color="2E75B6"/>
            </w:tcBorders>
            <w:tcMar>
              <w:top w:w="120" w:type="dxa"/>
              <w:left w:w="160" w:type="dxa"/>
              <w:bottom w:w="120" w:type="dxa"/>
              <w:right w:w="160" w:type="dxa"/>
            </w:tcMar>
          </w:tcPr>
          <w:p w14:paraId="7334786C" w14:textId="77777777" w:rsidR="000E2C1D" w:rsidRPr="002F4971" w:rsidRDefault="000E2C1D" w:rsidP="002F4971">
            <w:pPr>
              <w:spacing w:after="120" w:line="276" w:lineRule="auto"/>
              <w:jc w:val="both"/>
              <w:rPr>
                <w:sz w:val="24"/>
                <w:szCs w:val="24"/>
              </w:rPr>
            </w:pPr>
            <w:r w:rsidRPr="002F4971">
              <w:rPr>
                <w:sz w:val="24"/>
                <w:szCs w:val="24"/>
              </w:rPr>
              <w:t xml:space="preserve">In retrospect of both tasks, I can observe that my hardships were to a great extent brought about by my deficiency in prior academic </w:t>
            </w:r>
            <w:proofErr w:type="spellStart"/>
            <w:r w:rsidRPr="002F4971">
              <w:rPr>
                <w:sz w:val="24"/>
                <w:szCs w:val="24"/>
              </w:rPr>
              <w:t>socialisation</w:t>
            </w:r>
            <w:proofErr w:type="spellEnd"/>
            <w:r w:rsidRPr="002F4971">
              <w:rPr>
                <w:sz w:val="24"/>
                <w:szCs w:val="24"/>
              </w:rPr>
              <w:t xml:space="preserve"> and not my deficiency in ability. According to Lea and Street (1998) academic literacy is not a neutral skill but a </w:t>
            </w:r>
            <w:proofErr w:type="spellStart"/>
            <w:r w:rsidRPr="002F4971">
              <w:rPr>
                <w:sz w:val="24"/>
                <w:szCs w:val="24"/>
              </w:rPr>
              <w:t>practise</w:t>
            </w:r>
            <w:proofErr w:type="spellEnd"/>
            <w:r w:rsidRPr="002F4971">
              <w:rPr>
                <w:sz w:val="24"/>
                <w:szCs w:val="24"/>
              </w:rPr>
              <w:t xml:space="preserve"> which is </w:t>
            </w:r>
            <w:proofErr w:type="spellStart"/>
            <w:r w:rsidRPr="002F4971">
              <w:rPr>
                <w:sz w:val="24"/>
                <w:szCs w:val="24"/>
              </w:rPr>
              <w:t>institutionalised</w:t>
            </w:r>
            <w:proofErr w:type="spellEnd"/>
            <w:r w:rsidRPr="002F4971">
              <w:rPr>
                <w:sz w:val="24"/>
                <w:szCs w:val="24"/>
              </w:rPr>
              <w:t xml:space="preserve"> in the conventions that students have to learn explicitly. This framework can make me realize why referencing and paraphrasing were not something that I felt quite natural at first - they are disciplinary standards that can be learned only with practice and not with intuition.</w:t>
            </w:r>
          </w:p>
          <w:p w14:paraId="3EFCBC93" w14:textId="77777777" w:rsidR="00996690" w:rsidRPr="002F4971" w:rsidRDefault="000E2C1D" w:rsidP="002F4971">
            <w:pPr>
              <w:spacing w:after="120" w:line="276" w:lineRule="auto"/>
              <w:jc w:val="both"/>
              <w:rPr>
                <w:sz w:val="24"/>
                <w:szCs w:val="24"/>
              </w:rPr>
            </w:pPr>
            <w:r w:rsidRPr="002F4971">
              <w:rPr>
                <w:sz w:val="24"/>
                <w:szCs w:val="24"/>
              </w:rPr>
              <w:t>In cases where everything was good, it was mostly due to my active participation with the support materials given during classes and asking clarification where needed. In cases where it did not go as well, as in the time-constrained culmination of Task 2, it was because I had not properly divided the task into smaller steps with specific time constraints. My classmates seemed to have the same concerns regarding citation correctness, as it appears that these challenges are not unique to students who have just started to work on formal academic text.</w:t>
            </w:r>
          </w:p>
        </w:tc>
      </w:tr>
      <w:tr w:rsidR="00996690" w14:paraId="4311F50F" w14:textId="77777777">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120" w:type="dxa"/>
              <w:left w:w="160" w:type="dxa"/>
              <w:bottom w:w="120" w:type="dxa"/>
              <w:right w:w="160" w:type="dxa"/>
            </w:tcMar>
          </w:tcPr>
          <w:p w14:paraId="7038D9AA" w14:textId="77777777" w:rsidR="00996690" w:rsidRDefault="002F4971">
            <w:r>
              <w:rPr>
                <w:b/>
                <w:bCs/>
                <w:color w:val="1F3864"/>
                <w:sz w:val="24"/>
                <w:szCs w:val="24"/>
              </w:rPr>
              <w:t>Conclusion</w:t>
            </w:r>
          </w:p>
          <w:p w14:paraId="50033363" w14:textId="77777777" w:rsidR="00996690" w:rsidRDefault="002F4971">
            <w:r>
              <w:rPr>
                <w:i/>
                <w:iCs/>
                <w:color w:val="444444"/>
                <w:sz w:val="20"/>
                <w:szCs w:val="20"/>
              </w:rPr>
              <w:t>(What else could you have done?)</w:t>
            </w:r>
          </w:p>
        </w:tc>
        <w:tc>
          <w:tcPr>
            <w:tcW w:w="6560" w:type="dxa"/>
            <w:tcBorders>
              <w:top w:val="single" w:sz="4" w:space="0" w:color="2E75B6"/>
              <w:left w:val="single" w:sz="4" w:space="0" w:color="2E75B6"/>
              <w:bottom w:val="single" w:sz="4" w:space="0" w:color="2E75B6"/>
              <w:right w:val="single" w:sz="4" w:space="0" w:color="2E75B6"/>
            </w:tcBorders>
            <w:tcMar>
              <w:top w:w="120" w:type="dxa"/>
              <w:left w:w="160" w:type="dxa"/>
              <w:bottom w:w="120" w:type="dxa"/>
              <w:right w:w="160" w:type="dxa"/>
            </w:tcMar>
          </w:tcPr>
          <w:p w14:paraId="25D74019" w14:textId="77777777" w:rsidR="000E2C1D" w:rsidRPr="002F4971" w:rsidRDefault="000E2C1D" w:rsidP="002F4971">
            <w:pPr>
              <w:spacing w:after="120" w:line="276" w:lineRule="auto"/>
              <w:jc w:val="both"/>
              <w:rPr>
                <w:sz w:val="24"/>
                <w:szCs w:val="24"/>
              </w:rPr>
            </w:pPr>
            <w:r w:rsidRPr="002F4971">
              <w:rPr>
                <w:sz w:val="24"/>
                <w:szCs w:val="24"/>
              </w:rPr>
              <w:t>Reflectively, I would have done both tasks better in a number of ways. In Task 1, I would feel better to acquaint myself with the Harvard referencing format prior to commencing the module instead of acquiring it in a reactive manner when the module is under assessment. In Task 2, I would have divided the task into well-timed steps (drafting, paraphrasing, referencing, and reading) to avoid the last-minute panic that affected my conclusion.</w:t>
            </w:r>
          </w:p>
          <w:p w14:paraId="4DC2BE79" w14:textId="77777777" w:rsidR="00996690" w:rsidRPr="002F4971" w:rsidRDefault="000E2C1D" w:rsidP="002F4971">
            <w:pPr>
              <w:spacing w:after="120" w:line="276" w:lineRule="auto"/>
              <w:jc w:val="both"/>
              <w:rPr>
                <w:sz w:val="24"/>
                <w:szCs w:val="24"/>
              </w:rPr>
            </w:pPr>
            <w:r w:rsidRPr="002F4971">
              <w:rPr>
                <w:sz w:val="24"/>
                <w:szCs w:val="24"/>
              </w:rPr>
              <w:t xml:space="preserve">I also understand that I might have been more proactive in terms of peer discussion in classes. </w:t>
            </w:r>
            <w:r w:rsidR="002F4971" w:rsidRPr="002F4971">
              <w:rPr>
                <w:sz w:val="24"/>
                <w:szCs w:val="24"/>
              </w:rPr>
              <w:t>T</w:t>
            </w:r>
            <w:r w:rsidRPr="002F4971">
              <w:rPr>
                <w:sz w:val="24"/>
                <w:szCs w:val="24"/>
              </w:rPr>
              <w:t>he notion of the Zone of Proximal Development mean that learning with peers who are more knowledgeable can help a learn</w:t>
            </w:r>
            <w:r w:rsidR="002F4971" w:rsidRPr="002F4971">
              <w:rPr>
                <w:sz w:val="24"/>
                <w:szCs w:val="24"/>
              </w:rPr>
              <w:t xml:space="preserve">er acquire a skill much faster as cited in </w:t>
            </w:r>
            <w:proofErr w:type="spellStart"/>
            <w:r w:rsidR="002F4971" w:rsidRPr="002F4971">
              <w:rPr>
                <w:sz w:val="24"/>
                <w:szCs w:val="24"/>
              </w:rPr>
              <w:t>Boud</w:t>
            </w:r>
            <w:proofErr w:type="spellEnd"/>
            <w:r w:rsidR="002F4971" w:rsidRPr="002F4971">
              <w:rPr>
                <w:sz w:val="24"/>
                <w:szCs w:val="24"/>
              </w:rPr>
              <w:t>, 2013</w:t>
            </w:r>
            <w:r w:rsidRPr="002F4971">
              <w:rPr>
                <w:sz w:val="24"/>
                <w:szCs w:val="24"/>
              </w:rPr>
              <w:t>. Closer interaction with fellow students through in-class activities might have helped me solve uncertainties regarding referencing faster and more confidently.</w:t>
            </w:r>
          </w:p>
        </w:tc>
      </w:tr>
      <w:tr w:rsidR="00996690" w14:paraId="741D6C16" w14:textId="77777777">
        <w:tc>
          <w:tcPr>
            <w:tcW w:w="2800" w:type="dxa"/>
            <w:tcBorders>
              <w:top w:val="single" w:sz="4" w:space="0" w:color="2E75B6"/>
              <w:left w:val="single" w:sz="4" w:space="0" w:color="2E75B6"/>
              <w:bottom w:val="single" w:sz="4" w:space="0" w:color="2E75B6"/>
              <w:right w:val="single" w:sz="4" w:space="0" w:color="2E75B6"/>
            </w:tcBorders>
            <w:shd w:val="clear" w:color="auto" w:fill="DCE6F1"/>
            <w:tcMar>
              <w:top w:w="120" w:type="dxa"/>
              <w:left w:w="160" w:type="dxa"/>
              <w:bottom w:w="120" w:type="dxa"/>
              <w:right w:w="160" w:type="dxa"/>
            </w:tcMar>
          </w:tcPr>
          <w:p w14:paraId="22F316C5" w14:textId="77777777" w:rsidR="00996690" w:rsidRDefault="002F4971">
            <w:r>
              <w:rPr>
                <w:b/>
                <w:bCs/>
                <w:color w:val="1F3864"/>
                <w:sz w:val="24"/>
                <w:szCs w:val="24"/>
              </w:rPr>
              <w:t>Action Plan</w:t>
            </w:r>
          </w:p>
          <w:p w14:paraId="62BD40A2" w14:textId="77777777" w:rsidR="00996690" w:rsidRDefault="002F4971">
            <w:r>
              <w:rPr>
                <w:i/>
                <w:iCs/>
                <w:color w:val="444444"/>
                <w:sz w:val="20"/>
                <w:szCs w:val="20"/>
              </w:rPr>
              <w:t>(Plan for future improvement)</w:t>
            </w:r>
          </w:p>
        </w:tc>
        <w:tc>
          <w:tcPr>
            <w:tcW w:w="6560" w:type="dxa"/>
            <w:tcBorders>
              <w:top w:val="single" w:sz="4" w:space="0" w:color="2E75B6"/>
              <w:left w:val="single" w:sz="4" w:space="0" w:color="2E75B6"/>
              <w:bottom w:val="single" w:sz="4" w:space="0" w:color="2E75B6"/>
              <w:right w:val="single" w:sz="4" w:space="0" w:color="2E75B6"/>
            </w:tcBorders>
            <w:tcMar>
              <w:top w:w="120" w:type="dxa"/>
              <w:left w:w="160" w:type="dxa"/>
              <w:bottom w:w="120" w:type="dxa"/>
              <w:right w:w="160" w:type="dxa"/>
            </w:tcMar>
          </w:tcPr>
          <w:p w14:paraId="1165621E" w14:textId="77777777" w:rsidR="002F4971" w:rsidRPr="002F4971" w:rsidRDefault="002F4971" w:rsidP="002F4971">
            <w:pPr>
              <w:spacing w:after="120" w:line="276" w:lineRule="auto"/>
              <w:jc w:val="both"/>
              <w:rPr>
                <w:sz w:val="24"/>
                <w:szCs w:val="24"/>
              </w:rPr>
            </w:pPr>
            <w:r w:rsidRPr="002F4971">
              <w:rPr>
                <w:sz w:val="24"/>
                <w:szCs w:val="24"/>
              </w:rPr>
              <w:t xml:space="preserve">To </w:t>
            </w:r>
            <w:proofErr w:type="spellStart"/>
            <w:r w:rsidRPr="002F4971">
              <w:rPr>
                <w:sz w:val="24"/>
                <w:szCs w:val="24"/>
              </w:rPr>
              <w:t>utilise</w:t>
            </w:r>
            <w:proofErr w:type="spellEnd"/>
            <w:r w:rsidRPr="002F4971">
              <w:rPr>
                <w:sz w:val="24"/>
                <w:szCs w:val="24"/>
              </w:rPr>
              <w:t xml:space="preserve"> and enhance what I’ve learned going forward, I plan to implement the following strategies:</w:t>
            </w:r>
          </w:p>
          <w:p w14:paraId="7971D583" w14:textId="77777777" w:rsidR="002F4971" w:rsidRPr="002F4971" w:rsidRDefault="002F4971" w:rsidP="002F4971">
            <w:pPr>
              <w:spacing w:after="120" w:line="276" w:lineRule="auto"/>
              <w:jc w:val="both"/>
              <w:rPr>
                <w:sz w:val="24"/>
                <w:szCs w:val="24"/>
              </w:rPr>
            </w:pPr>
            <w:r w:rsidRPr="002F4971">
              <w:rPr>
                <w:sz w:val="24"/>
                <w:szCs w:val="24"/>
              </w:rPr>
              <w:t>1. Practicing Harvard referencing with many formats (books, journals, websites) weekly until proper usage becomes habitual and efficient vs stressful or frightening.</w:t>
            </w:r>
          </w:p>
          <w:p w14:paraId="1F1900C5" w14:textId="77777777" w:rsidR="002F4971" w:rsidRPr="002F4971" w:rsidRDefault="002F4971" w:rsidP="002F4971">
            <w:pPr>
              <w:spacing w:after="120" w:line="276" w:lineRule="auto"/>
              <w:jc w:val="both"/>
              <w:rPr>
                <w:sz w:val="24"/>
                <w:szCs w:val="24"/>
              </w:rPr>
            </w:pPr>
            <w:r w:rsidRPr="002F4971">
              <w:rPr>
                <w:sz w:val="24"/>
                <w:szCs w:val="24"/>
              </w:rPr>
              <w:t>2. Utilizing a task-planning template for future assignments and breaking all assignments down over time to prevent time management issues from reducing the quality of future assignments (Cottrell, 2019).</w:t>
            </w:r>
          </w:p>
          <w:p w14:paraId="1D3F5AEA" w14:textId="77777777" w:rsidR="002F4971" w:rsidRPr="002F4971" w:rsidRDefault="002F4971" w:rsidP="002F4971">
            <w:pPr>
              <w:spacing w:after="120" w:line="276" w:lineRule="auto"/>
              <w:jc w:val="both"/>
              <w:rPr>
                <w:sz w:val="24"/>
                <w:szCs w:val="24"/>
              </w:rPr>
            </w:pPr>
            <w:r w:rsidRPr="002F4971">
              <w:rPr>
                <w:sz w:val="24"/>
                <w:szCs w:val="24"/>
              </w:rPr>
              <w:t>3. Engaging in more peer-review activities in-class whereby peer feedback is used as a formative assessment for identifying areas of improvement before submission.</w:t>
            </w:r>
          </w:p>
          <w:p w14:paraId="228F7237" w14:textId="77777777" w:rsidR="00996690" w:rsidRPr="002F4971" w:rsidRDefault="002F4971" w:rsidP="002F4971">
            <w:pPr>
              <w:spacing w:after="120" w:line="276" w:lineRule="auto"/>
              <w:jc w:val="both"/>
              <w:rPr>
                <w:sz w:val="24"/>
                <w:szCs w:val="24"/>
              </w:rPr>
            </w:pPr>
            <w:r w:rsidRPr="002F4971">
              <w:rPr>
                <w:sz w:val="24"/>
                <w:szCs w:val="24"/>
              </w:rPr>
              <w:t>4. Reading techniques for academic paraphrasing using university resources and practicing rewriting sections of academic literature in my own words to improve my fluency and ability to paraphrase the works of others with my own words.</w:t>
            </w:r>
          </w:p>
        </w:tc>
      </w:tr>
    </w:tbl>
    <w:p w14:paraId="27C88C78" w14:textId="77777777" w:rsidR="00996690" w:rsidRDefault="00996690"/>
    <w:p w14:paraId="53C19077" w14:textId="77777777" w:rsidR="00996690" w:rsidRDefault="00996690"/>
    <w:p w14:paraId="43CFF9E6" w14:textId="77777777" w:rsidR="00996690" w:rsidRDefault="002F4971">
      <w:pPr>
        <w:spacing w:after="100"/>
      </w:pPr>
      <w:r>
        <w:rPr>
          <w:b/>
          <w:bCs/>
          <w:color w:val="1F3864"/>
          <w:sz w:val="26"/>
          <w:szCs w:val="26"/>
        </w:rPr>
        <w:t>Reference List</w:t>
      </w:r>
    </w:p>
    <w:p w14:paraId="1CB2D023" w14:textId="77777777" w:rsidR="00996690" w:rsidRDefault="002F4971">
      <w:pPr>
        <w:spacing w:after="160"/>
      </w:pPr>
      <w:proofErr w:type="spellStart"/>
      <w:r>
        <w:t>Boud</w:t>
      </w:r>
      <w:proofErr w:type="spellEnd"/>
      <w:r>
        <w:t>, D. (2013) Enhancing Learning Through Self-Assessment. London: Routledge.</w:t>
      </w:r>
    </w:p>
    <w:p w14:paraId="12E7918E" w14:textId="77777777" w:rsidR="00996690" w:rsidRDefault="002F4971">
      <w:pPr>
        <w:spacing w:after="160"/>
      </w:pPr>
      <w:r>
        <w:t xml:space="preserve">Burns, T. and </w:t>
      </w:r>
      <w:proofErr w:type="spellStart"/>
      <w:r>
        <w:t>Sinfield</w:t>
      </w:r>
      <w:proofErr w:type="spellEnd"/>
      <w:r>
        <w:t xml:space="preserve">, S. (2016) Essential Study Skills: The Complete Guide to Success at University. 4th </w:t>
      </w:r>
      <w:proofErr w:type="spellStart"/>
      <w:r>
        <w:t>edn</w:t>
      </w:r>
      <w:proofErr w:type="spellEnd"/>
      <w:r>
        <w:t>. London: SAGE Publications.</w:t>
      </w:r>
    </w:p>
    <w:p w14:paraId="58C7A8F6" w14:textId="77777777" w:rsidR="00996690" w:rsidRDefault="002F4971">
      <w:pPr>
        <w:spacing w:after="160"/>
      </w:pPr>
      <w:r>
        <w:t xml:space="preserve">Cottrell, S. (2019) The Study Skills Handbook. 5th </w:t>
      </w:r>
      <w:proofErr w:type="spellStart"/>
      <w:r>
        <w:t>edn</w:t>
      </w:r>
      <w:proofErr w:type="spellEnd"/>
      <w:r>
        <w:t>. London: Palgrave Macmillan.</w:t>
      </w:r>
    </w:p>
    <w:p w14:paraId="7EA9BDEE" w14:textId="77777777" w:rsidR="00996690" w:rsidRDefault="002F4971">
      <w:pPr>
        <w:spacing w:after="160"/>
      </w:pPr>
      <w:r>
        <w:t>Lea, M.R. and Street, B.V. (1998) 'Student writing in higher education: an academic literacies approach', Studies in Higher Education, 23(2), pp. 157–172.</w:t>
      </w:r>
    </w:p>
    <w:p w14:paraId="50E84820" w14:textId="77777777" w:rsidR="00996690" w:rsidRDefault="002F4971">
      <w:pPr>
        <w:spacing w:after="160"/>
      </w:pPr>
      <w:r>
        <w:t>Moon, J.A. (2013) Reflection in Learning and Professional Development: Theory and Practice. London: Routledge.</w:t>
      </w:r>
    </w:p>
    <w:sectPr w:rsidR="00996690" w:rsidSect="00996690">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94D9B"/>
    <w:multiLevelType w:val="hybridMultilevel"/>
    <w:tmpl w:val="203E483A"/>
    <w:lvl w:ilvl="0" w:tplc="3516EE68">
      <w:start w:val="1"/>
      <w:numFmt w:val="bullet"/>
      <w:lvlText w:val="●"/>
      <w:lvlJc w:val="left"/>
      <w:pPr>
        <w:ind w:left="720" w:hanging="360"/>
      </w:pPr>
    </w:lvl>
    <w:lvl w:ilvl="1" w:tplc="ABFEACEE">
      <w:start w:val="1"/>
      <w:numFmt w:val="bullet"/>
      <w:lvlText w:val="○"/>
      <w:lvlJc w:val="left"/>
      <w:pPr>
        <w:ind w:left="1440" w:hanging="360"/>
      </w:pPr>
    </w:lvl>
    <w:lvl w:ilvl="2" w:tplc="BF245E64">
      <w:start w:val="1"/>
      <w:numFmt w:val="bullet"/>
      <w:lvlText w:val="■"/>
      <w:lvlJc w:val="left"/>
      <w:pPr>
        <w:ind w:left="2160" w:hanging="360"/>
      </w:pPr>
    </w:lvl>
    <w:lvl w:ilvl="3" w:tplc="8F40F9AC">
      <w:start w:val="1"/>
      <w:numFmt w:val="bullet"/>
      <w:lvlText w:val="●"/>
      <w:lvlJc w:val="left"/>
      <w:pPr>
        <w:ind w:left="2880" w:hanging="360"/>
      </w:pPr>
    </w:lvl>
    <w:lvl w:ilvl="4" w:tplc="EF5431E0">
      <w:start w:val="1"/>
      <w:numFmt w:val="bullet"/>
      <w:lvlText w:val="○"/>
      <w:lvlJc w:val="left"/>
      <w:pPr>
        <w:ind w:left="3600" w:hanging="360"/>
      </w:pPr>
    </w:lvl>
    <w:lvl w:ilvl="5" w:tplc="D214E862">
      <w:start w:val="1"/>
      <w:numFmt w:val="bullet"/>
      <w:lvlText w:val="■"/>
      <w:lvlJc w:val="left"/>
      <w:pPr>
        <w:ind w:left="4320" w:hanging="360"/>
      </w:pPr>
    </w:lvl>
    <w:lvl w:ilvl="6" w:tplc="B60C8762">
      <w:start w:val="1"/>
      <w:numFmt w:val="bullet"/>
      <w:lvlText w:val="●"/>
      <w:lvlJc w:val="left"/>
      <w:pPr>
        <w:ind w:left="5040" w:hanging="360"/>
      </w:pPr>
    </w:lvl>
    <w:lvl w:ilvl="7" w:tplc="3BB297D8">
      <w:start w:val="1"/>
      <w:numFmt w:val="bullet"/>
      <w:lvlText w:val="●"/>
      <w:lvlJc w:val="left"/>
      <w:pPr>
        <w:ind w:left="5760" w:hanging="360"/>
      </w:pPr>
    </w:lvl>
    <w:lvl w:ilvl="8" w:tplc="C298EF8A">
      <w:start w:val="1"/>
      <w:numFmt w:val="bullet"/>
      <w:lvlText w:val="●"/>
      <w:lvlJc w:val="left"/>
      <w:pPr>
        <w:ind w:left="6480" w:hanging="360"/>
      </w:pPr>
    </w:lvl>
  </w:abstractNum>
  <w:num w:numId="1" w16cid:durableId="17481185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690"/>
    <w:rsid w:val="000E2C1D"/>
    <w:rsid w:val="00165477"/>
    <w:rsid w:val="002F4971"/>
    <w:rsid w:val="003E50BF"/>
    <w:rsid w:val="00517E4C"/>
    <w:rsid w:val="006D55C5"/>
    <w:rsid w:val="007228D9"/>
    <w:rsid w:val="008110A1"/>
    <w:rsid w:val="00996690"/>
    <w:rsid w:val="00A1585B"/>
    <w:rsid w:val="00C82E26"/>
    <w:rsid w:val="00EC2E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73A5A"/>
  <w15:docId w15:val="{C243C47B-45A7-FF40-87E9-3EA0915BC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qFormat/>
    <w:rsid w:val="00996690"/>
    <w:pPr>
      <w:outlineLvl w:val="0"/>
    </w:pPr>
    <w:rPr>
      <w:color w:val="2E74B5"/>
      <w:sz w:val="32"/>
      <w:szCs w:val="32"/>
    </w:rPr>
  </w:style>
  <w:style w:type="paragraph" w:styleId="Heading2">
    <w:name w:val="heading 2"/>
    <w:qFormat/>
    <w:rsid w:val="00996690"/>
    <w:pPr>
      <w:outlineLvl w:val="1"/>
    </w:pPr>
    <w:rPr>
      <w:color w:val="2E74B5"/>
      <w:sz w:val="26"/>
      <w:szCs w:val="26"/>
    </w:rPr>
  </w:style>
  <w:style w:type="paragraph" w:styleId="Heading3">
    <w:name w:val="heading 3"/>
    <w:qFormat/>
    <w:rsid w:val="00996690"/>
    <w:pPr>
      <w:outlineLvl w:val="2"/>
    </w:pPr>
    <w:rPr>
      <w:color w:val="1F4D78"/>
      <w:sz w:val="24"/>
      <w:szCs w:val="24"/>
    </w:rPr>
  </w:style>
  <w:style w:type="paragraph" w:styleId="Heading4">
    <w:name w:val="heading 4"/>
    <w:qFormat/>
    <w:rsid w:val="00996690"/>
    <w:pPr>
      <w:outlineLvl w:val="3"/>
    </w:pPr>
    <w:rPr>
      <w:i/>
      <w:iCs/>
      <w:color w:val="2E74B5"/>
    </w:rPr>
  </w:style>
  <w:style w:type="paragraph" w:styleId="Heading5">
    <w:name w:val="heading 5"/>
    <w:qFormat/>
    <w:rsid w:val="00996690"/>
    <w:pPr>
      <w:outlineLvl w:val="4"/>
    </w:pPr>
    <w:rPr>
      <w:color w:val="2E74B5"/>
    </w:rPr>
  </w:style>
  <w:style w:type="paragraph" w:styleId="Heading6">
    <w:name w:val="heading 6"/>
    <w:qFormat/>
    <w:rsid w:val="00996690"/>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sid w:val="00996690"/>
    <w:rPr>
      <w:sz w:val="56"/>
      <w:szCs w:val="56"/>
    </w:rPr>
  </w:style>
  <w:style w:type="paragraph" w:customStyle="1" w:styleId="Strong1">
    <w:name w:val="Strong1"/>
    <w:qFormat/>
    <w:rsid w:val="00996690"/>
    <w:rPr>
      <w:b/>
      <w:bCs/>
    </w:rPr>
  </w:style>
  <w:style w:type="paragraph" w:styleId="ListParagraph">
    <w:name w:val="List Paragraph"/>
    <w:qFormat/>
    <w:rsid w:val="00996690"/>
  </w:style>
  <w:style w:type="character" w:styleId="Hyperlink">
    <w:name w:val="Hyperlink"/>
    <w:uiPriority w:val="99"/>
    <w:unhideWhenUsed/>
    <w:rsid w:val="00996690"/>
    <w:rPr>
      <w:color w:val="0563C1"/>
      <w:u w:val="single"/>
    </w:rPr>
  </w:style>
  <w:style w:type="character" w:styleId="FootnoteReference">
    <w:name w:val="footnote reference"/>
    <w:uiPriority w:val="99"/>
    <w:semiHidden/>
    <w:unhideWhenUsed/>
    <w:rsid w:val="00996690"/>
    <w:rPr>
      <w:vertAlign w:val="superscript"/>
    </w:rPr>
  </w:style>
  <w:style w:type="paragraph" w:styleId="FootnoteText">
    <w:name w:val="footnote text"/>
    <w:link w:val="FootnoteTextChar"/>
    <w:uiPriority w:val="99"/>
    <w:semiHidden/>
    <w:unhideWhenUsed/>
    <w:rsid w:val="00996690"/>
    <w:rPr>
      <w:sz w:val="20"/>
      <w:szCs w:val="20"/>
    </w:rPr>
  </w:style>
  <w:style w:type="character" w:customStyle="1" w:styleId="FootnoteTextChar">
    <w:name w:val="Footnote Text Char"/>
    <w:link w:val="FootnoteText"/>
    <w:uiPriority w:val="99"/>
    <w:semiHidden/>
    <w:unhideWhenUsed/>
    <w:rsid w:val="00996690"/>
    <w:rPr>
      <w:sz w:val="20"/>
      <w:szCs w:val="20"/>
    </w:rPr>
  </w:style>
  <w:style w:type="character" w:styleId="EndnoteReference">
    <w:name w:val="endnote reference"/>
    <w:uiPriority w:val="99"/>
    <w:semiHidden/>
    <w:unhideWhenUsed/>
    <w:rsid w:val="00996690"/>
    <w:rPr>
      <w:vertAlign w:val="superscript"/>
    </w:rPr>
  </w:style>
  <w:style w:type="paragraph" w:styleId="EndnoteText">
    <w:name w:val="endnote text"/>
    <w:link w:val="EndnoteTextChar"/>
    <w:uiPriority w:val="99"/>
    <w:semiHidden/>
    <w:unhideWhenUsed/>
    <w:rsid w:val="00996690"/>
    <w:rPr>
      <w:sz w:val="20"/>
      <w:szCs w:val="20"/>
    </w:rPr>
  </w:style>
  <w:style w:type="character" w:customStyle="1" w:styleId="EndnoteTextChar">
    <w:name w:val="Endnote Text Char"/>
    <w:link w:val="EndnoteText"/>
    <w:uiPriority w:val="99"/>
    <w:semiHidden/>
    <w:unhideWhenUsed/>
    <w:rsid w:val="0099669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1033</Words>
  <Characters>5889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447584847024</cp:lastModifiedBy>
  <cp:revision>9</cp:revision>
  <dcterms:created xsi:type="dcterms:W3CDTF">2026-04-03T18:04:00Z</dcterms:created>
  <dcterms:modified xsi:type="dcterms:W3CDTF">2026-04-03T18:09:00Z</dcterms:modified>
</cp:coreProperties>
</file>