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5060" w14:textId="77777777" w:rsidR="00F84D52" w:rsidRDefault="00F84D52" w:rsidP="00F84D52">
      <w:pPr>
        <w:rPr>
          <w:b/>
          <w:bCs/>
          <w:sz w:val="32"/>
          <w:szCs w:val="32"/>
        </w:rPr>
      </w:pPr>
    </w:p>
    <w:p w14:paraId="717B1B6D" w14:textId="2ECE8FF7" w:rsidR="00F84D52" w:rsidRPr="00F84D52" w:rsidRDefault="006E2CE4" w:rsidP="00F84D52">
      <w:pPr>
        <w:rPr>
          <w:b/>
          <w:bCs/>
          <w:sz w:val="32"/>
          <w:szCs w:val="32"/>
        </w:rPr>
      </w:pPr>
      <w:r>
        <w:rPr>
          <w:b/>
          <w:bCs/>
          <w:sz w:val="32"/>
          <w:szCs w:val="32"/>
        </w:rPr>
        <w:t>Organisational Resilience in Care Homes in Scotland</w:t>
      </w:r>
    </w:p>
    <w:p w14:paraId="0BDBADFC" w14:textId="77777777" w:rsidR="00260EF6" w:rsidRDefault="00260EF6" w:rsidP="00F84D52">
      <w:pPr>
        <w:rPr>
          <w:b/>
          <w:bCs/>
        </w:rPr>
      </w:pPr>
    </w:p>
    <w:p w14:paraId="6F341339" w14:textId="0F1AA294" w:rsidR="00F84D52" w:rsidRPr="00F84D52" w:rsidRDefault="00F84D52" w:rsidP="00F84D52">
      <w:pPr>
        <w:rPr>
          <w:b/>
          <w:bCs/>
          <w:sz w:val="22"/>
          <w:szCs w:val="22"/>
        </w:rPr>
      </w:pPr>
      <w:r w:rsidRPr="00F84D52">
        <w:rPr>
          <w:b/>
          <w:bCs/>
          <w:sz w:val="22"/>
          <w:szCs w:val="22"/>
        </w:rPr>
        <w:t>Name: Alazar Befikadu</w:t>
      </w:r>
    </w:p>
    <w:p w14:paraId="3BD25EA7" w14:textId="77777777" w:rsidR="00F84D52" w:rsidRPr="00F84D52" w:rsidRDefault="00F84D52" w:rsidP="00F84D52">
      <w:pPr>
        <w:rPr>
          <w:b/>
          <w:bCs/>
          <w:sz w:val="22"/>
          <w:szCs w:val="22"/>
        </w:rPr>
      </w:pPr>
      <w:r w:rsidRPr="00F84D52">
        <w:rPr>
          <w:b/>
          <w:bCs/>
          <w:sz w:val="22"/>
          <w:szCs w:val="22"/>
        </w:rPr>
        <w:t>Student ID: 2541000</w:t>
      </w:r>
    </w:p>
    <w:p w14:paraId="10860AB5" w14:textId="77777777" w:rsidR="00F84D52" w:rsidRPr="00F84D52" w:rsidRDefault="00F84D52" w:rsidP="00F84D52">
      <w:pPr>
        <w:rPr>
          <w:b/>
          <w:bCs/>
          <w:sz w:val="22"/>
          <w:szCs w:val="22"/>
        </w:rPr>
      </w:pPr>
      <w:r w:rsidRPr="00F84D52">
        <w:rPr>
          <w:b/>
          <w:bCs/>
          <w:sz w:val="22"/>
          <w:szCs w:val="22"/>
        </w:rPr>
        <w:t>Module Code: LCHS4007</w:t>
      </w:r>
    </w:p>
    <w:p w14:paraId="015573A9" w14:textId="77777777" w:rsidR="00F84D52" w:rsidRPr="00F84D52" w:rsidRDefault="00F84D52" w:rsidP="00F84D52">
      <w:pPr>
        <w:rPr>
          <w:b/>
          <w:bCs/>
          <w:sz w:val="22"/>
          <w:szCs w:val="22"/>
        </w:rPr>
      </w:pPr>
      <w:r w:rsidRPr="00F84D52">
        <w:rPr>
          <w:b/>
          <w:bCs/>
          <w:sz w:val="22"/>
          <w:szCs w:val="22"/>
        </w:rPr>
        <w:t>Module: Digital Skills and Research Methods</w:t>
      </w:r>
    </w:p>
    <w:p w14:paraId="4642CCD2" w14:textId="77777777" w:rsidR="00F84D52" w:rsidRPr="00F84D52" w:rsidRDefault="00F84D52" w:rsidP="00F84D52">
      <w:pPr>
        <w:rPr>
          <w:b/>
          <w:bCs/>
          <w:sz w:val="22"/>
          <w:szCs w:val="22"/>
        </w:rPr>
      </w:pPr>
      <w:r w:rsidRPr="00F84D52">
        <w:rPr>
          <w:b/>
          <w:bCs/>
          <w:sz w:val="22"/>
          <w:szCs w:val="22"/>
        </w:rPr>
        <w:t>Lecturer: Hajra Mustasim</w:t>
      </w:r>
    </w:p>
    <w:p w14:paraId="0BB87780" w14:textId="77777777" w:rsidR="00F84D52" w:rsidRPr="00F84D52" w:rsidRDefault="00F84D52" w:rsidP="00F84D52">
      <w:pPr>
        <w:rPr>
          <w:b/>
          <w:bCs/>
          <w:sz w:val="22"/>
          <w:szCs w:val="22"/>
        </w:rPr>
      </w:pPr>
      <w:r w:rsidRPr="00F84D52">
        <w:rPr>
          <w:b/>
          <w:bCs/>
          <w:sz w:val="22"/>
          <w:szCs w:val="22"/>
        </w:rPr>
        <w:t>Assessment: Component 2 – Research Report</w:t>
      </w:r>
    </w:p>
    <w:p w14:paraId="7C5C9CDC" w14:textId="77777777" w:rsidR="00F84D52" w:rsidRDefault="00F84D52" w:rsidP="00F84D52">
      <w:pPr>
        <w:rPr>
          <w:b/>
          <w:bCs/>
          <w:sz w:val="22"/>
          <w:szCs w:val="22"/>
        </w:rPr>
      </w:pPr>
      <w:r w:rsidRPr="00F84D52">
        <w:rPr>
          <w:b/>
          <w:bCs/>
          <w:sz w:val="22"/>
          <w:szCs w:val="22"/>
        </w:rPr>
        <w:t>Submission Date: 21.07.2026</w:t>
      </w:r>
    </w:p>
    <w:p w14:paraId="32A1049A" w14:textId="77777777" w:rsidR="00710AEF" w:rsidRDefault="00710AEF" w:rsidP="00F84D52">
      <w:pPr>
        <w:rPr>
          <w:b/>
          <w:bCs/>
          <w:sz w:val="22"/>
          <w:szCs w:val="22"/>
        </w:rPr>
      </w:pPr>
    </w:p>
    <w:p w14:paraId="64543D35" w14:textId="17CAF925" w:rsidR="00F84D52" w:rsidRPr="00F84D52" w:rsidRDefault="00F84D52" w:rsidP="00F84D52">
      <w:pPr>
        <w:rPr>
          <w:b/>
          <w:bCs/>
        </w:rPr>
      </w:pPr>
      <w:r w:rsidRPr="00F84D52">
        <w:rPr>
          <w:b/>
          <w:bCs/>
        </w:rPr>
        <w:t xml:space="preserve">Section 1: Introducing the Research Paper and Topic Development </w:t>
      </w:r>
    </w:p>
    <w:p w14:paraId="7028A011" w14:textId="0A9B54B5" w:rsidR="00FF7F4D" w:rsidRPr="00C31A53" w:rsidRDefault="00802981" w:rsidP="00ED6E56">
      <w:pPr>
        <w:spacing w:line="360" w:lineRule="auto"/>
        <w:rPr>
          <w:sz w:val="22"/>
          <w:szCs w:val="22"/>
        </w:rPr>
      </w:pPr>
      <w:r>
        <w:rPr>
          <w:sz w:val="22"/>
          <w:szCs w:val="22"/>
        </w:rPr>
        <w:t>The r</w:t>
      </w:r>
      <w:r w:rsidR="00FF7F4D" w:rsidRPr="00C31A53">
        <w:rPr>
          <w:sz w:val="22"/>
          <w:szCs w:val="22"/>
        </w:rPr>
        <w:t xml:space="preserve">esidential care </w:t>
      </w:r>
      <w:r w:rsidR="00E4334F">
        <w:rPr>
          <w:sz w:val="22"/>
          <w:szCs w:val="22"/>
        </w:rPr>
        <w:t>home sector</w:t>
      </w:r>
      <w:r w:rsidR="00FF7F4D" w:rsidRPr="00C31A53">
        <w:rPr>
          <w:sz w:val="22"/>
          <w:szCs w:val="22"/>
        </w:rPr>
        <w:t xml:space="preserve"> </w:t>
      </w:r>
      <w:r w:rsidR="00E4334F">
        <w:rPr>
          <w:sz w:val="22"/>
          <w:szCs w:val="22"/>
        </w:rPr>
        <w:t>plays</w:t>
      </w:r>
      <w:r w:rsidR="00FF7F4D" w:rsidRPr="00C31A53">
        <w:rPr>
          <w:sz w:val="22"/>
          <w:szCs w:val="22"/>
        </w:rPr>
        <w:t xml:space="preserve"> a vital </w:t>
      </w:r>
      <w:r w:rsidR="00E4334F">
        <w:rPr>
          <w:sz w:val="22"/>
          <w:szCs w:val="22"/>
        </w:rPr>
        <w:t>role</w:t>
      </w:r>
      <w:r w:rsidR="00FF7F4D" w:rsidRPr="00C31A53">
        <w:rPr>
          <w:sz w:val="22"/>
          <w:szCs w:val="22"/>
        </w:rPr>
        <w:t xml:space="preserve"> </w:t>
      </w:r>
      <w:r w:rsidR="00E4334F">
        <w:rPr>
          <w:sz w:val="22"/>
          <w:szCs w:val="22"/>
        </w:rPr>
        <w:t xml:space="preserve">in </w:t>
      </w:r>
      <w:r w:rsidR="00FF7F4D" w:rsidRPr="00C31A53">
        <w:rPr>
          <w:sz w:val="22"/>
          <w:szCs w:val="22"/>
        </w:rPr>
        <w:t xml:space="preserve">the UK health and social care </w:t>
      </w:r>
      <w:r w:rsidR="00E4334F">
        <w:rPr>
          <w:sz w:val="22"/>
          <w:szCs w:val="22"/>
        </w:rPr>
        <w:t>system</w:t>
      </w:r>
      <w:r w:rsidR="00FF7F4D" w:rsidRPr="00C31A53">
        <w:rPr>
          <w:sz w:val="22"/>
          <w:szCs w:val="22"/>
        </w:rPr>
        <w:t xml:space="preserve">, providing extended accommodation for elderly individuals navigating profound physical, cognitive, and mobility limitations. This sector operates in a high-pressure environment where practitioners must constantly balance personal resident preferences, strict external inspections, workforce shortages, and increasingly complex medical profiles. </w:t>
      </w:r>
      <w:r w:rsidR="00ED6E56" w:rsidRPr="00ED6E56">
        <w:rPr>
          <w:sz w:val="22"/>
          <w:szCs w:val="22"/>
        </w:rPr>
        <w:t>The COVID-19 pandemic exposed vulnerabilities in staffing, resources, outbreak management, and service stability.</w:t>
      </w:r>
    </w:p>
    <w:p w14:paraId="03573FE6" w14:textId="77777777" w:rsidR="00FF7F4D" w:rsidRPr="00C31A53" w:rsidRDefault="00FF7F4D" w:rsidP="00C31A53">
      <w:pPr>
        <w:spacing w:line="360" w:lineRule="auto"/>
        <w:rPr>
          <w:sz w:val="22"/>
          <w:szCs w:val="22"/>
        </w:rPr>
      </w:pPr>
      <w:r w:rsidRPr="00C31A53">
        <w:rPr>
          <w:sz w:val="22"/>
          <w:szCs w:val="22"/>
        </w:rPr>
        <w:t xml:space="preserve">These systemic difficulties have been widely acknowledged at a national policy level. For instance, the NHS Long Term Workforce Plan underlines severe employment shortfalls and calls for more durable models of staffing and operational delivery across the wider care network (NHS England, 2023). Furthermore, evidence gathered during the pandemic emphasizes the absolute necessity of altering healthcare frameworks to foster greater endurance across social care environments (Greenhalgh </w:t>
      </w:r>
      <w:r w:rsidRPr="00F22E5E">
        <w:rPr>
          <w:i/>
          <w:iCs/>
          <w:sz w:val="22"/>
          <w:szCs w:val="22"/>
        </w:rPr>
        <w:t>et al.,</w:t>
      </w:r>
      <w:r w:rsidRPr="00C31A53">
        <w:rPr>
          <w:sz w:val="22"/>
          <w:szCs w:val="22"/>
        </w:rPr>
        <w:t xml:space="preserve"> 2020).</w:t>
      </w:r>
    </w:p>
    <w:p w14:paraId="3F3F2FA9" w14:textId="1BFCAFDF" w:rsidR="00FF7F4D" w:rsidRPr="00C31A53" w:rsidRDefault="00FF7F4D" w:rsidP="00C31A53">
      <w:pPr>
        <w:spacing w:line="360" w:lineRule="auto"/>
        <w:rPr>
          <w:sz w:val="22"/>
          <w:szCs w:val="22"/>
        </w:rPr>
      </w:pPr>
      <w:r w:rsidRPr="00C31A53">
        <w:rPr>
          <w:sz w:val="22"/>
          <w:szCs w:val="22"/>
        </w:rPr>
        <w:t xml:space="preserve">The current report evaluates a specific empirical study conducted by Ross </w:t>
      </w:r>
      <w:r w:rsidRPr="00F22E5E">
        <w:rPr>
          <w:i/>
          <w:iCs/>
          <w:sz w:val="22"/>
          <w:szCs w:val="22"/>
        </w:rPr>
        <w:t>et al</w:t>
      </w:r>
      <w:r w:rsidRPr="00C31A53">
        <w:rPr>
          <w:sz w:val="22"/>
          <w:szCs w:val="22"/>
        </w:rPr>
        <w:t xml:space="preserve">. (2022), titled A qualitative study of Organisational Resilience in Care Homes in Scotland. This paper investigates how residential facilities manage to sustain safe care pathways during periods of instability, </w:t>
      </w:r>
      <w:r w:rsidR="00DE1D26">
        <w:rPr>
          <w:sz w:val="22"/>
          <w:szCs w:val="22"/>
        </w:rPr>
        <w:t>shifting</w:t>
      </w:r>
      <w:r w:rsidRPr="00C31A53">
        <w:rPr>
          <w:sz w:val="22"/>
          <w:szCs w:val="22"/>
        </w:rPr>
        <w:t xml:space="preserve"> operational demands, and daily systemic strain. Rather than concentrating strictly on procedural breakdowns, the authors focus on how frontline employees alter their day-to-day routines to safeguard compassionate, patient-centred care.</w:t>
      </w:r>
    </w:p>
    <w:p w14:paraId="141837E7" w14:textId="41A7F099" w:rsidR="00FF7F4D" w:rsidRPr="00C31A53" w:rsidRDefault="00FF7F4D" w:rsidP="00C31A53">
      <w:pPr>
        <w:spacing w:line="360" w:lineRule="auto"/>
        <w:rPr>
          <w:sz w:val="22"/>
          <w:szCs w:val="22"/>
        </w:rPr>
      </w:pPr>
      <w:r w:rsidRPr="00C31A53">
        <w:rPr>
          <w:sz w:val="22"/>
          <w:szCs w:val="22"/>
        </w:rPr>
        <w:lastRenderedPageBreak/>
        <w:t xml:space="preserve">The conceptual anchor of this investigation is </w:t>
      </w:r>
      <w:r w:rsidR="00E4334F">
        <w:rPr>
          <w:sz w:val="22"/>
          <w:szCs w:val="22"/>
        </w:rPr>
        <w:t>organisational resilience</w:t>
      </w:r>
      <w:r w:rsidRPr="00C31A53">
        <w:rPr>
          <w:sz w:val="22"/>
          <w:szCs w:val="22"/>
        </w:rPr>
        <w:t xml:space="preserve">. In academic literature, organisational resilience is understood as a system's capacity to modify its functions, respond effectively, and preserve core operations when disrupted by unexpected incidents (Hollnagel, 2017). To explore this, the researchers engaged with frontline care workers, residents, relatives, and external regulators across the Scottish social care landscape. Analysing how durability is cultivated in these settings offers vital insights for upgrading care delivery and workforce strategies. Ultimately, care environments function as intricate networks where open communication, collaborative teamwork, local leadership, and flexible habits directly dictate overall safety and service quality (Braithwaite </w:t>
      </w:r>
      <w:r w:rsidRPr="00C46DC2">
        <w:rPr>
          <w:i/>
          <w:iCs/>
          <w:sz w:val="22"/>
          <w:szCs w:val="22"/>
        </w:rPr>
        <w:t>et al.,</w:t>
      </w:r>
      <w:r w:rsidRPr="00C31A53">
        <w:rPr>
          <w:sz w:val="22"/>
          <w:szCs w:val="22"/>
        </w:rPr>
        <w:t xml:space="preserve"> 2018).</w:t>
      </w:r>
    </w:p>
    <w:p w14:paraId="2067CA5D" w14:textId="565BF3FC" w:rsidR="00F84D52" w:rsidRPr="00F84D52" w:rsidRDefault="00F84D52" w:rsidP="00F84D52"/>
    <w:p w14:paraId="48CB1991" w14:textId="77777777" w:rsidR="00F84D52" w:rsidRPr="00F84D52" w:rsidRDefault="00F84D52" w:rsidP="00F84D52">
      <w:pPr>
        <w:rPr>
          <w:b/>
          <w:bCs/>
        </w:rPr>
      </w:pPr>
      <w:r w:rsidRPr="00F84D52">
        <w:rPr>
          <w:b/>
          <w:bCs/>
        </w:rPr>
        <w:t>Section 2: Understanding the Purpose and Research Question</w:t>
      </w:r>
    </w:p>
    <w:p w14:paraId="1B5802CB" w14:textId="05C56E8D" w:rsidR="00FF7F4D" w:rsidRDefault="00FF7F4D" w:rsidP="00C31A53">
      <w:pPr>
        <w:spacing w:line="360" w:lineRule="auto"/>
        <w:rPr>
          <w:sz w:val="22"/>
          <w:szCs w:val="22"/>
        </w:rPr>
      </w:pPr>
      <w:r w:rsidRPr="00FF7F4D">
        <w:rPr>
          <w:sz w:val="22"/>
          <w:szCs w:val="22"/>
        </w:rPr>
        <w:t xml:space="preserve">The primary objective of the investigation was to evaluate how daily care is </w:t>
      </w:r>
      <w:r w:rsidR="00C31A53" w:rsidRPr="00FF7F4D">
        <w:rPr>
          <w:sz w:val="22"/>
          <w:szCs w:val="22"/>
        </w:rPr>
        <w:t>administered</w:t>
      </w:r>
      <w:r w:rsidRPr="00FF7F4D">
        <w:rPr>
          <w:sz w:val="22"/>
          <w:szCs w:val="22"/>
        </w:rPr>
        <w:t xml:space="preserve"> and how practitioners alter their working patterns to manage shifting workloads and structural strains. Ross </w:t>
      </w:r>
      <w:r w:rsidRPr="00F22E5E">
        <w:rPr>
          <w:i/>
          <w:iCs/>
          <w:sz w:val="22"/>
          <w:szCs w:val="22"/>
        </w:rPr>
        <w:t>et al</w:t>
      </w:r>
      <w:r w:rsidRPr="00DE1D26">
        <w:rPr>
          <w:i/>
          <w:iCs/>
          <w:sz w:val="22"/>
          <w:szCs w:val="22"/>
        </w:rPr>
        <w:t>.</w:t>
      </w:r>
      <w:r w:rsidRPr="00FF7F4D">
        <w:rPr>
          <w:sz w:val="22"/>
          <w:szCs w:val="22"/>
        </w:rPr>
        <w:t xml:space="preserve"> (2022) sought to pinpoint the exact organizational structures that either facilitate or restrict fluid adaptation within Scottish care facilities.</w:t>
      </w:r>
    </w:p>
    <w:p w14:paraId="6060C806" w14:textId="77777777" w:rsidR="00ED6E56" w:rsidRPr="00ED6E56" w:rsidRDefault="00ED6E56" w:rsidP="00ED6E56">
      <w:pPr>
        <w:spacing w:line="360" w:lineRule="auto"/>
        <w:rPr>
          <w:sz w:val="22"/>
          <w:szCs w:val="22"/>
        </w:rPr>
      </w:pPr>
      <w:r w:rsidRPr="00ED6E56">
        <w:rPr>
          <w:sz w:val="22"/>
          <w:szCs w:val="22"/>
        </w:rPr>
        <w:t>The study examined how care homes manage uncertainty through communication, teamwork, learning, monitoring, and adaptation. Focusing on real-world practices allowed the researchers to understand how safety and flexibility are achieved.</w:t>
      </w:r>
    </w:p>
    <w:p w14:paraId="53558C65" w14:textId="6E5C2769" w:rsidR="00F84D52" w:rsidRPr="00F84D52" w:rsidRDefault="00F84D52" w:rsidP="00F84D52">
      <w:pPr>
        <w:rPr>
          <w:b/>
          <w:bCs/>
        </w:rPr>
      </w:pPr>
      <w:r w:rsidRPr="00F84D52">
        <w:rPr>
          <w:b/>
          <w:bCs/>
        </w:rPr>
        <w:t>Section 3: Understanding the Research Methods</w:t>
      </w:r>
    </w:p>
    <w:p w14:paraId="15F6C5FA" w14:textId="77777777" w:rsidR="00ED6E56" w:rsidRDefault="00ED6E56" w:rsidP="00C31A53">
      <w:pPr>
        <w:spacing w:line="360" w:lineRule="auto"/>
        <w:rPr>
          <w:sz w:val="22"/>
          <w:szCs w:val="22"/>
        </w:rPr>
      </w:pPr>
      <w:r w:rsidRPr="00ED6E56">
        <w:rPr>
          <w:sz w:val="22"/>
          <w:szCs w:val="22"/>
        </w:rPr>
        <w:t xml:space="preserve">Research methodologies are approaches used to collect and analyse data. Ross </w:t>
      </w:r>
      <w:r w:rsidRPr="00F22E5E">
        <w:rPr>
          <w:i/>
          <w:iCs/>
          <w:sz w:val="22"/>
          <w:szCs w:val="22"/>
        </w:rPr>
        <w:t>et al.</w:t>
      </w:r>
      <w:r w:rsidRPr="00ED6E56">
        <w:rPr>
          <w:sz w:val="22"/>
          <w:szCs w:val="22"/>
        </w:rPr>
        <w:t xml:space="preserve"> (2022) used a qualitative design because the study aimed to explore experiences, behaviours, and adaptations within care homes.</w:t>
      </w:r>
    </w:p>
    <w:p w14:paraId="016E7560" w14:textId="45ACEC6C" w:rsidR="00FF7F4D" w:rsidRPr="00C31A53" w:rsidRDefault="00FF7F4D" w:rsidP="00C31A53">
      <w:pPr>
        <w:spacing w:line="360" w:lineRule="auto"/>
        <w:rPr>
          <w:sz w:val="22"/>
          <w:szCs w:val="22"/>
        </w:rPr>
      </w:pPr>
      <w:r w:rsidRPr="00C31A53">
        <w:rPr>
          <w:sz w:val="22"/>
          <w:szCs w:val="22"/>
        </w:rPr>
        <w:t xml:space="preserve">For their study, Ross </w:t>
      </w:r>
      <w:r w:rsidRPr="00F22E5E">
        <w:rPr>
          <w:i/>
          <w:iCs/>
          <w:sz w:val="22"/>
          <w:szCs w:val="22"/>
        </w:rPr>
        <w:t>et al.</w:t>
      </w:r>
      <w:r w:rsidRPr="00C31A53">
        <w:rPr>
          <w:sz w:val="22"/>
          <w:szCs w:val="22"/>
        </w:rPr>
        <w:t xml:space="preserve"> (2022) selected a qualitative framework because they wanted to capture how care workers navigate and perceive everyday workplace hurdles. This design was highly appropriate since systemic resilience relies on fluid human interactions, clinical choices, group dynamics, and spontaneous adaptations that simply cannot be quantified through numerical measurements alone</w:t>
      </w:r>
      <w:r w:rsidR="00C46DC2">
        <w:rPr>
          <w:sz w:val="22"/>
          <w:szCs w:val="22"/>
        </w:rPr>
        <w:t>.</w:t>
      </w:r>
    </w:p>
    <w:p w14:paraId="02FE5F72" w14:textId="77777777" w:rsidR="00FF7F4D" w:rsidRPr="00C31A53" w:rsidRDefault="00FF7F4D" w:rsidP="00C31A53">
      <w:pPr>
        <w:spacing w:line="360" w:lineRule="auto"/>
        <w:rPr>
          <w:sz w:val="22"/>
          <w:szCs w:val="22"/>
        </w:rPr>
      </w:pPr>
      <w:r w:rsidRPr="00C31A53">
        <w:rPr>
          <w:sz w:val="22"/>
          <w:szCs w:val="22"/>
        </w:rPr>
        <w:t>The fieldwork spanned various Scottish residential homes over a two-year timeframe. The investigators gathered primary data first-hand from the field. While secondary data draws on pre-existing records like historical archives, government statistics, or old literature, collecting primary material allowed these researchers to capture the genuine voices of those actively working in care delivery.</w:t>
      </w:r>
    </w:p>
    <w:p w14:paraId="17B225F0" w14:textId="546EDF1D" w:rsidR="00FF7F4D" w:rsidRPr="00C31A53" w:rsidRDefault="00FF7F4D" w:rsidP="00C31A53">
      <w:pPr>
        <w:spacing w:line="360" w:lineRule="auto"/>
        <w:rPr>
          <w:sz w:val="22"/>
          <w:szCs w:val="22"/>
        </w:rPr>
      </w:pPr>
      <w:r w:rsidRPr="00C31A53">
        <w:rPr>
          <w:sz w:val="22"/>
          <w:szCs w:val="22"/>
        </w:rPr>
        <w:lastRenderedPageBreak/>
        <w:t xml:space="preserve">A variety of fieldwork instruments were deployed simultaneously. These </w:t>
      </w:r>
      <w:r w:rsidR="00E4334F">
        <w:rPr>
          <w:sz w:val="22"/>
          <w:szCs w:val="22"/>
        </w:rPr>
        <w:t xml:space="preserve">included </w:t>
      </w:r>
      <w:r w:rsidRPr="00C31A53">
        <w:rPr>
          <w:sz w:val="22"/>
          <w:szCs w:val="22"/>
        </w:rPr>
        <w:t>direct, non-participant observations of daily home life, semi-structured professional interviews, group focus discussions, conversations with family members, and interactive stakeholder seminars. On-site observation allowed the team to verify how care occurred in practice, preventing them from relying solely on what participants recalled retrospectively. Meanwhile, individual interviews offered deep windows into staff worries, pressures, and clinical choices, while focus groups and seminars encouraged diverse professionals to collectively debate and reflect on their institutional habits.</w:t>
      </w:r>
    </w:p>
    <w:p w14:paraId="1C8119EA" w14:textId="007387A5" w:rsidR="00FF7F4D" w:rsidRPr="00C31A53" w:rsidRDefault="00FF7F4D" w:rsidP="00C31A53">
      <w:pPr>
        <w:spacing w:line="360" w:lineRule="auto"/>
        <w:rPr>
          <w:sz w:val="22"/>
          <w:szCs w:val="22"/>
        </w:rPr>
      </w:pPr>
      <w:r w:rsidRPr="00C31A53">
        <w:rPr>
          <w:sz w:val="22"/>
          <w:szCs w:val="22"/>
        </w:rPr>
        <w:t xml:space="preserve">Participants were recruited via purposeful and theoretically guided sampling strategies. This ensured that every individual involved possessed direct, meaningful experience of the care home ecosystem. The final cohort captured variations in geographic location, facility size, and staff </w:t>
      </w:r>
      <w:r w:rsidR="00DE1D26">
        <w:rPr>
          <w:sz w:val="22"/>
          <w:szCs w:val="22"/>
        </w:rPr>
        <w:t>levels</w:t>
      </w:r>
      <w:r w:rsidRPr="00C31A53">
        <w:rPr>
          <w:sz w:val="22"/>
          <w:szCs w:val="22"/>
        </w:rPr>
        <w:t xml:space="preserve">, offering a comprehensive view of how systemic flexibility manifests. Gathering multiple </w:t>
      </w:r>
      <w:r w:rsidR="00C46DC2" w:rsidRPr="00C31A53">
        <w:rPr>
          <w:sz w:val="22"/>
          <w:szCs w:val="22"/>
        </w:rPr>
        <w:t>viewpoints</w:t>
      </w:r>
      <w:r w:rsidRPr="00C31A53">
        <w:rPr>
          <w:sz w:val="22"/>
          <w:szCs w:val="22"/>
        </w:rPr>
        <w:t xml:space="preserve"> meant the team could </w:t>
      </w:r>
      <w:r w:rsidR="00C46DC2" w:rsidRPr="00C31A53">
        <w:rPr>
          <w:sz w:val="22"/>
          <w:szCs w:val="22"/>
        </w:rPr>
        <w:t>analyse</w:t>
      </w:r>
      <w:r w:rsidRPr="00C31A53">
        <w:rPr>
          <w:sz w:val="22"/>
          <w:szCs w:val="22"/>
        </w:rPr>
        <w:t xml:space="preserve"> resilience across the entire care network rather than relying on a single, isolated perspective.</w:t>
      </w:r>
    </w:p>
    <w:p w14:paraId="02D66ED1" w14:textId="77777777" w:rsidR="00C31A53" w:rsidRPr="00C31A53" w:rsidRDefault="00C31A53" w:rsidP="00C31A53">
      <w:pPr>
        <w:spacing w:line="360" w:lineRule="auto"/>
        <w:rPr>
          <w:sz w:val="22"/>
          <w:szCs w:val="22"/>
        </w:rPr>
      </w:pPr>
      <w:r w:rsidRPr="00C31A53">
        <w:rPr>
          <w:sz w:val="22"/>
          <w:szCs w:val="22"/>
        </w:rPr>
        <w:t>The collected material was processed via thematic analysis, with data management supported by NVivo software. Thematic coding focuses on isolating recurring patterns, concepts, and meaningful narratives within textual data, and NVivo proved useful for sorting the extensive volumes of transcription and observational records. Analytically, the team mapped their findings against the CARE (Concepts for Applying Resilience Engineering) framework, an approach rooted deeply in resilient healthcare scholarship. This perspective concentrates on core system capabilities: anticipation, monitoring, responding, learning, and coordinating (Hollnagel, 2017).</w:t>
      </w:r>
    </w:p>
    <w:p w14:paraId="5EEA542D" w14:textId="5541F6CD" w:rsidR="00C31A53" w:rsidRPr="00C31A53" w:rsidRDefault="00C31A53" w:rsidP="00C31A53">
      <w:pPr>
        <w:spacing w:line="360" w:lineRule="auto"/>
        <w:rPr>
          <w:sz w:val="22"/>
          <w:szCs w:val="22"/>
        </w:rPr>
      </w:pPr>
      <w:r w:rsidRPr="00C31A53">
        <w:rPr>
          <w:sz w:val="22"/>
          <w:szCs w:val="22"/>
        </w:rPr>
        <w:t xml:space="preserve">A </w:t>
      </w:r>
      <w:r w:rsidR="00C46DC2">
        <w:rPr>
          <w:sz w:val="22"/>
          <w:szCs w:val="22"/>
        </w:rPr>
        <w:t xml:space="preserve">key </w:t>
      </w:r>
      <w:r w:rsidRPr="00C31A53">
        <w:rPr>
          <w:sz w:val="22"/>
          <w:szCs w:val="22"/>
        </w:rPr>
        <w:t>element of this analysis involved comparing "work-as-imagined" against "work-as-done". The former term covers how managers expect care to be carried out based on official policies, rulebooks, and compliance targets. The latter term describes the actual, practical steps and decisions care workers execute when dealing with unpredictable, real-time realities. Highlighting this contrast helped the researchers show how staff must routinely modify rigid protocols to protect the well-being of the residents.</w:t>
      </w:r>
    </w:p>
    <w:p w14:paraId="5C5BF5F7" w14:textId="7EEF9651" w:rsidR="007A71B3" w:rsidRPr="00C31A53" w:rsidRDefault="00C46DC2" w:rsidP="00C31A53">
      <w:pPr>
        <w:spacing w:line="360" w:lineRule="auto"/>
        <w:rPr>
          <w:sz w:val="22"/>
          <w:szCs w:val="22"/>
        </w:rPr>
      </w:pPr>
      <w:r>
        <w:rPr>
          <w:sz w:val="22"/>
          <w:szCs w:val="22"/>
        </w:rPr>
        <w:t>Careful</w:t>
      </w:r>
      <w:r w:rsidR="00C31A53" w:rsidRPr="00C31A53">
        <w:rPr>
          <w:sz w:val="22"/>
          <w:szCs w:val="22"/>
        </w:rPr>
        <w:t xml:space="preserve"> ethical standards were maintained from start to finish. Formal clearance was granted by the University of Glasgow Institutional Review Board, and every participant signed an informed consent form before any data collection began. Safeguarding anonymity and guaranteeing that involvement was entirely voluntary remain foundation blocks of social care research, </w:t>
      </w:r>
      <w:r w:rsidR="00C31A53" w:rsidRPr="00C31A53">
        <w:rPr>
          <w:sz w:val="22"/>
          <w:szCs w:val="22"/>
        </w:rPr>
        <w:lastRenderedPageBreak/>
        <w:t>particularly because respondents are often discussing highly personal, sensitive workplace challenges.</w:t>
      </w:r>
    </w:p>
    <w:p w14:paraId="1ABCE3B1" w14:textId="0F6613AC" w:rsidR="007A71B3" w:rsidRPr="00C31A53" w:rsidRDefault="00C31A53" w:rsidP="00C31A53">
      <w:pPr>
        <w:spacing w:line="360" w:lineRule="auto"/>
        <w:rPr>
          <w:sz w:val="22"/>
          <w:szCs w:val="22"/>
        </w:rPr>
      </w:pPr>
      <w:r w:rsidRPr="00C31A53">
        <w:rPr>
          <w:sz w:val="22"/>
          <w:szCs w:val="22"/>
        </w:rPr>
        <w:t>This qualitative framework was highly effective for generating a granular exploration of institutional durability. Melding distinct data collection channels enriched the study by blending objective physical observations with the deeply personal viewpoints of care staff, service users, relatives, and external experts. Nevertheless, qualitative interpretation is inherently subjective, meaning the researchers' own perspectives may have subtly shaped how themes were named and sorted. Additionally, because the study focused exclusively on Scottish institutions, the conclusions may not seamlessly apply to care home environments across other regions of the United Kingdom. Yet, despite these structural constraints, the project offers deep, actionable insights into how resilience emerges within highly volatile healthcare environments.</w:t>
      </w:r>
    </w:p>
    <w:p w14:paraId="280822E2" w14:textId="77777777" w:rsidR="00ED6E56" w:rsidRPr="00ED6E56" w:rsidRDefault="00ED6E56" w:rsidP="00ED6E56">
      <w:pPr>
        <w:spacing w:line="360" w:lineRule="auto"/>
        <w:rPr>
          <w:sz w:val="22"/>
          <w:szCs w:val="22"/>
        </w:rPr>
      </w:pPr>
      <w:r w:rsidRPr="00ED6E56">
        <w:rPr>
          <w:sz w:val="22"/>
          <w:szCs w:val="22"/>
        </w:rPr>
        <w:t>The researchers continued data collection until thematic saturation was reached. Triangulation strengthened the reliability of findings by comparing different perspectives.</w:t>
      </w:r>
    </w:p>
    <w:p w14:paraId="4B6165B3" w14:textId="4E36D14C" w:rsidR="00F84D52" w:rsidRPr="00F84D52" w:rsidRDefault="00F84D52" w:rsidP="00F84D52">
      <w:pPr>
        <w:rPr>
          <w:b/>
          <w:bCs/>
        </w:rPr>
      </w:pPr>
      <w:r w:rsidRPr="00F84D52">
        <w:rPr>
          <w:b/>
          <w:bCs/>
        </w:rPr>
        <w:t>Section 4: Conclusion</w:t>
      </w:r>
    </w:p>
    <w:p w14:paraId="7AFC22EE" w14:textId="6B40C805" w:rsidR="00C31A53" w:rsidRPr="00C31A53" w:rsidRDefault="00C31A53" w:rsidP="00C31A53">
      <w:pPr>
        <w:spacing w:line="360" w:lineRule="auto"/>
        <w:rPr>
          <w:sz w:val="22"/>
          <w:szCs w:val="22"/>
        </w:rPr>
      </w:pPr>
      <w:r w:rsidRPr="00C31A53">
        <w:rPr>
          <w:sz w:val="22"/>
          <w:szCs w:val="22"/>
        </w:rPr>
        <w:t xml:space="preserve">In summary, this report has thoroughly reviewed the qualitative project conducted by Ross </w:t>
      </w:r>
      <w:r w:rsidRPr="00F22E5E">
        <w:rPr>
          <w:i/>
          <w:iCs/>
          <w:sz w:val="22"/>
          <w:szCs w:val="22"/>
        </w:rPr>
        <w:t>et al.</w:t>
      </w:r>
      <w:r w:rsidRPr="00C31A53">
        <w:rPr>
          <w:sz w:val="22"/>
          <w:szCs w:val="22"/>
        </w:rPr>
        <w:t xml:space="preserve"> (2022) regarding </w:t>
      </w:r>
      <w:r w:rsidR="00802981">
        <w:rPr>
          <w:sz w:val="22"/>
          <w:szCs w:val="22"/>
        </w:rPr>
        <w:t>organisational</w:t>
      </w:r>
      <w:r w:rsidRPr="00C31A53">
        <w:rPr>
          <w:sz w:val="22"/>
          <w:szCs w:val="22"/>
        </w:rPr>
        <w:t xml:space="preserve"> </w:t>
      </w:r>
      <w:r w:rsidR="00802981">
        <w:rPr>
          <w:sz w:val="22"/>
          <w:szCs w:val="22"/>
        </w:rPr>
        <w:t>resilience</w:t>
      </w:r>
      <w:r w:rsidRPr="00C31A53">
        <w:rPr>
          <w:sz w:val="22"/>
          <w:szCs w:val="22"/>
        </w:rPr>
        <w:t xml:space="preserve"> within Scottish care facilities. The study demonstrates how residential settings manage to preserve safe care standards despite facing operational instability, shifting requirements, and systemic deficits. A key takeaway is that successful care administration is not merely a product of following formal checklists; it relies fundamentally on the real-time problem-solving, mutual support, and practical adjustments made by frontline teams.</w:t>
      </w:r>
    </w:p>
    <w:p w14:paraId="76388D0A" w14:textId="2E7054E7" w:rsidR="00C31A53" w:rsidRPr="00C31A53" w:rsidRDefault="00C31A53" w:rsidP="00C31A53">
      <w:pPr>
        <w:spacing w:line="360" w:lineRule="auto"/>
        <w:rPr>
          <w:sz w:val="22"/>
          <w:szCs w:val="22"/>
        </w:rPr>
      </w:pPr>
      <w:r w:rsidRPr="00C31A53">
        <w:rPr>
          <w:sz w:val="22"/>
          <w:szCs w:val="22"/>
        </w:rPr>
        <w:t>The evidence confirms that maintaining durability within these settings hinges on fluid communication channels, tight group coordination, ongoing institutional learning, and a shared capacity to adapt to changing environments. While heavy administrative burdens, strict paperwork demands, and thin resources create major obstacles to patient-centred practices, care workers consistently leverage their practical experience, clinical expertise, and group solidarity to overcome these strains and protect service continuity.</w:t>
      </w:r>
      <w:r w:rsidR="009E008A" w:rsidRPr="009E008A">
        <w:t xml:space="preserve"> </w:t>
      </w:r>
      <w:r w:rsidR="009E008A" w:rsidRPr="009E008A">
        <w:rPr>
          <w:sz w:val="22"/>
          <w:szCs w:val="22"/>
        </w:rPr>
        <w:t xml:space="preserve">Supporting this view, Mallon </w:t>
      </w:r>
      <w:r w:rsidR="009E008A" w:rsidRPr="00F22E5E">
        <w:rPr>
          <w:i/>
          <w:iCs/>
          <w:sz w:val="22"/>
          <w:szCs w:val="22"/>
        </w:rPr>
        <w:t>et al.</w:t>
      </w:r>
      <w:r w:rsidR="009E008A" w:rsidRPr="009E008A">
        <w:rPr>
          <w:sz w:val="22"/>
          <w:szCs w:val="22"/>
        </w:rPr>
        <w:t xml:space="preserve"> (2023) emphasize that targeted, practical interventions are essential to protect the personal resilience and well-being of nurses navigating these unique care home environments.</w:t>
      </w:r>
    </w:p>
    <w:p w14:paraId="4B48C3DD" w14:textId="77777777" w:rsidR="00C31A53" w:rsidRPr="00C31A53" w:rsidRDefault="00C31A53" w:rsidP="00C31A53">
      <w:pPr>
        <w:spacing w:line="360" w:lineRule="auto"/>
        <w:rPr>
          <w:sz w:val="22"/>
          <w:szCs w:val="22"/>
        </w:rPr>
      </w:pPr>
      <w:r w:rsidRPr="00C31A53">
        <w:rPr>
          <w:sz w:val="22"/>
          <w:szCs w:val="22"/>
        </w:rPr>
        <w:t xml:space="preserve">These insights closely mirror the broader systemic strains currently documented across the adult social care sector in England. For example, reports by the Care Quality Commission </w:t>
      </w:r>
      <w:r w:rsidRPr="00C31A53">
        <w:rPr>
          <w:sz w:val="22"/>
          <w:szCs w:val="22"/>
        </w:rPr>
        <w:lastRenderedPageBreak/>
        <w:t>(2023) confirm that persistent staffing shortages and rising patient numbers continue to threaten the stability and overall quality of long-term care provisions nationwide.</w:t>
      </w:r>
    </w:p>
    <w:p w14:paraId="355C9167" w14:textId="6D2082AA" w:rsidR="00F84D52" w:rsidRPr="00C31A53" w:rsidRDefault="00C31A53" w:rsidP="00C31A53">
      <w:pPr>
        <w:spacing w:line="360" w:lineRule="auto"/>
        <w:rPr>
          <w:sz w:val="22"/>
          <w:szCs w:val="22"/>
        </w:rPr>
      </w:pPr>
      <w:r w:rsidRPr="00C31A53">
        <w:rPr>
          <w:sz w:val="22"/>
          <w:szCs w:val="22"/>
        </w:rPr>
        <w:t xml:space="preserve">Ultimately, evaluating this paper clarifies the vital role that robust research methodologies play within modern social care contexts. By </w:t>
      </w:r>
      <w:r w:rsidR="00C46DC2" w:rsidRPr="00C31A53">
        <w:rPr>
          <w:sz w:val="22"/>
          <w:szCs w:val="22"/>
        </w:rPr>
        <w:t>analysing</w:t>
      </w:r>
      <w:r w:rsidRPr="00C31A53">
        <w:rPr>
          <w:sz w:val="22"/>
          <w:szCs w:val="22"/>
        </w:rPr>
        <w:t xml:space="preserve"> how qualitative data is gathered and synthesized, we can appreciate how empirical research provides authentic evidence of human experiences, driving meaningful improvements in day-to-day work. Cultivating these analytical evaluation skills is highly beneficial for future academic study and professional development, as it empowers healthcare practitioners to examine evidence critically, implement best practices, and contribute to the ongoing improvement of care quality and service delivery.</w:t>
      </w:r>
    </w:p>
    <w:p w14:paraId="3B42E493" w14:textId="77777777" w:rsidR="00F84D52" w:rsidRPr="00F84D52" w:rsidRDefault="00F84D52" w:rsidP="00F84D52">
      <w:pPr>
        <w:rPr>
          <w:b/>
          <w:bCs/>
        </w:rPr>
      </w:pPr>
      <w:r w:rsidRPr="00F84D52">
        <w:rPr>
          <w:b/>
          <w:bCs/>
        </w:rPr>
        <w:t>References</w:t>
      </w:r>
    </w:p>
    <w:p w14:paraId="2149CBA6" w14:textId="77777777" w:rsidR="009E008A" w:rsidRDefault="009E008A" w:rsidP="009E008A">
      <w:r>
        <w:t>Braithwaite, J., Churruca, K., Long, J.C., Ellis, L.A. and Herkes, J. (2018) ‘When complexity science meets implementation science: a theoretical and empirical analysis of systems change’, BMC Medicine, 16, p. 63. Available at: biomedcentral.com (Accessed: 9 July 2026).</w:t>
      </w:r>
    </w:p>
    <w:p w14:paraId="2716721A" w14:textId="77777777" w:rsidR="009E008A" w:rsidRDefault="009E008A" w:rsidP="009E008A"/>
    <w:p w14:paraId="23241E46" w14:textId="77777777" w:rsidR="009E008A" w:rsidRDefault="009E008A" w:rsidP="009E008A">
      <w:r>
        <w:t>Care Quality Commission (2023) The state of health care and adult social care in England 2022/23. Available at: cqc.org.uk (Accessed: 10 July 2026).</w:t>
      </w:r>
    </w:p>
    <w:p w14:paraId="3BAA1A34" w14:textId="77777777" w:rsidR="009E008A" w:rsidRDefault="009E008A" w:rsidP="009E008A"/>
    <w:p w14:paraId="07BC0E44" w14:textId="77777777" w:rsidR="009E008A" w:rsidRDefault="009E008A" w:rsidP="009E008A">
      <w:r>
        <w:t>Greenhalgh, T., Knight, M., A’Court, C., Buxton, M. and Husain, L. (2020) ‘Management of COVID-19 in primary care’, BMJ, 368, p. m1140. Available at: bmj.com (Accessed: 11 July 2026).</w:t>
      </w:r>
    </w:p>
    <w:p w14:paraId="547C0438" w14:textId="77777777" w:rsidR="009E008A" w:rsidRDefault="009E008A" w:rsidP="009E008A"/>
    <w:p w14:paraId="34BAB70E" w14:textId="77777777" w:rsidR="009E008A" w:rsidRDefault="009E008A" w:rsidP="009E008A">
      <w:r>
        <w:t>Hollnagel, E. (2017) Safety-II in Practice: Developing the Resilience Potentials. London: Routledge. Available at: https://www.taylorfrancis.com/books/mono/10.4324/9781315201023/safety-ii-practice-erik-hollnagel (Accessed: 14 July 2026).</w:t>
      </w:r>
    </w:p>
    <w:p w14:paraId="7A0D5E56" w14:textId="77777777" w:rsidR="009E008A" w:rsidRDefault="009E008A" w:rsidP="009E008A"/>
    <w:p w14:paraId="6DE909AB" w14:textId="77777777" w:rsidR="009E008A" w:rsidRDefault="009E008A" w:rsidP="009E008A">
      <w:r>
        <w:t>Mallon, A., Mitchell, G., Carter, G., McLaughlin, D. and Brown Wilson, C. (2023) ‘A rapid review of evaluated interventions to inform the development of a resource to support the resilience of care home nurses’, BMC Geriatrics, 23, p. 275. Available at: bmcgeriatrics.biomedcentral.com (Accessed: 18 July 2026).</w:t>
      </w:r>
    </w:p>
    <w:p w14:paraId="2024CBDA" w14:textId="77777777" w:rsidR="009E008A" w:rsidRDefault="009E008A" w:rsidP="009E008A"/>
    <w:p w14:paraId="3EAD1EDF" w14:textId="77777777" w:rsidR="009E008A" w:rsidRDefault="009E008A" w:rsidP="009E008A">
      <w:r>
        <w:lastRenderedPageBreak/>
        <w:t>NHS England (2023) NHS Long Term Workforce Plan. Available at: england.nhs.uk (Accessed: 12 July 2026).</w:t>
      </w:r>
    </w:p>
    <w:p w14:paraId="12861F17" w14:textId="77777777" w:rsidR="009E008A" w:rsidRDefault="009E008A" w:rsidP="009E008A"/>
    <w:p w14:paraId="1A466782" w14:textId="3E63732C" w:rsidR="0081222B" w:rsidRDefault="009E008A" w:rsidP="009E008A">
      <w:r>
        <w:t>Ross, A., Anderson, J.E., Selve Indran, S., MacBride, T., Bowie, P., Sherriff, A. et al. (2022) ‘A qualitative study of Organisational Resilience in Care Homes in Scotland’, PLOS ONE, 17(12), p. e0279376. Available at: doi.org (Accessed: 14 July 2026).</w:t>
      </w:r>
    </w:p>
    <w:sectPr w:rsidR="008122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54C9A"/>
    <w:multiLevelType w:val="multilevel"/>
    <w:tmpl w:val="E0AE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332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D8A"/>
    <w:rsid w:val="00053853"/>
    <w:rsid w:val="001A0813"/>
    <w:rsid w:val="001B1B78"/>
    <w:rsid w:val="001E5526"/>
    <w:rsid w:val="00260EF6"/>
    <w:rsid w:val="002D0AA6"/>
    <w:rsid w:val="002F71D2"/>
    <w:rsid w:val="00412D72"/>
    <w:rsid w:val="005C3D5A"/>
    <w:rsid w:val="00605E30"/>
    <w:rsid w:val="00675B91"/>
    <w:rsid w:val="006E2CE4"/>
    <w:rsid w:val="00710AEF"/>
    <w:rsid w:val="007A71B3"/>
    <w:rsid w:val="007F3ED2"/>
    <w:rsid w:val="00802981"/>
    <w:rsid w:val="0081222B"/>
    <w:rsid w:val="00820936"/>
    <w:rsid w:val="0097512A"/>
    <w:rsid w:val="009A3D8A"/>
    <w:rsid w:val="009E008A"/>
    <w:rsid w:val="009E32CF"/>
    <w:rsid w:val="00A44CEE"/>
    <w:rsid w:val="00B33875"/>
    <w:rsid w:val="00C220A7"/>
    <w:rsid w:val="00C31A53"/>
    <w:rsid w:val="00C46DC2"/>
    <w:rsid w:val="00D63303"/>
    <w:rsid w:val="00DE03AF"/>
    <w:rsid w:val="00DE1D26"/>
    <w:rsid w:val="00E4334F"/>
    <w:rsid w:val="00E77610"/>
    <w:rsid w:val="00ED6E56"/>
    <w:rsid w:val="00F1711A"/>
    <w:rsid w:val="00F22E5E"/>
    <w:rsid w:val="00F84D52"/>
    <w:rsid w:val="00FE70B3"/>
    <w:rsid w:val="00FF7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C7BB2"/>
  <w15:chartTrackingRefBased/>
  <w15:docId w15:val="{6129C371-1933-4468-9260-FA3C1E376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D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D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D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D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D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D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D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D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D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D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D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D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D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D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D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D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D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D8A"/>
    <w:rPr>
      <w:rFonts w:eastAsiaTheme="majorEastAsia" w:cstheme="majorBidi"/>
      <w:color w:val="272727" w:themeColor="text1" w:themeTint="D8"/>
    </w:rPr>
  </w:style>
  <w:style w:type="paragraph" w:styleId="Title">
    <w:name w:val="Title"/>
    <w:basedOn w:val="Normal"/>
    <w:next w:val="Normal"/>
    <w:link w:val="TitleChar"/>
    <w:uiPriority w:val="10"/>
    <w:qFormat/>
    <w:rsid w:val="009A3D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D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D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D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D8A"/>
    <w:pPr>
      <w:spacing w:before="160"/>
      <w:jc w:val="center"/>
    </w:pPr>
    <w:rPr>
      <w:i/>
      <w:iCs/>
      <w:color w:val="404040" w:themeColor="text1" w:themeTint="BF"/>
    </w:rPr>
  </w:style>
  <w:style w:type="character" w:customStyle="1" w:styleId="QuoteChar">
    <w:name w:val="Quote Char"/>
    <w:basedOn w:val="DefaultParagraphFont"/>
    <w:link w:val="Quote"/>
    <w:uiPriority w:val="29"/>
    <w:rsid w:val="009A3D8A"/>
    <w:rPr>
      <w:i/>
      <w:iCs/>
      <w:color w:val="404040" w:themeColor="text1" w:themeTint="BF"/>
    </w:rPr>
  </w:style>
  <w:style w:type="paragraph" w:styleId="ListParagraph">
    <w:name w:val="List Paragraph"/>
    <w:basedOn w:val="Normal"/>
    <w:uiPriority w:val="34"/>
    <w:qFormat/>
    <w:rsid w:val="009A3D8A"/>
    <w:pPr>
      <w:ind w:left="720"/>
      <w:contextualSpacing/>
    </w:pPr>
  </w:style>
  <w:style w:type="character" w:styleId="IntenseEmphasis">
    <w:name w:val="Intense Emphasis"/>
    <w:basedOn w:val="DefaultParagraphFont"/>
    <w:uiPriority w:val="21"/>
    <w:qFormat/>
    <w:rsid w:val="009A3D8A"/>
    <w:rPr>
      <w:i/>
      <w:iCs/>
      <w:color w:val="0F4761" w:themeColor="accent1" w:themeShade="BF"/>
    </w:rPr>
  </w:style>
  <w:style w:type="paragraph" w:styleId="IntenseQuote">
    <w:name w:val="Intense Quote"/>
    <w:basedOn w:val="Normal"/>
    <w:next w:val="Normal"/>
    <w:link w:val="IntenseQuoteChar"/>
    <w:uiPriority w:val="30"/>
    <w:qFormat/>
    <w:rsid w:val="009A3D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D8A"/>
    <w:rPr>
      <w:i/>
      <w:iCs/>
      <w:color w:val="0F4761" w:themeColor="accent1" w:themeShade="BF"/>
    </w:rPr>
  </w:style>
  <w:style w:type="character" w:styleId="IntenseReference">
    <w:name w:val="Intense Reference"/>
    <w:basedOn w:val="DefaultParagraphFont"/>
    <w:uiPriority w:val="32"/>
    <w:qFormat/>
    <w:rsid w:val="009A3D8A"/>
    <w:rPr>
      <w:b/>
      <w:bCs/>
      <w:smallCaps/>
      <w:color w:val="0F4761" w:themeColor="accent1" w:themeShade="BF"/>
      <w:spacing w:val="5"/>
    </w:rPr>
  </w:style>
  <w:style w:type="character" w:styleId="Hyperlink">
    <w:name w:val="Hyperlink"/>
    <w:basedOn w:val="DefaultParagraphFont"/>
    <w:uiPriority w:val="99"/>
    <w:unhideWhenUsed/>
    <w:rsid w:val="00F84D52"/>
    <w:rPr>
      <w:color w:val="467886" w:themeColor="hyperlink"/>
      <w:u w:val="single"/>
    </w:rPr>
  </w:style>
  <w:style w:type="character" w:styleId="UnresolvedMention">
    <w:name w:val="Unresolved Mention"/>
    <w:basedOn w:val="DefaultParagraphFont"/>
    <w:uiPriority w:val="99"/>
    <w:semiHidden/>
    <w:unhideWhenUsed/>
    <w:rsid w:val="00F84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b75ee4b542f5ad118924ef78364ea18c">
  <xsd:schema xmlns:xsd="http://www.w3.org/2001/XMLSchema" xmlns:xs="http://www.w3.org/2001/XMLSchema" xmlns:p="http://schemas.microsoft.com/office/2006/metadata/properties" xmlns:ns3="936e02c4-a484-4998-a51a-c24e6dc61f3e" targetNamespace="http://schemas.microsoft.com/office/2006/metadata/properties" ma:root="true" ma:fieldsID="8e1e54e397945d006caca71f2823d38e"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96105F-1B81-40D9-8FBC-A7DD3D06A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E39334-3683-4723-AE53-9E0DAB0E9F94}">
  <ds:schemaRefs>
    <ds:schemaRef ds:uri="http://schemas.microsoft.com/office/2006/metadata/properties"/>
    <ds:schemaRef ds:uri="http://schemas.microsoft.com/office/infopath/2007/PartnerControls"/>
    <ds:schemaRef ds:uri="936e02c4-a484-4998-a51a-c24e6dc61f3e"/>
  </ds:schemaRefs>
</ds:datastoreItem>
</file>

<file path=customXml/itemProps3.xml><?xml version="1.0" encoding="utf-8"?>
<ds:datastoreItem xmlns:ds="http://schemas.openxmlformats.org/officeDocument/2006/customXml" ds:itemID="{38A79045-F7AE-4906-8A29-0979C029A4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Alazar Befikadu (2541000)</dc:creator>
  <cp:keywords/>
  <dc:description/>
  <cp:lastModifiedBy>Alazar Befikadu (2541000)</cp:lastModifiedBy>
  <cp:revision>2</cp:revision>
  <dcterms:created xsi:type="dcterms:W3CDTF">2026-07-19T10:29:00Z</dcterms:created>
  <dcterms:modified xsi:type="dcterms:W3CDTF">2026-07-19T10:29:00Z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